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1A7C3F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b/>
          <w:bCs/>
          <w:sz w:val="26"/>
          <w:szCs w:val="26"/>
        </w:rPr>
        <w:t>6.3 Serological testing</w:t>
      </w:r>
      <w:r>
        <w:rPr>
          <w:b/>
          <w:bCs/>
          <w:sz w:val="26"/>
          <w:szCs w:val="26"/>
        </w:rPr>
        <w:br w:type="textWrapping"/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Serological surveys are also considered to be one of the most effective ones in facilitating outbreak investigation and it also helps us to derive a retrospective assessment of the disease by estimating the attack rate.</w:t>
      </w:r>
      <w:r>
        <w:rPr>
          <w:color w:val="0000FF"/>
          <w:sz w:val="20"/>
          <w:szCs w:val="20"/>
          <w:vertAlign w:val="superscript"/>
        </w:rPr>
        <w:t>32</w:t>
      </w:r>
      <w:r>
        <w:rPr>
          <w:color w:val="0000FF"/>
          <w:sz w:val="20"/>
          <w:szCs w:val="20"/>
        </w:rPr>
        <w:t xml:space="preserve"> </w:t>
      </w:r>
      <w:r>
        <w:rPr>
          <w:sz w:val="20"/>
          <w:szCs w:val="20"/>
        </w:rPr>
        <w:t>According to the recent literature, paired serum samples can also help clinicians to diagnose COVID-19 in case of false negative results in NAAT essays.</w:t>
      </w:r>
      <w:r>
        <w:rPr>
          <w:color w:val="0000FF"/>
          <w:sz w:val="20"/>
          <w:szCs w:val="20"/>
          <w:vertAlign w:val="superscript"/>
        </w:rPr>
        <w:t>37</w:t>
      </w:r>
      <w:r>
        <w:rPr>
          <w:sz w:val="20"/>
          <w:szCs w:val="20"/>
        </w:rPr>
        <w:t xml:space="preserve"> The literature also declared that the commercial and non-commercial serological tests are under consideration in order to support the practising clinicians by assisting them in diagnosis. Similarly, there are studies published on COVID-19 which are comprised of the serological data on clinical samples.</w:t>
      </w:r>
      <w:r>
        <w:rPr>
          <w:color w:val="0000FF"/>
          <w:sz w:val="20"/>
          <w:szCs w:val="20"/>
          <w:vertAlign w:val="superscript"/>
        </w:rPr>
        <w:t>38, 39</w:t>
      </w:r>
      <w:r>
        <w:rPr>
          <w:color w:val="0000FF"/>
          <w:sz w:val="20"/>
          <w:szCs w:val="20"/>
          <w:vertAlign w:val="superscript"/>
        </w:rPr>
        <w:br w:type="textWrapping"/>
      </w:r>
    </w:p>
    <w:p w14:paraId="54F1E0E5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b/>
          <w:bCs/>
          <w:sz w:val="26"/>
          <w:szCs w:val="26"/>
        </w:rPr>
        <w:t>6.4 Viral sequencing</w:t>
      </w:r>
      <w:r>
        <w:rPr>
          <w:b/>
          <w:bCs/>
          <w:sz w:val="26"/>
          <w:szCs w:val="26"/>
        </w:rPr>
        <w:br w:type="textWrapping"/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Apart from confirming the presence of virus in the specimens, viral sequencing is also quite useful in monitoring the viral genomic mutations, which plays a very significant role in influencing the performance of the medical countermeasures inclusive of the diagnostic test. Genomic sequencing of the viru</w:t>
      </w:r>
      <w:bookmarkStart w:id="0" w:name="_GoBack"/>
      <w:bookmarkEnd w:id="0"/>
      <w:r>
        <w:rPr>
          <w:sz w:val="20"/>
          <w:szCs w:val="20"/>
        </w:rPr>
        <w:t>s can also help further in developing several studies related to molecular epidemiology.</w:t>
      </w:r>
      <w:r>
        <w:rPr>
          <w:color w:val="0000FF"/>
          <w:sz w:val="20"/>
          <w:szCs w:val="20"/>
          <w:vertAlign w:val="superscript"/>
        </w:rPr>
        <w:t>32</w:t>
      </w:r>
    </w:p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F06EEE"/>
    <w:rsid w:val="45F06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2025-11-12T05:35:00Z</dcterms:created>
  <dc:creator>1023_ Sarif</dc:creator>
  <cp:lastModifiedBy>1023_ Sarif</cp:lastModifiedBy>
  <dcterms:modified xsi:type="dcterms:W3CDTF">2025-11-12T06:02:10Z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4C455C2B6EBD48D1A57D1D5D0FDE5ABC_11</vt:lpwstr>
  </property>
</Properties>
</file>