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1CB8C">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10 RECOMBINANT SUBUNIT VACCINE</w:t>
      </w:r>
      <w:r>
        <w:rPr>
          <w:rFonts w:hint="default" w:ascii="Times New Roman" w:hAnsi="Times New Roman" w:cs="Times New Roman"/>
          <w:b/>
          <w:bCs/>
          <w:color w:val="70AD47" w:themeColor="accent6"/>
          <w:sz w:val="26"/>
          <w:szCs w:val="26"/>
          <w14:textFill>
            <w14:solidFill>
              <w14:schemeClr w14:val="accent6"/>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Clover Biopharmaceuticals is producing a recombinant subunit vaccine based on the trimeric S-protein of COVID-19.</w:t>
      </w:r>
      <w:r>
        <w:rPr>
          <w:rFonts w:hint="default" w:ascii="Times New Roman" w:hAnsi="Times New Roman" w:cs="Times New Roman"/>
          <w:color w:val="0000FF"/>
          <w:sz w:val="20"/>
          <w:szCs w:val="20"/>
          <w:vertAlign w:val="superscript"/>
        </w:rPr>
        <w:t>55</w:t>
      </w:r>
      <w:r>
        <w:rPr>
          <w:rFonts w:hint="default" w:ascii="Times New Roman" w:hAnsi="Times New Roman" w:cs="Times New Roman"/>
          <w:sz w:val="20"/>
          <w:szCs w:val="20"/>
        </w:rPr>
        <w:t xml:space="preserve"> The oral recombinant vaccine is being expanded by Vaxart in tablet formulation, using its proprietary oral vaccine platform.</w:t>
      </w:r>
      <w:r>
        <w:rPr>
          <w:rFonts w:hint="default" w:ascii="Times New Roman" w:hAnsi="Times New Roman" w:cs="Times New Roman"/>
          <w:sz w:val="20"/>
          <w:szCs w:val="20"/>
        </w:rPr>
        <w:br w:type="textWrapping"/>
      </w:r>
    </w:p>
    <w:p w14:paraId="3DB7B0DC">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11 CLINICAL MANAGEMENT AND TREATMENT</w:t>
      </w:r>
      <w:r>
        <w:rPr>
          <w:rFonts w:hint="default" w:ascii="Times New Roman" w:hAnsi="Times New Roman" w:cs="Times New Roman"/>
          <w:b/>
          <w:bCs/>
          <w:color w:val="70AD47" w:themeColor="accent6"/>
          <w:sz w:val="26"/>
          <w:szCs w:val="26"/>
          <w14:textFill>
            <w14:solidFill>
              <w14:schemeClr w14:val="accent6"/>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In severe COVID-19 cases, treatment should be given to support vital organ functions. People who think they may have been exposed to COVID-19 should contact their healthcare provider immediately. Healthcare personnel should care for patients in an Airborne Infection Isolation Room (AIIR). Precautions must be taken by the healthcare professional, such as contact precautions and airborne precautions with eye protection.</w:t>
      </w:r>
      <w:r>
        <w:rPr>
          <w:rFonts w:hint="default" w:ascii="Times New Roman" w:hAnsi="Times New Roman" w:cs="Times New Roman"/>
          <w:color w:val="0000FF"/>
          <w:sz w:val="20"/>
          <w:szCs w:val="20"/>
          <w:vertAlign w:val="superscript"/>
        </w:rPr>
        <w:t>56</w:t>
      </w:r>
    </w:p>
    <w:p w14:paraId="4546ED63">
      <w:pPr>
        <w:rPr>
          <w:rFonts w:hint="default"/>
          <w:sz w:val="20"/>
          <w:szCs w:val="20"/>
          <w:lang w:val="en-US"/>
        </w:rPr>
      </w:pPr>
      <w:r>
        <w:rPr>
          <w:rFonts w:hint="default" w:ascii="Times New Roman" w:hAnsi="Times New Roman" w:cs="Times New Roman"/>
          <w:sz w:val="20"/>
          <w:szCs w:val="20"/>
        </w:rPr>
        <w:t>Individuals with a mild clinical presentation may not require primary hospitalisation. Close monitoring is needed for the persons infected with COVID-19. Elderly patients and those prevailing chronic medical conditions</w:t>
      </w:r>
      <w:r>
        <w:rPr>
          <w:rFonts w:hint="default" w:ascii="Times New Roman" w:hAnsi="Times New Roman" w:cs="Times New Roman"/>
          <w:sz w:val="20"/>
          <w:szCs w:val="20"/>
          <w:lang w:val="en-US"/>
        </w:rPr>
        <w:t xml:space="preserve"> such as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21276"/>
    <w:rsid w:val="10521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2025-11-12T05:35:00Z</dcterms:created>
  <dc:creator>1023_ Sarif</dc:creator>
  <cp:lastModifiedBy>1023_ Sarif</cp:lastModifiedBy>
  <dcterms:modified xsi:type="dcterms:W3CDTF">2025-11-12T06:05:39Z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DBD8754963AD42BBBC261E7130DF7764_11</vt:lpwstr>
  </property>
</Properties>
</file>