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324A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considerable protection in mice against a MERS-CoV lethal challenge. Such antibodies may play a crucial role in enhancing protective humoral responses against the emerging CoVs by aiming appropriate epitopes and functions of the S protein. The cross-neutralization ability of SARS-CoV RBD-specific neutralizing MAbs considerably relies on the resemblance between their RBDs; therefore, SARS-CoV RBD-specific antibodies could cross-neutralized SL CoVs, i.e., bat-SL-CoV strain WV1 (RBD with eight amino acid differences from SARS-CoV) but not bat-SL-CoV strain SHC014 (24 amino acid differences)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200</w:t>
      </w:r>
      <w:r>
        <w:rPr>
          <w:rFonts w:hint="default" w:ascii="Times New Roman" w:hAnsi="Times New Roman" w:cs="Times New Roman"/>
          <w:sz w:val="20"/>
          <w:szCs w:val="20"/>
        </w:rPr>
        <w:t>).</w:t>
      </w:r>
    </w:p>
    <w:p w14:paraId="600E74B8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Appropriate RBD-specific MAbs can be recognized by a relative analysis of RBD of SARS-CoV-2 to that of SARS-CoV, and cross-neutralizing SARS-CoV RBD-specific MAbs could be explored for their effectiveness against COVID-19 and further need to be assessed clinically. The U.S. biotechnology company Regeneron is attempting to recognize potent and specific MAbs to combat COVID-19. An ideal therapeutic option suggested for SARS-CoV-2 (COVID-19) is the combination therapy comprised of MAbs and the drug remdesivir (COVID-19)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201</w:t>
      </w:r>
      <w:r>
        <w:rPr>
          <w:rFonts w:hint="default" w:ascii="Times New Roman" w:hAnsi="Times New Roman" w:cs="Times New Roman"/>
          <w:sz w:val="20"/>
          <w:szCs w:val="20"/>
        </w:rPr>
        <w:t>). The SARS-CoV-specific human MAb CR3022 is found to bind with SARS-CoV-2 RBD, indicating that it is considered as a therapeutic agent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2D023A"/>
    <w:rsid w:val="0B2D0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2025-11-12T06:48:00Z</dcterms:created>
  <dc:creator>1023_ Sarif</dc:creator>
  <cp:lastModifiedBy>1023_ Sarif</cp:lastModifiedBy>
  <dcterms:modified xsi:type="dcterms:W3CDTF">2025-11-12T06:50:35Z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02AE454514E04319AE247A7F95E19AFB_11</vt:lpwstr>
  </property>
</Properties>
</file>