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C81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consolidation. It is also abnormal in asymptomatic patients/patients with no clinical evidence of lower respiratory tract involvement. In fact, abnormal CT scans have been used to diagnose COVID-19 in suspect cases with negative molecular diagnosis; many of these patients had positive molecular tests on repeat testing</w:t>
      </w:r>
      <w:r>
        <w:rPr>
          <w:rFonts w:hint="default" w:cs="Times New Roman"/>
          <w:sz w:val="20"/>
          <w:szCs w:val="20"/>
          <w:lang w:val="en-US"/>
        </w:rPr>
        <w:t>[</w:t>
      </w:r>
      <w:r>
        <w:rPr>
          <w:rFonts w:hint="default" w:ascii="Times New Roman" w:hAnsi="Times New Roman" w:cs="Times New Roman"/>
          <w:sz w:val="20"/>
          <w:szCs w:val="20"/>
        </w:rPr>
        <w:t>22</w:t>
      </w:r>
      <w:r>
        <w:rPr>
          <w:rFonts w:hint="default" w:cs="Times New Roman"/>
          <w:sz w:val="20"/>
          <w:szCs w:val="20"/>
          <w:lang w:val="en-US"/>
        </w:rPr>
        <w:t>]</w:t>
      </w:r>
      <w:r>
        <w:rPr>
          <w:rFonts w:hint="default" w:ascii="Times New Roman" w:hAnsi="Times New Roman" w:cs="Times New Roman"/>
          <w:sz w:val="20"/>
          <w:szCs w:val="20"/>
        </w:rPr>
        <w:t>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</w:p>
    <w:p w14:paraId="56647DF0">
      <w:pPr>
        <w:rPr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14:textFill>
            <w14:solidFill>
              <w14:schemeClr w14:val="accent2"/>
            </w14:solidFill>
          </w14:textFill>
        </w:rPr>
        <w:t>Differential Diagnosis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:lang w:val="en-US"/>
          <w14:textFill>
            <w14:solidFill>
              <w14:schemeClr w14:val="accent2"/>
            </w14:solidFill>
          </w14:textFill>
        </w:rPr>
        <w:t>[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21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:lang w:val="en-US"/>
          <w14:textFill>
            <w14:solidFill>
              <w14:schemeClr w14:val="accent2"/>
            </w14:solidFill>
          </w14:textFill>
        </w:rPr>
        <w:t>]</w:t>
      </w:r>
      <w:r>
        <w:rPr>
          <w:rFonts w:hint="default" w:ascii="Times New Roman" w:hAnsi="Times New Roman" w:cs="Times New Roman"/>
          <w:b/>
          <w:bCs/>
          <w:color w:val="ED7D31" w:themeColor="accent2"/>
          <w:sz w:val="26"/>
          <w:szCs w:val="26"/>
          <w:lang w:val="en-US"/>
          <w14:textFill>
            <w14:solidFill>
              <w14:schemeClr w14:val="accent2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 xml:space="preserve">The differential diagnosis includes all types of respiratory viral infections (influenza, parainfluenza, respiratory syncytial virus (RSV), adenovirus, human metapneumovirus, non COVID-19 coronavirus), atypical organisms (mycoplasma, chlamydia) and bacterial infections. It is not possible to differentiate COVID-19 from these infections clinically or through routine lab tests. Therefore travel history becomes important. However, as the epidemic spreads, the 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>travel history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41657E"/>
    <w:rsid w:val="1841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2025-11-12T06:48:00Z</dcterms:created>
  <dc:creator>1023_ Sarif</dc:creator>
  <cp:lastModifiedBy>1023_ Sarif</cp:lastModifiedBy>
  <dcterms:modified xsi:type="dcterms:W3CDTF">2025-11-12T06:53:58Z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1B64E828D0424A48803CF1664E84762C_11</vt:lpwstr>
  </property>
</Properties>
</file>