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3A0B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differs from that in SARS-CoV in the five residues critical for ACE2 binding, namely Y455L, E484K, N493Q, D494S and T501N</w:t>
      </w:r>
      <w:r>
        <w:rPr>
          <w:rFonts w:hint="default" w:cs="Times New Roman"/>
          <w:sz w:val="20"/>
          <w:szCs w:val="20"/>
          <w:vertAlign w:val="superscript"/>
          <w:lang w:val="en-US"/>
        </w:rPr>
        <w:t>52</w:t>
      </w:r>
      <w:r>
        <w:rPr>
          <w:rFonts w:hint="default" w:ascii="Times New Roman" w:hAnsi="Times New Roman" w:cs="Times New Roman"/>
          <w:sz w:val="20"/>
          <w:szCs w:val="20"/>
        </w:rPr>
        <w:t xml:space="preserve"> (FIG. 3b</w:t>
      </w:r>
      <w:r>
        <w:rPr>
          <w:rFonts w:hint="default" w:cs="Times New Roman"/>
          <w:sz w:val="20"/>
          <w:szCs w:val="20"/>
          <w:lang w:val="en-US"/>
        </w:rPr>
        <w:t>.c</w:t>
      </w:r>
      <w:r>
        <w:rPr>
          <w:rFonts w:hint="default" w:ascii="Times New Roman" w:hAnsi="Times New Roman" w:cs="Times New Roman"/>
          <w:sz w:val="20"/>
          <w:szCs w:val="20"/>
        </w:rPr>
        <w:t>). Owing to these residue changes, interaction of SARS-CoV-2 with its receptor stabilizes the two virus-binding hotspots on the surface of hACE2 (REF.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 xml:space="preserve"> 36</w:t>
      </w:r>
      <w:r>
        <w:rPr>
          <w:rFonts w:hint="default" w:ascii="Times New Roman" w:hAnsi="Times New Roman" w:cs="Times New Roman"/>
          <w:sz w:val="20"/>
          <w:szCs w:val="20"/>
        </w:rPr>
        <w:t>)</w:t>
      </w:r>
      <w:r>
        <w:rPr>
          <w:rFonts w:hint="default" w:cs="Times New Roman"/>
          <w:sz w:val="20"/>
          <w:szCs w:val="20"/>
          <w:lang w:val="en-US"/>
        </w:rPr>
        <w:t>[Fig. 30]</w:t>
      </w:r>
      <w:r>
        <w:rPr>
          <w:rFonts w:hint="default" w:ascii="Times New Roman" w:hAnsi="Times New Roman" w:cs="Times New Roman"/>
          <w:sz w:val="20"/>
          <w:szCs w:val="20"/>
        </w:rPr>
        <w:t xml:space="preserve">. Moreover, a four-residue motif in the RBM of SARS-CoV-2 (amino acids 482–485, G-V-E-G) results in a more compact conformation of its hACE2-binding ridge in SARS-CoV and enables better contact with the N-terminal helix of hACE2 (REF. 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36</w:t>
      </w:r>
      <w:r>
        <w:rPr>
          <w:rFonts w:hint="default" w:ascii="Times New Roman" w:hAnsi="Times New Roman" w:cs="Times New Roman"/>
          <w:sz w:val="20"/>
          <w:szCs w:val="20"/>
        </w:rPr>
        <w:t>). Biochemical data confirmed that the structural features of the SARS-CoV-2 RBD has strengthened its hACE2 binding affinity compared with that of SARS-CoV</w:t>
      </w:r>
      <w:r>
        <w:rPr>
          <w:rFonts w:hint="default" w:cs="Times New Roman"/>
          <w:sz w:val="20"/>
          <w:szCs w:val="20"/>
          <w:vertAlign w:val="superscript"/>
          <w:lang w:val="en-US"/>
        </w:rPr>
        <w:t>50,52,53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50A76538">
      <w:pPr>
        <w:pStyle w:val="4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Similarly to other coronaviruses, SARS-CoV-2 needs proteolytic processing of the S protein to activate the endocytic route. It has been shown that host proteases participate in the cleavage of the S protein and activate the entry of SARS-CoV-2, including transmembrane protease serine protease 2 (TMPRSS2), cathepsin L and furin</w:t>
      </w:r>
      <w:r>
        <w:rPr>
          <w:rFonts w:hint="default" w:cs="Times New Roman"/>
          <w:sz w:val="20"/>
          <w:szCs w:val="20"/>
          <w:vertAlign w:val="superscript"/>
          <w:lang w:val="en-US"/>
        </w:rPr>
        <w:t>47,54,55</w:t>
      </w:r>
      <w:r>
        <w:rPr>
          <w:rFonts w:hint="default" w:ascii="Times New Roman" w:hAnsi="Times New Roman" w:cs="Times New Roman"/>
          <w:sz w:val="20"/>
          <w:szCs w:val="20"/>
        </w:rPr>
        <w:t>. Single-cell RNA sequencing data showed that TMPRSS2 is highly expressed in several tissues and body sites and is co-expressed with ACE2 in nasal epithelial cells, lungs and bronchial branches, which explains some of the tissue tropism of SARS-CoV-2 (REF</w:t>
      </w:r>
      <w:r>
        <w:rPr>
          <w:rFonts w:hint="default" w:cs="Times New Roman"/>
          <w:sz w:val="20"/>
          <w:szCs w:val="20"/>
          <w:lang w:val="en-US"/>
        </w:rPr>
        <w:t>S</w:t>
      </w:r>
      <w:r>
        <w:rPr>
          <w:rFonts w:hint="default" w:ascii="Times New Roman" w:hAnsi="Times New Roman" w:cs="Times New Roman"/>
          <w:sz w:val="20"/>
          <w:szCs w:val="20"/>
        </w:rPr>
        <w:t xml:space="preserve"> </w:t>
      </w:r>
      <w:r>
        <w:rPr>
          <w:rFonts w:hint="default" w:cs="Times New Roman"/>
          <w:sz w:val="20"/>
          <w:szCs w:val="20"/>
          <w:vertAlign w:val="superscript"/>
          <w:lang w:val="en-US"/>
        </w:rPr>
        <w:t>56,57</w:t>
      </w:r>
      <w:r>
        <w:rPr>
          <w:rFonts w:hint="default" w:ascii="Times New Roman" w:hAnsi="Times New Roman" w:cs="Times New Roman"/>
          <w:sz w:val="20"/>
          <w:szCs w:val="20"/>
        </w:rPr>
        <w:t>). SARS-CoV-2 pseudovirus entry assays revealed that TMPRSS2 and cathepsin L have cumulative effects with furin on activating virus entry</w:t>
      </w:r>
      <w:r>
        <w:rPr>
          <w:rFonts w:hint="default" w:ascii="Times New Roman" w:hAnsi="Times New Roman" w:cs="Times New Roman"/>
          <w:sz w:val="20"/>
          <w:szCs w:val="20"/>
          <w:vertAlign w:val="superscript"/>
        </w:rPr>
        <w:t>5</w:t>
      </w:r>
      <w:r>
        <w:rPr>
          <w:rFonts w:hint="default" w:cs="Times New Roman"/>
          <w:sz w:val="20"/>
          <w:szCs w:val="20"/>
          <w:vertAlign w:val="superscript"/>
          <w:lang w:val="en-US"/>
        </w:rPr>
        <w:t>3</w:t>
      </w:r>
      <w:r>
        <w:rPr>
          <w:rFonts w:hint="default" w:ascii="Times New Roman" w:hAnsi="Times New Roman" w:cs="Times New Roman"/>
          <w:sz w:val="20"/>
          <w:szCs w:val="20"/>
        </w:rPr>
        <w:t xml:space="preserve">. Analysis of the cryo-electron microscopy structure of the SARS-CoV-2 S protein revealed that its RBD is mostly in an up conformation, whereas the SARS-CoV S protein assumes equally standing-up and lying-down conformations </w:t>
      </w:r>
      <w:r>
        <w:rPr>
          <w:rFonts w:hint="default" w:cs="Times New Roman"/>
          <w:sz w:val="20"/>
          <w:szCs w:val="20"/>
          <w:lang w:val="en-US"/>
        </w:rPr>
        <w:t>state</w:t>
      </w:r>
      <w:r>
        <w:rPr>
          <w:rFonts w:hint="default" w:cs="Times New Roman"/>
          <w:sz w:val="20"/>
          <w:szCs w:val="20"/>
          <w:vertAlign w:val="superscript"/>
          <w:lang w:val="en-US"/>
        </w:rPr>
        <w:t>50,51,58,59</w:t>
      </w:r>
      <w:r>
        <w:rPr>
          <w:rFonts w:hint="default" w:ascii="Times New Roman" w:hAnsi="Times New Roman" w:cs="Times New Roman"/>
          <w:sz w:val="20"/>
          <w:szCs w:val="20"/>
        </w:rPr>
        <w:t>. A lying-down conformation of the S protein may be less likely in favor of receptor binding but is helpful for immune evasion</w:t>
      </w:r>
      <w:r>
        <w:rPr>
          <w:rFonts w:hint="default" w:cs="Times New Roman"/>
          <w:sz w:val="20"/>
          <w:szCs w:val="20"/>
          <w:vertAlign w:val="superscript"/>
          <w:lang w:val="en-US"/>
        </w:rPr>
        <w:t>55</w:t>
      </w:r>
      <w:r>
        <w:rPr>
          <w:rFonts w:hint="default" w:ascii="Times New Roman" w:hAnsi="Times New Roman" w:cs="Times New Roman"/>
          <w:sz w:val="20"/>
          <w:szCs w:val="20"/>
        </w:rPr>
        <w:t>.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045714"/>
    <w:rsid w:val="2904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2025-11-12T06:48:00Z</dcterms:created>
  <dc:creator>1023_ Sarif</dc:creator>
  <cp:lastModifiedBy>1023_ Sarif</cp:lastModifiedBy>
  <dcterms:modified xsi:type="dcterms:W3CDTF">2025-11-12T07:04:17Z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388197BB9757458EBB480FF797B4D2BA_11</vt:lpwstr>
  </property>
</Properties>
</file>