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AED304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been used based on the experience with SARS and MERS. In a historical control study in patients with SARS, patients treated with lopinavir-ritonavir with ribavirin had better outcomes as compared to those given ribavirin alone</w:t>
      </w:r>
      <w:r>
        <w:rPr>
          <w:rFonts w:hint="default" w:cs="Times New Roman"/>
          <w:sz w:val="20"/>
          <w:szCs w:val="20"/>
          <w:lang w:val="en-US"/>
        </w:rPr>
        <w:t>[</w:t>
      </w:r>
      <w:r>
        <w:rPr>
          <w:rFonts w:hint="default" w:ascii="Times New Roman" w:hAnsi="Times New Roman" w:cs="Times New Roman"/>
          <w:sz w:val="20"/>
          <w:szCs w:val="20"/>
        </w:rPr>
        <w:t>15</w:t>
      </w:r>
      <w:r>
        <w:rPr>
          <w:rFonts w:hint="default" w:cs="Times New Roman"/>
          <w:sz w:val="20"/>
          <w:szCs w:val="20"/>
          <w:lang w:val="en-US"/>
        </w:rPr>
        <w:t>]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2765A23E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In the case series of 99 hospitalized patients with COVID-19 infection from Wuhan, oxygen was given to 76%, non-invasive ventilation in 13%, mechanical ventilation in 4%, extracorporeal membrane oxygenation (ECMO) in 3%, continuous renal replacement therapy (CRRT) in 9%, antibiotics in 71%, antifungals in 15%, glucocorticoids in 19% and intravenous immunoglobulin therapy in 27%</w:t>
      </w:r>
      <w:r>
        <w:rPr>
          <w:rFonts w:hint="default" w:cs="Times New Roman"/>
          <w:sz w:val="20"/>
          <w:szCs w:val="20"/>
          <w:lang w:val="en-US"/>
        </w:rPr>
        <w:t>[</w:t>
      </w:r>
      <w:r>
        <w:rPr>
          <w:rFonts w:hint="default" w:ascii="Times New Roman" w:hAnsi="Times New Roman" w:cs="Times New Roman"/>
          <w:sz w:val="20"/>
          <w:szCs w:val="20"/>
        </w:rPr>
        <w:t>15</w:t>
      </w:r>
      <w:r>
        <w:rPr>
          <w:rFonts w:hint="default" w:cs="Times New Roman"/>
          <w:sz w:val="20"/>
          <w:szCs w:val="20"/>
          <w:lang w:val="en-US"/>
        </w:rPr>
        <w:t>]</w:t>
      </w:r>
      <w:r>
        <w:rPr>
          <w:rFonts w:hint="default" w:ascii="Times New Roman" w:hAnsi="Times New Roman" w:cs="Times New Roman"/>
          <w:sz w:val="20"/>
          <w:szCs w:val="20"/>
        </w:rPr>
        <w:t>. Antiviral therapy consisting of oseltamivir, ganciclovir and lopinavir-ritonavir was given to 75% of the patients. The duration of non-invasive ventilation was 4–22 d [median 9 d]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4F34F4"/>
    <w:rsid w:val="634F3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2025-11-12T07:12:00Z</dcterms:created>
  <dc:creator>1023_ Sarif</dc:creator>
  <cp:lastModifiedBy>1023_ Sarif</cp:lastModifiedBy>
  <dcterms:modified xsi:type="dcterms:W3CDTF">2025-11-12T07:15:09Z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FB19F939DF674C9D8837428ACCEE4B63_11</vt:lpwstr>
  </property>
</Properties>
</file>