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6CD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suffering from novel SARS-CoV-2, with more than 4,170,424 cases and 287,399 deaths across the globe.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There is an urgent need for a rational international campaign against the unhealthy food practices of China to encourage the sellers to increase hygiene food practices or close the crude live-dead animal wet markets. There is a need to modify food policies at national and international levels to avoid further life threats and economic consequences from any emerging or reemerging pandemic due to close animal-human interaction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285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4613DD1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Even though individuals of all ages and sexes are susceptible to COVID-19, older people with an underlying chronic disease are more likely to become severely infected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80</w:t>
      </w:r>
      <w:r>
        <w:rPr>
          <w:rFonts w:hint="default" w:ascii="Times New Roman" w:hAnsi="Times New Roman" w:cs="Times New Roman"/>
          <w:sz w:val="20"/>
          <w:szCs w:val="20"/>
        </w:rPr>
        <w:t>). Recently, individuals with asymptomatic infection were also found to act as a source of infection to susceptible individuals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81</w:t>
      </w:r>
      <w:r>
        <w:rPr>
          <w:rFonts w:hint="default" w:ascii="Times New Roman" w:hAnsi="Times New Roman" w:cs="Times New Roman"/>
          <w:sz w:val="20"/>
          <w:szCs w:val="20"/>
        </w:rPr>
        <w:t>). Both the asymptomatic and symptomatic patients secrete similar viral loads, which indicates that the transmission capacity of asymptomatic or minimally symptomatic patients is very high. Thus, SARS-CoV-2 transmission can happen early in the course of infection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82</w:t>
      </w:r>
      <w:r>
        <w:rPr>
          <w:rFonts w:hint="default" w:ascii="Times New Roman" w:hAnsi="Times New Roman" w:cs="Times New Roman"/>
          <w:sz w:val="20"/>
          <w:szCs w:val="20"/>
        </w:rPr>
        <w:t>). Atypical clinical manifestations have also been reported in COVID-19</w:t>
      </w:r>
      <w:r>
        <w:rPr>
          <w:rFonts w:hint="default" w:cs="Times New Roman"/>
          <w:sz w:val="20"/>
          <w:szCs w:val="20"/>
          <w:lang w:val="en-US"/>
        </w:rPr>
        <w:t xml:space="preserve"> in which the only reporting symptom was fatigue. Such patients may lack respiratory signs, such as fever, cough, and sputum (</w:t>
      </w:r>
      <w:r>
        <w:rPr>
          <w:rFonts w:hint="default" w:cs="Times New Roman"/>
          <w:color w:val="4472C4" w:themeColor="accent5"/>
          <w:sz w:val="20"/>
          <w:szCs w:val="20"/>
          <w:lang w:val="en-US"/>
          <w14:textFill>
            <w14:solidFill>
              <w14:schemeClr w14:val="accent5"/>
            </w14:solidFill>
          </w14:textFill>
        </w:rPr>
        <w:t>83</w:t>
      </w:r>
      <w:r>
        <w:rPr>
          <w:rFonts w:hint="default" w:cs="Times New Roman"/>
          <w:sz w:val="20"/>
          <w:szCs w:val="20"/>
          <w:lang w:val="en-US"/>
        </w:rPr>
        <w:t>). Hence, the clinicians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D707E"/>
    <w:rsid w:val="43DD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2025-11-12T07:13:00Z</dcterms:created>
  <dc:creator>1023_ Sarif</dc:creator>
  <cp:lastModifiedBy>1023_ Sarif</cp:lastModifiedBy>
  <dcterms:modified xsi:type="dcterms:W3CDTF">2025-11-12T07:24:37Z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B96FCD3673E84E6E9F17E8BD56CEB154_11</vt:lpwstr>
  </property>
</Properties>
</file>