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DF16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between 4 and −70°C. Urine samples must also be collected using a sterile container and stored in the laboratory at a temperature that ranges between 4 and −70°C.</w:t>
      </w:r>
      <w:r>
        <w:rPr>
          <w:rFonts w:hint="default" w:ascii="Times New Roman" w:hAnsi="Times New Roman" w:eastAsia="SimSun" w:cs="Times New Roman"/>
          <w:sz w:val="20"/>
          <w:szCs w:val="20"/>
          <w:vertAlign w:val="superscript"/>
        </w:rPr>
        <w:t>32</w:t>
      </w:r>
      <w:r>
        <w:rPr>
          <w:rFonts w:hint="default" w:ascii="Times New Roman" w:hAnsi="Times New Roman" w:eastAsia="SimSun" w:cs="Times New Roman"/>
          <w:sz w:val="24"/>
          <w:szCs w:val="24"/>
          <w:vertAlign w:val="superscript"/>
        </w:rPr>
        <w:br w:type="textWrapping"/>
      </w:r>
    </w:p>
    <w:p w14:paraId="468F06FF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4EA11E29">
      <w:pPr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b/>
          <w:bCs/>
          <w:color w:val="19A382"/>
          <w:sz w:val="26"/>
          <w:szCs w:val="26"/>
        </w:rPr>
        <w:t>7 PREGNANCY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t>Currently, there is a paucity of knowledge and data related to the consequences of COVID-19 during pregnancy.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40,42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However, pregnant women seem to have a high risk of developing severe infection and complications during the recent 2019-nCoV outbreak.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41–43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This speculation was based on previous available scientific reports on coronaviruses during pregnancy (SARS-CoV and MERS-CoV) as well as the limited number of COVID-19 cases.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41–43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Analyzing the clinical features and outcomes of 10 newborns (including two sets of twins) in China, whose mothers are confirmed cases of COVID-19, revealed that perinatal infection with 2019-nCoV may lead to adverse outcomes for the neonates, for example, premature labour, respiratory distress, thrombocytopenia with abnormal liver function and even death.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44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It is still unclear whether or not the COVID-19 infection can be transmitted during pregnancy to the fetus through the transplacental route.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42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A recent case series report, which assessed intrauterine vertical transmission of</w:t>
      </w:r>
    </w:p>
    <w:p w14:paraId="270920F9">
      <w:pPr>
        <w:rPr>
          <w:rFonts w:hint="default" w:ascii="Times New Roman" w:hAnsi="Times New Roman" w:cs="Times New Roman"/>
          <w:sz w:val="20"/>
          <w:szCs w:val="20"/>
        </w:rPr>
      </w:pPr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057243"/>
    <w:rsid w:val="6505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2025-11-12T07:40:00Z</dcterms:created>
  <dc:creator>1023_ Sarif</dc:creator>
  <cp:lastModifiedBy>1023_ Sarif</cp:lastModifiedBy>
  <dcterms:modified xsi:type="dcterms:W3CDTF">2025-11-12T07:44:10Z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7A37D6A4C9F34DB6A0AB7F29F71AF6D7_11</vt:lpwstr>
  </property>
</Properties>
</file>