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D2C2E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glass opacities and sub segmental consolidation. It is also abnormal in asymptomatic patients/patients with no clinical evidence of lower respiratory tract involvement. In fact, abnormal CT scans have been used to diagnose COVID-19 in suspect cases with negative molecular diagnosis; many of these patients had positive molecular tests on repeat testing</w:t>
      </w:r>
      <w:r>
        <w:rPr>
          <w:rFonts w:hint="default" w:cs="Times New Roman"/>
          <w:sz w:val="20"/>
          <w:szCs w:val="20"/>
          <w:lang w:val="en-US"/>
        </w:rPr>
        <w:t>[</w:t>
      </w:r>
      <w:r>
        <w:rPr>
          <w:rFonts w:hint="default" w:ascii="Times New Roman" w:hAnsi="Times New Roman" w:cs="Times New Roman"/>
          <w:sz w:val="20"/>
          <w:szCs w:val="20"/>
        </w:rPr>
        <w:t>22</w:t>
      </w:r>
      <w:r>
        <w:rPr>
          <w:rFonts w:hint="default" w:cs="Times New Roman"/>
          <w:sz w:val="20"/>
          <w:szCs w:val="20"/>
          <w:lang w:val="en-US"/>
        </w:rPr>
        <w:t>]</w:t>
      </w:r>
      <w:r>
        <w:rPr>
          <w:rFonts w:hint="default" w:ascii="Times New Roman" w:hAnsi="Times New Roman" w:cs="Times New Roman"/>
          <w:sz w:val="20"/>
          <w:szCs w:val="20"/>
        </w:rPr>
        <w:t>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</w:p>
    <w:p w14:paraId="55F53587">
      <w:pPr>
        <w:rPr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color w:val="ED7D31" w:themeColor="accent2"/>
          <w:sz w:val="26"/>
          <w:szCs w:val="26"/>
          <w14:textFill>
            <w14:solidFill>
              <w14:schemeClr w14:val="accent2"/>
            </w14:solidFill>
          </w14:textFill>
        </w:rPr>
        <w:t>Differential Diagnosis</w:t>
      </w:r>
      <w:r>
        <w:rPr>
          <w:rFonts w:hint="default" w:ascii="Times New Roman" w:hAnsi="Times New Roman" w:cs="Times New Roman"/>
          <w:b/>
          <w:bCs/>
          <w:color w:val="ED7D31" w:themeColor="accent2"/>
          <w:sz w:val="26"/>
          <w:szCs w:val="26"/>
          <w:lang w:val="en-US"/>
          <w14:textFill>
            <w14:solidFill>
              <w14:schemeClr w14:val="accent2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[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21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]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The differential diagnosis includes all types of respiratory viral infections (influenza, parainfluenza, respiratory syncytial virus (RSV), adenovirus, human metapneumovirus, non COVID-19 coronavirus), atypical organisms (mycoplasma, chlamydia) and bacterial infections. It is not possible to differentiate COVID-19 from th</w:t>
      </w:r>
      <w:bookmarkStart w:id="0" w:name="_GoBack"/>
      <w:bookmarkEnd w:id="0"/>
      <w:r>
        <w:rPr>
          <w:rFonts w:hint="default" w:ascii="Times New Roman" w:hAnsi="Times New Roman" w:cs="Times New Roman"/>
          <w:sz w:val="20"/>
          <w:szCs w:val="20"/>
        </w:rPr>
        <w:t>ese infections clinically or through routine</w:t>
      </w:r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C37C8F"/>
    <w:rsid w:val="04C3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2025-11-12T07:40:00Z</dcterms:created>
  <dc:creator>1023_ Sarif</dc:creator>
  <cp:lastModifiedBy>1023_ Sarif</cp:lastModifiedBy>
  <dcterms:modified xsi:type="dcterms:W3CDTF">2025-11-12T07:52:06Z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8B3B266FAE0741F69008AEEB9076A9B6_11</vt:lpwstr>
  </property>
</Properties>
</file>