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93FCB4">
      <w:pPr>
        <w:pStyle w:val="4"/>
        <w:keepNext w:val="0"/>
        <w:keepLines w:val="0"/>
        <w:widowControl/>
        <w:suppressLineNumbers w:val="0"/>
        <w:rPr>
          <w:rFonts w:hint="default" w:ascii="Times New Roman" w:hAnsi="Times New Roman" w:cs="Times New Roman"/>
          <w:b/>
          <w:bCs/>
          <w:sz w:val="26"/>
          <w:szCs w:val="26"/>
        </w:rPr>
      </w:pPr>
      <w:r>
        <w:rPr>
          <w:rFonts w:hint="default" w:ascii="Times New Roman" w:hAnsi="Times New Roman" w:cs="Times New Roman"/>
          <w:b/>
          <w:bCs/>
          <w:color w:val="ED7D31" w:themeColor="accent2"/>
          <w:sz w:val="26"/>
          <w:szCs w:val="26"/>
          <w14:textFill>
            <w14:solidFill>
              <w14:schemeClr w14:val="accent2"/>
            </w14:solidFill>
          </w14:textFill>
        </w:rPr>
        <w:t>Prevention [</w:t>
      </w:r>
      <w:r>
        <w:rPr>
          <w:rFonts w:hint="default" w:ascii="Times New Roman" w:hAnsi="Times New Roman" w:cs="Times New Roman"/>
          <w:b/>
          <w:bCs/>
          <w:sz w:val="26"/>
          <w:szCs w:val="26"/>
        </w:rPr>
        <w:t>21, 30</w:t>
      </w:r>
      <w:r>
        <w:rPr>
          <w:rFonts w:hint="default" w:ascii="Times New Roman" w:hAnsi="Times New Roman" w:cs="Times New Roman"/>
          <w:b/>
          <w:bCs/>
          <w:color w:val="ED7D31" w:themeColor="accent2"/>
          <w:sz w:val="26"/>
          <w:szCs w:val="26"/>
          <w14:textFill>
            <w14:solidFill>
              <w14:schemeClr w14:val="accent2"/>
            </w14:solidFill>
          </w14:textFill>
        </w:rPr>
        <w:t>]</w:t>
      </w:r>
    </w:p>
    <w:p w14:paraId="5D814BD7">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Since at this time there are no approved treatments for this infection, prevention is crucial. Several properties of this virus make prevention difficult namely, non-specific features of the disease, the infectivity even before onset of symptoms in the incubation period, transmission from asymptomatic people, long incubation period, tropism for mucosal surfaces such as the conjunctiva, prolonged duration of the illness and transmission even after clinical recovery.</w:t>
      </w:r>
      <w:bookmarkStart w:id="0" w:name="_GoBack"/>
      <w:bookmarkEnd w:id="0"/>
    </w:p>
    <w:p w14:paraId="0F9E443F">
      <w:pPr>
        <w:pStyle w:val="4"/>
        <w:keepNext w:val="0"/>
        <w:keepLines w:val="0"/>
        <w:widowControl/>
        <w:suppressLineNumbers w:val="0"/>
      </w:pPr>
      <w:r>
        <w:rPr>
          <w:rFonts w:hint="default" w:ascii="Times New Roman" w:hAnsi="Times New Roman" w:cs="Times New Roman"/>
          <w:sz w:val="20"/>
          <w:szCs w:val="20"/>
        </w:rPr>
        <w:t>Isolation of confirmed or suspected cases with mild illness at home is recommended. The ventilation at home should be good with sunlight to allow for destruction of virus. Patients should be asked to wear a simple surgical mask and practice cough hygiene.</w:t>
      </w:r>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5053E6A"/>
    <w:rsid w:val="65053E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2025-11-12T08:07:00Z</dcterms:created>
  <dc:creator>1023_ Sarif</dc:creator>
  <cp:lastModifiedBy>1023_ Sarif</cp:lastModifiedBy>
  <dcterms:modified xsi:type="dcterms:W3CDTF">2025-11-12T08:15:02Z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BB0C3160DA3E4258B55C95362CC564B4_11</vt:lpwstr>
  </property>
</Properties>
</file>