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F26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primary anti-genic epitopes mainly those recognised by neutralising antibodies. The spike S-protein being in a spike form is subjected to a structural rearrangement process so that fusing the outer membrane of the virus with the host-cell membrane becomes easier.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19, 20</w:t>
      </w:r>
      <w:r>
        <w:rPr>
          <w:rFonts w:hint="default" w:ascii="Times New Roman" w:hAnsi="Times New Roman" w:cs="Times New Roman"/>
          <w:sz w:val="20"/>
          <w:szCs w:val="20"/>
        </w:rPr>
        <w:t xml:space="preserve"> Recent SARS-CoV work has also shown that the membrane exopeptidase ACE enzyme (angiotensin-converting enzyme) functions as a COVID-19 receptor to enter the human cell.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21</w:t>
      </w:r>
      <w:bookmarkStart w:id="0" w:name="_GoBack"/>
      <w:bookmarkEnd w:id="0"/>
    </w:p>
    <w:p w14:paraId="1ADA8231">
      <w:pPr>
        <w:rPr>
          <w:sz w:val="20"/>
          <w:szCs w:val="20"/>
        </w:rPr>
      </w:pP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822209"/>
    <w:rsid w:val="6E82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2025-11-12T08:07:00Z</dcterms:created>
  <dc:creator>1023_ Sarif</dc:creator>
  <cp:lastModifiedBy>1023_ Sarif</cp:lastModifiedBy>
  <dcterms:modified xsi:type="dcterms:W3CDTF">2025-11-12T08:16:24Z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6FB9793E49AD454FBFB3E0A8CB7F1D63_11</vt:lpwstr>
  </property>
</Properties>
</file>