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D041D">
      <w:pPr>
        <w:pStyle w:val="4"/>
        <w:keepNext w:val="0"/>
        <w:keepLines w:val="0"/>
        <w:widowControl/>
        <w:suppressLineNumbers w:val="0"/>
        <w:rPr>
          <w:rFonts w:hint="default" w:ascii="Times New Roman" w:hAnsi="Times New Roman" w:cs="Times New Roman"/>
          <w:color w:val="4472C4" w:themeColor="accent5"/>
          <w:sz w:val="20"/>
          <w:szCs w:val="20"/>
          <w:vertAlign w:val="superscript"/>
          <w14:textFill>
            <w14:solidFill>
              <w14:schemeClr w14:val="accent5"/>
            </w14:solidFill>
          </w14:textFill>
        </w:rPr>
      </w:pPr>
      <w:bookmarkStart w:id="0" w:name="_GoBack"/>
      <w:r>
        <w:rPr>
          <w:rFonts w:hint="default" w:ascii="Times New Roman" w:hAnsi="Times New Roman" w:cs="Times New Roman"/>
          <w:sz w:val="20"/>
          <w:szCs w:val="20"/>
        </w:rPr>
        <w:t>respiratory syncytial virus, rhinovirus, human metapneumovirus and SARS coronavirus. It is advisable to distinguish COVID-19 from other pneumonias such as mycoplasma pneumonia, chlamydia pneumonia and bacterial pneumonia.</w:t>
      </w:r>
      <w:r>
        <w:rPr>
          <w:rFonts w:hint="default" w:ascii="Times New Roman" w:hAnsi="Times New Roman" w:cs="Times New Roman"/>
          <w:color w:val="4472C4" w:themeColor="accent5"/>
          <w:sz w:val="20"/>
          <w:szCs w:val="20"/>
          <w:vertAlign w:val="superscript"/>
          <w14:textFill>
            <w14:solidFill>
              <w14:schemeClr w14:val="accent5"/>
            </w14:solidFill>
          </w14:textFill>
        </w:rPr>
        <w:t>33</w:t>
      </w:r>
      <w:r>
        <w:rPr>
          <w:rFonts w:hint="default" w:ascii="Times New Roman" w:hAnsi="Times New Roman" w:cs="Times New Roman"/>
          <w:sz w:val="20"/>
          <w:szCs w:val="20"/>
        </w:rPr>
        <w:t xml:space="preserve"> Several published pieces of literature based on the novel coronavirus reported in China declared that stool and blood samples can also be collected from the suspected persons in order to detect the virus. However, respiratory samples show better viability in identifying the virus, in comparison with the other specimens.</w:t>
      </w:r>
      <w:r>
        <w:rPr>
          <w:rFonts w:hint="default" w:ascii="Times New Roman" w:hAnsi="Times New Roman" w:cs="Times New Roman"/>
          <w:color w:val="4472C4" w:themeColor="accent5"/>
          <w:sz w:val="20"/>
          <w:szCs w:val="20"/>
          <w:vertAlign w:val="superscript"/>
          <w14:textFill>
            <w14:solidFill>
              <w14:schemeClr w14:val="accent5"/>
            </w14:solidFill>
          </w14:textFill>
        </w:rPr>
        <w:t>34-36</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71FD5F5A">
      <w:pPr>
        <w:rPr>
          <w:sz w:val="20"/>
          <w:szCs w:val="20"/>
        </w:rPr>
      </w:pPr>
      <w:r>
        <w:rPr>
          <w:rFonts w:hint="default" w:ascii="Times New Roman" w:hAnsi="Times New Roman" w:cs="Times New Roman"/>
          <w:b/>
          <w:bCs/>
          <w:sz w:val="26"/>
          <w:szCs w:val="26"/>
        </w:rPr>
        <w:t>6.2 Nucleic acid amplification tests (NAAT) for COVID-19 virus</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The gold standard method of confirming the suspected cases of COVID-19 is carried out by detecting the unique sequences of virus RNA through reverse transcription polymerase chain reaction (RT-PCR) along with nucleic acid sequencing if needed. The various genes of virus identified so far include N, E, S (N: nucleocapsid protein, E: envelope protein gene, S: spike protein gene) and RdRp genes (RNA-dependent RNA polymerase gene).</w:t>
      </w:r>
      <w:r>
        <w:rPr>
          <w:rFonts w:hint="default" w:ascii="Times New Roman" w:hAnsi="Times New Roman" w:cs="Times New Roman"/>
          <w:color w:val="4472C4" w:themeColor="accent5"/>
          <w:sz w:val="20"/>
          <w:szCs w:val="20"/>
          <w:vertAlign w:val="superscript"/>
          <w14:textFill>
            <w14:solidFill>
              <w14:schemeClr w14:val="accent5"/>
            </w14:solidFill>
          </w14:textFill>
        </w:rPr>
        <w:t>32</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F50E7"/>
    <w:rsid w:val="15FF5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2025-11-12T08:28:07Z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F3C785D0CBEB48D48A2711168763A758_11</vt:lpwstr>
  </property>
</Properties>
</file>