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C68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identified angiotensin receptor 2 (ACE2) as the receptor through which the virus enters the respiratory mucosa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sz w:val="20"/>
          <w:szCs w:val="20"/>
        </w:rPr>
        <w:t>11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70A5D2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basic case reproduction rate (BCR) is estimated to range from 2 to 6.47 in various modelling studies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sz w:val="20"/>
          <w:szCs w:val="20"/>
        </w:rPr>
        <w:t>11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 In comparison, the BCR of SARS was 2 and 1.3 for pandemic flu H1N1 2009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sz w:val="20"/>
          <w:szCs w:val="20"/>
        </w:rPr>
        <w:t>2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D3E5A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Clinical Features [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14:textFill>
            <w14:solidFill>
              <w14:schemeClr w14:val="accent5"/>
            </w14:solidFill>
          </w14:textFill>
        </w:rPr>
        <w:t>8</w:t>
      </w:r>
      <w:r>
        <w:rPr>
          <w:rFonts w:hint="default" w:cs="Times New Roman"/>
          <w:b/>
          <w:bCs/>
          <w:color w:val="auto"/>
          <w:sz w:val="26"/>
          <w:szCs w:val="26"/>
          <w:lang w:val="en-US"/>
        </w:rPr>
        <w:t>,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14:textFill>
            <w14:solidFill>
              <w14:schemeClr w14:val="accent5"/>
            </w14:solidFill>
          </w14:textFill>
        </w:rPr>
        <w:t>15–18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]</w:t>
      </w:r>
    </w:p>
    <w:p w14:paraId="199E3E1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clinical features of COVID-19 are varied, ranging from asymptomatic state to acute respiratory distress syndrome and multi organ dysfunction. The common clinical feature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s include fever (not in all), cough, sore throat, headache, fatigue, headache, myalgia and breathlessness. Conjunctivitis has also been described. Thus, they are indistinguishable from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E65B3"/>
    <w:rsid w:val="75EE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2025-11-12T08:59:02Z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7959B25061494F9897B065F6EFE1D3D0_11</vt:lpwstr>
  </property>
</Properties>
</file>