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96C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cs="Times New Roman"/>
          <w:sz w:val="20"/>
          <w:szCs w:val="20"/>
          <w:lang w:val="en-US"/>
        </w:rPr>
        <w:t>understanding of the lung inflammation associated with this infection (</w:t>
      </w:r>
      <w:r>
        <w:rPr>
          <w:rFonts w:hint="default" w:cs="Times New Roman"/>
          <w:color w:val="4472C4" w:themeColor="accent5"/>
          <w:sz w:val="20"/>
          <w:szCs w:val="20"/>
          <w:lang w:val="en-US"/>
          <w14:textFill>
            <w14:solidFill>
              <w14:schemeClr w14:val="accent5"/>
            </w14:solidFill>
          </w14:textFill>
        </w:rPr>
        <w:t>24</w:t>
      </w:r>
      <w:r>
        <w:rPr>
          <w:rFonts w:hint="default" w:cs="Times New Roman"/>
          <w:sz w:val="20"/>
          <w:szCs w:val="20"/>
          <w:lang w:val="en-US"/>
        </w:rPr>
        <w:t>).</w:t>
      </w:r>
    </w:p>
    <w:p w14:paraId="20E8D7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SARS is a viral respiratory disease caused by a formerly unrecognized animal CoV that originated from the wet markets in southern China after adapting to the human host, thereby enabling transmission between humans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90</w:t>
      </w:r>
      <w:r>
        <w:rPr>
          <w:rFonts w:hint="default" w:ascii="Times New Roman" w:hAnsi="Times New Roman" w:cs="Times New Roman"/>
          <w:sz w:val="20"/>
          <w:szCs w:val="20"/>
        </w:rPr>
        <w:t>). The SARS outbreak reported in 2002 to 2003 had 8,098 confirmed cases with 774 total deaths (9.6%)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93</w:t>
      </w:r>
      <w:r>
        <w:rPr>
          <w:rFonts w:hint="default" w:ascii="Times New Roman" w:hAnsi="Times New Roman" w:cs="Times New Roman"/>
          <w:sz w:val="20"/>
          <w:szCs w:val="20"/>
        </w:rPr>
        <w:t>). The outbreak severely affected the Asia Pacific region, especially mainland China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94</w:t>
      </w:r>
      <w:r>
        <w:rPr>
          <w:rFonts w:hint="default" w:ascii="Times New Roman" w:hAnsi="Times New Roman" w:cs="Times New Roman"/>
          <w:sz w:val="20"/>
          <w:szCs w:val="20"/>
        </w:rPr>
        <w:t>). Even though the case fatality rate (CFR) of SARS-CoV-2 (COVID-19) is lower than that of SARS-CoV, there exists a severe concern linked to this outbreak due to its epidemiological similarity to influenza viruses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95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279</w:t>
      </w:r>
      <w:r>
        <w:rPr>
          <w:rFonts w:hint="default" w:ascii="Times New Roman" w:hAnsi="Times New Roman" w:cs="Times New Roman"/>
          <w:sz w:val="20"/>
          <w:szCs w:val="20"/>
        </w:rPr>
        <w:t>). This can fail the public health system, resulting in a pandemic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96</w:t>
      </w:r>
      <w:r>
        <w:rPr>
          <w:rFonts w:hint="default" w:ascii="Times New Roman" w:hAnsi="Times New Roman" w:cs="Times New Roman"/>
          <w:sz w:val="20"/>
          <w:szCs w:val="20"/>
        </w:rPr>
        <w:t>).</w:t>
      </w:r>
      <w:bookmarkStart w:id="0" w:name="_GoBack"/>
      <w:bookmarkEnd w:id="0"/>
    </w:p>
    <w:p w14:paraId="3293288C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MERS is another respiratory disease that was first reported in Saudi Arabia during the year 2012. The disease was found to have a CFR of around 35%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97</w:t>
      </w:r>
      <w:r>
        <w:rPr>
          <w:rFonts w:hint="default" w:ascii="Times New Roman" w:hAnsi="Times New Roman" w:cs="Times New Roman"/>
          <w:sz w:val="20"/>
          <w:szCs w:val="20"/>
        </w:rPr>
        <w:t>). The analysis of available data sets suggests that the incubation period of SARS-CoV-2, SARS-CoV, and MERS-CoV is in almost the same range. The longest predicted incubation time of SARS-CoV-2 is 14 days. Hence, suspected individuals are isolated for 14 days</w:t>
      </w:r>
      <w:r>
        <w:rPr>
          <w:rFonts w:hint="default" w:cs="Times New Roman"/>
          <w:sz w:val="20"/>
          <w:szCs w:val="20"/>
          <w:lang w:val="en-US"/>
        </w:rPr>
        <w:t xml:space="preserve"> to avoid the risk of further spread (</w:t>
      </w:r>
      <w:r>
        <w:rPr>
          <w:rFonts w:hint="default" w:cs="Times New Roman"/>
          <w:color w:val="4472C4" w:themeColor="accent5"/>
          <w:sz w:val="20"/>
          <w:szCs w:val="20"/>
          <w:lang w:val="en-US"/>
          <w14:textFill>
            <w14:solidFill>
              <w14:schemeClr w14:val="accent5"/>
            </w14:solidFill>
          </w14:textFill>
        </w:rPr>
        <w:t>98</w:t>
      </w:r>
      <w:r>
        <w:rPr>
          <w:rFonts w:hint="default" w:cs="Times New Roman"/>
          <w:sz w:val="20"/>
          <w:szCs w:val="20"/>
          <w:lang w:val="en-US"/>
        </w:rPr>
        <w:t>). Even though a high similarity has been reported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24428"/>
    <w:rsid w:val="16A2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2025-11-12T09:37:33Z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9E1D2DBD1A674AEAA08AC3F7DC03FA97_11</vt:lpwstr>
  </property>
</Properties>
</file>