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6947">
      <w:pPr>
        <w:rPr>
          <w:rFonts w:hint="default" w:ascii="Times New Roman" w:hAnsi="Times New Roman" w:cs="Times New Roman"/>
          <w:sz w:val="20"/>
          <w:szCs w:val="20"/>
        </w:rPr>
      </w:pPr>
      <w:bookmarkStart w:id="0" w:name="_GoBack"/>
      <w:r>
        <w:rPr>
          <w:rFonts w:hint="default" w:ascii="Times New Roman" w:hAnsi="Times New Roman" w:eastAsia="SimSun" w:cs="Times New Roman"/>
          <w:sz w:val="20"/>
          <w:szCs w:val="20"/>
        </w:rPr>
        <w:t>Repurposed broad-spectrum antiviral drugs having proven uses against other viral pathogens can be employed for SARS-CoV-2-infected patients. These possess benefits of easy accessibility and recognized pharmacokinetic and pharmacodynamic activities, stability, doses, and side effects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9</w:t>
      </w:r>
      <w:r>
        <w:rPr>
          <w:rFonts w:hint="default" w:ascii="Times New Roman" w:hAnsi="Times New Roman" w:eastAsia="SimSun" w:cs="Times New Roman"/>
          <w:sz w:val="20"/>
          <w:szCs w:val="20"/>
        </w:rPr>
        <w:t>). Repurposed drugs have been studied for treating CoV infections, like lopinavir/ritonavir, and interferon-β revealed in vitro anti-MERS-CoV action. The in vivo experiment carried out in the nonhuman primate model of common marmosets treated with lopinavir/ritonavir and interferon beta showed superior protective results in treated animals than in the untreated ones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190</w:t>
      </w:r>
      <w:r>
        <w:rPr>
          <w:rFonts w:hint="default" w:ascii="Times New Roman" w:hAnsi="Times New Roman" w:eastAsia="SimSun" w:cs="Times New Roman"/>
          <w:sz w:val="20"/>
          <w:szCs w:val="20"/>
        </w:rPr>
        <w:t>). A combination of these drugs is being evaluated to treat MERS in humans (MIRACLE trial)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191</w:t>
      </w:r>
      <w:r>
        <w:rPr>
          <w:rFonts w:hint="default" w:ascii="Times New Roman" w:hAnsi="Times New Roman" w:eastAsia="SimSun" w:cs="Times New Roman"/>
          <w:sz w:val="20"/>
          <w:szCs w:val="20"/>
        </w:rPr>
        <w:t>). These two protease inhibitors (lopinavir and ritonavir), in combination with ribavirin, gave encouraging clinical outcomes in SARS patients, suggesting their therapeutic values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165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). However, in the current scenario, due to the lack of specific therapeutic agents against SARS-CoV-2, hospitalized patients confirmed for the disease are given supportive care, like oxygen and fluid therapy, along with antibiotic therapy for </w:t>
      </w:r>
      <w:r>
        <w:rPr>
          <w:rFonts w:hint="default" w:ascii="Times New Roman" w:hAnsi="Times New Roman" w:eastAsia="SimSun" w:cs="Times New Roman"/>
          <w:sz w:val="20"/>
          <w:szCs w:val="20"/>
        </w:rPr>
        <w:t>managing secondary bacterial infections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192</w:t>
      </w:r>
      <w:r>
        <w:rPr>
          <w:rFonts w:hint="default" w:ascii="Times New Roman" w:hAnsi="Times New Roman" w:eastAsia="SimSun" w:cs="Times New Roman"/>
          <w:sz w:val="20"/>
          <w:szCs w:val="20"/>
        </w:rPr>
        <w:t>). Patients with novel coronavirus or COVID-19 pneumonia who are mechanically ventilated often require sedatives, analgesics, and even muscle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BE53B8"/>
    <w:rsid w:val="78BE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2025-11-12T12:24:00Z</dcterms:created>
  <dc:creator>1023_ Sarif</dc:creator>
  <cp:lastModifiedBy>1023_ Sarif</cp:lastModifiedBy>
  <dcterms:modified xsi:type="dcterms:W3CDTF">2025-11-12T12:38:25Z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7CC1BC24F8084BB2B1E9291AABF40A10_11</vt:lpwstr>
  </property>
</Properties>
</file>