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2D7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eastAsia="SimSun" w:cs="Times New Roman"/>
          <w:sz w:val="20"/>
          <w:szCs w:val="20"/>
        </w:rPr>
        <w:t>dogs have low susceptibility, while the chickens, ducks, and pigs are not at all susceptible to SARS-CoV-2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329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</w:p>
    <w:p w14:paraId="4967FE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Similarly, the National Veterinary Services Laboratories of the USDA have reported COVID-19 in tigers and lions that exhibited respiratory signs like dry cough and wheezing. The zoo animals are suspected to have been infected by an asymptomatic zookeeper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335</w:t>
      </w:r>
      <w:r>
        <w:rPr>
          <w:rFonts w:hint="default" w:ascii="Times New Roman" w:hAnsi="Times New Roman" w:cs="Times New Roman"/>
          <w:sz w:val="20"/>
          <w:szCs w:val="20"/>
        </w:rPr>
        <w:t>). The total number of COVID-19-positive cases in human beings is increasing at a high rate, thereby creating ideal conditions for viral spillover to other species, such as pigs. The evidence obtained from SARS-CoV suggests that pigs can get infected with SARS-CoV-2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336</w:t>
      </w:r>
      <w:r>
        <w:rPr>
          <w:rFonts w:hint="default" w:ascii="Times New Roman" w:hAnsi="Times New Roman" w:cs="Times New Roman"/>
          <w:sz w:val="20"/>
          <w:szCs w:val="20"/>
        </w:rPr>
        <w:t>). However, experimental inoculation with SARS-CoV-2 failed to infect pigs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329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52AD0B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Further studies are required to identify the possible animal reservoirs of SARS-CoV-2 and the seasonal variation in the circulation of these viruses in the animal population. Research collaboration between human and animal health sectors is becoming a necessity to evaluate and identify the possible risk factors of transmission between animals and humans. Such cooperation will help to devise efficient strategies for the management of emerging zoonotic diseases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E1FF0"/>
    <w:rsid w:val="7E5E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2025-11-12T13:14:00Z</dcterms:created>
  <dc:creator>1023_ Sarif</dc:creator>
  <cp:lastModifiedBy>1023_ Sarif</cp:lastModifiedBy>
  <dcterms:modified xsi:type="dcterms:W3CDTF">2025-11-12T13:30:47Z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587502238B9B4499A07C28987E95ABF8_11</vt:lpwstr>
  </property>
</Properties>
</file>