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29570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Respectively</w:t>
      </w:r>
      <w:r>
        <w:rPr>
          <w:rFonts w:hint="default" w:cs="Times New Roman"/>
          <w:sz w:val="20"/>
          <w:szCs w:val="20"/>
          <w:vertAlign w:val="superscript"/>
          <w:lang w:val="en-US"/>
        </w:rPr>
        <w:t>1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40</w:t>
      </w:r>
      <w:r>
        <w:rPr>
          <w:rFonts w:hint="default" w:ascii="Times New Roman" w:hAnsi="Times New Roman" w:cs="Times New Roman"/>
          <w:sz w:val="20"/>
          <w:szCs w:val="20"/>
        </w:rPr>
        <w:t>. However, this study did not include a control arm, and most of the trials of favilavir were based on a small sample size. For more reliable assessment of the effectiveness of favilavir for treating COVID-19, large-scale randomized controlled trials should be conducted.</w:t>
      </w:r>
    </w:p>
    <w:p w14:paraId="7F142F48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Lopinavir and ritonavir were reported to have in vitro inhibitory activity against SARS-CoV and MERS-CoV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141, 142</w:t>
      </w:r>
      <w:r>
        <w:rPr>
          <w:rFonts w:hint="default" w:ascii="Times New Roman" w:hAnsi="Times New Roman" w:cs="Times New Roman"/>
          <w:sz w:val="20"/>
          <w:szCs w:val="20"/>
        </w:rPr>
        <w:t>. Alone, the combination of lopinavir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DC396E"/>
    <w:rsid w:val="39DC3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2025-11-12T13:14:00Z</dcterms:created>
  <dc:creator>1023_ Sarif</dc:creator>
  <cp:lastModifiedBy>1023_ Sarif</cp:lastModifiedBy>
  <dcterms:modified xsi:type="dcterms:W3CDTF">2025-11-12T13:32:08Z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25031C04D7C2479D9ED2EE12D8F5A8F8_11</vt:lpwstr>
  </property>
</Properties>
</file>