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4450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of persistent local transmission or contact with patients with similar travel history or those with confirmed COVID-19 infection. However cases may be asymptomatic or even without fever. A confirmed case is a suspect case with a positive molecular test.</w:t>
      </w:r>
    </w:p>
    <w:p w14:paraId="21CC38AC">
      <w:pPr>
        <w:pStyle w:val="4"/>
        <w:keepNext w:val="0"/>
        <w:keepLines w:val="0"/>
        <w:widowControl/>
        <w:suppressLineNumbers w:val="0"/>
        <w:rPr>
          <w:sz w:val="20"/>
          <w:szCs w:val="20"/>
        </w:rPr>
      </w:pPr>
      <w:r>
        <w:rPr>
          <w:rFonts w:hint="default" w:ascii="Times New Roman" w:hAnsi="Times New Roman" w:cs="Times New Roman"/>
          <w:sz w:val="20"/>
          <w:szCs w:val="20"/>
        </w:rPr>
        <w:t>Specific diagnosis is by specific molecular tests on respiratory samples (throat swab/ nasopharyngeal swab/ sputum/endotracheal aspirates and bronchoalveolar lavage). Virus may also be detected in the stool and in severe cases, the blood. It must be remembered that the multiplex PCR panels currently available do not include the COVID-19. Commercial tests are also not available at present. In a suspect case in India, the appropriate sample has to be sent to designated reference labs in India or the National Institute of Virology in Pune. As the epidemic progresses, commercial tests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325F6"/>
    <w:rsid w:val="29532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2025-11-12T13:14:00Z</dcterms:created>
  <dc:creator>1023_ Sarif</dc:creator>
  <cp:lastModifiedBy>1023_ Sarif</cp:lastModifiedBy>
  <dcterms:modified xsi:type="dcterms:W3CDTF">2025-11-12T13:34:23Z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C44E7CA1B5EF4A6E967D255931FB2936_11</vt:lpwstr>
  </property>
</Properties>
</file>