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3E750">
      <w:pPr>
        <w:rPr>
          <w:sz w:val="20"/>
          <w:szCs w:val="20"/>
        </w:rPr>
      </w:pPr>
      <w:r>
        <w:rPr>
          <w:rFonts w:hint="default" w:ascii="Times New Roman" w:hAnsi="Times New Roman" w:eastAsia="SimSun" w:cs="Times New Roman"/>
          <w:sz w:val="20"/>
          <w:szCs w:val="20"/>
        </w:rPr>
        <w:t>Initially, the epicenter of the SARS-CoV-2 pandemic was China, which reported a significant number of deaths associated with COVID-19, with 84,458 laboratory-confirmed cases and 4,644 deaths as of 13 May 2020 (</w:t>
      </w:r>
      <w:r>
        <w:rPr>
          <w:rFonts w:hint="default" w:ascii="Times New Roman" w:hAnsi="Times New Roman" w:eastAsia="SimSun" w:cs="Times New Roman"/>
          <w:color w:val="4472C4" w:themeColor="accent5"/>
          <w:sz w:val="20"/>
          <w:szCs w:val="20"/>
          <w14:textFill>
            <w14:solidFill>
              <w14:schemeClr w14:val="accent5"/>
            </w14:solidFill>
          </w14:textFill>
        </w:rPr>
        <w:t>Fig. 4</w:t>
      </w:r>
      <w:r>
        <w:rPr>
          <w:rFonts w:hint="default" w:ascii="Times New Roman" w:hAnsi="Times New Roman" w:eastAsia="SimSun" w:cs="Times New Roman"/>
          <w:sz w:val="20"/>
          <w:szCs w:val="20"/>
        </w:rPr>
        <w:t>). As of 13 May 2020, SARS-CoV-2 confirmed cases have been reported in more than 210 countries apart from China (</w:t>
      </w:r>
      <w:r>
        <w:rPr>
          <w:rFonts w:hint="default" w:ascii="Times New Roman" w:hAnsi="Times New Roman" w:eastAsia="SimSun" w:cs="Times New Roman"/>
          <w:color w:val="4472C4" w:themeColor="accent5"/>
          <w:sz w:val="20"/>
          <w:szCs w:val="20"/>
          <w14:textFill>
            <w14:solidFill>
              <w14:schemeClr w14:val="accent5"/>
            </w14:solidFill>
          </w14:textFill>
        </w:rPr>
        <w:t>Fig. 3</w:t>
      </w:r>
      <w:r>
        <w:rPr>
          <w:rFonts w:hint="default" w:ascii="Times New Roman" w:hAnsi="Times New Roman" w:eastAsia="SimSun" w:cs="Times New Roman"/>
          <w:sz w:val="20"/>
          <w:szCs w:val="20"/>
        </w:rPr>
        <w:t xml:space="preserve"> and </w:t>
      </w:r>
      <w:r>
        <w:rPr>
          <w:rFonts w:hint="default" w:ascii="Times New Roman" w:hAnsi="Times New Roman" w:eastAsia="SimSun" w:cs="Times New Roman"/>
          <w:color w:val="4472C4" w:themeColor="accent5"/>
          <w:sz w:val="20"/>
          <w:szCs w:val="20"/>
          <w14:textFill>
            <w14:solidFill>
              <w14:schemeClr w14:val="accent5"/>
            </w14:solidFill>
          </w14:textFill>
        </w:rPr>
        <w:t>4</w:t>
      </w:r>
      <w:r>
        <w:rPr>
          <w:rFonts w:hint="default" w:ascii="Times New Roman" w:hAnsi="Times New Roman" w:eastAsia="SimSun" w:cs="Times New Roman"/>
          <w:sz w:val="20"/>
          <w:szCs w:val="20"/>
        </w:rPr>
        <w:t>) (WHO Situation Report 114)</w:t>
      </w:r>
      <w:r>
        <w:rPr>
          <w:rFonts w:hint="default" w:ascii="Times New Roman" w:hAnsi="Times New Roman" w:eastAsia="SimSun" w:cs="Times New Roman"/>
          <w:sz w:val="20"/>
          <w:szCs w:val="20"/>
          <w:lang w:val="en-US"/>
        </w:rPr>
        <w:t>(</w:t>
      </w:r>
      <w:r>
        <w:rPr>
          <w:rFonts w:hint="default" w:ascii="Times New Roman" w:hAnsi="Times New Roman" w:eastAsia="SimSun" w:cs="Times New Roman"/>
          <w:color w:val="4472C4" w:themeColor="accent5"/>
          <w:sz w:val="20"/>
          <w:szCs w:val="20"/>
          <w14:textFill>
            <w14:solidFill>
              <w14:schemeClr w14:val="accent5"/>
            </w14:solidFill>
          </w14:textFill>
        </w:rPr>
        <w:t>25</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64</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COVID-19 has been reported on all continents except Antarctica. For many weeks, Italy was the focus of concerns regarding the large number of cases, with 221,216 cases and 30,911 deaths, but now, the United States is the country with the largest number of cases, 1,322,054, and 79,634 deaths. Now, the United Kingdom has even more cases (226,4671) and deaths (32,692) than Italy. A John Hopkins University web platform has provided daily updates o</w:t>
      </w:r>
      <w:bookmarkStart w:id="0" w:name="_GoBack"/>
      <w:bookmarkEnd w:id="0"/>
      <w:r>
        <w:rPr>
          <w:rFonts w:hint="default" w:ascii="Times New Roman" w:hAnsi="Times New Roman" w:eastAsia="SimSun" w:cs="Times New Roman"/>
          <w:sz w:val="20"/>
          <w:szCs w:val="20"/>
        </w:rPr>
        <w:t>n the basic epidemiology of the COVID-19 outbreak.</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68093A"/>
    <w:rsid w:val="36680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2025-11-12T13:14:00Z</dcterms:created>
  <dc:creator>1023_ Sarif</dc:creator>
  <cp:lastModifiedBy>1023_ Sarif</cp:lastModifiedBy>
  <dcterms:modified xsi:type="dcterms:W3CDTF">2025-11-12T13:42:15Z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ECEA6A91D23B45B1931938428AB43062_11</vt:lpwstr>
  </property>
</Properties>
</file>