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250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specifically in the respiratory tract will help to reduce virus-triggered immune pathologies in COVID-19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209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The later stages of coronavirus-induced inflammatory cascades are characterized by the release of proinflammatory interleukin-1 (IL-1) family members, such as IL-1 and IL-33. Hence, there exists a possibility that the inflammation associated with coronavirus can be inhibited by utilizing anti-inflammatory cytokines that belong to the IL-1 family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92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It has also been suggested that the actin protein is the host factor that is involved in cell entry and pathogenesis of SARS-CoV-2. Hence, those drugs that modulate the biological activity of this protein, like ibuprofen, might have some therapeutic application in managing the disease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174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The plasma angiotensin 2 level was found to be markedly elevated in COVID-19 infection and was correlated with viral load and lung injury. Hence, drugs that block angiotensin receptors may have potential for treating COVID-19 infection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121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A scientist from Germany, named Rolf Highfeld, has been working on the identification of drugs for the treatment of coronavirus infection since the time of the first SARS outbreak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278FD6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SARS-CoV S2 subunit has a significant function in mediating virus fusion that permits entry into the host cell. Heptad repeat 1 (HR1) and heptad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B4868"/>
    <w:rsid w:val="5EB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2025-11-12T13:58:27Z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9E303F0EAE024656A6E211EBB42C55EC_11</vt:lpwstr>
  </property>
</Properties>
</file>