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7B5CE">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including IL2, IL7, IL10, GCSF, IP10, MCP1, MIP1A, and TNFα</w:t>
      </w:r>
      <w:r>
        <w:rPr>
          <w:rFonts w:hint="default" w:cs="Times New Roman"/>
          <w:sz w:val="20"/>
          <w:szCs w:val="20"/>
          <w:lang w:val="en-US"/>
        </w:rPr>
        <w:t xml:space="preserve"> [</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 The median time from onset of symptoms to dyspnea was 5 d, hospitalization 7 d and acute respiratory distress syndrome (ARDS) 8 d. The need for intensive care admission was in 25–30% of affected patients in published series. Complications witnessed included acute lung injury, ARDS, shock and acute kidney injury. Recovery started in the 2nd or 3rd wk. The median duration of hospital stay in those who recovered was 10 d. Adverse outcomes and death are more common in the elderly and those with underlying co-morbidities (50–75% of fatal cases). Fatality rate in hospitalized adult patients ranged from 4 to 11%. The overall case fatality rate is estimated to range between 2 and 3%</w:t>
      </w:r>
      <w:r>
        <w:rPr>
          <w:rFonts w:hint="default" w:cs="Times New Roman"/>
          <w:sz w:val="20"/>
          <w:szCs w:val="20"/>
          <w:lang w:val="en-US"/>
        </w:rPr>
        <w:t xml:space="preserve"> [</w:t>
      </w:r>
      <w:r>
        <w:rPr>
          <w:rFonts w:hint="default" w:ascii="Times New Roman" w:hAnsi="Times New Roman" w:cs="Times New Roman"/>
          <w:sz w:val="20"/>
          <w:szCs w:val="20"/>
        </w:rPr>
        <w:t>2</w:t>
      </w:r>
      <w:r>
        <w:rPr>
          <w:rFonts w:hint="default" w:cs="Times New Roman"/>
          <w:sz w:val="20"/>
          <w:szCs w:val="20"/>
          <w:lang w:val="en-US"/>
        </w:rPr>
        <w:t>]</w:t>
      </w:r>
      <w:r>
        <w:rPr>
          <w:rFonts w:hint="default" w:ascii="Times New Roman" w:hAnsi="Times New Roman" w:cs="Times New Roman"/>
          <w:sz w:val="20"/>
          <w:szCs w:val="20"/>
        </w:rPr>
        <w:t>.</w:t>
      </w:r>
    </w:p>
    <w:p w14:paraId="5EF217BE">
      <w:pPr>
        <w:pStyle w:val="4"/>
        <w:keepNext w:val="0"/>
        <w:keepLines w:val="0"/>
        <w:widowControl/>
        <w:suppressLineNumbers w:val="0"/>
        <w:rPr>
          <w:sz w:val="20"/>
          <w:szCs w:val="20"/>
        </w:rPr>
      </w:pPr>
      <w:r>
        <w:rPr>
          <w:rFonts w:hint="default" w:ascii="Times New Roman" w:hAnsi="Times New Roman" w:cs="Times New Roman"/>
          <w:sz w:val="20"/>
          <w:szCs w:val="20"/>
        </w:rPr>
        <w:t>Interestingly, disease in patients outside Hubei province has been</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71DE9"/>
    <w:rsid w:val="20C71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2025-11-12T14:15:20Z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CEC779F0D7AF4C80ACCF61DE71100C37_11</vt:lpwstr>
  </property>
</Properties>
</file>