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Northwind Remote Work Policy</w:t>
      </w:r>
    </w:p>
    <w:p>
      <w:pPr>
        <w:pStyle w:val="Heading1"/>
      </w:pPr>
      <w:r>
        <w:t>Overview</w:t>
      </w:r>
    </w:p>
    <w:p>
      <w:r>
        <w:t>Northwind Logistics allows eligible employees to work remotely under the rules in this policy. The policy took effect on 1 March 2025 and applies to all full-time employees who have completed their probation period.</w:t>
      </w:r>
    </w:p>
    <w:p>
      <w:pPr>
        <w:pStyle w:val="Heading1"/>
      </w:pPr>
      <w:r>
        <w:t>Eligibility</w:t>
      </w:r>
    </w:p>
    <w:p>
      <w:r>
        <w:t>Employees must have completed six months of service to request remote work. Roles that require physical presence, such as warehouse operators and drivers, are not eligible. Managers approve requests within five business days.</w:t>
      </w:r>
    </w:p>
    <w:p>
      <w:pPr>
        <w:pStyle w:val="Heading1"/>
      </w:pPr>
      <w:r>
        <w:t>Working hours and availability</w:t>
      </w:r>
    </w:p>
    <w:p>
      <w:r>
        <w:t>Remote employees must be reachable during core hours, which are 10:00 to 15:00 in their local time zone. Outside core hours, employees may arrange their schedule flexibly as long as they complete their contracted weekly hours of 40.</w:t>
      </w:r>
    </w:p>
    <w:p>
      <w:pPr>
        <w:pStyle w:val="Heading1"/>
      </w:pPr>
      <w:r>
        <w:t>Office attendance</w:t>
      </w:r>
    </w:p>
    <w:p>
      <w:r>
        <w:t>Hybrid employees must come to the office at least two days per week. Team days are Tuesday and Thursday. Employees working fully remotely must attend the quarterly on-site meeting in Rotterdam.</w:t>
      </w:r>
    </w:p>
    <w:p>
      <w:pPr>
        <w:pStyle w:val="Heading1"/>
      </w:pPr>
      <w:r>
        <w:t>Equipment and expenses</w:t>
      </w:r>
    </w:p>
    <w:p>
      <w:r>
        <w:t>Northwind provides a laptop, a monitor and a headset. Employees also receive a one-time home office stipend of 600 euros and a monthly internet allowance of 35 euros. Receipts must be submitted through the Expense Portal within 30 days of purchase.</w:t>
      </w:r>
    </w:p>
    <w:p>
      <w:pPr>
        <w:pStyle w:val="Heading1"/>
      </w:pPr>
      <w:r>
        <w:t>Security requirements</w:t>
      </w:r>
    </w:p>
    <w:p>
      <w:r>
        <w:t>All remote work must use the company VPN and multi-factor authentication. Confidential documents must not be stored on personal devices. Lost or stolen equipment must be reported to the IT Service Desk within 24 hours.</w:t>
      </w:r>
    </w:p>
    <w:p>
      <w:pPr>
        <w:pStyle w:val="Heading1"/>
      </w:pPr>
      <w:r>
        <w:t>Working from abroad</w:t>
      </w:r>
    </w:p>
    <w:p>
      <w:r>
        <w:t>Employees may work from another country for up to 20 days per calendar year with written manager approval. Longer stays require approval from HR because of tax and legal implications.</w:t>
      </w:r>
    </w:p>
    <w:p>
      <w:pPr>
        <w:pStyle w:val="Heading1"/>
      </w:pPr>
      <w:r>
        <w:t>Contact</w:t>
      </w:r>
    </w:p>
    <w:p>
      <w:r>
        <w:t>Questions about this policy can be sent to people-team@northwind.example.</w:t>
      </w:r>
    </w:p>
    <w:p>
      <w:pPr>
        <w:pStyle w:val="Heading1"/>
      </w:pPr>
      <w:r>
        <w:t>Leave entitlement summary</w:t>
      </w:r>
    </w:p>
    <w:tbl>
      <w:tblPr>
        <w:tblW w:type="auto" w:w="0"/>
        <w:tblLook w:firstColumn="1" w:firstRow="1" w:lastColumn="0" w:lastRow="0" w:noHBand="0" w:noVBand="1" w:val="04A0"/>
      </w:tblPr>
      <w:tblGrid>
        <w:gridCol w:w="4320"/>
        <w:gridCol w:w="4320"/>
      </w:tblGrid>
      <w:tr>
        <w:tc>
          <w:tcPr>
            <w:tcW w:type="dxa" w:w="4320"/>
          </w:tcPr>
          <w:p>
            <w:r>
              <w:t>Leave type</w:t>
            </w:r>
          </w:p>
        </w:tc>
        <w:tc>
          <w:tcPr>
            <w:tcW w:type="dxa" w:w="4320"/>
          </w:tcPr>
          <w:p>
            <w:r>
              <w:t>Days per year</w:t>
            </w:r>
          </w:p>
        </w:tc>
      </w:tr>
      <w:tr>
        <w:tc>
          <w:tcPr>
            <w:tcW w:type="dxa" w:w="4320"/>
          </w:tcPr>
          <w:p>
            <w:r>
              <w:t>Annual leave</w:t>
            </w:r>
          </w:p>
        </w:tc>
        <w:tc>
          <w:tcPr>
            <w:tcW w:type="dxa" w:w="4320"/>
          </w:tcPr>
          <w:p>
            <w:r>
              <w:t>25</w:t>
            </w:r>
          </w:p>
        </w:tc>
      </w:tr>
      <w:tr>
        <w:tc>
          <w:tcPr>
            <w:tcW w:type="dxa" w:w="4320"/>
          </w:tcPr>
          <w:p>
            <w:r>
              <w:t>Sick leave</w:t>
            </w:r>
          </w:p>
        </w:tc>
        <w:tc>
          <w:tcPr>
            <w:tcW w:type="dxa" w:w="4320"/>
          </w:tcPr>
          <w:p>
            <w:r>
              <w:t>10 paid days</w:t>
            </w:r>
          </w:p>
        </w:tc>
      </w:tr>
      <w:tr>
        <w:tc>
          <w:tcPr>
            <w:tcW w:type="dxa" w:w="4320"/>
          </w:tcPr>
          <w:p>
            <w:r>
              <w:t>Parental leave</w:t>
            </w:r>
          </w:p>
        </w:tc>
        <w:tc>
          <w:tcPr>
            <w:tcW w:type="dxa" w:w="4320"/>
          </w:tcPr>
          <w:p>
            <w:r>
              <w:t>16 weeks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