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FRAMEWORK ARCHITECTURE DOCUMENT</w:t>
        <w:br/>
      </w:r>
      <w:r>
        <w:rPr>
          <w:b/>
          <w:sz w:val="30"/>
        </w:rPr>
        <w:t>Automation Exercise Hybrid Automation Framework</w:t>
        <w:br/>
      </w:r>
      <w:r>
        <w:rPr>
          <w:sz w:val="24"/>
        </w:rPr>
        <w:t>Playwright + TypeScript | UI + API + Hybrid Automation</w:t>
        <w:br/>
      </w:r>
      <w:r>
        <w:rPr>
          <w:sz w:val="22"/>
        </w:rPr>
        <w:t>Phase 3 - Framework Design | Step 10 - Framework Architecture</w:t>
      </w:r>
    </w:p>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Pr>
                <w:rFonts w:ascii="Calibri" w:hAnsi="Calibri"/>
                <w:b/>
                <w:color w:val="FFFFFF"/>
                <w:sz w:val="18"/>
              </w:rPr>
              <w:t>Field</w:t>
            </w:r>
          </w:p>
        </w:tc>
        <w:tc>
          <w:tcPr>
            <w:tcW w:type="dxa" w:w="5112"/>
            <w:vAlign w:val="top"/>
            <w:shd w:fill="1F4E79"/>
          </w:tcPr>
          <w:p>
            <w:r>
              <w:rPr>
                <w:rFonts w:ascii="Calibri" w:hAnsi="Calibri"/>
                <w:b/>
                <w:color w:val="FFFFFF"/>
                <w:sz w:val="18"/>
              </w:rPr>
              <w:t>Value</w:t>
            </w:r>
          </w:p>
        </w:tc>
      </w:tr>
      <w:tr>
        <w:tc>
          <w:tcPr>
            <w:tcW w:type="dxa" w:w="5112"/>
            <w:vAlign w:val="top"/>
          </w:tcPr>
          <w:p>
            <w:r>
              <w:rPr>
                <w:rFonts w:ascii="Calibri" w:hAnsi="Calibri"/>
                <w:sz w:val="18"/>
              </w:rPr>
              <w:t>Document ID</w:t>
            </w:r>
          </w:p>
        </w:tc>
        <w:tc>
          <w:tcPr>
            <w:tcW w:type="dxa" w:w="5112"/>
            <w:vAlign w:val="top"/>
          </w:tcPr>
          <w:p>
            <w:r>
              <w:rPr>
                <w:rFonts w:ascii="Calibri" w:hAnsi="Calibri"/>
                <w:sz w:val="18"/>
              </w:rPr>
              <w:t>AE-FA-001</w:t>
            </w:r>
          </w:p>
        </w:tc>
      </w:tr>
      <w:tr>
        <w:tc>
          <w:tcPr>
            <w:tcW w:type="dxa" w:w="5112"/>
            <w:vAlign w:val="top"/>
          </w:tcPr>
          <w:p>
            <w:r>
              <w:rPr>
                <w:rFonts w:ascii="Calibri" w:hAnsi="Calibri"/>
                <w:sz w:val="18"/>
              </w:rPr>
              <w:t>Document Name</w:t>
            </w:r>
          </w:p>
        </w:tc>
        <w:tc>
          <w:tcPr>
            <w:tcW w:type="dxa" w:w="5112"/>
            <w:vAlign w:val="top"/>
          </w:tcPr>
          <w:p>
            <w:r>
              <w:rPr>
                <w:rFonts w:ascii="Calibri" w:hAnsi="Calibri"/>
                <w:sz w:val="18"/>
              </w:rPr>
              <w:t>Framework Architecture</w:t>
            </w:r>
          </w:p>
        </w:tc>
      </w:tr>
      <w:tr>
        <w:tc>
          <w:tcPr>
            <w:tcW w:type="dxa" w:w="5112"/>
            <w:vAlign w:val="top"/>
          </w:tcPr>
          <w:p>
            <w:r>
              <w:rPr>
                <w:rFonts w:ascii="Calibri" w:hAnsi="Calibri"/>
                <w:sz w:val="18"/>
              </w:rPr>
              <w:t>Version</w:t>
            </w:r>
          </w:p>
        </w:tc>
        <w:tc>
          <w:tcPr>
            <w:tcW w:type="dxa" w:w="5112"/>
            <w:vAlign w:val="top"/>
          </w:tcPr>
          <w:p>
            <w:r>
              <w:rPr>
                <w:rFonts w:ascii="Calibri" w:hAnsi="Calibri"/>
                <w:sz w:val="18"/>
              </w:rPr>
              <w:t>1.0</w:t>
            </w:r>
          </w:p>
        </w:tc>
      </w:tr>
      <w:tr>
        <w:tc>
          <w:tcPr>
            <w:tcW w:type="dxa" w:w="5112"/>
            <w:vAlign w:val="top"/>
          </w:tcPr>
          <w:p>
            <w:r>
              <w:rPr>
                <w:rFonts w:ascii="Calibri" w:hAnsi="Calibri"/>
                <w:sz w:val="18"/>
              </w:rPr>
              <w:t>Status</w:t>
            </w:r>
          </w:p>
        </w:tc>
        <w:tc>
          <w:tcPr>
            <w:tcW w:type="dxa" w:w="5112"/>
            <w:vAlign w:val="top"/>
          </w:tcPr>
          <w:p>
            <w:r>
              <w:rPr>
                <w:rFonts w:ascii="Calibri" w:hAnsi="Calibri"/>
                <w:sz w:val="18"/>
              </w:rPr>
              <w:t>Baselined</w:t>
            </w:r>
          </w:p>
        </w:tc>
      </w:tr>
      <w:tr>
        <w:tc>
          <w:tcPr>
            <w:tcW w:type="dxa" w:w="5112"/>
            <w:vAlign w:val="top"/>
          </w:tcPr>
          <w:p>
            <w:r>
              <w:rPr>
                <w:rFonts w:ascii="Calibri" w:hAnsi="Calibri"/>
                <w:sz w:val="18"/>
              </w:rPr>
              <w:t>Prepared By</w:t>
            </w:r>
          </w:p>
        </w:tc>
        <w:tc>
          <w:tcPr>
            <w:tcW w:type="dxa" w:w="5112"/>
            <w:vAlign w:val="top"/>
          </w:tcPr>
          <w:p>
            <w:r>
              <w:rPr>
                <w:rFonts w:ascii="Calibri" w:hAnsi="Calibri"/>
                <w:sz w:val="18"/>
              </w:rPr>
              <w:t>QA Lead</w:t>
            </w:r>
          </w:p>
        </w:tc>
      </w:tr>
      <w:tr>
        <w:tc>
          <w:tcPr>
            <w:tcW w:type="dxa" w:w="5112"/>
            <w:vAlign w:val="top"/>
          </w:tcPr>
          <w:p>
            <w:r>
              <w:rPr>
                <w:rFonts w:ascii="Calibri" w:hAnsi="Calibri"/>
                <w:sz w:val="18"/>
              </w:rPr>
              <w:t>Reviewer</w:t>
            </w:r>
          </w:p>
        </w:tc>
        <w:tc>
          <w:tcPr>
            <w:tcW w:type="dxa" w:w="5112"/>
            <w:vAlign w:val="top"/>
          </w:tcPr>
          <w:p>
            <w:r>
              <w:rPr>
                <w:rFonts w:ascii="Calibri" w:hAnsi="Calibri"/>
                <w:sz w:val="18"/>
              </w:rPr>
              <w:t>QA Lead</w:t>
            </w:r>
          </w:p>
        </w:tc>
      </w:tr>
      <w:tr>
        <w:tc>
          <w:tcPr>
            <w:tcW w:type="dxa" w:w="5112"/>
            <w:vAlign w:val="top"/>
          </w:tcPr>
          <w:p>
            <w:r>
              <w:rPr>
                <w:rFonts w:ascii="Calibri" w:hAnsi="Calibri"/>
                <w:sz w:val="18"/>
              </w:rPr>
              <w:t>Approved By</w:t>
            </w:r>
          </w:p>
        </w:tc>
        <w:tc>
          <w:tcPr>
            <w:tcW w:type="dxa" w:w="5112"/>
            <w:vAlign w:val="top"/>
          </w:tcPr>
          <w:p>
            <w:r>
              <w:rPr>
                <w:rFonts w:ascii="Calibri" w:hAnsi="Calibri"/>
                <w:sz w:val="18"/>
              </w:rPr>
              <w:t>Md. Shariful Islam</w:t>
            </w:r>
          </w:p>
        </w:tc>
      </w:tr>
      <w:tr>
        <w:tc>
          <w:tcPr>
            <w:tcW w:type="dxa" w:w="5112"/>
            <w:vAlign w:val="top"/>
          </w:tcPr>
          <w:p>
            <w:r>
              <w:rPr>
                <w:rFonts w:ascii="Calibri" w:hAnsi="Calibri"/>
                <w:sz w:val="18"/>
              </w:rPr>
              <w:t>Date</w:t>
            </w:r>
          </w:p>
        </w:tc>
        <w:tc>
          <w:tcPr>
            <w:tcW w:type="dxa" w:w="5112"/>
            <w:vAlign w:val="top"/>
          </w:tcPr>
          <w:p>
            <w:r>
              <w:rPr>
                <w:rFonts w:ascii="Calibri" w:hAnsi="Calibri"/>
                <w:sz w:val="18"/>
              </w:rPr>
              <w:t>08-Jul-2026</w:t>
            </w:r>
          </w:p>
        </w:tc>
      </w:tr>
    </w:tbl>
    <w:p>
      <w:r>
        <w:br w:type="page"/>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Pr>
                <w:rFonts w:ascii="Calibri" w:hAnsi="Calibri"/>
                <w:b/>
                <w:color w:val="FFFFFF"/>
                <w:sz w:val="18"/>
              </w:rPr>
              <w:t>Field</w:t>
            </w:r>
          </w:p>
        </w:tc>
        <w:tc>
          <w:tcPr>
            <w:tcW w:type="dxa" w:w="5112"/>
            <w:vAlign w:val="top"/>
            <w:shd w:fill="1F4E79"/>
          </w:tcPr>
          <w:p>
            <w:r>
              <w:rPr>
                <w:rFonts w:ascii="Calibri" w:hAnsi="Calibri"/>
                <w:b/>
                <w:color w:val="FFFFFF"/>
                <w:sz w:val="18"/>
              </w:rPr>
              <w:t>Value</w:t>
            </w:r>
          </w:p>
        </w:tc>
      </w:tr>
      <w:tr>
        <w:tc>
          <w:tcPr>
            <w:tcW w:type="dxa" w:w="5112"/>
            <w:vAlign w:val="top"/>
          </w:tcPr>
          <w:p>
            <w:r>
              <w:rPr>
                <w:rFonts w:ascii="Calibri" w:hAnsi="Calibri"/>
                <w:sz w:val="18"/>
              </w:rPr>
              <w:t>Document ID</w:t>
            </w:r>
          </w:p>
        </w:tc>
        <w:tc>
          <w:tcPr>
            <w:tcW w:type="dxa" w:w="5112"/>
            <w:vAlign w:val="top"/>
          </w:tcPr>
          <w:p>
            <w:r>
              <w:rPr>
                <w:rFonts w:ascii="Calibri" w:hAnsi="Calibri"/>
                <w:sz w:val="18"/>
              </w:rPr>
              <w:t>AE-FA-001</w:t>
            </w:r>
          </w:p>
        </w:tc>
      </w:tr>
      <w:tr>
        <w:tc>
          <w:tcPr>
            <w:tcW w:type="dxa" w:w="5112"/>
            <w:vAlign w:val="top"/>
          </w:tcPr>
          <w:p>
            <w:r>
              <w:rPr>
                <w:rFonts w:ascii="Calibri" w:hAnsi="Calibri"/>
                <w:sz w:val="18"/>
              </w:rPr>
              <w:t>Document Name</w:t>
            </w:r>
          </w:p>
        </w:tc>
        <w:tc>
          <w:tcPr>
            <w:tcW w:type="dxa" w:w="5112"/>
            <w:vAlign w:val="top"/>
          </w:tcPr>
          <w:p>
            <w:r>
              <w:rPr>
                <w:rFonts w:ascii="Calibri" w:hAnsi="Calibri"/>
                <w:sz w:val="18"/>
              </w:rPr>
              <w:t>Framework Architecture</w:t>
            </w:r>
          </w:p>
        </w:tc>
      </w:tr>
      <w:tr>
        <w:tc>
          <w:tcPr>
            <w:tcW w:type="dxa" w:w="5112"/>
            <w:vAlign w:val="top"/>
          </w:tcPr>
          <w:p>
            <w:r>
              <w:rPr>
                <w:rFonts w:ascii="Calibri" w:hAnsi="Calibri"/>
                <w:sz w:val="18"/>
              </w:rPr>
              <w:t>Project</w:t>
            </w:r>
          </w:p>
        </w:tc>
        <w:tc>
          <w:tcPr>
            <w:tcW w:type="dxa" w:w="5112"/>
            <w:vAlign w:val="top"/>
          </w:tcPr>
          <w:p>
            <w:r>
              <w:rPr>
                <w:rFonts w:ascii="Calibri" w:hAnsi="Calibri"/>
                <w:sz w:val="18"/>
              </w:rPr>
              <w:t>Automation Exercise Hybrid Automation Framework</w:t>
            </w:r>
          </w:p>
        </w:tc>
      </w:tr>
      <w:tr>
        <w:tc>
          <w:tcPr>
            <w:tcW w:type="dxa" w:w="5112"/>
            <w:vAlign w:val="top"/>
          </w:tcPr>
          <w:p>
            <w:r>
              <w:rPr>
                <w:rFonts w:ascii="Calibri" w:hAnsi="Calibri"/>
                <w:sz w:val="18"/>
              </w:rPr>
              <w:t>Framework</w:t>
            </w:r>
          </w:p>
        </w:tc>
        <w:tc>
          <w:tcPr>
            <w:tcW w:type="dxa" w:w="5112"/>
            <w:vAlign w:val="top"/>
          </w:tcPr>
          <w:p>
            <w:r>
              <w:rPr>
                <w:rFonts w:ascii="Calibri" w:hAnsi="Calibri"/>
                <w:sz w:val="18"/>
              </w:rPr>
              <w:t>Playwright + TypeScript</w:t>
            </w:r>
          </w:p>
        </w:tc>
      </w:tr>
      <w:tr>
        <w:tc>
          <w:tcPr>
            <w:tcW w:type="dxa" w:w="5112"/>
            <w:vAlign w:val="top"/>
          </w:tcPr>
          <w:p>
            <w:r>
              <w:rPr>
                <w:rFonts w:ascii="Calibri" w:hAnsi="Calibri"/>
                <w:sz w:val="18"/>
              </w:rPr>
              <w:t>Related Documents</w:t>
            </w:r>
          </w:p>
        </w:tc>
        <w:tc>
          <w:tcPr>
            <w:tcW w:type="dxa" w:w="5112"/>
            <w:vAlign w:val="top"/>
          </w:tcPr>
          <w:p>
            <w:r>
              <w:rPr>
                <w:rFonts w:ascii="Calibri" w:hAnsi="Calibri"/>
                <w:sz w:val="18"/>
              </w:rPr>
              <w:t>AE-PV-001, AE-AA-001, AE-RA-001, AE-TP-001, AE-TS-001, AE-TSD-001, AE-TC-001, AE-TDD-001, AE-AS-001</w:t>
            </w:r>
          </w:p>
        </w:tc>
      </w:tr>
      <w:tr>
        <w:tc>
          <w:tcPr>
            <w:tcW w:type="dxa" w:w="5112"/>
            <w:vAlign w:val="top"/>
          </w:tcPr>
          <w:p>
            <w:r>
              <w:rPr>
                <w:rFonts w:ascii="Calibri" w:hAnsi="Calibri"/>
                <w:sz w:val="18"/>
              </w:rPr>
              <w:t>Version</w:t>
            </w:r>
          </w:p>
        </w:tc>
        <w:tc>
          <w:tcPr>
            <w:tcW w:type="dxa" w:w="5112"/>
            <w:vAlign w:val="top"/>
          </w:tcPr>
          <w:p>
            <w:r>
              <w:rPr>
                <w:rFonts w:ascii="Calibri" w:hAnsi="Calibri"/>
                <w:sz w:val="18"/>
              </w:rPr>
              <w:t>1.0</w:t>
            </w:r>
          </w:p>
        </w:tc>
      </w:tr>
      <w:tr>
        <w:tc>
          <w:tcPr>
            <w:tcW w:type="dxa" w:w="5112"/>
            <w:vAlign w:val="top"/>
          </w:tcPr>
          <w:p>
            <w:r>
              <w:rPr>
                <w:rFonts w:ascii="Calibri" w:hAnsi="Calibri"/>
                <w:sz w:val="18"/>
              </w:rPr>
              <w:t>Status</w:t>
            </w:r>
          </w:p>
        </w:tc>
        <w:tc>
          <w:tcPr>
            <w:tcW w:type="dxa" w:w="5112"/>
            <w:vAlign w:val="top"/>
          </w:tcPr>
          <w:p>
            <w:r>
              <w:rPr>
                <w:rFonts w:ascii="Calibri" w:hAnsi="Calibri"/>
                <w:sz w:val="18"/>
              </w:rPr>
              <w:t>Baselined</w:t>
            </w:r>
          </w:p>
        </w:tc>
      </w:tr>
      <w:tr>
        <w:tc>
          <w:tcPr>
            <w:tcW w:type="dxa" w:w="5112"/>
            <w:vAlign w:val="top"/>
          </w:tcPr>
          <w:p>
            <w:r>
              <w:rPr>
                <w:rFonts w:ascii="Calibri" w:hAnsi="Calibri"/>
                <w:sz w:val="18"/>
              </w:rPr>
              <w:t>Classification</w:t>
            </w:r>
          </w:p>
        </w:tc>
        <w:tc>
          <w:tcPr>
            <w:tcW w:type="dxa" w:w="5112"/>
            <w:vAlign w:val="top"/>
          </w:tcPr>
          <w:p>
            <w:r>
              <w:rPr>
                <w:rFonts w:ascii="Calibri" w:hAnsi="Calibri"/>
                <w:sz w:val="18"/>
              </w:rPr>
              <w:t>Portfolio / Internal</w:t>
            </w:r>
          </w:p>
        </w:tc>
      </w:tr>
      <w:tr>
        <w:tc>
          <w:tcPr>
            <w:tcW w:type="dxa" w:w="5112"/>
            <w:vAlign w:val="top"/>
          </w:tcPr>
          <w:p>
            <w:r>
              <w:rPr>
                <w:rFonts w:ascii="Calibri" w:hAnsi="Calibri"/>
                <w:sz w:val="18"/>
              </w:rPr>
              <w:t>Prepared By</w:t>
            </w:r>
          </w:p>
        </w:tc>
        <w:tc>
          <w:tcPr>
            <w:tcW w:type="dxa" w:w="5112"/>
            <w:vAlign w:val="top"/>
          </w:tcPr>
          <w:p>
            <w:r>
              <w:rPr>
                <w:rFonts w:ascii="Calibri" w:hAnsi="Calibri"/>
                <w:sz w:val="18"/>
              </w:rPr>
              <w:t>QA Lead</w:t>
            </w:r>
          </w:p>
        </w:tc>
      </w:tr>
      <w:tr>
        <w:tc>
          <w:tcPr>
            <w:tcW w:type="dxa" w:w="5112"/>
            <w:vAlign w:val="top"/>
          </w:tcPr>
          <w:p>
            <w:r>
              <w:rPr>
                <w:rFonts w:ascii="Calibri" w:hAnsi="Calibri"/>
                <w:sz w:val="18"/>
              </w:rPr>
              <w:t>Reviewer</w:t>
            </w:r>
          </w:p>
        </w:tc>
        <w:tc>
          <w:tcPr>
            <w:tcW w:type="dxa" w:w="5112"/>
            <w:vAlign w:val="top"/>
          </w:tcPr>
          <w:p>
            <w:r>
              <w:rPr>
                <w:rFonts w:ascii="Calibri" w:hAnsi="Calibri"/>
                <w:sz w:val="18"/>
              </w:rPr>
              <w:t>QA Lead</w:t>
            </w:r>
          </w:p>
        </w:tc>
      </w:tr>
      <w:tr>
        <w:tc>
          <w:tcPr>
            <w:tcW w:type="dxa" w:w="5112"/>
            <w:vAlign w:val="top"/>
          </w:tcPr>
          <w:p>
            <w:r>
              <w:rPr>
                <w:rFonts w:ascii="Calibri" w:hAnsi="Calibri"/>
                <w:sz w:val="18"/>
              </w:rPr>
              <w:t>Approved By</w:t>
            </w:r>
          </w:p>
        </w:tc>
        <w:tc>
          <w:tcPr>
            <w:tcW w:type="dxa" w:w="5112"/>
            <w:vAlign w:val="top"/>
          </w:tcPr>
          <w:p>
            <w:r>
              <w:rPr>
                <w:rFonts w:ascii="Calibri" w:hAnsi="Calibri"/>
                <w:sz w:val="18"/>
              </w:rPr>
              <w:t>Md. Shariful Islam</w:t>
            </w:r>
          </w:p>
        </w:tc>
      </w:tr>
    </w:tbl>
    <w:p>
      <w:pPr>
        <w:pStyle w:val="Heading1"/>
      </w:pPr>
      <w:r>
        <w:t>Revision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1F4E79"/>
          </w:tcPr>
          <w:p>
            <w:r>
              <w:rPr>
                <w:rFonts w:ascii="Calibri" w:hAnsi="Calibri"/>
                <w:b/>
                <w:color w:val="FFFFFF"/>
                <w:sz w:val="18"/>
              </w:rPr>
              <w:t>Version</w:t>
            </w:r>
          </w:p>
        </w:tc>
        <w:tc>
          <w:tcPr>
            <w:tcW w:type="dxa" w:w="2556"/>
            <w:vAlign w:val="top"/>
            <w:shd w:fill="1F4E79"/>
          </w:tcPr>
          <w:p>
            <w:r>
              <w:rPr>
                <w:rFonts w:ascii="Calibri" w:hAnsi="Calibri"/>
                <w:b/>
                <w:color w:val="FFFFFF"/>
                <w:sz w:val="18"/>
              </w:rPr>
              <w:t>Date</w:t>
            </w:r>
          </w:p>
        </w:tc>
        <w:tc>
          <w:tcPr>
            <w:tcW w:type="dxa" w:w="2556"/>
            <w:vAlign w:val="top"/>
            <w:shd w:fill="1F4E79"/>
          </w:tcPr>
          <w:p>
            <w:r>
              <w:rPr>
                <w:rFonts w:ascii="Calibri" w:hAnsi="Calibri"/>
                <w:b/>
                <w:color w:val="FFFFFF"/>
                <w:sz w:val="18"/>
              </w:rPr>
              <w:t>Description</w:t>
            </w:r>
          </w:p>
        </w:tc>
        <w:tc>
          <w:tcPr>
            <w:tcW w:type="dxa" w:w="2556"/>
            <w:vAlign w:val="top"/>
            <w:shd w:fill="1F4E79"/>
          </w:tcPr>
          <w:p>
            <w:r>
              <w:rPr>
                <w:rFonts w:ascii="Calibri" w:hAnsi="Calibri"/>
                <w:b/>
                <w:color w:val="FFFFFF"/>
                <w:sz w:val="18"/>
              </w:rPr>
              <w:t>Author</w:t>
            </w:r>
          </w:p>
        </w:tc>
      </w:tr>
      <w:tr>
        <w:tc>
          <w:tcPr>
            <w:tcW w:type="dxa" w:w="2556"/>
            <w:vAlign w:val="top"/>
          </w:tcPr>
          <w:p>
            <w:r>
              <w:rPr>
                <w:rFonts w:ascii="Calibri" w:hAnsi="Calibri"/>
                <w:sz w:val="18"/>
              </w:rPr>
              <w:t>1.0</w:t>
            </w:r>
          </w:p>
        </w:tc>
        <w:tc>
          <w:tcPr>
            <w:tcW w:type="dxa" w:w="2556"/>
            <w:vAlign w:val="top"/>
          </w:tcPr>
          <w:p>
            <w:r>
              <w:rPr>
                <w:rFonts w:ascii="Calibri" w:hAnsi="Calibri"/>
                <w:sz w:val="18"/>
              </w:rPr>
              <w:t>08-Jul-2026</w:t>
            </w:r>
          </w:p>
        </w:tc>
        <w:tc>
          <w:tcPr>
            <w:tcW w:type="dxa" w:w="2556"/>
            <w:vAlign w:val="top"/>
          </w:tcPr>
          <w:p>
            <w:r>
              <w:rPr>
                <w:rFonts w:ascii="Calibri" w:hAnsi="Calibri"/>
                <w:sz w:val="18"/>
              </w:rPr>
              <w:t>Initial framework architecture baseline prepared before project setup and coding</w:t>
            </w:r>
          </w:p>
        </w:tc>
        <w:tc>
          <w:tcPr>
            <w:tcW w:type="dxa" w:w="2556"/>
            <w:vAlign w:val="top"/>
          </w:tcPr>
          <w:p>
            <w:r>
              <w:rPr>
                <w:rFonts w:ascii="Calibri" w:hAnsi="Calibri"/>
                <w:sz w:val="18"/>
              </w:rPr>
              <w:t>QA Lead</w:t>
            </w:r>
          </w:p>
        </w:tc>
      </w:tr>
    </w:tbl>
    <w:p>
      <w:pPr>
        <w:pStyle w:val="Heading1"/>
      </w:pPr>
      <w:r>
        <w:t>1. Purpose</w:t>
      </w:r>
    </w:p>
    <w:p>
      <w:r>
        <w:t>The purpose of this document is to define the technical architecture of the Automation Exercise Hybrid Automation Framework before implementation. It establishes the folder structure, design pattern, fixtures, utilities, API client, configuration management, reporting approach, and coding standards for the Playwright + TypeScript automation project.</w:t>
      </w:r>
    </w:p>
    <w:p>
      <w:pPr>
        <w:pStyle w:val="Heading1"/>
      </w:pPr>
      <w:r>
        <w:t>2. Architecture Objectives</w:t>
      </w:r>
    </w:p>
    <w:p>
      <w:pPr>
        <w:pStyle w:val="ListBullet"/>
      </w:pPr>
      <w:r>
        <w:t>Create a scalable and maintainable Playwright + TypeScript automation framework.</w:t>
      </w:r>
    </w:p>
    <w:p>
      <w:pPr>
        <w:pStyle w:val="ListBullet"/>
      </w:pPr>
      <w:r>
        <w:t>Support UI automation, API automation, and Hybrid UI + API flows in one repository.</w:t>
      </w:r>
    </w:p>
    <w:p>
      <w:pPr>
        <w:pStyle w:val="ListBullet"/>
      </w:pPr>
      <w:r>
        <w:t>Separate page behavior, test logic, test data, configuration, and utility functions.</w:t>
      </w:r>
    </w:p>
    <w:p>
      <w:pPr>
        <w:pStyle w:val="ListBullet"/>
      </w:pPr>
      <w:r>
        <w:t>Enable local, cross-browser, tagged, and CI/CD execution.</w:t>
      </w:r>
    </w:p>
    <w:p>
      <w:pPr>
        <w:pStyle w:val="ListBullet"/>
      </w:pPr>
      <w:r>
        <w:t>Generate reliable execution evidence including HTML report, screenshots, traces, and optional video.</w:t>
      </w:r>
    </w:p>
    <w:p>
      <w:pPr>
        <w:pStyle w:val="ListBullet"/>
      </w:pPr>
      <w:r>
        <w:t>Keep the design simple enough for Phase 1 while allowing future expansion.</w:t>
      </w:r>
    </w:p>
    <w:p>
      <w:pPr>
        <w:pStyle w:val="Heading1"/>
      </w:pPr>
      <w:r>
        <w:t>3. High-Level Architecture</w:t>
      </w:r>
    </w:p>
    <w:p>
      <w:r>
        <w:t>The framework follows a layered architecture. Test specifications call reusable fixtures and page objects. Page objects interact with the UI. API helpers interact with backend endpoints. Configuration, test data, utilities, and reporting components support both UI and API layers.</w:t>
      </w:r>
    </w:p>
    <w:p>
      <w:r>
        <w:rPr>
          <w:rFonts w:ascii="Consolas" w:hAnsi="Consolas" w:eastAsia="Consolas"/>
          <w:sz w:val="18"/>
        </w:rPr>
        <w:t>Test Specs</w:t>
        <w:br/>
        <w:t xml:space="preserve">  ↓</w:t>
        <w:br/>
        <w:t>Custom Fixtures</w:t>
        <w:br/>
        <w:t xml:space="preserve">  ↓</w:t>
        <w:br/>
        <w:t>Page Objects / API Clients</w:t>
        <w:br/>
        <w:t xml:space="preserve">  ↓</w:t>
        <w:br/>
        <w:t>Utilities + Test Data + Config</w:t>
        <w:br/>
        <w:t xml:space="preserve">  ↓</w:t>
        <w:br/>
        <w:t>Playwright Runtime</w:t>
        <w:br/>
        <w:t xml:space="preserve">  ↓</w:t>
        <w:br/>
        <w:t>Browser / API Endpoint</w:t>
        <w:br/>
        <w:t xml:space="preserve">  ↓</w:t>
        <w:br/>
        <w:t>Reports + Screenshots + Traces</w:t>
      </w:r>
    </w:p>
    <w:p>
      <w:pPr>
        <w:pStyle w:val="Heading1"/>
      </w:pPr>
      <w:r>
        <w:t>4. Proposed Folder Structure</w:t>
      </w:r>
    </w:p>
    <w:p>
      <w:r>
        <w:rPr>
          <w:rFonts w:ascii="Consolas" w:hAnsi="Consolas" w:eastAsia="Consolas"/>
          <w:sz w:val="18"/>
        </w:rPr>
        <w:t>automation-exercise-playwright-ts/</w:t>
        <w:br/>
        <w:t>├── .github/</w:t>
        <w:br/>
        <w:t>│   └── workflows/</w:t>
        <w:br/>
        <w:t>│       └── playwright.yml</w:t>
        <w:br/>
        <w:t>├── docs/</w:t>
        <w:br/>
        <w:t>│   ├── AE-PV-001_Project_Vision.docx</w:t>
        <w:br/>
        <w:t>│   ├── AE-TC-001_Test_Case_Design.docx</w:t>
        <w:br/>
        <w:t>│   └── AE-FA-001_Framework_Architecture.docx</w:t>
        <w:br/>
        <w:t>├── src/</w:t>
        <w:br/>
        <w:t>│   ├── api/</w:t>
        <w:br/>
        <w:t>│   │   ├── clients/</w:t>
        <w:br/>
        <w:t>│   │   │   ├── BaseApiClient.ts</w:t>
        <w:br/>
        <w:t>│   │   │   ├── ProductsApiClient.ts</w:t>
        <w:br/>
        <w:t>│   │   │   ├── BrandsApiClient.ts</w:t>
        <w:br/>
        <w:t>│   │   │   └── AuthApiClient.ts</w:t>
        <w:br/>
        <w:t>│   │   └── endpoints.ts</w:t>
        <w:br/>
        <w:t>│   ├── config/</w:t>
        <w:br/>
        <w:t>│   │   ├── env.ts</w:t>
        <w:br/>
        <w:t>│   │   └── testConfig.ts</w:t>
        <w:br/>
        <w:t>│   ├── fixtures/</w:t>
        <w:br/>
        <w:t>│   │   ├── baseFixture.ts</w:t>
        <w:br/>
        <w:t>│   │   └── testFixtures.ts</w:t>
        <w:br/>
        <w:t>│   ├── pages/</w:t>
        <w:br/>
        <w:t>│   │   ├── BasePage.ts</w:t>
        <w:br/>
        <w:t>│   │   ├── HomePage.ts</w:t>
        <w:br/>
        <w:t>│   │   ├── SignupLoginPage.ts</w:t>
        <w:br/>
        <w:t>│   │   ├── ProductsPage.ts</w:t>
        <w:br/>
        <w:t>│   │   ├── ProductDetailsPage.ts</w:t>
        <w:br/>
        <w:t>│   │   ├── CartPage.ts</w:t>
        <w:br/>
        <w:t>│   │   ├── CheckoutPage.ts</w:t>
        <w:br/>
        <w:t>│   │   ├── ContactUsPage.ts</w:t>
        <w:br/>
        <w:t>│   │   └── PaymentPage.ts</w:t>
        <w:br/>
        <w:t>│   ├── utils/</w:t>
        <w:br/>
        <w:t>│   │   ├── dataGenerator.ts</w:t>
        <w:br/>
        <w:t>│   │   ├── dateUtils.ts</w:t>
        <w:br/>
        <w:t>│   │   ├── fileUtils.ts</w:t>
        <w:br/>
        <w:t>│   │   ├── logger.ts</w:t>
        <w:br/>
        <w:t>│   │   └── assertionUtils.ts</w:t>
        <w:br/>
        <w:t>│   └── types/</w:t>
        <w:br/>
        <w:t>│       ├── user.types.ts</w:t>
        <w:br/>
        <w:t>│       ├── product.types.ts</w:t>
        <w:br/>
        <w:t>│       └── api.types.ts</w:t>
        <w:br/>
        <w:t>├── test-data/</w:t>
        <w:br/>
        <w:t>│   ├── users.json</w:t>
        <w:br/>
        <w:t>│   ├── invalid-users.json</w:t>
        <w:br/>
        <w:t>│   ├── addresses.json</w:t>
        <w:br/>
        <w:t>│   ├── products.json</w:t>
        <w:br/>
        <w:t>│   ├── contact-us.json</w:t>
        <w:br/>
        <w:t>│   ├── checkout.json</w:t>
        <w:br/>
        <w:t>│   ├── api-payloads.json</w:t>
        <w:br/>
        <w:t>│   └── files/</w:t>
        <w:br/>
        <w:t>│       └── contact-upload-sample.txt</w:t>
        <w:br/>
        <w:t>├── tests/</w:t>
        <w:br/>
        <w:t>│   ├── ui/</w:t>
        <w:br/>
        <w:t>│   │   ├── signup-login.spec.ts</w:t>
        <w:br/>
        <w:t>│   │   ├── products.spec.ts</w:t>
        <w:br/>
        <w:t>│   │   ├── cart.spec.ts</w:t>
        <w:br/>
        <w:t>│   │   ├── checkout.spec.ts</w:t>
        <w:br/>
        <w:t>│   │   ├── contact-us.spec.ts</w:t>
        <w:br/>
        <w:t>│   │   └── subscription.spec.ts</w:t>
        <w:br/>
        <w:t>│   ├── api/</w:t>
        <w:br/>
        <w:t>│   │   ├── products.api.spec.ts</w:t>
        <w:br/>
        <w:t>│   │   ├── brands.api.spec.ts</w:t>
        <w:br/>
        <w:t>│   │   └── verify-login.api.spec.ts</w:t>
        <w:br/>
        <w:t>│   └── hybrid/</w:t>
        <w:br/>
        <w:t>│       └── checkout-hybrid.spec.ts</w:t>
        <w:br/>
        <w:t>├── test-results/</w:t>
        <w:br/>
        <w:t>├── playwright-report/</w:t>
        <w:br/>
        <w:t>├── playwright.config.ts</w:t>
        <w:br/>
        <w:t>├── package.json</w:t>
        <w:br/>
        <w:t>├── tsconfig.json</w:t>
        <w:br/>
        <w:t>├── .env</w:t>
        <w:br/>
        <w:t>├── .env.example</w:t>
        <w:br/>
        <w:t>├── .gitignore</w:t>
        <w:br/>
        <w:t>└── README.md</w:t>
      </w:r>
    </w:p>
    <w:p>
      <w:pPr>
        <w:pStyle w:val="Heading1"/>
      </w:pPr>
      <w:r>
        <w:t>5. Folder Responsibility Matrix</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Pr>
                <w:rFonts w:ascii="Calibri" w:hAnsi="Calibri"/>
                <w:b/>
                <w:color w:val="FFFFFF"/>
                <w:sz w:val="18"/>
              </w:rPr>
              <w:t>Folder / File</w:t>
            </w:r>
          </w:p>
        </w:tc>
        <w:tc>
          <w:tcPr>
            <w:tcW w:type="dxa" w:w="5112"/>
            <w:vAlign w:val="top"/>
            <w:shd w:fill="1F4E79"/>
          </w:tcPr>
          <w:p>
            <w:r>
              <w:rPr>
                <w:rFonts w:ascii="Calibri" w:hAnsi="Calibri"/>
                <w:b/>
                <w:color w:val="FFFFFF"/>
                <w:sz w:val="18"/>
              </w:rPr>
              <w:t>Purpose</w:t>
            </w:r>
          </w:p>
        </w:tc>
      </w:tr>
      <w:tr>
        <w:tc>
          <w:tcPr>
            <w:tcW w:type="dxa" w:w="5112"/>
            <w:vAlign w:val="top"/>
          </w:tcPr>
          <w:p>
            <w:r>
              <w:rPr>
                <w:rFonts w:ascii="Calibri" w:hAnsi="Calibri"/>
                <w:sz w:val="18"/>
              </w:rPr>
              <w:t>src/pages</w:t>
            </w:r>
          </w:p>
        </w:tc>
        <w:tc>
          <w:tcPr>
            <w:tcW w:type="dxa" w:w="5112"/>
            <w:vAlign w:val="top"/>
          </w:tcPr>
          <w:p>
            <w:r>
              <w:rPr>
                <w:rFonts w:ascii="Calibri" w:hAnsi="Calibri"/>
                <w:sz w:val="18"/>
              </w:rPr>
              <w:t>Stores Page Object Model classes for UI screens and reusable page actions.</w:t>
            </w:r>
          </w:p>
        </w:tc>
      </w:tr>
      <w:tr>
        <w:tc>
          <w:tcPr>
            <w:tcW w:type="dxa" w:w="5112"/>
            <w:vAlign w:val="top"/>
          </w:tcPr>
          <w:p>
            <w:r>
              <w:rPr>
                <w:rFonts w:ascii="Calibri" w:hAnsi="Calibri"/>
                <w:sz w:val="18"/>
              </w:rPr>
              <w:t>src/api</w:t>
            </w:r>
          </w:p>
        </w:tc>
        <w:tc>
          <w:tcPr>
            <w:tcW w:type="dxa" w:w="5112"/>
            <w:vAlign w:val="top"/>
          </w:tcPr>
          <w:p>
            <w:r>
              <w:rPr>
                <w:rFonts w:ascii="Calibri" w:hAnsi="Calibri"/>
                <w:sz w:val="18"/>
              </w:rPr>
              <w:t>Stores API client classes, endpoint constants, and reusable API methods.</w:t>
            </w:r>
          </w:p>
        </w:tc>
      </w:tr>
      <w:tr>
        <w:tc>
          <w:tcPr>
            <w:tcW w:type="dxa" w:w="5112"/>
            <w:vAlign w:val="top"/>
          </w:tcPr>
          <w:p>
            <w:r>
              <w:rPr>
                <w:rFonts w:ascii="Calibri" w:hAnsi="Calibri"/>
                <w:sz w:val="18"/>
              </w:rPr>
              <w:t>src/fixtures</w:t>
            </w:r>
          </w:p>
        </w:tc>
        <w:tc>
          <w:tcPr>
            <w:tcW w:type="dxa" w:w="5112"/>
            <w:vAlign w:val="top"/>
          </w:tcPr>
          <w:p>
            <w:r>
              <w:rPr>
                <w:rFonts w:ascii="Calibri" w:hAnsi="Calibri"/>
                <w:sz w:val="18"/>
              </w:rPr>
              <w:t>Stores Playwright custom fixtures for page objects, API clients, and shared setup.</w:t>
            </w:r>
          </w:p>
        </w:tc>
      </w:tr>
      <w:tr>
        <w:tc>
          <w:tcPr>
            <w:tcW w:type="dxa" w:w="5112"/>
            <w:vAlign w:val="top"/>
          </w:tcPr>
          <w:p>
            <w:r>
              <w:rPr>
                <w:rFonts w:ascii="Calibri" w:hAnsi="Calibri"/>
                <w:sz w:val="18"/>
              </w:rPr>
              <w:t>src/config</w:t>
            </w:r>
          </w:p>
        </w:tc>
        <w:tc>
          <w:tcPr>
            <w:tcW w:type="dxa" w:w="5112"/>
            <w:vAlign w:val="top"/>
          </w:tcPr>
          <w:p>
            <w:r>
              <w:rPr>
                <w:rFonts w:ascii="Calibri" w:hAnsi="Calibri"/>
                <w:sz w:val="18"/>
              </w:rPr>
              <w:t>Centralizes base URL, environment values, timeout values, browser flags, and runtime config.</w:t>
            </w:r>
          </w:p>
        </w:tc>
      </w:tr>
      <w:tr>
        <w:tc>
          <w:tcPr>
            <w:tcW w:type="dxa" w:w="5112"/>
            <w:vAlign w:val="top"/>
          </w:tcPr>
          <w:p>
            <w:r>
              <w:rPr>
                <w:rFonts w:ascii="Calibri" w:hAnsi="Calibri"/>
                <w:sz w:val="18"/>
              </w:rPr>
              <w:t>src/utils</w:t>
            </w:r>
          </w:p>
        </w:tc>
        <w:tc>
          <w:tcPr>
            <w:tcW w:type="dxa" w:w="5112"/>
            <w:vAlign w:val="top"/>
          </w:tcPr>
          <w:p>
            <w:r>
              <w:rPr>
                <w:rFonts w:ascii="Calibri" w:hAnsi="Calibri"/>
                <w:sz w:val="18"/>
              </w:rPr>
              <w:t>Stores reusable helper functions such as data generation, files, logs, and common assertions.</w:t>
            </w:r>
          </w:p>
        </w:tc>
      </w:tr>
      <w:tr>
        <w:tc>
          <w:tcPr>
            <w:tcW w:type="dxa" w:w="5112"/>
            <w:vAlign w:val="top"/>
          </w:tcPr>
          <w:p>
            <w:r>
              <w:rPr>
                <w:rFonts w:ascii="Calibri" w:hAnsi="Calibri"/>
                <w:sz w:val="18"/>
              </w:rPr>
              <w:t>src/types</w:t>
            </w:r>
          </w:p>
        </w:tc>
        <w:tc>
          <w:tcPr>
            <w:tcW w:type="dxa" w:w="5112"/>
            <w:vAlign w:val="top"/>
          </w:tcPr>
          <w:p>
            <w:r>
              <w:rPr>
                <w:rFonts w:ascii="Calibri" w:hAnsi="Calibri"/>
                <w:sz w:val="18"/>
              </w:rPr>
              <w:t>Stores TypeScript interfaces and types for users, products, payloads, and responses.</w:t>
            </w:r>
          </w:p>
        </w:tc>
      </w:tr>
      <w:tr>
        <w:tc>
          <w:tcPr>
            <w:tcW w:type="dxa" w:w="5112"/>
            <w:vAlign w:val="top"/>
          </w:tcPr>
          <w:p>
            <w:r>
              <w:rPr>
                <w:rFonts w:ascii="Calibri" w:hAnsi="Calibri"/>
                <w:sz w:val="18"/>
              </w:rPr>
              <w:t>test-data</w:t>
            </w:r>
          </w:p>
        </w:tc>
        <w:tc>
          <w:tcPr>
            <w:tcW w:type="dxa" w:w="5112"/>
            <w:vAlign w:val="top"/>
          </w:tcPr>
          <w:p>
            <w:r>
              <w:rPr>
                <w:rFonts w:ascii="Calibri" w:hAnsi="Calibri"/>
                <w:sz w:val="18"/>
              </w:rPr>
              <w:t>Stores JSON-based test data and upload files.</w:t>
            </w:r>
          </w:p>
        </w:tc>
      </w:tr>
      <w:tr>
        <w:tc>
          <w:tcPr>
            <w:tcW w:type="dxa" w:w="5112"/>
            <w:vAlign w:val="top"/>
          </w:tcPr>
          <w:p>
            <w:r>
              <w:rPr>
                <w:rFonts w:ascii="Calibri" w:hAnsi="Calibri"/>
                <w:sz w:val="18"/>
              </w:rPr>
              <w:t>tests/ui</w:t>
            </w:r>
          </w:p>
        </w:tc>
        <w:tc>
          <w:tcPr>
            <w:tcW w:type="dxa" w:w="5112"/>
            <w:vAlign w:val="top"/>
          </w:tcPr>
          <w:p>
            <w:r>
              <w:rPr>
                <w:rFonts w:ascii="Calibri" w:hAnsi="Calibri"/>
                <w:sz w:val="18"/>
              </w:rPr>
              <w:t>Stores UI test specifications grouped by business module.</w:t>
            </w:r>
          </w:p>
        </w:tc>
      </w:tr>
      <w:tr>
        <w:tc>
          <w:tcPr>
            <w:tcW w:type="dxa" w:w="5112"/>
            <w:vAlign w:val="top"/>
          </w:tcPr>
          <w:p>
            <w:r>
              <w:rPr>
                <w:rFonts w:ascii="Calibri" w:hAnsi="Calibri"/>
                <w:sz w:val="18"/>
              </w:rPr>
              <w:t>tests/api</w:t>
            </w:r>
          </w:p>
        </w:tc>
        <w:tc>
          <w:tcPr>
            <w:tcW w:type="dxa" w:w="5112"/>
            <w:vAlign w:val="top"/>
          </w:tcPr>
          <w:p>
            <w:r>
              <w:rPr>
                <w:rFonts w:ascii="Calibri" w:hAnsi="Calibri"/>
                <w:sz w:val="18"/>
              </w:rPr>
              <w:t>Stores API test specifications grouped by endpoint domain.</w:t>
            </w:r>
          </w:p>
        </w:tc>
      </w:tr>
      <w:tr>
        <w:tc>
          <w:tcPr>
            <w:tcW w:type="dxa" w:w="5112"/>
            <w:vAlign w:val="top"/>
          </w:tcPr>
          <w:p>
            <w:r>
              <w:rPr>
                <w:rFonts w:ascii="Calibri" w:hAnsi="Calibri"/>
                <w:sz w:val="18"/>
              </w:rPr>
              <w:t>tests/hybrid</w:t>
            </w:r>
          </w:p>
        </w:tc>
        <w:tc>
          <w:tcPr>
            <w:tcW w:type="dxa" w:w="5112"/>
            <w:vAlign w:val="top"/>
          </w:tcPr>
          <w:p>
            <w:r>
              <w:rPr>
                <w:rFonts w:ascii="Calibri" w:hAnsi="Calibri"/>
                <w:sz w:val="18"/>
              </w:rPr>
              <w:t>Stores combined UI + API end-to-end flows.</w:t>
            </w:r>
          </w:p>
        </w:tc>
      </w:tr>
      <w:tr>
        <w:tc>
          <w:tcPr>
            <w:tcW w:type="dxa" w:w="5112"/>
            <w:vAlign w:val="top"/>
          </w:tcPr>
          <w:p>
            <w:r>
              <w:rPr>
                <w:rFonts w:ascii="Calibri" w:hAnsi="Calibri"/>
                <w:sz w:val="18"/>
              </w:rPr>
              <w:t>.github/workflows</w:t>
            </w:r>
          </w:p>
        </w:tc>
        <w:tc>
          <w:tcPr>
            <w:tcW w:type="dxa" w:w="5112"/>
            <w:vAlign w:val="top"/>
          </w:tcPr>
          <w:p>
            <w:r>
              <w:rPr>
                <w:rFonts w:ascii="Calibri" w:hAnsi="Calibri"/>
                <w:sz w:val="18"/>
              </w:rPr>
              <w:t>Stores GitHub Actions CI/CD workflow configuration.</w:t>
            </w:r>
          </w:p>
        </w:tc>
      </w:tr>
    </w:tbl>
    <w:p>
      <w:pPr>
        <w:pStyle w:val="Heading1"/>
      </w:pPr>
      <w:r>
        <w:t>6. Page Object Model Strategy</w:t>
      </w:r>
    </w:p>
    <w:p>
      <w:r>
        <w:t>The UI automation layer will use the Page Object Model to separate page locators and page actions from test logic. Each page class represents a screen or business area of the application. Tests should remain readable and business-focused, while page classes encapsulate UI interaction details.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Pr>
                <w:rFonts w:ascii="Calibri" w:hAnsi="Calibri"/>
                <w:b/>
                <w:color w:val="FFFFFF"/>
                <w:sz w:val="18"/>
              </w:rPr>
              <w:t>Page Object</w:t>
            </w:r>
          </w:p>
        </w:tc>
        <w:tc>
          <w:tcPr>
            <w:tcW w:type="dxa" w:w="5112"/>
            <w:vAlign w:val="top"/>
            <w:shd w:fill="1F4E79"/>
          </w:tcPr>
          <w:p>
            <w:r>
              <w:rPr>
                <w:rFonts w:ascii="Calibri" w:hAnsi="Calibri"/>
                <w:b/>
                <w:color w:val="FFFFFF"/>
                <w:sz w:val="18"/>
              </w:rPr>
              <w:t>Responsibility</w:t>
            </w:r>
          </w:p>
        </w:tc>
      </w:tr>
      <w:tr>
        <w:tc>
          <w:tcPr>
            <w:tcW w:type="dxa" w:w="5112"/>
            <w:vAlign w:val="top"/>
          </w:tcPr>
          <w:p>
            <w:r>
              <w:rPr>
                <w:rFonts w:ascii="Calibri" w:hAnsi="Calibri"/>
                <w:sz w:val="18"/>
              </w:rPr>
              <w:t>BasePage</w:t>
            </w:r>
          </w:p>
        </w:tc>
        <w:tc>
          <w:tcPr>
            <w:tcW w:type="dxa" w:w="5112"/>
            <w:vAlign w:val="top"/>
          </w:tcPr>
          <w:p>
            <w:r>
              <w:rPr>
                <w:rFonts w:ascii="Calibri" w:hAnsi="Calibri"/>
                <w:sz w:val="18"/>
              </w:rPr>
              <w:t>Common navigation, wait helpers, generic assertions, and shared page actions.</w:t>
            </w:r>
          </w:p>
        </w:tc>
      </w:tr>
      <w:tr>
        <w:tc>
          <w:tcPr>
            <w:tcW w:type="dxa" w:w="5112"/>
            <w:vAlign w:val="top"/>
          </w:tcPr>
          <w:p>
            <w:r>
              <w:rPr>
                <w:rFonts w:ascii="Calibri" w:hAnsi="Calibri"/>
                <w:sz w:val="18"/>
              </w:rPr>
              <w:t>HomePage</w:t>
            </w:r>
          </w:p>
        </w:tc>
        <w:tc>
          <w:tcPr>
            <w:tcW w:type="dxa" w:w="5112"/>
            <w:vAlign w:val="top"/>
          </w:tcPr>
          <w:p>
            <w:r>
              <w:rPr>
                <w:rFonts w:ascii="Calibri" w:hAnsi="Calibri"/>
                <w:sz w:val="18"/>
              </w:rPr>
              <w:t>Home page validation, navigation, category visibility, recommended items, subscription.</w:t>
            </w:r>
          </w:p>
        </w:tc>
      </w:tr>
      <w:tr>
        <w:tc>
          <w:tcPr>
            <w:tcW w:type="dxa" w:w="5112"/>
            <w:vAlign w:val="top"/>
          </w:tcPr>
          <w:p>
            <w:r>
              <w:rPr>
                <w:rFonts w:ascii="Calibri" w:hAnsi="Calibri"/>
                <w:sz w:val="18"/>
              </w:rPr>
              <w:t>SignupLoginPage</w:t>
            </w:r>
          </w:p>
        </w:tc>
        <w:tc>
          <w:tcPr>
            <w:tcW w:type="dxa" w:w="5112"/>
            <w:vAlign w:val="top"/>
          </w:tcPr>
          <w:p>
            <w:r>
              <w:rPr>
                <w:rFonts w:ascii="Calibri" w:hAnsi="Calibri"/>
                <w:sz w:val="18"/>
              </w:rPr>
              <w:t>Signup, login, duplicate email validation, logout-related navigation.</w:t>
            </w:r>
          </w:p>
        </w:tc>
      </w:tr>
      <w:tr>
        <w:tc>
          <w:tcPr>
            <w:tcW w:type="dxa" w:w="5112"/>
            <w:vAlign w:val="top"/>
          </w:tcPr>
          <w:p>
            <w:r>
              <w:rPr>
                <w:rFonts w:ascii="Calibri" w:hAnsi="Calibri"/>
                <w:sz w:val="18"/>
              </w:rPr>
              <w:t>ProductsPage</w:t>
            </w:r>
          </w:p>
        </w:tc>
        <w:tc>
          <w:tcPr>
            <w:tcW w:type="dxa" w:w="5112"/>
            <w:vAlign w:val="top"/>
          </w:tcPr>
          <w:p>
            <w:r>
              <w:rPr>
                <w:rFonts w:ascii="Calibri" w:hAnsi="Calibri"/>
                <w:sz w:val="18"/>
              </w:rPr>
              <w:t>All products, search, category, brand, add-to-cart from listing.</w:t>
            </w:r>
          </w:p>
        </w:tc>
      </w:tr>
      <w:tr>
        <w:tc>
          <w:tcPr>
            <w:tcW w:type="dxa" w:w="5112"/>
            <w:vAlign w:val="top"/>
          </w:tcPr>
          <w:p>
            <w:r>
              <w:rPr>
                <w:rFonts w:ascii="Calibri" w:hAnsi="Calibri"/>
                <w:sz w:val="18"/>
              </w:rPr>
              <w:t>ProductDetailsPage</w:t>
            </w:r>
          </w:p>
        </w:tc>
        <w:tc>
          <w:tcPr>
            <w:tcW w:type="dxa" w:w="5112"/>
            <w:vAlign w:val="top"/>
          </w:tcPr>
          <w:p>
            <w:r>
              <w:rPr>
                <w:rFonts w:ascii="Calibri" w:hAnsi="Calibri"/>
                <w:sz w:val="18"/>
              </w:rPr>
              <w:t>Product details, quantity, review submission, add-to-cart from details.</w:t>
            </w:r>
          </w:p>
        </w:tc>
      </w:tr>
      <w:tr>
        <w:tc>
          <w:tcPr>
            <w:tcW w:type="dxa" w:w="5112"/>
            <w:vAlign w:val="top"/>
          </w:tcPr>
          <w:p>
            <w:r>
              <w:rPr>
                <w:rFonts w:ascii="Calibri" w:hAnsi="Calibri"/>
                <w:sz w:val="18"/>
              </w:rPr>
              <w:t>CartPage</w:t>
            </w:r>
          </w:p>
        </w:tc>
        <w:tc>
          <w:tcPr>
            <w:tcW w:type="dxa" w:w="5112"/>
            <w:vAlign w:val="top"/>
          </w:tcPr>
          <w:p>
            <w:r>
              <w:rPr>
                <w:rFonts w:ascii="Calibri" w:hAnsi="Calibri"/>
                <w:sz w:val="18"/>
              </w:rPr>
              <w:t>Cart item validation, quantity/price checks, remove item, proceed to checkout.</w:t>
            </w:r>
          </w:p>
        </w:tc>
      </w:tr>
      <w:tr>
        <w:tc>
          <w:tcPr>
            <w:tcW w:type="dxa" w:w="5112"/>
            <w:vAlign w:val="top"/>
          </w:tcPr>
          <w:p>
            <w:r>
              <w:rPr>
                <w:rFonts w:ascii="Calibri" w:hAnsi="Calibri"/>
                <w:sz w:val="18"/>
              </w:rPr>
              <w:t>CheckoutPage</w:t>
            </w:r>
          </w:p>
        </w:tc>
        <w:tc>
          <w:tcPr>
            <w:tcW w:type="dxa" w:w="5112"/>
            <w:vAlign w:val="top"/>
          </w:tcPr>
          <w:p>
            <w:r>
              <w:rPr>
                <w:rFonts w:ascii="Calibri" w:hAnsi="Calibri"/>
                <w:sz w:val="18"/>
              </w:rPr>
              <w:t>Address details, order review, comment, place order.</w:t>
            </w:r>
          </w:p>
        </w:tc>
      </w:tr>
      <w:tr>
        <w:tc>
          <w:tcPr>
            <w:tcW w:type="dxa" w:w="5112"/>
            <w:vAlign w:val="top"/>
          </w:tcPr>
          <w:p>
            <w:r>
              <w:rPr>
                <w:rFonts w:ascii="Calibri" w:hAnsi="Calibri"/>
                <w:sz w:val="18"/>
              </w:rPr>
              <w:t>PaymentPage</w:t>
            </w:r>
          </w:p>
        </w:tc>
        <w:tc>
          <w:tcPr>
            <w:tcW w:type="dxa" w:w="5112"/>
            <w:vAlign w:val="top"/>
          </w:tcPr>
          <w:p>
            <w:r>
              <w:rPr>
                <w:rFonts w:ascii="Calibri" w:hAnsi="Calibri"/>
                <w:sz w:val="18"/>
              </w:rPr>
              <w:t>Payment entry, order confirmation, invoice download.</w:t>
            </w:r>
          </w:p>
        </w:tc>
      </w:tr>
      <w:tr>
        <w:tc>
          <w:tcPr>
            <w:tcW w:type="dxa" w:w="5112"/>
            <w:vAlign w:val="top"/>
          </w:tcPr>
          <w:p>
            <w:r>
              <w:rPr>
                <w:rFonts w:ascii="Calibri" w:hAnsi="Calibri"/>
                <w:sz w:val="18"/>
              </w:rPr>
              <w:t>ContactUsPage</w:t>
            </w:r>
          </w:p>
        </w:tc>
        <w:tc>
          <w:tcPr>
            <w:tcW w:type="dxa" w:w="5112"/>
            <w:vAlign w:val="top"/>
          </w:tcPr>
          <w:p>
            <w:r>
              <w:rPr>
                <w:rFonts w:ascii="Calibri" w:hAnsi="Calibri"/>
                <w:sz w:val="18"/>
              </w:rPr>
              <w:t>Contact form fields, file upload, submit, success verification.</w:t>
            </w:r>
          </w:p>
        </w:tc>
      </w:tr>
    </w:tbl>
    <w:p>
      <w:pPr>
        <w:pStyle w:val="Heading1"/>
      </w:pPr>
      <w:r>
        <w:t>7. Fixture Strategy</w:t>
      </w:r>
    </w:p>
    <w:p>
      <w:r>
        <w:t>Custom fixtures will provide ready-to-use page objects and API clients to test files. This avoids repeated object creation and keeps tests clean.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Pr>
                <w:rFonts w:ascii="Calibri" w:hAnsi="Calibri"/>
                <w:b/>
                <w:color w:val="FFFFFF"/>
                <w:sz w:val="18"/>
              </w:rPr>
              <w:t>Fixture</w:t>
            </w:r>
          </w:p>
        </w:tc>
        <w:tc>
          <w:tcPr>
            <w:tcW w:type="dxa" w:w="5112"/>
            <w:vAlign w:val="top"/>
            <w:shd w:fill="1F4E79"/>
          </w:tcPr>
          <w:p>
            <w:r>
              <w:rPr>
                <w:rFonts w:ascii="Calibri" w:hAnsi="Calibri"/>
                <w:b/>
                <w:color w:val="FFFFFF"/>
                <w:sz w:val="18"/>
              </w:rPr>
              <w:t>Purpose</w:t>
            </w:r>
          </w:p>
        </w:tc>
      </w:tr>
      <w:tr>
        <w:tc>
          <w:tcPr>
            <w:tcW w:type="dxa" w:w="5112"/>
            <w:vAlign w:val="top"/>
          </w:tcPr>
          <w:p>
            <w:r>
              <w:rPr>
                <w:rFonts w:ascii="Calibri" w:hAnsi="Calibri"/>
                <w:sz w:val="18"/>
              </w:rPr>
              <w:t>page objects</w:t>
            </w:r>
          </w:p>
        </w:tc>
        <w:tc>
          <w:tcPr>
            <w:tcW w:type="dxa" w:w="5112"/>
            <w:vAlign w:val="top"/>
          </w:tcPr>
          <w:p>
            <w:r>
              <w:rPr>
                <w:rFonts w:ascii="Calibri" w:hAnsi="Calibri"/>
                <w:sz w:val="18"/>
              </w:rPr>
              <w:t>Inject HomePage, LoginPage, ProductsPage, CartPage, CheckoutPage, ContactUsPage, and PaymentPage.</w:t>
            </w:r>
          </w:p>
        </w:tc>
      </w:tr>
      <w:tr>
        <w:tc>
          <w:tcPr>
            <w:tcW w:type="dxa" w:w="5112"/>
            <w:vAlign w:val="top"/>
          </w:tcPr>
          <w:p>
            <w:r>
              <w:rPr>
                <w:rFonts w:ascii="Calibri" w:hAnsi="Calibri"/>
                <w:sz w:val="18"/>
              </w:rPr>
              <w:t>api clients</w:t>
            </w:r>
          </w:p>
        </w:tc>
        <w:tc>
          <w:tcPr>
            <w:tcW w:type="dxa" w:w="5112"/>
            <w:vAlign w:val="top"/>
          </w:tcPr>
          <w:p>
            <w:r>
              <w:rPr>
                <w:rFonts w:ascii="Calibri" w:hAnsi="Calibri"/>
                <w:sz w:val="18"/>
              </w:rPr>
              <w:t>Inject ProductsApiClient, BrandsApiClient, and AuthApiClient for API tests.</w:t>
            </w:r>
          </w:p>
        </w:tc>
      </w:tr>
      <w:tr>
        <w:tc>
          <w:tcPr>
            <w:tcW w:type="dxa" w:w="5112"/>
            <w:vAlign w:val="top"/>
          </w:tcPr>
          <w:p>
            <w:r>
              <w:rPr>
                <w:rFonts w:ascii="Calibri" w:hAnsi="Calibri"/>
                <w:sz w:val="18"/>
              </w:rPr>
              <w:t>test data</w:t>
            </w:r>
          </w:p>
        </w:tc>
        <w:tc>
          <w:tcPr>
            <w:tcW w:type="dxa" w:w="5112"/>
            <w:vAlign w:val="top"/>
          </w:tcPr>
          <w:p>
            <w:r>
              <w:rPr>
                <w:rFonts w:ascii="Calibri" w:hAnsi="Calibri"/>
                <w:sz w:val="18"/>
              </w:rPr>
              <w:t>Load reusable JSON data for users, products, contact, checkout, and API payloads.</w:t>
            </w:r>
          </w:p>
        </w:tc>
      </w:tr>
      <w:tr>
        <w:tc>
          <w:tcPr>
            <w:tcW w:type="dxa" w:w="5112"/>
            <w:vAlign w:val="top"/>
          </w:tcPr>
          <w:p>
            <w:r>
              <w:rPr>
                <w:rFonts w:ascii="Calibri" w:hAnsi="Calibri"/>
                <w:sz w:val="18"/>
              </w:rPr>
              <w:t>authenticated state (future)</w:t>
            </w:r>
          </w:p>
        </w:tc>
        <w:tc>
          <w:tcPr>
            <w:tcW w:type="dxa" w:w="5112"/>
            <w:vAlign w:val="top"/>
          </w:tcPr>
          <w:p>
            <w:r>
              <w:rPr>
                <w:rFonts w:ascii="Calibri" w:hAnsi="Calibri"/>
                <w:sz w:val="18"/>
              </w:rPr>
              <w:t>Support login state reuse when stable and appropriate.</w:t>
            </w:r>
          </w:p>
        </w:tc>
      </w:tr>
    </w:tbl>
    <w:p>
      <w:r>
        <w:rPr>
          <w:rFonts w:ascii="Consolas" w:hAnsi="Consolas" w:eastAsia="Consolas"/>
          <w:sz w:val="18"/>
        </w:rPr>
        <w:t>// Example fixture concept</w:t>
        <w:br/>
        <w:t>const test = base.extend({</w:t>
        <w:br/>
        <w:t xml:space="preserve">  homePage: async ({ page }, use) =&gt; await use(new HomePage(page)),</w:t>
        <w:br/>
        <w:t xml:space="preserve">  productsApi: async ({ request }, use) =&gt; await use(new ProductsApiClient(request))</w:t>
        <w:br/>
        <w:t>});</w:t>
      </w:r>
    </w:p>
    <w:p>
      <w:pPr>
        <w:pStyle w:val="Heading1"/>
      </w:pPr>
      <w:r>
        <w:t>8. Utility Strategy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Pr>
                <w:rFonts w:ascii="Calibri" w:hAnsi="Calibri"/>
                <w:b/>
                <w:color w:val="FFFFFF"/>
                <w:sz w:val="18"/>
              </w:rPr>
              <w:t>Utility</w:t>
            </w:r>
          </w:p>
        </w:tc>
        <w:tc>
          <w:tcPr>
            <w:tcW w:type="dxa" w:w="5112"/>
            <w:vAlign w:val="top"/>
            <w:shd w:fill="1F4E79"/>
          </w:tcPr>
          <w:p>
            <w:r>
              <w:rPr>
                <w:rFonts w:ascii="Calibri" w:hAnsi="Calibri"/>
                <w:b/>
                <w:color w:val="FFFFFF"/>
                <w:sz w:val="18"/>
              </w:rPr>
              <w:t>Purpose</w:t>
            </w:r>
          </w:p>
        </w:tc>
      </w:tr>
      <w:tr>
        <w:tc>
          <w:tcPr>
            <w:tcW w:type="dxa" w:w="5112"/>
            <w:vAlign w:val="top"/>
          </w:tcPr>
          <w:p>
            <w:r>
              <w:rPr>
                <w:rFonts w:ascii="Calibri" w:hAnsi="Calibri"/>
                <w:sz w:val="18"/>
              </w:rPr>
              <w:t>dataGenerator.ts</w:t>
            </w:r>
          </w:p>
        </w:tc>
        <w:tc>
          <w:tcPr>
            <w:tcW w:type="dxa" w:w="5112"/>
            <w:vAlign w:val="top"/>
          </w:tcPr>
          <w:p>
            <w:r>
              <w:rPr>
                <w:rFonts w:ascii="Calibri" w:hAnsi="Calibri"/>
                <w:sz w:val="18"/>
              </w:rPr>
              <w:t>Generate unique emails, usernames, and timestamp-based dynamic data.</w:t>
            </w:r>
          </w:p>
        </w:tc>
      </w:tr>
      <w:tr>
        <w:tc>
          <w:tcPr>
            <w:tcW w:type="dxa" w:w="5112"/>
            <w:vAlign w:val="top"/>
          </w:tcPr>
          <w:p>
            <w:r>
              <w:rPr>
                <w:rFonts w:ascii="Calibri" w:hAnsi="Calibri"/>
                <w:sz w:val="18"/>
              </w:rPr>
              <w:t>fileUtils.ts</w:t>
            </w:r>
          </w:p>
        </w:tc>
        <w:tc>
          <w:tcPr>
            <w:tcW w:type="dxa" w:w="5112"/>
            <w:vAlign w:val="top"/>
          </w:tcPr>
          <w:p>
            <w:r>
              <w:rPr>
                <w:rFonts w:ascii="Calibri" w:hAnsi="Calibri"/>
                <w:sz w:val="18"/>
              </w:rPr>
              <w:t>Resolve file paths and validate downloaded files such as invoice download.</w:t>
            </w:r>
          </w:p>
        </w:tc>
      </w:tr>
      <w:tr>
        <w:tc>
          <w:tcPr>
            <w:tcW w:type="dxa" w:w="5112"/>
            <w:vAlign w:val="top"/>
          </w:tcPr>
          <w:p>
            <w:r>
              <w:rPr>
                <w:rFonts w:ascii="Calibri" w:hAnsi="Calibri"/>
                <w:sz w:val="18"/>
              </w:rPr>
              <w:t>dateUtils.ts</w:t>
            </w:r>
          </w:p>
        </w:tc>
        <w:tc>
          <w:tcPr>
            <w:tcW w:type="dxa" w:w="5112"/>
            <w:vAlign w:val="top"/>
          </w:tcPr>
          <w:p>
            <w:r>
              <w:rPr>
                <w:rFonts w:ascii="Calibri" w:hAnsi="Calibri"/>
                <w:sz w:val="18"/>
              </w:rPr>
              <w:t>Provide formatted timestamps for generated test data and report labels.</w:t>
            </w:r>
          </w:p>
        </w:tc>
      </w:tr>
      <w:tr>
        <w:tc>
          <w:tcPr>
            <w:tcW w:type="dxa" w:w="5112"/>
            <w:vAlign w:val="top"/>
          </w:tcPr>
          <w:p>
            <w:r>
              <w:rPr>
                <w:rFonts w:ascii="Calibri" w:hAnsi="Calibri"/>
                <w:sz w:val="18"/>
              </w:rPr>
              <w:t>logger.ts</w:t>
            </w:r>
          </w:p>
        </w:tc>
        <w:tc>
          <w:tcPr>
            <w:tcW w:type="dxa" w:w="5112"/>
            <w:vAlign w:val="top"/>
          </w:tcPr>
          <w:p>
            <w:r>
              <w:rPr>
                <w:rFonts w:ascii="Calibri" w:hAnsi="Calibri"/>
                <w:sz w:val="18"/>
              </w:rPr>
              <w:t>Provide optional execution logging for debugging and CI visibility.</w:t>
            </w:r>
          </w:p>
        </w:tc>
      </w:tr>
      <w:tr>
        <w:tc>
          <w:tcPr>
            <w:tcW w:type="dxa" w:w="5112"/>
            <w:vAlign w:val="top"/>
          </w:tcPr>
          <w:p>
            <w:r>
              <w:rPr>
                <w:rFonts w:ascii="Calibri" w:hAnsi="Calibri"/>
                <w:sz w:val="18"/>
              </w:rPr>
              <w:t>assertionUtils.ts</w:t>
            </w:r>
          </w:p>
        </w:tc>
        <w:tc>
          <w:tcPr>
            <w:tcW w:type="dxa" w:w="5112"/>
            <w:vAlign w:val="top"/>
          </w:tcPr>
          <w:p>
            <w:r>
              <w:rPr>
                <w:rFonts w:ascii="Calibri" w:hAnsi="Calibri"/>
                <w:sz w:val="18"/>
              </w:rPr>
              <w:t>Store shared business assertions when useful across tests.</w:t>
            </w:r>
          </w:p>
        </w:tc>
      </w:tr>
    </w:tbl>
    <w:p>
      <w:pPr>
        <w:pStyle w:val="Heading1"/>
      </w:pPr>
      <w:r>
        <w:t>9. API Client Architecture</w:t>
      </w:r>
    </w:p>
    <w:p>
      <w:r>
        <w:t>API testing will use Playwright APIRequestContext. API clients will encapsulate endpoint calls so tests validate business expectations without repeating request logic.</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Pr>
                <w:rFonts w:ascii="Calibri" w:hAnsi="Calibri"/>
                <w:b/>
                <w:color w:val="FFFFFF"/>
                <w:sz w:val="18"/>
              </w:rPr>
              <w:t>API Client</w:t>
            </w:r>
          </w:p>
        </w:tc>
        <w:tc>
          <w:tcPr>
            <w:tcW w:type="dxa" w:w="5112"/>
            <w:vAlign w:val="top"/>
            <w:shd w:fill="1F4E79"/>
          </w:tcPr>
          <w:p>
            <w:r>
              <w:rPr>
                <w:rFonts w:ascii="Calibri" w:hAnsi="Calibri"/>
                <w:b/>
                <w:color w:val="FFFFFF"/>
                <w:sz w:val="18"/>
              </w:rPr>
              <w:t>Supported Scope</w:t>
            </w:r>
          </w:p>
        </w:tc>
      </w:tr>
      <w:tr>
        <w:tc>
          <w:tcPr>
            <w:tcW w:type="dxa" w:w="5112"/>
            <w:vAlign w:val="top"/>
          </w:tcPr>
          <w:p>
            <w:r>
              <w:rPr>
                <w:rFonts w:ascii="Calibri" w:hAnsi="Calibri"/>
                <w:sz w:val="18"/>
              </w:rPr>
              <w:t>BaseApiClient</w:t>
            </w:r>
          </w:p>
        </w:tc>
        <w:tc>
          <w:tcPr>
            <w:tcW w:type="dxa" w:w="5112"/>
            <w:vAlign w:val="top"/>
          </w:tcPr>
          <w:p>
            <w:r>
              <w:rPr>
                <w:rFonts w:ascii="Calibri" w:hAnsi="Calibri"/>
                <w:sz w:val="18"/>
              </w:rPr>
              <w:t>Base URL handling, common request methods, shared response helpers.</w:t>
            </w:r>
          </w:p>
        </w:tc>
      </w:tr>
      <w:tr>
        <w:tc>
          <w:tcPr>
            <w:tcW w:type="dxa" w:w="5112"/>
            <w:vAlign w:val="top"/>
          </w:tcPr>
          <w:p>
            <w:r>
              <w:rPr>
                <w:rFonts w:ascii="Calibri" w:hAnsi="Calibri"/>
                <w:sz w:val="18"/>
              </w:rPr>
              <w:t>ProductsApiClient</w:t>
            </w:r>
          </w:p>
        </w:tc>
        <w:tc>
          <w:tcPr>
            <w:tcW w:type="dxa" w:w="5112"/>
            <w:vAlign w:val="top"/>
          </w:tcPr>
          <w:p>
            <w:r>
              <w:rPr>
                <w:rFonts w:ascii="Calibri" w:hAnsi="Calibri"/>
                <w:sz w:val="18"/>
              </w:rPr>
              <w:t>GET products list, unsupported POST products list, product search.</w:t>
            </w:r>
          </w:p>
        </w:tc>
      </w:tr>
      <w:tr>
        <w:tc>
          <w:tcPr>
            <w:tcW w:type="dxa" w:w="5112"/>
            <w:vAlign w:val="top"/>
          </w:tcPr>
          <w:p>
            <w:r>
              <w:rPr>
                <w:rFonts w:ascii="Calibri" w:hAnsi="Calibri"/>
                <w:sz w:val="18"/>
              </w:rPr>
              <w:t>BrandsApiClient</w:t>
            </w:r>
          </w:p>
        </w:tc>
        <w:tc>
          <w:tcPr>
            <w:tcW w:type="dxa" w:w="5112"/>
            <w:vAlign w:val="top"/>
          </w:tcPr>
          <w:p>
            <w:r>
              <w:rPr>
                <w:rFonts w:ascii="Calibri" w:hAnsi="Calibri"/>
                <w:sz w:val="18"/>
              </w:rPr>
              <w:t>GET brands list, unsupported PUT brands list.</w:t>
            </w:r>
          </w:p>
        </w:tc>
      </w:tr>
      <w:tr>
        <w:tc>
          <w:tcPr>
            <w:tcW w:type="dxa" w:w="5112"/>
            <w:vAlign w:val="top"/>
          </w:tcPr>
          <w:p>
            <w:r>
              <w:rPr>
                <w:rFonts w:ascii="Calibri" w:hAnsi="Calibri"/>
                <w:sz w:val="18"/>
              </w:rPr>
              <w:t>AuthApiClient</w:t>
            </w:r>
          </w:p>
        </w:tc>
        <w:tc>
          <w:tcPr>
            <w:tcW w:type="dxa" w:w="5112"/>
            <w:vAlign w:val="top"/>
          </w:tcPr>
          <w:p>
            <w:r>
              <w:rPr>
                <w:rFonts w:ascii="Calibri" w:hAnsi="Calibri"/>
                <w:sz w:val="18"/>
              </w:rPr>
              <w:t>Verify login valid and invalid credentials.</w:t>
            </w:r>
          </w:p>
        </w:tc>
      </w:tr>
    </w:tbl>
    <w:p>
      <w:r>
        <w:rPr>
          <w:rFonts w:ascii="Consolas" w:hAnsi="Consolas" w:eastAsia="Consolas"/>
          <w:sz w:val="18"/>
        </w:rPr>
        <w:t>// Example API client concept</w:t>
        <w:br/>
        <w:t>class ProductsApiClient {</w:t>
        <w:br/>
        <w:t xml:space="preserve">  constructor(private request: APIRequestContext) {}</w:t>
        <w:br/>
        <w:t xml:space="preserve">  async getProductsList() {</w:t>
        <w:br/>
        <w:t xml:space="preserve">    return this.request.get('/api/productsList');</w:t>
        <w:br/>
        <w:t xml:space="preserve">  }</w:t>
        <w:br/>
        <w:t>}</w:t>
      </w:r>
    </w:p>
    <w:p>
      <w:pPr>
        <w:pStyle w:val="Heading1"/>
      </w:pPr>
      <w:r>
        <w:t>10. Configuration Management</w:t>
      </w:r>
    </w:p>
    <w:p>
      <w:r>
        <w:t>Configuration will be centralized to avoid hard-coded values in tests. Environment-specific values will be handled through .env files and Playwright configuration.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Pr>
                <w:rFonts w:ascii="Calibri" w:hAnsi="Calibri"/>
                <w:b/>
                <w:color w:val="FFFFFF"/>
                <w:sz w:val="18"/>
              </w:rPr>
              <w:t>Config Item</w:t>
            </w:r>
          </w:p>
        </w:tc>
        <w:tc>
          <w:tcPr>
            <w:tcW w:type="dxa" w:w="5112"/>
            <w:vAlign w:val="top"/>
            <w:shd w:fill="1F4E79"/>
          </w:tcPr>
          <w:p>
            <w:r>
              <w:rPr>
                <w:rFonts w:ascii="Calibri" w:hAnsi="Calibri"/>
                <w:b/>
                <w:color w:val="FFFFFF"/>
                <w:sz w:val="18"/>
              </w:rPr>
              <w:t>Recommended Value / Strategy</w:t>
            </w:r>
          </w:p>
        </w:tc>
      </w:tr>
      <w:tr>
        <w:tc>
          <w:tcPr>
            <w:tcW w:type="dxa" w:w="5112"/>
            <w:vAlign w:val="top"/>
          </w:tcPr>
          <w:p>
            <w:r>
              <w:rPr>
                <w:rFonts w:ascii="Calibri" w:hAnsi="Calibri"/>
                <w:sz w:val="18"/>
              </w:rPr>
              <w:t>Base URL</w:t>
            </w:r>
          </w:p>
        </w:tc>
        <w:tc>
          <w:tcPr>
            <w:tcW w:type="dxa" w:w="5112"/>
            <w:vAlign w:val="top"/>
          </w:tcPr>
          <w:p>
            <w:r>
              <w:rPr>
                <w:rFonts w:ascii="Calibri" w:hAnsi="Calibri"/>
                <w:sz w:val="18"/>
              </w:rPr>
              <w:t>https://automationexercise.com</w:t>
            </w:r>
          </w:p>
        </w:tc>
      </w:tr>
      <w:tr>
        <w:tc>
          <w:tcPr>
            <w:tcW w:type="dxa" w:w="5112"/>
            <w:vAlign w:val="top"/>
          </w:tcPr>
          <w:p>
            <w:r>
              <w:rPr>
                <w:rFonts w:ascii="Calibri" w:hAnsi="Calibri"/>
                <w:sz w:val="18"/>
              </w:rPr>
              <w:t>Browsers</w:t>
            </w:r>
          </w:p>
        </w:tc>
        <w:tc>
          <w:tcPr>
            <w:tcW w:type="dxa" w:w="5112"/>
            <w:vAlign w:val="top"/>
          </w:tcPr>
          <w:p>
            <w:r>
              <w:rPr>
                <w:rFonts w:ascii="Calibri" w:hAnsi="Calibri"/>
                <w:sz w:val="18"/>
              </w:rPr>
              <w:t>Chromium, Firefox, WebKit as supported by Playwright. Edge can be added through channel configuration.</w:t>
            </w:r>
          </w:p>
        </w:tc>
      </w:tr>
      <w:tr>
        <w:tc>
          <w:tcPr>
            <w:tcW w:type="dxa" w:w="5112"/>
            <w:vAlign w:val="top"/>
          </w:tcPr>
          <w:p>
            <w:r>
              <w:rPr>
                <w:rFonts w:ascii="Calibri" w:hAnsi="Calibri"/>
                <w:sz w:val="18"/>
              </w:rPr>
              <w:t>Timeouts</w:t>
            </w:r>
          </w:p>
        </w:tc>
        <w:tc>
          <w:tcPr>
            <w:tcW w:type="dxa" w:w="5112"/>
            <w:vAlign w:val="top"/>
          </w:tcPr>
          <w:p>
            <w:r>
              <w:rPr>
                <w:rFonts w:ascii="Calibri" w:hAnsi="Calibri"/>
                <w:sz w:val="18"/>
              </w:rPr>
              <w:t>Centralized default timeout and expect timeout in playwright.config.ts.</w:t>
            </w:r>
          </w:p>
        </w:tc>
      </w:tr>
      <w:tr>
        <w:tc>
          <w:tcPr>
            <w:tcW w:type="dxa" w:w="5112"/>
            <w:vAlign w:val="top"/>
          </w:tcPr>
          <w:p>
            <w:r>
              <w:rPr>
                <w:rFonts w:ascii="Calibri" w:hAnsi="Calibri"/>
                <w:sz w:val="18"/>
              </w:rPr>
              <w:t>Retries</w:t>
            </w:r>
          </w:p>
        </w:tc>
        <w:tc>
          <w:tcPr>
            <w:tcW w:type="dxa" w:w="5112"/>
            <w:vAlign w:val="top"/>
          </w:tcPr>
          <w:p>
            <w:r>
              <w:rPr>
                <w:rFonts w:ascii="Calibri" w:hAnsi="Calibri"/>
                <w:sz w:val="18"/>
              </w:rPr>
              <w:t>Enabled in CI; limited or disabled locally depending on debugging needs.</w:t>
            </w:r>
          </w:p>
        </w:tc>
      </w:tr>
      <w:tr>
        <w:tc>
          <w:tcPr>
            <w:tcW w:type="dxa" w:w="5112"/>
            <w:vAlign w:val="top"/>
          </w:tcPr>
          <w:p>
            <w:r>
              <w:rPr>
                <w:rFonts w:ascii="Calibri" w:hAnsi="Calibri"/>
                <w:sz w:val="18"/>
              </w:rPr>
              <w:t>Workers</w:t>
            </w:r>
          </w:p>
        </w:tc>
        <w:tc>
          <w:tcPr>
            <w:tcW w:type="dxa" w:w="5112"/>
            <w:vAlign w:val="top"/>
          </w:tcPr>
          <w:p>
            <w:r>
              <w:rPr>
                <w:rFonts w:ascii="Calibri" w:hAnsi="Calibri"/>
                <w:sz w:val="18"/>
              </w:rPr>
              <w:t>Parallel execution enabled with controlled workers for CI stability.</w:t>
            </w:r>
          </w:p>
        </w:tc>
      </w:tr>
      <w:tr>
        <w:tc>
          <w:tcPr>
            <w:tcW w:type="dxa" w:w="5112"/>
            <w:vAlign w:val="top"/>
          </w:tcPr>
          <w:p>
            <w:r>
              <w:rPr>
                <w:rFonts w:ascii="Calibri" w:hAnsi="Calibri"/>
                <w:sz w:val="18"/>
              </w:rPr>
              <w:t>Trace</w:t>
            </w:r>
          </w:p>
        </w:tc>
        <w:tc>
          <w:tcPr>
            <w:tcW w:type="dxa" w:w="5112"/>
            <w:vAlign w:val="top"/>
          </w:tcPr>
          <w:p>
            <w:r>
              <w:rPr>
                <w:rFonts w:ascii="Calibri" w:hAnsi="Calibri"/>
                <w:sz w:val="18"/>
              </w:rPr>
              <w:t>Retain on failure.</w:t>
            </w:r>
          </w:p>
        </w:tc>
      </w:tr>
      <w:tr>
        <w:tc>
          <w:tcPr>
            <w:tcW w:type="dxa" w:w="5112"/>
            <w:vAlign w:val="top"/>
          </w:tcPr>
          <w:p>
            <w:r>
              <w:rPr>
                <w:rFonts w:ascii="Calibri" w:hAnsi="Calibri"/>
                <w:sz w:val="18"/>
              </w:rPr>
              <w:t>Screenshot</w:t>
            </w:r>
          </w:p>
        </w:tc>
        <w:tc>
          <w:tcPr>
            <w:tcW w:type="dxa" w:w="5112"/>
            <w:vAlign w:val="top"/>
          </w:tcPr>
          <w:p>
            <w:r>
              <w:rPr>
                <w:rFonts w:ascii="Calibri" w:hAnsi="Calibri"/>
                <w:sz w:val="18"/>
              </w:rPr>
              <w:t>Capture on failure.</w:t>
            </w:r>
          </w:p>
        </w:tc>
      </w:tr>
      <w:tr>
        <w:tc>
          <w:tcPr>
            <w:tcW w:type="dxa" w:w="5112"/>
            <w:vAlign w:val="top"/>
          </w:tcPr>
          <w:p>
            <w:r>
              <w:rPr>
                <w:rFonts w:ascii="Calibri" w:hAnsi="Calibri"/>
                <w:sz w:val="18"/>
              </w:rPr>
              <w:t>Video</w:t>
            </w:r>
          </w:p>
        </w:tc>
        <w:tc>
          <w:tcPr>
            <w:tcW w:type="dxa" w:w="5112"/>
            <w:vAlign w:val="top"/>
          </w:tcPr>
          <w:p>
            <w:r>
              <w:rPr>
                <w:rFonts w:ascii="Calibri" w:hAnsi="Calibri"/>
                <w:sz w:val="18"/>
              </w:rPr>
              <w:t>Optional, retain on failure if needed.</w:t>
            </w:r>
          </w:p>
        </w:tc>
      </w:tr>
    </w:tbl>
    <w:p>
      <w:pPr>
        <w:pStyle w:val="Heading1"/>
      </w:pPr>
      <w:r>
        <w:t>11. Test Data Architecture</w:t>
      </w:r>
    </w:p>
    <w:p>
      <w:r>
        <w:t>Test data will be stored in JSON files under the test-data directory. Dynamic account creation tests will generate unique emails at runtime to prevent duplicate registration failures. Static values such as payment dummy data, contact form data, search keywords, and address records will remain centralized.</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Pr>
                <w:rFonts w:ascii="Calibri" w:hAnsi="Calibri"/>
                <w:b/>
                <w:color w:val="FFFFFF"/>
                <w:sz w:val="18"/>
              </w:rPr>
              <w:t>Data File</w:t>
            </w:r>
          </w:p>
        </w:tc>
        <w:tc>
          <w:tcPr>
            <w:tcW w:type="dxa" w:w="5112"/>
            <w:vAlign w:val="top"/>
            <w:shd w:fill="1F4E79"/>
          </w:tcPr>
          <w:p>
            <w:r>
              <w:rPr>
                <w:rFonts w:ascii="Calibri" w:hAnsi="Calibri"/>
                <w:b/>
                <w:color w:val="FFFFFF"/>
                <w:sz w:val="18"/>
              </w:rPr>
              <w:t>Purpose</w:t>
            </w:r>
          </w:p>
        </w:tc>
      </w:tr>
      <w:tr>
        <w:tc>
          <w:tcPr>
            <w:tcW w:type="dxa" w:w="5112"/>
            <w:vAlign w:val="top"/>
          </w:tcPr>
          <w:p>
            <w:r>
              <w:rPr>
                <w:rFonts w:ascii="Calibri" w:hAnsi="Calibri"/>
                <w:sz w:val="18"/>
              </w:rPr>
              <w:t>users.json</w:t>
            </w:r>
          </w:p>
        </w:tc>
        <w:tc>
          <w:tcPr>
            <w:tcW w:type="dxa" w:w="5112"/>
            <w:vAlign w:val="top"/>
          </w:tcPr>
          <w:p>
            <w:r>
              <w:rPr>
                <w:rFonts w:ascii="Calibri" w:hAnsi="Calibri"/>
                <w:sz w:val="18"/>
              </w:rPr>
              <w:t>Valid user, dynamic user template, existing user, invalid user.</w:t>
            </w:r>
          </w:p>
        </w:tc>
      </w:tr>
      <w:tr>
        <w:tc>
          <w:tcPr>
            <w:tcW w:type="dxa" w:w="5112"/>
            <w:vAlign w:val="top"/>
          </w:tcPr>
          <w:p>
            <w:r>
              <w:rPr>
                <w:rFonts w:ascii="Calibri" w:hAnsi="Calibri"/>
                <w:sz w:val="18"/>
              </w:rPr>
              <w:t>addresses.json</w:t>
            </w:r>
          </w:p>
        </w:tc>
        <w:tc>
          <w:tcPr>
            <w:tcW w:type="dxa" w:w="5112"/>
            <w:vAlign w:val="top"/>
          </w:tcPr>
          <w:p>
            <w:r>
              <w:rPr>
                <w:rFonts w:ascii="Calibri" w:hAnsi="Calibri"/>
                <w:sz w:val="18"/>
              </w:rPr>
              <w:t>Billing and delivery address details.</w:t>
            </w:r>
          </w:p>
        </w:tc>
      </w:tr>
      <w:tr>
        <w:tc>
          <w:tcPr>
            <w:tcW w:type="dxa" w:w="5112"/>
            <w:vAlign w:val="top"/>
          </w:tcPr>
          <w:p>
            <w:r>
              <w:rPr>
                <w:rFonts w:ascii="Calibri" w:hAnsi="Calibri"/>
                <w:sz w:val="18"/>
              </w:rPr>
              <w:t>products.json</w:t>
            </w:r>
          </w:p>
        </w:tc>
        <w:tc>
          <w:tcPr>
            <w:tcW w:type="dxa" w:w="5112"/>
            <w:vAlign w:val="top"/>
          </w:tcPr>
          <w:p>
            <w:r>
              <w:rPr>
                <w:rFonts w:ascii="Calibri" w:hAnsi="Calibri"/>
                <w:sz w:val="18"/>
              </w:rPr>
              <w:t>Search keywords, product selection rules, category, brand, recommended items.</w:t>
            </w:r>
          </w:p>
        </w:tc>
      </w:tr>
      <w:tr>
        <w:tc>
          <w:tcPr>
            <w:tcW w:type="dxa" w:w="5112"/>
            <w:vAlign w:val="top"/>
          </w:tcPr>
          <w:p>
            <w:r>
              <w:rPr>
                <w:rFonts w:ascii="Calibri" w:hAnsi="Calibri"/>
                <w:sz w:val="18"/>
              </w:rPr>
              <w:t>contact-us.json</w:t>
            </w:r>
          </w:p>
        </w:tc>
        <w:tc>
          <w:tcPr>
            <w:tcW w:type="dxa" w:w="5112"/>
            <w:vAlign w:val="top"/>
          </w:tcPr>
          <w:p>
            <w:r>
              <w:rPr>
                <w:rFonts w:ascii="Calibri" w:hAnsi="Calibri"/>
                <w:sz w:val="18"/>
              </w:rPr>
              <w:t>Contact form input and upload file reference.</w:t>
            </w:r>
          </w:p>
        </w:tc>
      </w:tr>
      <w:tr>
        <w:tc>
          <w:tcPr>
            <w:tcW w:type="dxa" w:w="5112"/>
            <w:vAlign w:val="top"/>
          </w:tcPr>
          <w:p>
            <w:r>
              <w:rPr>
                <w:rFonts w:ascii="Calibri" w:hAnsi="Calibri"/>
                <w:sz w:val="18"/>
              </w:rPr>
              <w:t>checkout.json</w:t>
            </w:r>
          </w:p>
        </w:tc>
        <w:tc>
          <w:tcPr>
            <w:tcW w:type="dxa" w:w="5112"/>
            <w:vAlign w:val="top"/>
          </w:tcPr>
          <w:p>
            <w:r>
              <w:rPr>
                <w:rFonts w:ascii="Calibri" w:hAnsi="Calibri"/>
                <w:sz w:val="18"/>
              </w:rPr>
              <w:t>Order comment, dummy payment data, invoice expectations.</w:t>
            </w:r>
          </w:p>
        </w:tc>
      </w:tr>
      <w:tr>
        <w:tc>
          <w:tcPr>
            <w:tcW w:type="dxa" w:w="5112"/>
            <w:vAlign w:val="top"/>
          </w:tcPr>
          <w:p>
            <w:r>
              <w:rPr>
                <w:rFonts w:ascii="Calibri" w:hAnsi="Calibri"/>
                <w:sz w:val="18"/>
              </w:rPr>
              <w:t>api-payloads.json</w:t>
            </w:r>
          </w:p>
        </w:tc>
        <w:tc>
          <w:tcPr>
            <w:tcW w:type="dxa" w:w="5112"/>
            <w:vAlign w:val="top"/>
          </w:tcPr>
          <w:p>
            <w:r>
              <w:rPr>
                <w:rFonts w:ascii="Calibri" w:hAnsi="Calibri"/>
                <w:sz w:val="18"/>
              </w:rPr>
              <w:t>API payloads and request parameter sets.</w:t>
            </w:r>
          </w:p>
        </w:tc>
      </w:tr>
    </w:tbl>
    <w:p>
      <w:pPr>
        <w:pStyle w:val="Heading1"/>
      </w:pPr>
      <w:r>
        <w:t>12. Reporting Strategy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Pr>
                <w:rFonts w:ascii="Calibri" w:hAnsi="Calibri"/>
                <w:b/>
                <w:color w:val="FFFFFF"/>
                <w:sz w:val="18"/>
              </w:rPr>
              <w:t>Report / Evidence</w:t>
            </w:r>
          </w:p>
        </w:tc>
        <w:tc>
          <w:tcPr>
            <w:tcW w:type="dxa" w:w="5112"/>
            <w:vAlign w:val="top"/>
            <w:shd w:fill="1F4E79"/>
          </w:tcPr>
          <w:p>
            <w:r>
              <w:rPr>
                <w:rFonts w:ascii="Calibri" w:hAnsi="Calibri"/>
                <w:b/>
                <w:color w:val="FFFFFF"/>
                <w:sz w:val="18"/>
              </w:rPr>
              <w:t>Strategy</w:t>
            </w:r>
          </w:p>
        </w:tc>
      </w:tr>
      <w:tr>
        <w:tc>
          <w:tcPr>
            <w:tcW w:type="dxa" w:w="5112"/>
            <w:vAlign w:val="top"/>
          </w:tcPr>
          <w:p>
            <w:r>
              <w:rPr>
                <w:rFonts w:ascii="Calibri" w:hAnsi="Calibri"/>
                <w:sz w:val="18"/>
              </w:rPr>
              <w:t>Playwright HTML Report</w:t>
            </w:r>
          </w:p>
        </w:tc>
        <w:tc>
          <w:tcPr>
            <w:tcW w:type="dxa" w:w="5112"/>
            <w:vAlign w:val="top"/>
          </w:tcPr>
          <w:p>
            <w:r>
              <w:rPr>
                <w:rFonts w:ascii="Calibri" w:hAnsi="Calibri"/>
                <w:sz w:val="18"/>
              </w:rPr>
              <w:t>Primary local and CI execution report.</w:t>
            </w:r>
          </w:p>
        </w:tc>
      </w:tr>
      <w:tr>
        <w:tc>
          <w:tcPr>
            <w:tcW w:type="dxa" w:w="5112"/>
            <w:vAlign w:val="top"/>
          </w:tcPr>
          <w:p>
            <w:r>
              <w:rPr>
                <w:rFonts w:ascii="Calibri" w:hAnsi="Calibri"/>
                <w:sz w:val="18"/>
              </w:rPr>
              <w:t>Screenshots</w:t>
            </w:r>
          </w:p>
        </w:tc>
        <w:tc>
          <w:tcPr>
            <w:tcW w:type="dxa" w:w="5112"/>
            <w:vAlign w:val="top"/>
          </w:tcPr>
          <w:p>
            <w:r>
              <w:rPr>
                <w:rFonts w:ascii="Calibri" w:hAnsi="Calibri"/>
                <w:sz w:val="18"/>
              </w:rPr>
              <w:t>Captured on failure for UI tests.</w:t>
            </w:r>
          </w:p>
        </w:tc>
      </w:tr>
      <w:tr>
        <w:tc>
          <w:tcPr>
            <w:tcW w:type="dxa" w:w="5112"/>
            <w:vAlign w:val="top"/>
          </w:tcPr>
          <w:p>
            <w:r>
              <w:rPr>
                <w:rFonts w:ascii="Calibri" w:hAnsi="Calibri"/>
                <w:sz w:val="18"/>
              </w:rPr>
              <w:t>Trace Viewer</w:t>
            </w:r>
          </w:p>
        </w:tc>
        <w:tc>
          <w:tcPr>
            <w:tcW w:type="dxa" w:w="5112"/>
            <w:vAlign w:val="top"/>
          </w:tcPr>
          <w:p>
            <w:r>
              <w:rPr>
                <w:rFonts w:ascii="Calibri" w:hAnsi="Calibri"/>
                <w:sz w:val="18"/>
              </w:rPr>
              <w:t>Retained on failure to debug UI execution.</w:t>
            </w:r>
          </w:p>
        </w:tc>
      </w:tr>
      <w:tr>
        <w:tc>
          <w:tcPr>
            <w:tcW w:type="dxa" w:w="5112"/>
            <w:vAlign w:val="top"/>
          </w:tcPr>
          <w:p>
            <w:r>
              <w:rPr>
                <w:rFonts w:ascii="Calibri" w:hAnsi="Calibri"/>
                <w:sz w:val="18"/>
              </w:rPr>
              <w:t>Video</w:t>
            </w:r>
          </w:p>
        </w:tc>
        <w:tc>
          <w:tcPr>
            <w:tcW w:type="dxa" w:w="5112"/>
            <w:vAlign w:val="top"/>
          </w:tcPr>
          <w:p>
            <w:r>
              <w:rPr>
                <w:rFonts w:ascii="Calibri" w:hAnsi="Calibri"/>
                <w:sz w:val="18"/>
              </w:rPr>
              <w:t>Optional; retained on failure if enabled.</w:t>
            </w:r>
          </w:p>
        </w:tc>
      </w:tr>
      <w:tr>
        <w:tc>
          <w:tcPr>
            <w:tcW w:type="dxa" w:w="5112"/>
            <w:vAlign w:val="top"/>
          </w:tcPr>
          <w:p>
            <w:r>
              <w:rPr>
                <w:rFonts w:ascii="Calibri" w:hAnsi="Calibri"/>
                <w:sz w:val="18"/>
              </w:rPr>
              <w:t>CI Artifacts</w:t>
            </w:r>
          </w:p>
        </w:tc>
        <w:tc>
          <w:tcPr>
            <w:tcW w:type="dxa" w:w="5112"/>
            <w:vAlign w:val="top"/>
          </w:tcPr>
          <w:p>
            <w:r>
              <w:rPr>
                <w:rFonts w:ascii="Calibri" w:hAnsi="Calibri"/>
                <w:sz w:val="18"/>
              </w:rPr>
              <w:t>HTML report and test results uploaded from GitHub Actions.</w:t>
            </w:r>
          </w:p>
        </w:tc>
      </w:tr>
      <w:tr>
        <w:tc>
          <w:tcPr>
            <w:tcW w:type="dxa" w:w="5112"/>
            <w:vAlign w:val="top"/>
          </w:tcPr>
          <w:p>
            <w:r>
              <w:rPr>
                <w:rFonts w:ascii="Calibri" w:hAnsi="Calibri"/>
                <w:sz w:val="18"/>
              </w:rPr>
              <w:t>Allure Report</w:t>
            </w:r>
          </w:p>
        </w:tc>
        <w:tc>
          <w:tcPr>
            <w:tcW w:type="dxa" w:w="5112"/>
            <w:vAlign w:val="top"/>
          </w:tcPr>
          <w:p>
            <w:r>
              <w:rPr>
                <w:rFonts w:ascii="Calibri" w:hAnsi="Calibri"/>
                <w:sz w:val="18"/>
              </w:rPr>
              <w:t>Optional future enhancement if richer reporting is required.</w:t>
            </w:r>
          </w:p>
        </w:tc>
      </w:tr>
    </w:tbl>
    <w:p>
      <w:pPr>
        <w:pStyle w:val="Heading1"/>
      </w:pPr>
      <w:r>
        <w:t>13. Test Tagging Strategy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Pr>
                <w:rFonts w:ascii="Calibri" w:hAnsi="Calibri"/>
                <w:b/>
                <w:color w:val="FFFFFF"/>
                <w:sz w:val="18"/>
              </w:rPr>
              <w:t>Tag</w:t>
            </w:r>
          </w:p>
        </w:tc>
        <w:tc>
          <w:tcPr>
            <w:tcW w:type="dxa" w:w="5112"/>
            <w:vAlign w:val="top"/>
            <w:shd w:fill="1F4E79"/>
          </w:tcPr>
          <w:p>
            <w:r>
              <w:rPr>
                <w:rFonts w:ascii="Calibri" w:hAnsi="Calibri"/>
                <w:b/>
                <w:color w:val="FFFFFF"/>
                <w:sz w:val="18"/>
              </w:rPr>
              <w:t>Purpose</w:t>
            </w:r>
          </w:p>
        </w:tc>
      </w:tr>
      <w:tr>
        <w:tc>
          <w:tcPr>
            <w:tcW w:type="dxa" w:w="5112"/>
            <w:vAlign w:val="top"/>
          </w:tcPr>
          <w:p>
            <w:r>
              <w:rPr>
                <w:rFonts w:ascii="Calibri" w:hAnsi="Calibri"/>
                <w:sz w:val="18"/>
              </w:rPr>
              <w:t>@smoke</w:t>
            </w:r>
          </w:p>
        </w:tc>
        <w:tc>
          <w:tcPr>
            <w:tcW w:type="dxa" w:w="5112"/>
            <w:vAlign w:val="top"/>
          </w:tcPr>
          <w:p>
            <w:r>
              <w:rPr>
                <w:rFonts w:ascii="Calibri" w:hAnsi="Calibri"/>
                <w:sz w:val="18"/>
              </w:rPr>
              <w:t>Critical checks such as home page, login, products, and API availability.</w:t>
            </w:r>
          </w:p>
        </w:tc>
      </w:tr>
      <w:tr>
        <w:tc>
          <w:tcPr>
            <w:tcW w:type="dxa" w:w="5112"/>
            <w:vAlign w:val="top"/>
          </w:tcPr>
          <w:p>
            <w:r>
              <w:rPr>
                <w:rFonts w:ascii="Calibri" w:hAnsi="Calibri"/>
                <w:sz w:val="18"/>
              </w:rPr>
              <w:t>@regression</w:t>
            </w:r>
          </w:p>
        </w:tc>
        <w:tc>
          <w:tcPr>
            <w:tcW w:type="dxa" w:w="5112"/>
            <w:vAlign w:val="top"/>
          </w:tcPr>
          <w:p>
            <w:r>
              <w:rPr>
                <w:rFonts w:ascii="Calibri" w:hAnsi="Calibri"/>
                <w:sz w:val="18"/>
              </w:rPr>
              <w:t>Full Phase 1 test suite.</w:t>
            </w:r>
          </w:p>
        </w:tc>
      </w:tr>
      <w:tr>
        <w:tc>
          <w:tcPr>
            <w:tcW w:type="dxa" w:w="5112"/>
            <w:vAlign w:val="top"/>
          </w:tcPr>
          <w:p>
            <w:r>
              <w:rPr>
                <w:rFonts w:ascii="Calibri" w:hAnsi="Calibri"/>
                <w:sz w:val="18"/>
              </w:rPr>
              <w:t>@ui</w:t>
            </w:r>
          </w:p>
        </w:tc>
        <w:tc>
          <w:tcPr>
            <w:tcW w:type="dxa" w:w="5112"/>
            <w:vAlign w:val="top"/>
          </w:tcPr>
          <w:p>
            <w:r>
              <w:rPr>
                <w:rFonts w:ascii="Calibri" w:hAnsi="Calibri"/>
                <w:sz w:val="18"/>
              </w:rPr>
              <w:t>UI automation tests.</w:t>
            </w:r>
          </w:p>
        </w:tc>
      </w:tr>
      <w:tr>
        <w:tc>
          <w:tcPr>
            <w:tcW w:type="dxa" w:w="5112"/>
            <w:vAlign w:val="top"/>
          </w:tcPr>
          <w:p>
            <w:r>
              <w:rPr>
                <w:rFonts w:ascii="Calibri" w:hAnsi="Calibri"/>
                <w:sz w:val="18"/>
              </w:rPr>
              <w:t>@api</w:t>
            </w:r>
          </w:p>
        </w:tc>
        <w:tc>
          <w:tcPr>
            <w:tcW w:type="dxa" w:w="5112"/>
            <w:vAlign w:val="top"/>
          </w:tcPr>
          <w:p>
            <w:r>
              <w:rPr>
                <w:rFonts w:ascii="Calibri" w:hAnsi="Calibri"/>
                <w:sz w:val="18"/>
              </w:rPr>
              <w:t>API automation tests.</w:t>
            </w:r>
          </w:p>
        </w:tc>
      </w:tr>
      <w:tr>
        <w:tc>
          <w:tcPr>
            <w:tcW w:type="dxa" w:w="5112"/>
            <w:vAlign w:val="top"/>
          </w:tcPr>
          <w:p>
            <w:r>
              <w:rPr>
                <w:rFonts w:ascii="Calibri" w:hAnsi="Calibri"/>
                <w:sz w:val="18"/>
              </w:rPr>
              <w:t>@e2e</w:t>
            </w:r>
          </w:p>
        </w:tc>
        <w:tc>
          <w:tcPr>
            <w:tcW w:type="dxa" w:w="5112"/>
            <w:vAlign w:val="top"/>
          </w:tcPr>
          <w:p>
            <w:r>
              <w:rPr>
                <w:rFonts w:ascii="Calibri" w:hAnsi="Calibri"/>
                <w:sz w:val="18"/>
              </w:rPr>
              <w:t>End-to-end user journeys.</w:t>
            </w:r>
          </w:p>
        </w:tc>
      </w:tr>
      <w:tr>
        <w:tc>
          <w:tcPr>
            <w:tcW w:type="dxa" w:w="5112"/>
            <w:vAlign w:val="top"/>
          </w:tcPr>
          <w:p>
            <w:r>
              <w:rPr>
                <w:rFonts w:ascii="Calibri" w:hAnsi="Calibri"/>
                <w:sz w:val="18"/>
              </w:rPr>
              <w:t>@hybrid</w:t>
            </w:r>
          </w:p>
        </w:tc>
        <w:tc>
          <w:tcPr>
            <w:tcW w:type="dxa" w:w="5112"/>
            <w:vAlign w:val="top"/>
          </w:tcPr>
          <w:p>
            <w:r>
              <w:rPr>
                <w:rFonts w:ascii="Calibri" w:hAnsi="Calibri"/>
                <w:sz w:val="18"/>
              </w:rPr>
              <w:t>Combined UI + API flows.</w:t>
            </w:r>
          </w:p>
        </w:tc>
      </w:tr>
      <w:tr>
        <w:tc>
          <w:tcPr>
            <w:tcW w:type="dxa" w:w="5112"/>
            <w:vAlign w:val="top"/>
          </w:tcPr>
          <w:p>
            <w:r>
              <w:rPr>
                <w:rFonts w:ascii="Calibri" w:hAnsi="Calibri"/>
                <w:sz w:val="18"/>
              </w:rPr>
              <w:t>@negative</w:t>
            </w:r>
          </w:p>
        </w:tc>
        <w:tc>
          <w:tcPr>
            <w:tcW w:type="dxa" w:w="5112"/>
            <w:vAlign w:val="top"/>
          </w:tcPr>
          <w:p>
            <w:r>
              <w:rPr>
                <w:rFonts w:ascii="Calibri" w:hAnsi="Calibri"/>
                <w:sz w:val="18"/>
              </w:rPr>
              <w:t>Negative validation scenarios.</w:t>
            </w:r>
          </w:p>
        </w:tc>
      </w:tr>
    </w:tbl>
    <w:p>
      <w:pPr>
        <w:pStyle w:val="Heading1"/>
      </w:pPr>
      <w:r>
        <w:t>14. CI/CD Architecture</w:t>
      </w:r>
    </w:p>
    <w:p>
      <w:r>
        <w:t>GitHub Actions will execute the automation suite on code changes and on manual trigger. The workflow will install dependencies, install Playwright browsers, run tests, and upload reports as artifacts.</w:t>
      </w:r>
    </w:p>
    <w:p>
      <w:r>
        <w:rPr>
          <w:rFonts w:ascii="Consolas" w:hAnsi="Consolas" w:eastAsia="Consolas"/>
          <w:sz w:val="18"/>
        </w:rPr>
        <w:t>GitHub Push / Pull Request</w:t>
        <w:br/>
        <w:t xml:space="preserve">  ↓</w:t>
        <w:br/>
        <w:t>Checkout Repository</w:t>
        <w:br/>
        <w:t xml:space="preserve">  ↓</w:t>
        <w:br/>
        <w:t>Install Node Dependencies</w:t>
        <w:br/>
        <w:t xml:space="preserve">  ↓</w:t>
        <w:br/>
        <w:t>Install Playwright Browsers</w:t>
        <w:br/>
        <w:t xml:space="preserve">  ↓</w:t>
        <w:br/>
        <w:t>Run UI/API/Regression Tests</w:t>
        <w:br/>
        <w:t xml:space="preserve">  ↓</w:t>
        <w:br/>
        <w:t>Generate HTML Report</w:t>
        <w:br/>
        <w:t xml:space="preserve">  ↓</w:t>
        <w:br/>
        <w:t>Upload Report Artifact</w:t>
      </w:r>
    </w:p>
    <w:p>
      <w:pPr>
        <w:pStyle w:val="Heading1"/>
      </w:pPr>
      <w:r>
        <w:t>15. Coding Standards</w:t>
      </w:r>
    </w:p>
    <w:p>
      <w:pPr>
        <w:pStyle w:val="ListBullet"/>
      </w:pPr>
      <w:r>
        <w:t>Use TypeScript strict typing wherever practical.</w:t>
      </w:r>
    </w:p>
    <w:p>
      <w:pPr>
        <w:pStyle w:val="ListBullet"/>
      </w:pPr>
      <w:r>
        <w:t>Keep test files business-readable and avoid low-level locator details inside tests.</w:t>
      </w:r>
    </w:p>
    <w:p>
      <w:pPr>
        <w:pStyle w:val="ListBullet"/>
      </w:pPr>
      <w:r>
        <w:t>Use Playwright recommended locators such as getByRole, getByText, getByLabel, and stable CSS only when needed.</w:t>
      </w:r>
    </w:p>
    <w:p>
      <w:pPr>
        <w:pStyle w:val="ListBullet"/>
      </w:pPr>
      <w:r>
        <w:t>Avoid hard-coded test data inside test files; use centralized test-data files and helper functions.</w:t>
      </w:r>
    </w:p>
    <w:p>
      <w:pPr>
        <w:pStyle w:val="ListBullet"/>
      </w:pPr>
      <w:r>
        <w:t>Keep page objects focused on page behavior, not test assertions unless the assertion is page-specific and reusable.</w:t>
      </w:r>
    </w:p>
    <w:p>
      <w:pPr>
        <w:pStyle w:val="ListBullet"/>
      </w:pPr>
      <w:r>
        <w:t>Prefer isolated tests that can run independently and in parallel.</w:t>
      </w:r>
    </w:p>
    <w:p>
      <w:pPr>
        <w:pStyle w:val="ListBullet"/>
      </w:pPr>
      <w:r>
        <w:t>Use clear naming for specs, methods, fixtures, and data objects.</w:t>
      </w:r>
    </w:p>
    <w:p>
      <w:pPr>
        <w:pStyle w:val="Heading1"/>
      </w:pPr>
      <w:r>
        <w:t>16. Architecture Risks and Mitigation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Pr>
                <w:rFonts w:ascii="Calibri" w:hAnsi="Calibri"/>
                <w:b/>
                <w:color w:val="FFFFFF"/>
                <w:sz w:val="18"/>
              </w:rPr>
              <w:t>Risk</w:t>
            </w:r>
          </w:p>
        </w:tc>
        <w:tc>
          <w:tcPr>
            <w:tcW w:type="dxa" w:w="3408"/>
            <w:vAlign w:val="top"/>
            <w:shd w:fill="1F4E79"/>
          </w:tcPr>
          <w:p>
            <w:r>
              <w:rPr>
                <w:rFonts w:ascii="Calibri" w:hAnsi="Calibri"/>
                <w:b/>
                <w:color w:val="FFFFFF"/>
                <w:sz w:val="18"/>
              </w:rPr>
              <w:t>Impact</w:t>
            </w:r>
          </w:p>
        </w:tc>
        <w:tc>
          <w:tcPr>
            <w:tcW w:type="dxa" w:w="3408"/>
            <w:vAlign w:val="top"/>
            <w:shd w:fill="1F4E79"/>
          </w:tcPr>
          <w:p>
            <w:r>
              <w:rPr>
                <w:rFonts w:ascii="Calibri" w:hAnsi="Calibri"/>
                <w:b/>
                <w:color w:val="FFFFFF"/>
                <w:sz w:val="18"/>
              </w:rPr>
              <w:t>Mitigation</w:t>
            </w:r>
          </w:p>
        </w:tc>
      </w:tr>
      <w:tr>
        <w:tc>
          <w:tcPr>
            <w:tcW w:type="dxa" w:w="3408"/>
            <w:vAlign w:val="top"/>
          </w:tcPr>
          <w:p>
            <w:r>
              <w:rPr>
                <w:rFonts w:ascii="Calibri" w:hAnsi="Calibri"/>
                <w:sz w:val="18"/>
              </w:rPr>
              <w:t>Flaky UI elements</w:t>
            </w:r>
          </w:p>
        </w:tc>
        <w:tc>
          <w:tcPr>
            <w:tcW w:type="dxa" w:w="3408"/>
            <w:vAlign w:val="top"/>
          </w:tcPr>
          <w:p>
            <w:r>
              <w:rPr>
                <w:rFonts w:ascii="Calibri" w:hAnsi="Calibri"/>
                <w:sz w:val="18"/>
              </w:rPr>
              <w:t>Unstable automation results</w:t>
            </w:r>
          </w:p>
        </w:tc>
        <w:tc>
          <w:tcPr>
            <w:tcW w:type="dxa" w:w="3408"/>
            <w:vAlign w:val="top"/>
          </w:tcPr>
          <w:p>
            <w:r>
              <w:rPr>
                <w:rFonts w:ascii="Calibri" w:hAnsi="Calibri"/>
                <w:sz w:val="18"/>
              </w:rPr>
              <w:t>Use robust locators, Playwright auto-waiting, and page object encapsulation.</w:t>
            </w:r>
          </w:p>
        </w:tc>
      </w:tr>
      <w:tr>
        <w:tc>
          <w:tcPr>
            <w:tcW w:type="dxa" w:w="3408"/>
            <w:vAlign w:val="top"/>
          </w:tcPr>
          <w:p>
            <w:r>
              <w:rPr>
                <w:rFonts w:ascii="Calibri" w:hAnsi="Calibri"/>
                <w:sz w:val="18"/>
              </w:rPr>
              <w:t>Dynamic account data collision</w:t>
            </w:r>
          </w:p>
        </w:tc>
        <w:tc>
          <w:tcPr>
            <w:tcW w:type="dxa" w:w="3408"/>
            <w:vAlign w:val="top"/>
          </w:tcPr>
          <w:p>
            <w:r>
              <w:rPr>
                <w:rFonts w:ascii="Calibri" w:hAnsi="Calibri"/>
                <w:sz w:val="18"/>
              </w:rPr>
              <w:t>Registration tests may fail</w:t>
            </w:r>
          </w:p>
        </w:tc>
        <w:tc>
          <w:tcPr>
            <w:tcW w:type="dxa" w:w="3408"/>
            <w:vAlign w:val="top"/>
          </w:tcPr>
          <w:p>
            <w:r>
              <w:rPr>
                <w:rFonts w:ascii="Calibri" w:hAnsi="Calibri"/>
                <w:sz w:val="18"/>
              </w:rPr>
              <w:t>Generate unique email addresses per run and clean up accounts.</w:t>
            </w:r>
          </w:p>
        </w:tc>
      </w:tr>
      <w:tr>
        <w:tc>
          <w:tcPr>
            <w:tcW w:type="dxa" w:w="3408"/>
            <w:vAlign w:val="top"/>
          </w:tcPr>
          <w:p>
            <w:r>
              <w:rPr>
                <w:rFonts w:ascii="Calibri" w:hAnsi="Calibri"/>
                <w:sz w:val="18"/>
              </w:rPr>
              <w:t>Public demo site instability</w:t>
            </w:r>
          </w:p>
        </w:tc>
        <w:tc>
          <w:tcPr>
            <w:tcW w:type="dxa" w:w="3408"/>
            <w:vAlign w:val="top"/>
          </w:tcPr>
          <w:p>
            <w:r>
              <w:rPr>
                <w:rFonts w:ascii="Calibri" w:hAnsi="Calibri"/>
                <w:sz w:val="18"/>
              </w:rPr>
              <w:t>Execution may fail due to external dependency</w:t>
            </w:r>
          </w:p>
        </w:tc>
        <w:tc>
          <w:tcPr>
            <w:tcW w:type="dxa" w:w="3408"/>
            <w:vAlign w:val="top"/>
          </w:tcPr>
          <w:p>
            <w:r>
              <w:rPr>
                <w:rFonts w:ascii="Calibri" w:hAnsi="Calibri"/>
                <w:sz w:val="18"/>
              </w:rPr>
              <w:t>Use retry policy in CI and document environment limitations.</w:t>
            </w:r>
          </w:p>
        </w:tc>
      </w:tr>
      <w:tr>
        <w:tc>
          <w:tcPr>
            <w:tcW w:type="dxa" w:w="3408"/>
            <w:vAlign w:val="top"/>
          </w:tcPr>
          <w:p>
            <w:r>
              <w:rPr>
                <w:rFonts w:ascii="Calibri" w:hAnsi="Calibri"/>
                <w:sz w:val="18"/>
              </w:rPr>
              <w:t>Over-engineering early framework</w:t>
            </w:r>
          </w:p>
        </w:tc>
        <w:tc>
          <w:tcPr>
            <w:tcW w:type="dxa" w:w="3408"/>
            <w:vAlign w:val="top"/>
          </w:tcPr>
          <w:p>
            <w:r>
              <w:rPr>
                <w:rFonts w:ascii="Calibri" w:hAnsi="Calibri"/>
                <w:sz w:val="18"/>
              </w:rPr>
              <w:t>Slow implementation and difficult maintenance</w:t>
            </w:r>
          </w:p>
        </w:tc>
        <w:tc>
          <w:tcPr>
            <w:tcW w:type="dxa" w:w="3408"/>
            <w:vAlign w:val="top"/>
          </w:tcPr>
          <w:p>
            <w:r>
              <w:rPr>
                <w:rFonts w:ascii="Calibri" w:hAnsi="Calibri"/>
                <w:sz w:val="18"/>
              </w:rPr>
              <w:t>Keep Phase 1 architecture lean but extendable.</w:t>
            </w:r>
          </w:p>
        </w:tc>
      </w:tr>
      <w:tr>
        <w:tc>
          <w:tcPr>
            <w:tcW w:type="dxa" w:w="3408"/>
            <w:vAlign w:val="top"/>
          </w:tcPr>
          <w:p>
            <w:r>
              <w:rPr>
                <w:rFonts w:ascii="Calibri" w:hAnsi="Calibri"/>
                <w:sz w:val="18"/>
              </w:rPr>
              <w:t>API response structure variation</w:t>
            </w:r>
          </w:p>
        </w:tc>
        <w:tc>
          <w:tcPr>
            <w:tcW w:type="dxa" w:w="3408"/>
            <w:vAlign w:val="top"/>
          </w:tcPr>
          <w:p>
            <w:r>
              <w:rPr>
                <w:rFonts w:ascii="Calibri" w:hAnsi="Calibri"/>
                <w:sz w:val="18"/>
              </w:rPr>
              <w:t>API tests may become brittle</w:t>
            </w:r>
          </w:p>
        </w:tc>
        <w:tc>
          <w:tcPr>
            <w:tcW w:type="dxa" w:w="3408"/>
            <w:vAlign w:val="top"/>
          </w:tcPr>
          <w:p>
            <w:r>
              <w:rPr>
                <w:rFonts w:ascii="Calibri" w:hAnsi="Calibri"/>
                <w:sz w:val="18"/>
              </w:rPr>
              <w:t>Validate critical fields first; add schema validation later if stable.</w:t>
            </w:r>
          </w:p>
        </w:tc>
      </w:tr>
    </w:tbl>
    <w:p>
      <w:pPr>
        <w:pStyle w:val="Heading1"/>
      </w:pPr>
      <w:r>
        <w:t>17. Future Architecture Enhancements</w:t>
      </w:r>
    </w:p>
    <w:p>
      <w:pPr>
        <w:pStyle w:val="ListBullet"/>
      </w:pPr>
      <w:r>
        <w:t>Allure reporting integration.</w:t>
      </w:r>
    </w:p>
    <w:p>
      <w:pPr>
        <w:pStyle w:val="ListBullet"/>
      </w:pPr>
      <w:r>
        <w:t>Authentication state reuse for selected flows.</w:t>
      </w:r>
    </w:p>
    <w:p>
      <w:pPr>
        <w:pStyle w:val="ListBullet"/>
      </w:pPr>
      <w:r>
        <w:t>API setup and cleanup for hybrid UI flows.</w:t>
      </w:r>
    </w:p>
    <w:p>
      <w:pPr>
        <w:pStyle w:val="ListBullet"/>
      </w:pPr>
      <w:r>
        <w:t>Visual regression testing.</w:t>
      </w:r>
    </w:p>
    <w:p>
      <w:pPr>
        <w:pStyle w:val="ListBullet"/>
      </w:pPr>
      <w:r>
        <w:t>Accessibility checks.</w:t>
      </w:r>
    </w:p>
    <w:p>
      <w:pPr>
        <w:pStyle w:val="ListBullet"/>
      </w:pPr>
      <w:r>
        <w:t>Performance smoke checks using a separate tool such as k6 or JMeter.</w:t>
      </w:r>
    </w:p>
    <w:p>
      <w:pPr>
        <w:pStyle w:val="ListBullet"/>
      </w:pPr>
      <w:r>
        <w:t>Cloud browser execution using BrowserStack or LambdaTest.</w:t>
      </w:r>
    </w:p>
    <w:p>
      <w:pPr>
        <w:pStyle w:val="Heading1"/>
      </w:pPr>
      <w:r>
        <w:t>18. Success Criteria</w:t>
      </w:r>
    </w:p>
    <w:p>
      <w:pPr>
        <w:pStyle w:val="ListBullet"/>
      </w:pPr>
      <w:r>
        <w:t>Folder structure supports UI, API, and Hybrid automation clearly.</w:t>
      </w:r>
    </w:p>
    <w:p>
      <w:pPr>
        <w:pStyle w:val="ListBullet"/>
      </w:pPr>
      <w:r>
        <w:t>Page Object Model is defined for all Phase 1 UI modules.</w:t>
      </w:r>
    </w:p>
    <w:p>
      <w:pPr>
        <w:pStyle w:val="ListBullet"/>
      </w:pPr>
      <w:r>
        <w:t>Fixtures provide reusable page objects and API clients.</w:t>
      </w:r>
    </w:p>
    <w:p>
      <w:pPr>
        <w:pStyle w:val="ListBullet"/>
      </w:pPr>
      <w:r>
        <w:t>Utilities support dynamic data, file handling, and common helpers.</w:t>
      </w:r>
    </w:p>
    <w:p>
      <w:pPr>
        <w:pStyle w:val="ListBullet"/>
      </w:pPr>
      <w:r>
        <w:t>Configuration is centralized and environment-friendly.</w:t>
      </w:r>
    </w:p>
    <w:p>
      <w:pPr>
        <w:pStyle w:val="ListBullet"/>
      </w:pPr>
      <w:r>
        <w:t>Reporting approach supports debugging and CI artifact review.</w:t>
      </w:r>
    </w:p>
    <w:p>
      <w:pPr>
        <w:pStyle w:val="ListBullet"/>
      </w:pPr>
      <w:r>
        <w:t>Architecture is simple enough for Phase 1 and scalable for future phases.</w:t>
      </w:r>
    </w:p>
    <w:p>
      <w:pPr>
        <w:pStyle w:val="Heading1"/>
      </w:pPr>
      <w:r>
        <w:t>19. Approval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Pr>
                <w:rFonts w:ascii="Calibri" w:hAnsi="Calibri"/>
                <w:b/>
                <w:color w:val="FFFFFF"/>
                <w:sz w:val="18"/>
              </w:rPr>
              <w:t>Role</w:t>
            </w:r>
          </w:p>
        </w:tc>
        <w:tc>
          <w:tcPr>
            <w:tcW w:type="dxa" w:w="3408"/>
            <w:vAlign w:val="top"/>
            <w:shd w:fill="1F4E79"/>
          </w:tcPr>
          <w:p>
            <w:r>
              <w:rPr>
                <w:rFonts w:ascii="Calibri" w:hAnsi="Calibri"/>
                <w:b/>
                <w:color w:val="FFFFFF"/>
                <w:sz w:val="18"/>
              </w:rPr>
              <w:t>Name</w:t>
            </w:r>
          </w:p>
        </w:tc>
        <w:tc>
          <w:tcPr>
            <w:tcW w:type="dxa" w:w="3408"/>
            <w:vAlign w:val="top"/>
            <w:shd w:fill="1F4E79"/>
          </w:tcPr>
          <w:p>
            <w:r>
              <w:rPr>
                <w:rFonts w:ascii="Calibri" w:hAnsi="Calibri"/>
                <w:b/>
                <w:color w:val="FFFFFF"/>
                <w:sz w:val="18"/>
              </w:rPr>
              <w:t>Status</w:t>
            </w:r>
          </w:p>
        </w:tc>
      </w:tr>
      <w:tr>
        <w:tc>
          <w:tcPr>
            <w:tcW w:type="dxa" w:w="3408"/>
            <w:vAlign w:val="top"/>
          </w:tcPr>
          <w:p>
            <w:r>
              <w:rPr>
                <w:rFonts w:ascii="Calibri" w:hAnsi="Calibri"/>
                <w:sz w:val="18"/>
              </w:rPr>
              <w:t>QA Lead</w:t>
            </w:r>
          </w:p>
        </w:tc>
        <w:tc>
          <w:tcPr>
            <w:tcW w:type="dxa" w:w="3408"/>
            <w:vAlign w:val="top"/>
          </w:tcPr>
          <w:p>
            <w:r>
              <w:rPr>
                <w:rFonts w:ascii="Calibri" w:hAnsi="Calibri"/>
                <w:sz w:val="18"/>
              </w:rPr>
              <w:t>Md. Shariful Islam</w:t>
            </w:r>
          </w:p>
        </w:tc>
        <w:tc>
          <w:tcPr>
            <w:tcW w:type="dxa" w:w="3408"/>
            <w:vAlign w:val="top"/>
          </w:tcPr>
          <w:p>
            <w:r>
              <w:rPr>
                <w:rFonts w:ascii="Calibri" w:hAnsi="Calibri"/>
                <w:sz w:val="18"/>
              </w:rPr>
              <w:t>Approved</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Automation Exercise Hybrid Automation Framework | Playwright + TypeScript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AE-FA-001 | Framework Architecture | Version 1.0 | Portfolio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