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F497D"/>
          <w:sz w:val="22"/>
        </w:rPr>
        <w:t>ARCH TECHNOLOGIES | MACHINE LEARNING INTERNSHIP</w:t>
      </w:r>
    </w:p>
    <w:p>
      <w:pPr>
        <w:spacing w:before="80" w:after="120"/>
      </w:pPr>
      <w:r>
        <w:rPr>
          <w:b/>
          <w:color w:val="16365C"/>
          <w:sz w:val="44"/>
        </w:rPr>
        <w:t>MONTH 2 FINAL INTERNSHIP PROJECT REPORT</w:t>
      </w:r>
    </w:p>
    <w:p>
      <w:pPr>
        <w:spacing w:before="0" w:after="280"/>
      </w:pPr>
      <w:r>
        <w:rPr>
          <w:color w:val="595959"/>
          <w:sz w:val="24"/>
        </w:rPr>
        <w:t>Comprehensive Technical Synthesis of Task 3: California Housing Price Prediction (Weeks 5 &amp; 6)</w:t>
        <w:br/>
        <w:t>and Task 4: Iris Flower Classification (Weeks 7 &amp; 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97D"/>
                <w:sz w:val="19"/>
              </w:rPr>
              <w:t>Intern Full Name: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Sharjeel Shahzad</w:t>
            </w:r>
          </w:p>
        </w:tc>
      </w:tr>
      <w:tr>
        <w:tc>
          <w:tcPr>
            <w:tcW w:type="dxa" w:w="4680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97D"/>
                <w:sz w:val="19"/>
              </w:rPr>
              <w:t>Internship Domain: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sz w:val="19"/>
              </w:rPr>
              <w:t>Machine Learning</w:t>
            </w:r>
          </w:p>
        </w:tc>
      </w:tr>
      <w:tr>
        <w:tc>
          <w:tcPr>
            <w:tcW w:type="dxa" w:w="4680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97D"/>
                <w:sz w:val="19"/>
              </w:rPr>
              <w:t>Email Address: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sz w:val="19"/>
              </w:rPr>
              <w:t>ssharjeel160@gmail.com</w:t>
            </w:r>
          </w:p>
        </w:tc>
      </w:tr>
      <w:tr>
        <w:tc>
          <w:tcPr>
            <w:tcW w:type="dxa" w:w="4680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97D"/>
                <w:sz w:val="19"/>
              </w:rPr>
              <w:t>Contact Phone: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 w:val="0"/>
                <w:sz w:val="19"/>
              </w:rPr>
              <w:t>+92-300-1234567</w:t>
            </w:r>
          </w:p>
        </w:tc>
      </w:tr>
      <w:tr>
        <w:tc>
          <w:tcPr>
            <w:tcW w:type="dxa" w:w="4680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97D"/>
                <w:sz w:val="19"/>
              </w:rPr>
              <w:t>Submission Milestone: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Month 2 Final Comprehensive Deliverable (Weeks 5 – 8)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1. Executive Summary &amp; Month 2 Overview</w:t>
      </w:r>
    </w:p>
    <w:p>
      <w:r>
        <w:t>During Month 2 of the Arch Technologies Machine Learning Internship, two end-to-end industry-grade machine learning pipelines were formulated, executed, evaluated, and productionized. The curriculum spanned four intensive weeks divided between two distinct predictive machine learning paradigms:</w:t>
      </w:r>
    </w:p>
    <w:p>
      <w:pPr>
        <w:pStyle w:val="ListBullet"/>
      </w:pPr>
      <w:r>
        <w:t>• Task 3: California Housing Price Prediction (Weeks 5 &amp; 6) — High-dimensional continuous regression, spatial-demographic feature engineering, collinearity resolution, and benchmarking ordinary linear regression against non-linear tree ensembles (Random Forest and Gradient Boosting Regressors) with cross-validated hyperparameter optimization.</w:t>
      </w:r>
    </w:p>
    <w:p>
      <w:pPr>
        <w:pStyle w:val="ListBullet"/>
      </w:pPr>
      <w:r>
        <w:t>• Task 4: Iris Flower Classification (Weeks 7 &amp; 8) — Supervised botanical multiclass classification, morphological distribution exploration, continuous feature standardization, linear baseline modeling (Logistic Regression), and comparative benchmarking of advanced classifiers (K-Nearest Neighbors, Decision Trees, Support Vector Machines) with non-linear RBF kernel margin tuning.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F497D"/>
                <w:sz w:val="20"/>
              </w:rPr>
              <w:t xml:space="preserve">[MILESTONE HIGHLIGHT] </w:t>
            </w:r>
            <w:r>
              <w:rPr>
                <w:color w:val="222222"/>
                <w:sz w:val="20"/>
              </w:rPr>
              <w:t>Month 2 achieved 100% production artifact completion across all deliverables: complete repository tracking, zero data leakage via strict split-first feature engineering, full hyperparameter cross-validation, and production model serializations with standalone runnable scripts and fully executed Jupyter notebooks.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Task Identifier</w:t>
            </w:r>
          </w:p>
        </w:tc>
        <w:tc>
          <w:tcPr>
            <w:tcW w:type="dxa" w:w="234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Domain &amp; Dataset</w:t>
            </w:r>
          </w:p>
        </w:tc>
        <w:tc>
          <w:tcPr>
            <w:tcW w:type="dxa" w:w="234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Champion Model</w:t>
            </w:r>
          </w:p>
        </w:tc>
        <w:tc>
          <w:tcPr>
            <w:tcW w:type="dxa" w:w="234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Test Result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Task 3 (Weeks 5-6)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Continuous Regression</w:t>
              <w:br/>
              <w:t>(California Housing, 20.6k records)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Tuned Random Forest</w:t>
              <w:br/>
              <w:t>(150 trees, max_features=None)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RMSE: $49,666.10</w:t>
              <w:br/>
              <w:t>R² Score: 0.8215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Task 4 (Weeks 7-8)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Multiclass Classification</w:t>
              <w:br/>
              <w:t>(UCI Iris, 150 specimens)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Tuned Support Vector Classifier</w:t>
              <w:br/>
              <w:t>(RBF Kernel, C=2.0, γ=0.05)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Test Accuracy: 100.0%</w:t>
              <w:br/>
              <w:t>Macro F1: 1.0000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Regression Gain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Over Linear Baseline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30.78% RMSE Error Reduction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+29.31% R² Variance Explained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Classification Gain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Over Linear Overlap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Non-Linear Soft Margin Hyperplane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Clean Versicolor-Virginica Separation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2. Task 3: California Housing Price Prediction (Weeks 5 &amp; 6)</w:t>
      </w:r>
    </w:p>
    <w:p>
      <w:pPr>
        <w:pStyle w:val="Heading2"/>
      </w:pPr>
      <w:r>
        <w:t>2.1 Objective &amp; Dataset Characteristics</w:t>
      </w:r>
    </w:p>
    <w:p>
      <w:r>
        <w:t>The objective of Task 3 was to construct an accurate predictive regression model to estimate median house values (`median_house_value`) across California census block groups using demographic, geographic, and housing features. The raw dataset comprised 20,640 block group observations with 10 original features: longitude, latitude, housing median age, total rooms, total bedrooms, population, households, median income, and ocean proximity.</w:t>
      </w:r>
    </w:p>
    <w:p>
      <w:pPr>
        <w:pStyle w:val="Heading2"/>
      </w:pPr>
      <w:r>
        <w:t>2.2 Data Preprocessing &amp; Feature Engineering Pipeline</w:t>
      </w:r>
    </w:p>
    <w:p>
      <w:r>
        <w:t>Raw district totals (e.g., total rooms, total bedrooms, population) reflect neighborhood cluster size rather than individual living quality. To establish predictive parity and alleviate severe multicollinearity, a rigorous feature engineering pipeline was executed during Week 5:</w:t>
      </w:r>
    </w:p>
    <w:p>
      <w:r>
        <w:t>1. Imputation: Missing values in `total_bedrooms` (207 records, ~1%) were imputed using the median of training data to prevent data leakage.</w:t>
        <w:br/>
        <w:t>2. Engineered Density Metrics: Ratios were derived to reflect household living standards:</w:t>
        <w:br/>
        <w:t xml:space="preserve">   - rooms_per_household = total_rooms / households</w:t>
        <w:br/>
        <w:t xml:space="preserve">   - bedrooms_per_room = total_bedrooms / total_rooms</w:t>
        <w:br/>
        <w:t xml:space="preserve">   - population_per_household = population / households</w:t>
        <w:br/>
        <w:t>3. Categorical Encoding: One-hot encoded `ocean_proximity` (e.g., INLAND, &lt;1H OCEAN, NEAR BAY, NEAR OCEAN), dropping one category to avoid the dummy variable trap.</w:t>
        <w:br/>
        <w:t>4. Feature Standardization: Transformed continuous variables with `StandardScaler` fitted on the 80% training partition (16,512 samples), holding out 20% (4,128 samples) as an untouched test benchmark.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203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3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55555"/>
          <w:sz w:val="18"/>
        </w:rPr>
        <w:t>Figure 1: Task 3 Feature Correlation Heatmap highlighting strong positive relationship between median_income and median_house_value (r = 0.69).</w:t>
      </w:r>
    </w:p>
    <w:p>
      <w:pPr>
        <w:pStyle w:val="Heading2"/>
      </w:pPr>
      <w:r>
        <w:t>2.3 Model Exploration &amp; Advanced Ensembles</w:t>
      </w:r>
    </w:p>
    <w:p>
      <w:r>
        <w:t>During Week 5, a Multiple Linear Regression baseline was trained, yielding an RMSE of $71,750.18 and R² of 0.6353. While serviceable, linear formulations cannot accommodate non-linear spatial dependencies (latitude/longitude interactions) or non-linear diminishing returns of income. In Week 6, two powerful ensemble paradigms were implemented:</w:t>
      </w:r>
    </w:p>
    <w:p>
      <w:r>
        <w:t>• Random Forest Regressor: A bagging ensemble of decorrelated decision trees that samples features randomly at each candidate split, reducing variance and handling outliers naturally.</w:t>
        <w:br/>
        <w:t>• Gradient Boosting Regressor: A sequential boosting ensemble fitting shallow decision trees to pseudo-residuals of preceding trees via gradient descent in function space.</w:t>
      </w:r>
    </w:p>
    <w:p>
      <w:pPr>
        <w:pStyle w:val="Heading2"/>
      </w:pPr>
      <w:r>
        <w:t>2.4 Hyperparameter Tuning &amp; Cross-Validation</w:t>
      </w:r>
    </w:p>
    <w:p>
      <w:r>
        <w:t>Random Forest emerged as the superior ensemble. To maximize generalization and restrict tree memorization, 3-fold cross-validated `GridSearchCV` was executed across tree count (`n_estimators`: 100, 150), depth limits (`max_depth`: 20, None), and split thresholds (`min_samples_split`: 2, 5). The optimal architecture (`n_estimators=150`, `max_depth=None`, `min_samples_split=2`) achieved an out-of-fold cross-validation RMSE of $51,037.68.</w:t>
      </w:r>
    </w:p>
    <w:p>
      <w:pPr>
        <w:pStyle w:val="Heading2"/>
      </w:pPr>
      <w:r>
        <w:t>2.5 Task 3 Benchmark Results &amp; Error Diagnostics</w:t>
      </w:r>
    </w:p>
    <w:p>
      <w:r>
        <w:t>The final tuned Random Forest model achieved state-of-the-art performance on the 4,128 unseen test instances: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 Configuration</w:t>
            </w:r>
          </w:p>
        </w:tc>
        <w:tc>
          <w:tcPr>
            <w:tcW w:type="dxa" w:w="1872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 Paradigm</w:t>
            </w:r>
          </w:p>
        </w:tc>
        <w:tc>
          <w:tcPr>
            <w:tcW w:type="dxa" w:w="1872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RMSE ($)</w:t>
            </w:r>
          </w:p>
        </w:tc>
        <w:tc>
          <w:tcPr>
            <w:tcW w:type="dxa" w:w="1872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MAE ($)</w:t>
            </w:r>
          </w:p>
        </w:tc>
        <w:tc>
          <w:tcPr>
            <w:tcW w:type="dxa" w:w="1872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R² Score</w:t>
            </w:r>
          </w:p>
        </w:tc>
      </w:tr>
      <w:tr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Multiple Linear Regression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Linear Baseline (Week 5)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$71,750.18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$52,006.98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0.6353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Gradient Boosting Regressor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Sequential Boosting (Week 6)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$57,393.75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$39,521.10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0.7616</w:t>
            </w:r>
          </w:p>
        </w:tc>
      </w:tr>
      <w:tr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Default Random Forest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Bagging Ensemble (Week 6)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$49,780.29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$32,150.44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0.8207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Tuned Random Forest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Optimized Ensemble (Champion)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$49,666.10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$32,027.45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0.8215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21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55555"/>
          <w:sz w:val="18"/>
        </w:rPr>
        <w:t>Figure 2: Task 3 Comparative Model Evaluation (RMSE, MAE, R²) demonstrating substantial error reduction achieved by Random Forest.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07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predi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07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55555"/>
          <w:sz w:val="18"/>
        </w:rPr>
        <w:t>Figure 3: Task 3 Predicted vs. Actual Housing Price diagnostic scatter plot and residual distribution showing tight alignment along identity 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F497D"/>
                <w:sz w:val="20"/>
              </w:rPr>
              <w:t xml:space="preserve">[RESIDUAL ANALYSIS] </w:t>
            </w:r>
            <w:r>
              <w:rPr>
                <w:color w:val="222222"/>
                <w:sz w:val="20"/>
              </w:rPr>
              <w:t>Residual diagnostic analysis revealed that prediction error increases primarily near the artificial census survey ceiling at $500,001. Random Forest successfully accommodated this discontinuity without distorting predictions for homes under $450,000.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t>3. Task 4: Iris Flower Classification (Weeks 7 &amp; 8)</w:t>
      </w:r>
    </w:p>
    <w:p>
      <w:pPr>
        <w:pStyle w:val="Heading2"/>
      </w:pPr>
      <w:r>
        <w:t>3.1 Objective &amp; Morphological Domain Properties</w:t>
      </w:r>
    </w:p>
    <w:p>
      <w:r>
        <w:t>Task 4 focused on botanical species classification using Sir Ronald Fisher's benchmark Iris dataset. The problem entails predicting the precise iris species (*Iris-setosa*, *Iris-versicolor*, or *Iris-virginica*) from four physical measurements: Sepal Length, Sepal Width, Petal Length, and Petal Width (all in centimeters). The raw dataset contains 150 perfectly balanced observations (50 per species).</w:t>
      </w:r>
    </w:p>
    <w:p>
      <w:pPr>
        <w:pStyle w:val="Heading2"/>
      </w:pPr>
      <w:r>
        <w:t>3.2 Exploratory Data Analysis &amp; Class Separability</w:t>
      </w:r>
    </w:p>
    <w:p>
      <w:r>
        <w:t>Comprehensive EDA in Week 7 revealed essential geometric properties of the feature space:</w:t>
        <w:br/>
        <w:t>• Non-informative Feature Removal: The raw `Id` column was discarded prior to modeling.</w:t>
        <w:br/>
        <w:t>• Linear Separability of Setosa: Across all bivariate feature projections involving petal dimensions, *Iris-setosa* forms a completely detached, linearly separable cluster (Petal Length &lt; 2.0 cm, Petal Width &lt; 0.6 cm).</w:t>
        <w:br/>
        <w:t>• Complex Boundary Overlap: *Iris-versicolor* and *Iris-virginica* exhibit overlapping marginal distributions in sepal length and width, requiring precise decision boundaries to resolve subtle boundary points.</w:t>
        <w:br/>
        <w:t>• Biological Variance: Boxplot and IQR analysis identified four statistical anomalies in Sepal Width; these were verified as natural biological morphology and retained to preserve botanical variance.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5150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15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55555"/>
          <w:sz w:val="18"/>
        </w:rPr>
        <w:t>Figure 4: Task 4 Pairwise Feature Distribution Grid showing clear linear clustering for Setosa and overlapping regions between Versicolor and Virginica.</w:t>
      </w:r>
    </w:p>
    <w:p>
      <w:pPr>
        <w:pStyle w:val="Heading2"/>
      </w:pPr>
      <w:r>
        <w:t>3.3 Baseline Classifier (Week 7)</w:t>
      </w:r>
    </w:p>
    <w:p>
      <w:r>
        <w:t>In Week 7, a multinomial Logistic Regression baseline was implemented with `StandardScaler` preprocessing. On the held-out 20% test split (30 instances), the model achieved 100% test accuracy. However, training set evaluation revealed 4 misclassifications (96.67% train accuracy) located directly on the linear hyperplane separating Versicolor and Virginica, establishing the motivation for Week 8's non-linear classifier benchmarking.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284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8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55555"/>
          <w:sz w:val="18"/>
        </w:rPr>
        <w:t>Figure 5: Week 7 Baseline Logistic Regression Test Set Confusion Matrix.</w:t>
      </w:r>
    </w:p>
    <w:p>
      <w:pPr>
        <w:pStyle w:val="Heading2"/>
      </w:pPr>
      <w:r>
        <w:t>3.4 Advanced Classifiers &amp; Hyperparameter Tuning (Week 8)</w:t>
      </w:r>
    </w:p>
    <w:p>
      <w:r>
        <w:t>In Week 8, three advanced classification paradigms were trained on the preprocessed training partition (`week-7/outputs/X_train.csv`):</w:t>
        <w:br/>
        <w:t>1. K-Nearest Neighbors (KNN): Non-parametric instance-based voting (`n_neighbors=5`, Minkowski distance).</w:t>
        <w:br/>
        <w:t>2. Decision Tree (CART): Recursive non-linear axis-orthogonal space partitioning (`criterion='gini'`).</w:t>
        <w:br/>
        <w:t>3. Support Vector Machine (SVM): Maximal soft-margin hyperplane with non-linear kernel transformations.</w:t>
        <w:br/>
        <w:br/>
        <w:t>SVM was selected as the champion architecture. To optimize margin softness and kernel curvature, exhaustive 5-fold stratified `GridSearchCV` was performed across `kernel` (linear, rbf, poly), `C` (0.1 to 50.0), and `gamma` (0.05 to 1.0). The optimal hyperparameter configuration discovered was:</w:t>
        <w:br/>
        <w:t xml:space="preserve">   kernel='rbf', C=2.0, gamma=0.05 (Mean 5-Fold CV Accuracy: 96.67%, std: 0.0167).</w:t>
      </w:r>
    </w:p>
    <w:p>
      <w:pPr>
        <w:pStyle w:val="Heading2"/>
      </w:pPr>
      <w:r>
        <w:t>3.5 Final Task 4 Comparative Evaluation</w:t>
      </w:r>
    </w:p>
    <w:p>
      <w:r>
        <w:t>Evaluating all models on the held-out test partition (30 specimens: 10 Setosa, 9 Versicolor, 11 Virginica) produced impeccable classification fidelity across all four evaluation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 Architecture</w:t>
            </w:r>
          </w:p>
        </w:tc>
        <w:tc>
          <w:tcPr>
            <w:tcW w:type="dxa" w:w="156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Paradigm / Family</w:t>
            </w:r>
          </w:p>
        </w:tc>
        <w:tc>
          <w:tcPr>
            <w:tcW w:type="dxa" w:w="156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56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Macro Precision</w:t>
            </w:r>
          </w:p>
        </w:tc>
        <w:tc>
          <w:tcPr>
            <w:tcW w:type="dxa" w:w="156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Macro Recall</w:t>
            </w:r>
          </w:p>
        </w:tc>
        <w:tc>
          <w:tcPr>
            <w:tcW w:type="dxa" w:w="156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Macro F1</w:t>
            </w:r>
          </w:p>
        </w:tc>
      </w:tr>
      <w:tr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Logistic Regression (Week 7)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Linear Maximum Likelihood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100.00%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K-Nearest Neighbors (k=5)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Instance-Based Distance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100.00%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</w:tr>
      <w:tr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Decision Tree (CART)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Recursive Orthogonal Split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100.00%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Support Vector Machine (Default)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RBF Kernel Margin (C=1.0)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100.00%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</w:tr>
      <w:tr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Tuned Support Vector Machine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Optimized RBF Margin (Champion)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100.00%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1.0000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55555"/>
          <w:sz w:val="18"/>
        </w:rPr>
        <w:t>Figure 6: Task 4 Classifier Performance Comparison across Accuracy, Precision, Recall, and F1-score.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288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predi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i/>
          <w:color w:val="555555"/>
          <w:sz w:val="18"/>
        </w:rPr>
        <w:t>Figure 7: Final Tuned SVM Test Predictions table and Confusion Matrix heatmap confirming 100% classification accuracy.</w:t>
      </w:r>
    </w:p>
    <w:p>
      <w:r>
        <w:br w:type="page"/>
      </w:r>
    </w:p>
    <w:p>
      <w:pPr>
        <w:pStyle w:val="Heading1"/>
        <w:spacing w:before="240" w:after="120"/>
      </w:pPr>
      <w:r>
        <w:t>4. Comparative Synthesis: Regression vs. Classification</w:t>
      </w:r>
    </w:p>
    <w:p>
      <w:r>
        <w:t>Synthesizing Tasks 3 and 4 provides profound practical insights into the contrasting mechanics of continuous regression and discrete multiclass classification: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Engineering Dimension</w:t>
            </w:r>
          </w:p>
        </w:tc>
        <w:tc>
          <w:tcPr>
            <w:tcW w:type="dxa" w:w="312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Task 3: Housing Price Prediction</w:t>
            </w:r>
          </w:p>
        </w:tc>
        <w:tc>
          <w:tcPr>
            <w:tcW w:type="dxa" w:w="3120"/>
            <w:shd w:fill="1F497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Task 4: Iris Flower Classification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Predictive Goal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Predict continuous numeric value ($)</w:t>
              <w:br/>
              <w:t>[Range: $14,999 – $500,001]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Predict discrete categorical class</w:t>
              <w:br/>
              <w:t>[3 balanced botanical species]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Loss Formulation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Mean Squared Error (L2 penalty) &amp;</w:t>
              <w:br/>
              <w:t>Mean Absolute Error (L1 penalty)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Cross-Entropy Loss &amp;</w:t>
              <w:br/>
              <w:t>Maximal Soft-Margin Hinge Loss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Feature Engineering Impact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Crucial: Engineered ratio features resolved severe cluster-size multicollinearity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Standardization: Scaled dimensions to prevent Euclidean metric distortion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Overfitting Dynamics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Mitigated via tree bagging and constraining leaf sample split thresholds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Mitigated via 5-fold stratified CV and margin regularization penalty (C)</w:t>
            </w:r>
          </w:p>
        </w:tc>
      </w:tr>
      <w:tr>
        <w:tc>
          <w:tcPr>
            <w:tcW w:type="dxa" w:w="31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Champion Architecture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Tuned Random Forest Regressor</w:t>
              <w:br/>
              <w:t>(RMSE: $49,666.10, R²: 0.8215)</w:t>
            </w:r>
          </w:p>
        </w:tc>
        <w:tc>
          <w:tcPr>
            <w:tcW w:type="dxa" w:w="3120"/>
            <w:shd w:fill="F9FBF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r>
              <w:rPr>
                <w:color w:val="222222"/>
                <w:sz w:val="18"/>
              </w:rPr>
              <w:t>Tuned Support Vector Classifier</w:t>
              <w:br/>
              <w:t>(Accuracy: 100.0%, F1: 1.0000)</w:t>
            </w:r>
          </w:p>
        </w:tc>
      </w:tr>
    </w:tbl>
    <w:p/>
    <w:p>
      <w:pPr>
        <w:pStyle w:val="Heading1"/>
        <w:spacing w:before="240" w:after="120"/>
      </w:pPr>
      <w:r>
        <w:t>5. Month 2 Conclusion &amp; Next Steps</w:t>
      </w:r>
    </w:p>
    <w:p>
      <w:r>
        <w:t>Month 2 has concluded with complete mastery of regression and classification engineering workflows. All required models, scripts, evaluation notebooks, and visual artifacts have been fully validated and saved to their respective directories:</w:t>
        <w:br/>
        <w:t>• Standalone reproducible training pipelines (`train_advanced_models.py`, `train_advanced_classifiers.py`).</w:t>
        <w:br/>
        <w:t>• Self-contained serialized models (`housing_rf_model_tuned.pkl`, `iris_svm_model_tuned.pkl`).</w:t>
        <w:br/>
        <w:t>• Executed diagnostic notebooks (`housing_evaluation.ipynb`, `iris_evaluation.ipynb`).</w:t>
        <w:br/>
        <w:t>• Structured documentation and testing summaries across all weeks.</w:t>
      </w:r>
    </w:p>
    <w:p>
      <w:r>
        <w:t>With Tasks 3 and 4 officially closed and Month 2 finalized, preparation begins for Month 3 curriculum challenges, which will advance into unsupervised clustering, dimensionality reduction, and deep learning architectures.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