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64" w:rsidRDefault="00C311D0">
      <w:pPr>
        <w:rPr>
          <w:rFonts w:hint="eastAsia"/>
        </w:rPr>
      </w:pPr>
      <w:r>
        <w:rPr>
          <w:rFonts w:hint="eastAsia"/>
        </w:rPr>
        <w:t>문제정의서</w:t>
      </w:r>
    </w:p>
    <w:p w:rsidR="00C311D0" w:rsidRDefault="00C311D0" w:rsidP="00C311D0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문제정의서</w:t>
      </w:r>
    </w:p>
    <w:p w:rsidR="00C311D0" w:rsidRDefault="00C311D0" w:rsidP="00C311D0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문제 정의 개요</w:t>
      </w:r>
    </w:p>
    <w:p w:rsidR="00C311D0" w:rsidRDefault="00C311D0" w:rsidP="00C311D0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아기의 수면교육과 육아 스트레스</w:t>
      </w:r>
    </w:p>
    <w:p w:rsidR="00302F14" w:rsidRDefault="00302F14" w:rsidP="00CD13DE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t>아기의</w:t>
      </w:r>
      <w:r>
        <w:t xml:space="preserve"> 수면 환경은 아기에게도 부모에도 큰 이슈이다. 국내 육아 커뮤니티(‘</w:t>
      </w:r>
      <w:proofErr w:type="spellStart"/>
      <w:r>
        <w:t>앙쥬</w:t>
      </w:r>
      <w:proofErr w:type="spellEnd"/>
      <w:r>
        <w:t xml:space="preserve">’)에서 실시된 설문에 따르면 </w:t>
      </w:r>
      <w:proofErr w:type="spellStart"/>
      <w:r>
        <w:t>영유아</w:t>
      </w:r>
      <w:proofErr w:type="spellEnd"/>
      <w:r>
        <w:t xml:space="preserve"> 부모의 91%가 아기를 재우는데 어려움을 겪고 있다고 한다. 아기를 재우는 과정에서 잠투정(38%), 잠들었다 금방 깸(23.9%), 엄마가 안아줘야 잠들어서(21%) 순으로 고충이 있었다. 이러한 문제를 해결하기 위해 전문가들은 수면 교육법에 대해 다음과 같이 제시한다. 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642"/>
      </w:tblGrid>
      <w:tr w:rsidR="00792D02" w:rsidTr="00792D02">
        <w:tc>
          <w:tcPr>
            <w:tcW w:w="9224" w:type="dxa"/>
          </w:tcPr>
          <w:p w:rsidR="00792D02" w:rsidRDefault="00792D02" w:rsidP="00792D02">
            <w:pPr>
              <w:pStyle w:val="a5"/>
              <w:ind w:leftChars="0" w:left="0"/>
            </w:pPr>
            <w:r>
              <w:rPr>
                <w:rFonts w:hint="eastAsia"/>
              </w:rPr>
              <w:t>▷생후</w:t>
            </w:r>
            <w:r>
              <w:t xml:space="preserve"> 6주차때부터 수면 교육을 실시한다.</w:t>
            </w:r>
          </w:p>
          <w:p w:rsidR="00792D02" w:rsidRDefault="00792D02" w:rsidP="00792D02">
            <w:pPr>
              <w:pStyle w:val="a5"/>
              <w:ind w:leftChars="0" w:left="0"/>
            </w:pPr>
            <w:r>
              <w:rPr>
                <w:rFonts w:hint="eastAsia"/>
              </w:rPr>
              <w:t>▷매일</w:t>
            </w:r>
            <w:r>
              <w:t xml:space="preserve"> 규칙적인 시간에 반복적으로 수면 유도</w:t>
            </w:r>
          </w:p>
          <w:p w:rsidR="00792D02" w:rsidRDefault="00792D02" w:rsidP="00792D02">
            <w:pPr>
              <w:pStyle w:val="a5"/>
              <w:ind w:leftChars="0" w:left="0"/>
            </w:pPr>
            <w:r>
              <w:rPr>
                <w:rFonts w:hint="eastAsia"/>
              </w:rPr>
              <w:t>▷개월</w:t>
            </w:r>
            <w:r>
              <w:t xml:space="preserve"> 수에 따른 평균적인 연속수면 시간을 체크하여 수면유도 전 충분한 식사</w:t>
            </w:r>
          </w:p>
          <w:p w:rsidR="00792D02" w:rsidRPr="00792D02" w:rsidRDefault="00792D02" w:rsidP="00302F14">
            <w:pPr>
              <w:pStyle w:val="a5"/>
              <w:ind w:leftChars="0" w:left="0"/>
            </w:pPr>
            <w:r>
              <w:rPr>
                <w:rFonts w:hint="eastAsia"/>
              </w:rPr>
              <w:t>▷중간에</w:t>
            </w:r>
            <w:r>
              <w:t xml:space="preserve"> 깨어났을 시 잠 들 수 있도록 유도</w:t>
            </w:r>
          </w:p>
        </w:tc>
      </w:tr>
    </w:tbl>
    <w:p w:rsidR="00CD13DE" w:rsidRDefault="00CD13DE" w:rsidP="00CD13DE">
      <w:pPr>
        <w:pStyle w:val="a5"/>
        <w:ind w:leftChars="0" w:left="1600"/>
        <w:rPr>
          <w:rFonts w:hint="eastAsia"/>
        </w:rPr>
      </w:pPr>
    </w:p>
    <w:p w:rsidR="00C311D0" w:rsidRDefault="00C311D0" w:rsidP="00CD13DE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영아 </w:t>
      </w:r>
      <w:proofErr w:type="spellStart"/>
      <w:r>
        <w:rPr>
          <w:rFonts w:hint="eastAsia"/>
        </w:rPr>
        <w:t>돌연사</w:t>
      </w:r>
      <w:proofErr w:type="spellEnd"/>
      <w:r>
        <w:rPr>
          <w:rFonts w:hint="eastAsia"/>
        </w:rPr>
        <w:t xml:space="preserve"> 증후군</w:t>
      </w:r>
      <w:r w:rsidR="00CD13DE" w:rsidRPr="00CD13DE">
        <w:t>(Sudden Infant Death Syndrome)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642"/>
      </w:tblGrid>
      <w:tr w:rsidR="00CD13DE" w:rsidTr="00CD13DE">
        <w:tc>
          <w:tcPr>
            <w:tcW w:w="7642" w:type="dxa"/>
          </w:tcPr>
          <w:p w:rsidR="00CD13DE" w:rsidRDefault="00CD13DE" w:rsidP="00CD13DE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&lt;표 1&gt; 유아 질식사의 유형</w:t>
            </w:r>
          </w:p>
        </w:tc>
      </w:tr>
      <w:tr w:rsidR="00CD13DE" w:rsidTr="00CD13DE">
        <w:tc>
          <w:tcPr>
            <w:tcW w:w="7642" w:type="dxa"/>
          </w:tcPr>
          <w:p w:rsidR="00CD13DE" w:rsidRDefault="00CD13DE" w:rsidP="00CD13DE">
            <w:pPr>
              <w:rPr>
                <w:rFonts w:hint="eastAsia"/>
              </w:rPr>
            </w:pPr>
            <w:r>
              <w:rPr>
                <w:rFonts w:hint="eastAsia"/>
              </w:rPr>
              <w:t>- 부드럽고 푹신한 침구에 의한 질식</w:t>
            </w:r>
          </w:p>
          <w:p w:rsidR="00CD13DE" w:rsidRDefault="00CD13DE" w:rsidP="00CD13DE">
            <w:pPr>
              <w:rPr>
                <w:rFonts w:hint="eastAsia"/>
              </w:rPr>
            </w:pPr>
            <w:r>
              <w:rPr>
                <w:rFonts w:hint="eastAsia"/>
              </w:rPr>
              <w:t>- 다른 사람에 의한 놀림이나 덮침</w:t>
            </w:r>
          </w:p>
          <w:p w:rsidR="00CD13DE" w:rsidRDefault="00CD13DE" w:rsidP="00CD13DE">
            <w:pPr>
              <w:rPr>
                <w:rFonts w:hint="eastAsia"/>
              </w:rPr>
            </w:pPr>
            <w:r>
              <w:rPr>
                <w:rFonts w:hint="eastAsia"/>
              </w:rPr>
              <w:t>- 매트리스나 벽, 침대 프레임, 가구 같은 두 물체 사이에 끼임</w:t>
            </w:r>
          </w:p>
          <w:p w:rsidR="00CD13DE" w:rsidRDefault="00CD13DE" w:rsidP="00CD13DE">
            <w:pPr>
              <w:rPr>
                <w:rFonts w:hint="eastAsia"/>
              </w:rPr>
            </w:pPr>
            <w:r>
              <w:rPr>
                <w:rFonts w:hint="eastAsia"/>
              </w:rPr>
              <w:t>- 영아의 머리나 목이 침대 난간 사이의 조임</w:t>
            </w:r>
          </w:p>
        </w:tc>
      </w:tr>
    </w:tbl>
    <w:p w:rsidR="00CD13DE" w:rsidRDefault="00CD13DE" w:rsidP="00CD13DE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t xml:space="preserve">한편, </w:t>
      </w:r>
      <w:proofErr w:type="spellStart"/>
      <w:r w:rsidRPr="00CD13DE">
        <w:rPr>
          <w:rFonts w:hint="eastAsia"/>
        </w:rPr>
        <w:t>영아돌연사증후군</w:t>
      </w:r>
      <w:proofErr w:type="spellEnd"/>
      <w:r w:rsidRPr="00CD13DE">
        <w:t xml:space="preserve">(SIDS)은 아무런 이유도 없이 갑자기 주로 1세 미만의 건강해 보이는 영아가 </w:t>
      </w:r>
      <w:proofErr w:type="spellStart"/>
      <w:r w:rsidRPr="00CD13DE">
        <w:t>돌연사를</w:t>
      </w:r>
      <w:proofErr w:type="spellEnd"/>
      <w:r w:rsidRPr="00CD13DE">
        <w:t xml:space="preserve"> 하는 것을 말한다. 미국질병관리본부는 적절하지 않은 수면환경에 의한 기도폐색(질식)을 SIDS의 주요 원인 중 하나로 보고 유아 질식사 유형을 &lt;표 1&gt;과 같이 구분 짓고 아래와 같은 해결책을 제시하고 있다.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7642"/>
      </w:tblGrid>
      <w:tr w:rsidR="00CD13DE" w:rsidTr="00CD13DE">
        <w:tc>
          <w:tcPr>
            <w:tcW w:w="9224" w:type="dxa"/>
          </w:tcPr>
          <w:p w:rsidR="00CD13DE" w:rsidRDefault="00CD13DE" w:rsidP="00CD13DE">
            <w:pPr>
              <w:pStyle w:val="a5"/>
              <w:ind w:leftChars="0" w:left="0"/>
            </w:pPr>
            <w:r>
              <w:rPr>
                <w:rFonts w:hint="eastAsia"/>
              </w:rPr>
              <w:t>▷</w:t>
            </w:r>
            <w:r>
              <w:t xml:space="preserve"> 등을 바닥에 대고 고개를 정면으로 향하여 재우기</w:t>
            </w:r>
          </w:p>
          <w:p w:rsidR="00CD13DE" w:rsidRDefault="00CD13DE" w:rsidP="00CD13DE">
            <w:pPr>
              <w:pStyle w:val="a5"/>
              <w:ind w:leftChars="0" w:left="0"/>
            </w:pPr>
            <w:r>
              <w:rPr>
                <w:rFonts w:hint="eastAsia"/>
              </w:rPr>
              <w:t>▷</w:t>
            </w:r>
            <w:r>
              <w:t xml:space="preserve"> 소파, 흔들의자 등에 재우지 말 것</w:t>
            </w:r>
          </w:p>
          <w:p w:rsidR="00CD13DE" w:rsidRDefault="00CD13DE" w:rsidP="00CD13DE">
            <w:pPr>
              <w:pStyle w:val="a5"/>
              <w:ind w:leftChars="0" w:left="0"/>
            </w:pPr>
            <w:r>
              <w:rPr>
                <w:rFonts w:hint="eastAsia"/>
              </w:rPr>
              <w:t>▷</w:t>
            </w:r>
            <w:r>
              <w:t xml:space="preserve"> 성인과 같은 침대에서 재우지 말 것</w:t>
            </w:r>
          </w:p>
          <w:p w:rsidR="00CD13DE" w:rsidRDefault="00CD13DE" w:rsidP="00CD13DE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▷</w:t>
            </w:r>
            <w:r>
              <w:t xml:space="preserve"> 질식하게 할 수 있는 푹신한 쿠션 등의 제품은 피할 것</w:t>
            </w:r>
          </w:p>
        </w:tc>
      </w:tr>
    </w:tbl>
    <w:p w:rsidR="00CD13DE" w:rsidRDefault="00CD13DE" w:rsidP="00CD13DE">
      <w:pPr>
        <w:pStyle w:val="a5"/>
        <w:ind w:leftChars="0" w:left="1600"/>
        <w:rPr>
          <w:rFonts w:hint="eastAsia"/>
        </w:rPr>
      </w:pPr>
    </w:p>
    <w:p w:rsidR="00C311D0" w:rsidRDefault="00C311D0" w:rsidP="00C311D0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스마트 아기 침대</w:t>
      </w:r>
    </w:p>
    <w:p w:rsidR="00AE2D8A" w:rsidRDefault="00AE2D8A" w:rsidP="00AE2D8A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lastRenderedPageBreak/>
        <w:t xml:space="preserve">위의 문제들에서 착안하여 올바른 수면 교육과 SIDS의 예방을 돕는 </w:t>
      </w:r>
      <w:r>
        <w:t>“</w:t>
      </w:r>
      <w:r>
        <w:rPr>
          <w:rFonts w:hint="eastAsia"/>
        </w:rPr>
        <w:t>스마트 아기 침대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고안하게 되었다. </w:t>
      </w:r>
    </w:p>
    <w:p w:rsidR="005F18E4" w:rsidRDefault="00AE2D8A" w:rsidP="00AE2D8A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t xml:space="preserve">올바른 수면 교육을 위해 스마트 아기 침대는 다음과 같은 기능을 가진다. </w:t>
      </w:r>
    </w:p>
    <w:p w:rsidR="00AE2D8A" w:rsidRDefault="00AE2D8A" w:rsidP="00AE2D8A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t xml:space="preserve">침대에 아기가 있다면 카메라의 얼굴인식 기능과 마이크로 아기의 소리를 입력 받아 아기의 수면/비수면 여부를 파악한다. </w:t>
      </w:r>
      <w:r w:rsidR="005F18E4">
        <w:rPr>
          <w:rFonts w:hint="eastAsia"/>
        </w:rPr>
        <w:t xml:space="preserve">눈을 뜬 상태와 감은 상태를 구분하여 눈을 감은 시간이 일정 시간 이상 유지 되었을 때 아기의 울음 소리가 없었다면 수면 상태로 인지하고, 이 외의 경우에는 비수면 상태로 인지한다. </w:t>
      </w:r>
    </w:p>
    <w:p w:rsidR="005F18E4" w:rsidRDefault="005F18E4" w:rsidP="00AE2D8A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t xml:space="preserve">만약 사용자에 의해 자동수면 유도 기능이 켜져 있다면, 아기가 비수면 상태일 경우 침대의 </w:t>
      </w:r>
      <w:proofErr w:type="spellStart"/>
      <w:r>
        <w:rPr>
          <w:rFonts w:hint="eastAsia"/>
        </w:rPr>
        <w:t>바운서</w:t>
      </w:r>
      <w:proofErr w:type="spellEnd"/>
      <w:r>
        <w:rPr>
          <w:rFonts w:hint="eastAsia"/>
        </w:rPr>
        <w:t xml:space="preserve"> 기능과 백색 소음 재생 기능을 작동해 아기의 수면을 유도한다. 아기가 잠에 들었다면 </w:t>
      </w:r>
      <w:proofErr w:type="spellStart"/>
      <w:r>
        <w:rPr>
          <w:rFonts w:hint="eastAsia"/>
        </w:rPr>
        <w:t>바운서와</w:t>
      </w:r>
      <w:proofErr w:type="spellEnd"/>
      <w:r>
        <w:rPr>
          <w:rFonts w:hint="eastAsia"/>
        </w:rPr>
        <w:t xml:space="preserve"> 백색 소음 재생 기능은 중단된다. 만약 자동수면 유도 기능이 꺼져 있었을 경우에는 아무 기능도 작동하지 않는다. </w:t>
      </w:r>
    </w:p>
    <w:p w:rsidR="006110FC" w:rsidRDefault="006110FC" w:rsidP="00AE2D8A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t xml:space="preserve">이 기능은 사용자가 원하는 시간에 아기가 최대한 수면 상태를 유지할 수 있도록 돕는다. </w:t>
      </w:r>
    </w:p>
    <w:p w:rsidR="00BF4DBB" w:rsidRDefault="006110FC" w:rsidP="00BF4DBB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t xml:space="preserve">침대는 아기가 잠 든 순간, 잠에서 깬 순간 서버에 알림을 보내 서버가 잠 든 시간, 잠에서 깬 시간을 DB에 기록할 수 있도록 한다. </w:t>
      </w:r>
      <w:r w:rsidR="00B411FC">
        <w:rPr>
          <w:rFonts w:hint="eastAsia"/>
        </w:rPr>
        <w:t xml:space="preserve">사용자는 누적된 아기의 수면 데이터를 어플리케이션이 제공하는 아기의 </w:t>
      </w:r>
      <w:proofErr w:type="spellStart"/>
      <w:r w:rsidR="00B411FC">
        <w:rPr>
          <w:rFonts w:hint="eastAsia"/>
        </w:rPr>
        <w:t>월령별</w:t>
      </w:r>
      <w:proofErr w:type="spellEnd"/>
      <w:r w:rsidR="00B411FC">
        <w:rPr>
          <w:rFonts w:hint="eastAsia"/>
        </w:rPr>
        <w:t xml:space="preserve"> 권장 일일 총 수면 시간, 가능한 연속 수면 시간과 </w:t>
      </w:r>
      <w:proofErr w:type="spellStart"/>
      <w:r w:rsidR="00F439F3">
        <w:rPr>
          <w:rFonts w:hint="eastAsia"/>
        </w:rPr>
        <w:t>날짜별로</w:t>
      </w:r>
      <w:proofErr w:type="spellEnd"/>
      <w:r w:rsidR="00F439F3">
        <w:rPr>
          <w:rFonts w:hint="eastAsia"/>
        </w:rPr>
        <w:t xml:space="preserve"> </w:t>
      </w:r>
      <w:r w:rsidR="00B411FC">
        <w:rPr>
          <w:rFonts w:hint="eastAsia"/>
        </w:rPr>
        <w:t xml:space="preserve">쉽게 비교하여 볼 수 있도록 </w:t>
      </w:r>
      <w:r w:rsidR="00997757">
        <w:rPr>
          <w:rFonts w:hint="eastAsia"/>
        </w:rPr>
        <w:t xml:space="preserve">그래프로 </w:t>
      </w:r>
      <w:r w:rsidR="00F84D25">
        <w:rPr>
          <w:rFonts w:hint="eastAsia"/>
        </w:rPr>
        <w:t>도식</w:t>
      </w:r>
      <w:r w:rsidR="00B411FC">
        <w:rPr>
          <w:rFonts w:hint="eastAsia"/>
        </w:rPr>
        <w:t>화 해서 제공한다</w:t>
      </w:r>
      <w:r w:rsidR="00BF4DBB">
        <w:rPr>
          <w:rFonts w:hint="eastAsia"/>
        </w:rPr>
        <w:t xml:space="preserve">. 권장 수면 시간에 대한 자료는 다음과 같다. 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4037"/>
      </w:tblGrid>
      <w:tr w:rsidR="00677118" w:rsidTr="00677118">
        <w:trPr>
          <w:trHeight w:val="358"/>
        </w:trPr>
        <w:tc>
          <w:tcPr>
            <w:tcW w:w="4037" w:type="dxa"/>
          </w:tcPr>
          <w:p w:rsidR="00677118" w:rsidRDefault="00677118" w:rsidP="00BF4DBB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&lt;표 2&gt; 아기 낮잠 가이드라인</w:t>
            </w:r>
          </w:p>
        </w:tc>
      </w:tr>
      <w:tr w:rsidR="00677118" w:rsidRPr="00677118" w:rsidTr="00677118">
        <w:trPr>
          <w:trHeight w:val="4920"/>
        </w:trPr>
        <w:tc>
          <w:tcPr>
            <w:tcW w:w="4037" w:type="dxa"/>
          </w:tcPr>
          <w:p w:rsidR="00677118" w:rsidRDefault="00677118" w:rsidP="00677118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asciiTheme="majorHAnsi" w:eastAsiaTheme="majorHAnsi" w:hAnsiTheme="majorHAnsi" w:cs="맑은 고딕" w:hint="eastAsia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4A704818" wp14:editId="508AA86B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635</wp:posOffset>
                  </wp:positionV>
                  <wp:extent cx="2247900" cy="3121025"/>
                  <wp:effectExtent l="0" t="0" r="0" b="3175"/>
                  <wp:wrapTight wrapText="bothSides">
                    <wp:wrapPolygon edited="0">
                      <wp:start x="0" y="0"/>
                      <wp:lineTo x="0" y="21490"/>
                      <wp:lineTo x="21417" y="21490"/>
                      <wp:lineTo x="21417" y="0"/>
                      <wp:lineTo x="0" y="0"/>
                    </wp:wrapPolygon>
                  </wp:wrapTight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낮잠수면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F4DBB" w:rsidRPr="00677118" w:rsidRDefault="00BF4DBB" w:rsidP="00BF4DBB">
      <w:pPr>
        <w:pStyle w:val="a5"/>
        <w:ind w:leftChars="800" w:left="1600" w:firstLineChars="100" w:firstLine="200"/>
        <w:rPr>
          <w:rFonts w:hint="eastAsia"/>
        </w:rPr>
      </w:pP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5171"/>
      </w:tblGrid>
      <w:tr w:rsidR="00677118" w:rsidTr="008E67D1">
        <w:tc>
          <w:tcPr>
            <w:tcW w:w="5171" w:type="dxa"/>
          </w:tcPr>
          <w:p w:rsidR="00677118" w:rsidRDefault="00677118" w:rsidP="00BF4DBB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&lt;표 3&gt; 연령별 적정 수면 시간</w:t>
            </w:r>
          </w:p>
        </w:tc>
      </w:tr>
      <w:tr w:rsidR="00677118" w:rsidTr="008E67D1">
        <w:tc>
          <w:tcPr>
            <w:tcW w:w="5171" w:type="dxa"/>
          </w:tcPr>
          <w:p w:rsidR="00677118" w:rsidRDefault="008E67D1" w:rsidP="00BF4DBB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asciiTheme="majorHAnsi" w:eastAsiaTheme="majorHAnsi" w:hAnsiTheme="majorHAnsi" w:cs="맑은 고딕" w:hint="eastAsia"/>
                <w:noProof/>
                <w:sz w:val="16"/>
                <w:szCs w:val="16"/>
              </w:rPr>
              <w:drawing>
                <wp:inline distT="0" distB="0" distL="0" distR="0" wp14:anchorId="5AA7E1CA" wp14:editId="758DF1B9">
                  <wp:extent cx="3020961" cy="3116193"/>
                  <wp:effectExtent l="0" t="0" r="8255" b="825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181107_10270987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939" cy="311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118" w:rsidRDefault="00677118" w:rsidP="00BF4DBB">
      <w:pPr>
        <w:pStyle w:val="a5"/>
        <w:ind w:leftChars="800" w:left="1600" w:firstLineChars="100" w:firstLine="200"/>
        <w:rPr>
          <w:rFonts w:hint="eastAsia"/>
        </w:rPr>
      </w:pP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1769"/>
        <w:gridCol w:w="1701"/>
        <w:gridCol w:w="2261"/>
        <w:gridCol w:w="1911"/>
      </w:tblGrid>
      <w:tr w:rsidR="008E67D1" w:rsidTr="00D76D88">
        <w:tc>
          <w:tcPr>
            <w:tcW w:w="7642" w:type="dxa"/>
            <w:gridSpan w:val="4"/>
          </w:tcPr>
          <w:p w:rsidR="008E67D1" w:rsidRDefault="008E67D1" w:rsidP="00BF4DBB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&lt;표 4&gt; </w:t>
            </w:r>
            <w:r w:rsidR="00016ABA">
              <w:rPr>
                <w:rFonts w:hint="eastAsia"/>
              </w:rPr>
              <w:t>개월 수 별 권장 수면 시간</w:t>
            </w:r>
          </w:p>
        </w:tc>
      </w:tr>
      <w:tr w:rsidR="00D76D88" w:rsidTr="002E549C">
        <w:tc>
          <w:tcPr>
            <w:tcW w:w="1769" w:type="dxa"/>
          </w:tcPr>
          <w:p w:rsidR="00D76D88" w:rsidRDefault="00D76D88" w:rsidP="00BF4DBB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연령</w:t>
            </w:r>
          </w:p>
        </w:tc>
        <w:tc>
          <w:tcPr>
            <w:tcW w:w="1701" w:type="dxa"/>
          </w:tcPr>
          <w:p w:rsidR="00D76D88" w:rsidRDefault="00D76D88" w:rsidP="00BF4DBB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권장 수면 시간</w:t>
            </w:r>
          </w:p>
        </w:tc>
        <w:tc>
          <w:tcPr>
            <w:tcW w:w="2261" w:type="dxa"/>
          </w:tcPr>
          <w:p w:rsidR="00D76D88" w:rsidRDefault="00D76D88" w:rsidP="00BF4DBB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적당 수면 시간</w:t>
            </w:r>
          </w:p>
        </w:tc>
        <w:tc>
          <w:tcPr>
            <w:tcW w:w="1911" w:type="dxa"/>
          </w:tcPr>
          <w:p w:rsidR="00D76D88" w:rsidRDefault="00D76D88" w:rsidP="00BF4DBB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부적당 수면 시간</w:t>
            </w:r>
          </w:p>
        </w:tc>
      </w:tr>
      <w:tr w:rsidR="00D76D88" w:rsidTr="00E01DF0">
        <w:tc>
          <w:tcPr>
            <w:tcW w:w="1769" w:type="dxa"/>
            <w:vAlign w:val="center"/>
          </w:tcPr>
          <w:p w:rsidR="00D76D88" w:rsidRDefault="00D76D88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신생아(0~3개월)</w:t>
            </w:r>
          </w:p>
        </w:tc>
        <w:tc>
          <w:tcPr>
            <w:tcW w:w="1701" w:type="dxa"/>
            <w:vAlign w:val="center"/>
          </w:tcPr>
          <w:p w:rsidR="00D76D88" w:rsidRDefault="00D76D88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14~17시간</w:t>
            </w:r>
          </w:p>
        </w:tc>
        <w:tc>
          <w:tcPr>
            <w:tcW w:w="2261" w:type="dxa"/>
            <w:vAlign w:val="center"/>
          </w:tcPr>
          <w:p w:rsidR="002E549C" w:rsidRDefault="00D76D88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11~13 또는</w:t>
            </w:r>
          </w:p>
          <w:p w:rsidR="00D76D88" w:rsidRDefault="00D76D88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18~19시간</w:t>
            </w:r>
          </w:p>
        </w:tc>
        <w:tc>
          <w:tcPr>
            <w:tcW w:w="1911" w:type="dxa"/>
            <w:vAlign w:val="center"/>
          </w:tcPr>
          <w:p w:rsidR="002E549C" w:rsidRDefault="00D76D88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11시간 이하 또는</w:t>
            </w:r>
          </w:p>
          <w:p w:rsidR="00D76D88" w:rsidRDefault="00D76D88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19시간 이상</w:t>
            </w:r>
          </w:p>
        </w:tc>
      </w:tr>
      <w:tr w:rsidR="002E549C" w:rsidTr="00E01DF0">
        <w:tc>
          <w:tcPr>
            <w:tcW w:w="1769" w:type="dxa"/>
            <w:vAlign w:val="center"/>
          </w:tcPr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영아(4~11개월)</w:t>
            </w:r>
          </w:p>
        </w:tc>
        <w:tc>
          <w:tcPr>
            <w:tcW w:w="1701" w:type="dxa"/>
            <w:vAlign w:val="center"/>
          </w:tcPr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12시간~15시간</w:t>
            </w:r>
          </w:p>
        </w:tc>
        <w:tc>
          <w:tcPr>
            <w:tcW w:w="2261" w:type="dxa"/>
            <w:vAlign w:val="center"/>
          </w:tcPr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10~11시간 또는</w:t>
            </w:r>
          </w:p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16~18시간</w:t>
            </w:r>
          </w:p>
        </w:tc>
        <w:tc>
          <w:tcPr>
            <w:tcW w:w="1911" w:type="dxa"/>
            <w:vAlign w:val="center"/>
          </w:tcPr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10시간 이하 또는</w:t>
            </w:r>
          </w:p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18시간</w:t>
            </w:r>
          </w:p>
        </w:tc>
      </w:tr>
      <w:tr w:rsidR="002E549C" w:rsidTr="00E01DF0">
        <w:tc>
          <w:tcPr>
            <w:tcW w:w="1769" w:type="dxa"/>
            <w:vAlign w:val="center"/>
          </w:tcPr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유아(1~2세)</w:t>
            </w:r>
          </w:p>
        </w:tc>
        <w:tc>
          <w:tcPr>
            <w:tcW w:w="1701" w:type="dxa"/>
            <w:vAlign w:val="center"/>
          </w:tcPr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11~14시간</w:t>
            </w:r>
          </w:p>
        </w:tc>
        <w:tc>
          <w:tcPr>
            <w:tcW w:w="2261" w:type="dxa"/>
            <w:vAlign w:val="center"/>
          </w:tcPr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9~10시간 또는</w:t>
            </w:r>
          </w:p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15~16시간</w:t>
            </w:r>
          </w:p>
        </w:tc>
        <w:tc>
          <w:tcPr>
            <w:tcW w:w="1911" w:type="dxa"/>
            <w:vAlign w:val="center"/>
          </w:tcPr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9시간 이하 또는</w:t>
            </w:r>
          </w:p>
          <w:p w:rsidR="002E549C" w:rsidRDefault="002E549C" w:rsidP="00E01DF0">
            <w:pPr>
              <w:pStyle w:val="a5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16시간 이상</w:t>
            </w:r>
          </w:p>
        </w:tc>
      </w:tr>
    </w:tbl>
    <w:p w:rsidR="008E67D1" w:rsidRDefault="00E01DF0" w:rsidP="00BF4DBB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t xml:space="preserve">사용자는 축적된 데이터와 권장 수면 데이터를 비교 하면서 아기가 올바른 수면을 하도록 교육할 수 있다. </w:t>
      </w:r>
    </w:p>
    <w:p w:rsidR="00E01DF0" w:rsidRDefault="00E01DF0" w:rsidP="00BF4DBB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t xml:space="preserve">질식 방지를 위해서는 아기의 고개가 누운 상태에서 하늘을 향하고 있지 않을 때, 즉 똑바로 누워 있지 않을 때 부모에게 알릴 수 있는 기능이 필요하다. 카메라를 똑바로 누워있는 아기의 얼굴 전체를 인식할 수 있는 위치에 달아 얼굴 인식 기능을 통해 </w:t>
      </w:r>
      <w:r w:rsidR="00186FB6">
        <w:rPr>
          <w:rFonts w:hint="eastAsia"/>
        </w:rPr>
        <w:t xml:space="preserve">아기의 얼굴을 찾는다. 얼굴이 인식되지 않으면, 아기의 귀를 인식한다. 귀마저 인식되지 않을 경우 아기가 엎드려있는 위험 상황으로 판단해 질식상황 알림을 서버를 거쳐 사용자에게 </w:t>
      </w:r>
      <w:proofErr w:type="spellStart"/>
      <w:r w:rsidR="00186FB6">
        <w:rPr>
          <w:rFonts w:hint="eastAsia"/>
        </w:rPr>
        <w:t>푸쉬해준다</w:t>
      </w:r>
      <w:proofErr w:type="spellEnd"/>
      <w:r w:rsidR="00186FB6">
        <w:rPr>
          <w:rFonts w:hint="eastAsia"/>
        </w:rPr>
        <w:t xml:space="preserve">. </w:t>
      </w:r>
    </w:p>
    <w:p w:rsidR="00E32D7E" w:rsidRDefault="00900323" w:rsidP="00BF4DBB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t xml:space="preserve">또한 스마트 아기침대에 설치 된 카메라로 사용자가 실시간으로 아기의 영상을 확인할 수 있도록 CCTV 기능을 제공한다. </w:t>
      </w:r>
    </w:p>
    <w:p w:rsidR="00714548" w:rsidRPr="00677118" w:rsidRDefault="00714548" w:rsidP="00BF4DBB">
      <w:pPr>
        <w:pStyle w:val="a5"/>
        <w:ind w:leftChars="800" w:left="1600" w:firstLineChars="100" w:firstLine="200"/>
        <w:rPr>
          <w:rFonts w:hint="eastAsia"/>
        </w:rPr>
      </w:pPr>
      <w:r>
        <w:rPr>
          <w:rFonts w:hint="eastAsia"/>
        </w:rPr>
        <w:lastRenderedPageBreak/>
        <w:t xml:space="preserve">사용자는 로그인 기능을 통해 시리얼을 가진 침대와 연결되며 자신의 회원 정보로 쉽게 모든 정보를 확인할 수 있다. </w:t>
      </w:r>
      <w:bookmarkStart w:id="0" w:name="_GoBack"/>
      <w:bookmarkEnd w:id="0"/>
    </w:p>
    <w:p w:rsidR="00C311D0" w:rsidRDefault="00C311D0" w:rsidP="00C311D0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기능별 시나리오</w:t>
      </w:r>
    </w:p>
    <w:p w:rsidR="00C311D0" w:rsidRDefault="00C311D0" w:rsidP="00C311D0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수면 패턴 분석</w:t>
      </w:r>
    </w:p>
    <w:p w:rsidR="00C311D0" w:rsidRDefault="00C311D0" w:rsidP="00C311D0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질식 방지 시스템</w:t>
      </w:r>
    </w:p>
    <w:p w:rsidR="00C311D0" w:rsidRDefault="00C311D0" w:rsidP="00C311D0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자동 수면 유도 기능</w:t>
      </w:r>
    </w:p>
    <w:p w:rsidR="00C311D0" w:rsidRDefault="00C311D0" w:rsidP="00C311D0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어플리케이션 기능</w:t>
      </w:r>
    </w:p>
    <w:p w:rsidR="00C311D0" w:rsidRDefault="00C311D0" w:rsidP="00C311D0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System 구성도</w:t>
      </w:r>
    </w:p>
    <w:p w:rsidR="00C311D0" w:rsidRDefault="00C311D0" w:rsidP="00C311D0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아기 수면 침대(Device)</w:t>
      </w:r>
    </w:p>
    <w:p w:rsidR="00C311D0" w:rsidRDefault="00C311D0" w:rsidP="00C311D0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서버</w:t>
      </w:r>
    </w:p>
    <w:p w:rsidR="00C311D0" w:rsidRDefault="00C311D0" w:rsidP="00C311D0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어플리케이션</w:t>
      </w:r>
    </w:p>
    <w:p w:rsidR="00C311D0" w:rsidRDefault="00C311D0" w:rsidP="00C311D0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문제 해결 위한 필요 기술 목록</w:t>
      </w:r>
    </w:p>
    <w:p w:rsidR="00AE6528" w:rsidRDefault="00AE6528" w:rsidP="00AE6528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수면 패턴 분석</w:t>
      </w:r>
    </w:p>
    <w:p w:rsidR="00AE6528" w:rsidRDefault="00AE6528" w:rsidP="00AE6528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질식 방지 시스템</w:t>
      </w:r>
    </w:p>
    <w:p w:rsidR="00AE6528" w:rsidRDefault="00AE6528" w:rsidP="00AE6528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수면 유도</w:t>
      </w:r>
    </w:p>
    <w:p w:rsidR="00AE6528" w:rsidRDefault="00AE6528" w:rsidP="00AE6528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어플리케이션</w:t>
      </w:r>
    </w:p>
    <w:p w:rsidR="00C311D0" w:rsidRDefault="00C311D0" w:rsidP="00C311D0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필요 장비 / 시연용 대체 장비 목록 및 용도</w:t>
      </w:r>
    </w:p>
    <w:p w:rsidR="00AE6528" w:rsidRDefault="00AE6528" w:rsidP="00AE6528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수면 패턴 분석</w:t>
      </w:r>
    </w:p>
    <w:p w:rsidR="00AE6528" w:rsidRDefault="00AE6528" w:rsidP="00AE6528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질식 방지 시스템</w:t>
      </w:r>
    </w:p>
    <w:p w:rsidR="00AE6528" w:rsidRDefault="00AE6528" w:rsidP="00AE6528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수면 유도</w:t>
      </w:r>
    </w:p>
    <w:p w:rsidR="00AE6528" w:rsidRDefault="00AE6528" w:rsidP="00AE6528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어플리케이션</w:t>
      </w:r>
    </w:p>
    <w:p w:rsidR="00C311D0" w:rsidRDefault="00C311D0" w:rsidP="00C311D0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문제에 대한 타당성 검토</w:t>
      </w:r>
    </w:p>
    <w:p w:rsidR="00C311D0" w:rsidRDefault="00C311D0" w:rsidP="00C311D0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유사 서비스 조사 결과</w:t>
      </w:r>
    </w:p>
    <w:p w:rsidR="00AE6528" w:rsidRDefault="00AE6528" w:rsidP="00AE6528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SNOO</w:t>
      </w:r>
    </w:p>
    <w:p w:rsidR="00AE6528" w:rsidRDefault="00AE6528" w:rsidP="00AE6528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4MOMS Smart Bouncer</w:t>
      </w:r>
    </w:p>
    <w:p w:rsidR="00C311D0" w:rsidRDefault="00C311D0" w:rsidP="00C311D0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유사 서비스와의 차별 사항</w:t>
      </w:r>
    </w:p>
    <w:p w:rsidR="00155DD9" w:rsidRDefault="00155DD9" w:rsidP="00155DD9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수면 교육에 유용한 수면 패턴 분석</w:t>
      </w:r>
    </w:p>
    <w:p w:rsidR="00155DD9" w:rsidRDefault="00155DD9" w:rsidP="00155DD9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질식 방지 시스템</w:t>
      </w:r>
    </w:p>
    <w:p w:rsidR="00155DD9" w:rsidRDefault="00155DD9" w:rsidP="00155DD9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수면 유도 기능의 자동화</w:t>
      </w:r>
    </w:p>
    <w:p w:rsidR="00155DD9" w:rsidRDefault="00155DD9" w:rsidP="00155DD9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CCTV</w:t>
      </w:r>
    </w:p>
    <w:p w:rsidR="00C311D0" w:rsidRDefault="00C311D0" w:rsidP="00C311D0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현실 적용 가능성 및 시장성 검토 사항</w:t>
      </w:r>
    </w:p>
    <w:p w:rsidR="00EF013A" w:rsidRDefault="00EF013A" w:rsidP="00EF013A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현실 적용 가능성</w:t>
      </w:r>
    </w:p>
    <w:p w:rsidR="00EF013A" w:rsidRDefault="00EF013A" w:rsidP="00EF013A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필요 예산 및 요구 기술</w:t>
      </w:r>
    </w:p>
    <w:p w:rsidR="00EF013A" w:rsidRDefault="00EF013A" w:rsidP="00EF013A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시장성</w:t>
      </w:r>
    </w:p>
    <w:p w:rsidR="00EF013A" w:rsidRDefault="00EF013A" w:rsidP="00EF013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제품환경</w:t>
      </w:r>
    </w:p>
    <w:sectPr w:rsidR="00EF01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323" w:rsidRDefault="00900323" w:rsidP="00C311D0">
      <w:pPr>
        <w:spacing w:after="0" w:line="240" w:lineRule="auto"/>
      </w:pPr>
      <w:r>
        <w:separator/>
      </w:r>
    </w:p>
  </w:endnote>
  <w:endnote w:type="continuationSeparator" w:id="0">
    <w:p w:rsidR="00900323" w:rsidRDefault="00900323" w:rsidP="00C3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323" w:rsidRDefault="00900323" w:rsidP="00C311D0">
      <w:pPr>
        <w:spacing w:after="0" w:line="240" w:lineRule="auto"/>
      </w:pPr>
      <w:r>
        <w:separator/>
      </w:r>
    </w:p>
  </w:footnote>
  <w:footnote w:type="continuationSeparator" w:id="0">
    <w:p w:rsidR="00900323" w:rsidRDefault="00900323" w:rsidP="00C31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45E0D"/>
    <w:multiLevelType w:val="hybridMultilevel"/>
    <w:tmpl w:val="0524769E"/>
    <w:lvl w:ilvl="0" w:tplc="40406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92A9A9A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628B064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34"/>
    <w:rsid w:val="00016ABA"/>
    <w:rsid w:val="00155DD9"/>
    <w:rsid w:val="00186FB6"/>
    <w:rsid w:val="002E549C"/>
    <w:rsid w:val="00302F14"/>
    <w:rsid w:val="005F18E4"/>
    <w:rsid w:val="006110FC"/>
    <w:rsid w:val="00677118"/>
    <w:rsid w:val="00714548"/>
    <w:rsid w:val="00792D02"/>
    <w:rsid w:val="008E67D1"/>
    <w:rsid w:val="00900323"/>
    <w:rsid w:val="00997757"/>
    <w:rsid w:val="00AE2D8A"/>
    <w:rsid w:val="00AE6528"/>
    <w:rsid w:val="00B411FC"/>
    <w:rsid w:val="00BF4DBB"/>
    <w:rsid w:val="00C311D0"/>
    <w:rsid w:val="00CD13DE"/>
    <w:rsid w:val="00D76D88"/>
    <w:rsid w:val="00D85C34"/>
    <w:rsid w:val="00E01DF0"/>
    <w:rsid w:val="00E32D7E"/>
    <w:rsid w:val="00EF013A"/>
    <w:rsid w:val="00F439F3"/>
    <w:rsid w:val="00F84D25"/>
    <w:rsid w:val="00F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11D0"/>
  </w:style>
  <w:style w:type="paragraph" w:styleId="a4">
    <w:name w:val="footer"/>
    <w:basedOn w:val="a"/>
    <w:link w:val="Char0"/>
    <w:uiPriority w:val="99"/>
    <w:unhideWhenUsed/>
    <w:rsid w:val="00C311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11D0"/>
  </w:style>
  <w:style w:type="paragraph" w:styleId="a5">
    <w:name w:val="List Paragraph"/>
    <w:basedOn w:val="a"/>
    <w:uiPriority w:val="34"/>
    <w:qFormat/>
    <w:rsid w:val="00C311D0"/>
    <w:pPr>
      <w:ind w:leftChars="400" w:left="800"/>
    </w:pPr>
  </w:style>
  <w:style w:type="table" w:styleId="a6">
    <w:name w:val="Table Grid"/>
    <w:basedOn w:val="a1"/>
    <w:uiPriority w:val="59"/>
    <w:rsid w:val="00792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771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771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1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11D0"/>
  </w:style>
  <w:style w:type="paragraph" w:styleId="a4">
    <w:name w:val="footer"/>
    <w:basedOn w:val="a"/>
    <w:link w:val="Char0"/>
    <w:uiPriority w:val="99"/>
    <w:unhideWhenUsed/>
    <w:rsid w:val="00C311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11D0"/>
  </w:style>
  <w:style w:type="paragraph" w:styleId="a5">
    <w:name w:val="List Paragraph"/>
    <w:basedOn w:val="a"/>
    <w:uiPriority w:val="34"/>
    <w:qFormat/>
    <w:rsid w:val="00C311D0"/>
    <w:pPr>
      <w:ind w:leftChars="400" w:left="800"/>
    </w:pPr>
  </w:style>
  <w:style w:type="table" w:styleId="a6">
    <w:name w:val="Table Grid"/>
    <w:basedOn w:val="a1"/>
    <w:uiPriority w:val="59"/>
    <w:rsid w:val="00792D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771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771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E29F4-E1F4-4000-8EC5-70342D265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2018-11-22T12:41:00Z</dcterms:created>
  <dcterms:modified xsi:type="dcterms:W3CDTF">2018-11-22T12:41:00Z</dcterms:modified>
</cp:coreProperties>
</file>