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30"/>
          <w:szCs w:val="30"/>
        </w:rPr>
        <w:t xml:space="preserve">SURYA ENTERPRISES</w:t>
      </w:r>
    </w:p>
    <w:p>
      <w:pPr>
        <w:spacing w:after="400" w:before="100"/>
        <w:jc w:val="center"/>
      </w:pPr>
      <w:r>
        <w:rPr>
          <w:i/>
          <w:iCs/>
          <w:color w:val="595959"/>
          <w:sz w:val="22"/>
          <w:szCs w:val="22"/>
        </w:rPr>
        <w:t xml:space="preserve">Proposed Handbook Addition</w:t>
      </w:r>
    </w:p>
    <w:p>
      <w:pPr>
        <w:spacing w:after="200" w:before="300"/>
        <w:jc w:val="center"/>
      </w:pPr>
      <w:r>
        <w:rPr>
          <w:b/>
          <w:bCs/>
          <w:color w:val="000000"/>
          <w:sz w:val="40"/>
          <w:szCs w:val="40"/>
        </w:rPr>
        <w:t xml:space="preserve">Employee Stock Option Plan (ESOP) and Equity Compensation Policy</w:t>
      </w:r>
    </w:p>
    <w:p>
      <w:pPr>
        <w:spacing w:after="800" w:before="100"/>
        <w:jc w:val="center"/>
      </w:pPr>
      <w:r>
        <w:rPr>
          <w:color w:val="595959"/>
          <w:sz w:val="22"/>
          <w:szCs w:val="22"/>
        </w:rPr>
        <w:t xml:space="preserve">Missing Policy #1 of 8 — Compensation &amp; Benefits</w:t>
      </w:r>
    </w:p>
    <w:p>
      <w:pPr>
        <w:spacing w:before="1600"/>
        <w:jc w:val="center"/>
      </w:pPr>
      <w:r>
        <w:rPr>
          <w:color w:val="595959"/>
          <w:sz w:val="20"/>
          <w:szCs w:val="20"/>
        </w:rPr>
        <w:t xml:space="preserve">Drafted for review — Version 0.1 (Draft) — September 2026</w:t>
      </w:r>
    </w:p>
    <w:p>
      <w:pPr>
        <w:spacing w:before="100"/>
        <w:jc w:val="center"/>
      </w:pPr>
      <w:r>
        <w:rPr>
          <w:color w:val="595959"/>
          <w:sz w:val="20"/>
          <w:szCs w:val="20"/>
        </w:rPr>
        <w:t xml:space="preserve">Classification: Confidential — Internal Use Only</w:t>
      </w:r>
    </w:p>
    <w:p>
      <w:pPr>
        <w:spacing w:before="100"/>
        <w:jc w:val="center"/>
      </w:pPr>
      <w:r>
        <w:rPr>
          <w:color w:val="595959"/>
          <w:sz w:val="20"/>
          <w:szCs w:val="20"/>
        </w:rPr>
        <w:t xml:space="preserve">Owner: People Operations &amp; Human Resources (proposed)</w:t>
      </w:r>
    </w:p>
    <w:p>
      <w:r>
        <w:br w:type="page"/>
      </w:r>
    </w:p>
    <w:p>
      <w:pPr>
        <w:pStyle w:val="Heading1"/>
        <w:spacing w:after="200" w:before="400"/>
      </w:pPr>
      <w:r>
        <w:rPr>
          <w:b/>
          <w:bCs/>
          <w:color w:val="1F3864"/>
          <w:sz w:val="26"/>
          <w:szCs w:val="26"/>
        </w:rP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Pr>
          <w:p>
            <w:r>
              <w:rPr>
                <w:b/>
                <w:bCs/>
                <w:sz w:val="20"/>
                <w:szCs w:val="20"/>
              </w:rPr>
              <w:t xml:space="preserve">Document Title</w:t>
            </w:r>
          </w:p>
        </w:tc>
        <w:tc>
          <w:tcPr>
            <w:tcW w:type="dxa" w:w="7000"/>
          </w:tcPr>
          <w:p>
            <w:r>
              <w:rPr>
                <w:sz w:val="20"/>
                <w:szCs w:val="20"/>
              </w:rPr>
              <w:t xml:space="preserve">Employee Stock Option Plan (ESOP) and Equity Compensation Policy</w:t>
            </w:r>
          </w:p>
        </w:tc>
      </w:tr>
      <w:tr>
        <w:tc>
          <w:tcPr>
            <w:tcW w:type="dxa" w:w="2600"/>
            <w:shd w:fill="F2F2F2" w:val="clear"/>
          </w:tcPr>
          <w:p>
            <w:r>
              <w:rPr>
                <w:b/>
                <w:bCs/>
                <w:sz w:val="20"/>
                <w:szCs w:val="20"/>
              </w:rPr>
              <w:t xml:space="preserve">Version</w:t>
            </w:r>
          </w:p>
        </w:tc>
        <w:tc>
          <w:tcPr>
            <w:tcW w:type="dxa" w:w="7000"/>
          </w:tcPr>
          <w:p>
            <w:r>
              <w:rPr>
                <w:sz w:val="20"/>
                <w:szCs w:val="20"/>
              </w:rPr>
              <w:t xml:space="preserve">0.1 (Draft — Proposed)</w:t>
            </w:r>
          </w:p>
        </w:tc>
      </w:tr>
      <w:tr>
        <w:tc>
          <w:tcPr>
            <w:tcW w:type="dxa" w:w="2600"/>
            <w:shd w:fill="F2F2F2" w:val="clear"/>
          </w:tcPr>
          <w:p>
            <w:r>
              <w:rPr>
                <w:b/>
                <w:bCs/>
                <w:sz w:val="20"/>
                <w:szCs w:val="20"/>
              </w:rPr>
              <w:t xml:space="preserve">Proposed Effective Date</w:t>
            </w:r>
          </w:p>
        </w:tc>
        <w:tc>
          <w:tcPr>
            <w:tcW w:type="dxa" w:w="7000"/>
          </w:tcPr>
          <w:p>
            <w:r>
              <w:rPr>
                <w:sz w:val="20"/>
                <w:szCs w:val="20"/>
              </w:rPr>
              <w:t xml:space="preserve">Upon approval by People Operations and Legal</w:t>
            </w:r>
          </w:p>
        </w:tc>
      </w:tr>
      <w:tr>
        <w:tc>
          <w:tcPr>
            <w:tcW w:type="dxa" w:w="2600"/>
            <w:shd w:fill="F2F2F2" w:val="clear"/>
          </w:tcPr>
          <w:p>
            <w:r>
              <w:rPr>
                <w:b/>
                <w:bCs/>
                <w:sz w:val="20"/>
                <w:szCs w:val="20"/>
              </w:rPr>
              <w:t xml:space="preserve">Proposed Owner</w:t>
            </w:r>
          </w:p>
        </w:tc>
        <w:tc>
          <w:tcPr>
            <w:tcW w:type="dxa" w:w="7000"/>
          </w:tcPr>
          <w:p>
            <w:r>
              <w:rPr>
                <w:sz w:val="20"/>
                <w:szCs w:val="20"/>
              </w:rPr>
              <w:t xml:space="preserve">Chief People Officer &amp; Chief Financial Officer (Compensation Committee)</w:t>
            </w:r>
          </w:p>
        </w:tc>
      </w:tr>
      <w:tr>
        <w:tc>
          <w:tcPr>
            <w:tcW w:type="dxa" w:w="2600"/>
            <w:shd w:fill="F2F2F2" w:val="clear"/>
          </w:tcPr>
          <w:p>
            <w:r>
              <w:rPr>
                <w:b/>
                <w:bCs/>
                <w:sz w:val="20"/>
                <w:szCs w:val="20"/>
              </w:rPr>
              <w:t xml:space="preserve">Review Cycle</w:t>
            </w:r>
          </w:p>
        </w:tc>
        <w:tc>
          <w:tcPr>
            <w:tcW w:type="dxa" w:w="7000"/>
          </w:tcPr>
          <w:p>
            <w:r>
              <w:rPr>
                <w:sz w:val="20"/>
                <w:szCs w:val="20"/>
              </w:rPr>
              <w:t xml:space="preserve">Annual, or upon material policy/regulatory change</w:t>
            </w:r>
          </w:p>
        </w:tc>
      </w:tr>
      <w:tr>
        <w:tc>
          <w:tcPr>
            <w:tcW w:type="dxa" w:w="2600"/>
            <w:shd w:fill="F2F2F2" w:val="clear"/>
          </w:tcPr>
          <w:p>
            <w:r>
              <w:rPr>
                <w:b/>
                <w:bCs/>
                <w:sz w:val="20"/>
                <w:szCs w:val="20"/>
              </w:rPr>
              <w:t xml:space="preserve">Classification</w:t>
            </w:r>
          </w:p>
        </w:tc>
        <w:tc>
          <w:tcPr>
            <w:tcW w:type="dxa" w:w="7000"/>
          </w:tcPr>
          <w:p>
            <w:r>
              <w:rPr>
                <w:sz w:val="20"/>
                <w:szCs w:val="20"/>
              </w:rPr>
              <w:t xml:space="preserve">Confidential — Internal Use Only</w:t>
            </w:r>
          </w:p>
        </w:tc>
      </w:tr>
      <w:tr>
        <w:tc>
          <w:tcPr>
            <w:tcW w:type="dxa" w:w="2600"/>
            <w:shd w:fill="F2F2F2" w:val="clear"/>
          </w:tcPr>
          <w:p>
            <w:r>
              <w:rPr>
                <w:b/>
                <w:bCs/>
                <w:sz w:val="20"/>
                <w:szCs w:val="20"/>
              </w:rPr>
              <w:t xml:space="preserve">Applies To</w:t>
            </w:r>
          </w:p>
        </w:tc>
        <w:tc>
          <w:tcPr>
            <w:tcW w:type="dxa" w:w="7000"/>
          </w:tcPr>
          <w:p>
            <w:r>
              <w:rPr>
                <w:sz w:val="20"/>
                <w:szCs w:val="20"/>
              </w:rPr>
              <w:t xml:space="preserve">All employees, contractors, and interns of Surya Enterprises Private Limited and Surya Enterprises Inc., except where a section states otherwise</w:t>
            </w:r>
          </w:p>
        </w:tc>
      </w:tr>
      <w:tr>
        <w:tc>
          <w:tcPr>
            <w:tcW w:type="dxa" w:w="2600"/>
            <w:shd w:fill="F2F2F2" w:val="clear"/>
          </w:tcPr>
          <w:p>
            <w:r>
              <w:rPr>
                <w:b/>
                <w:bCs/>
                <w:sz w:val="20"/>
                <w:szCs w:val="20"/>
              </w:rPr>
              <w:t xml:space="preserve">Suggested Handbook Placement</w:t>
            </w:r>
          </w:p>
        </w:tc>
        <w:tc>
          <w:tcPr>
            <w:tcW w:type="dxa" w:w="7000"/>
          </w:tcPr>
          <w:p>
            <w:r>
              <w:rPr>
                <w:sz w:val="20"/>
                <w:szCs w:val="20"/>
              </w:rPr>
              <w:t xml:space="preserve">Part I, adjacent to Chapter 9 (Payroll and Compensation Administration) and Chapter 11 (Employee Benefits)</w:t>
            </w:r>
          </w:p>
        </w:tc>
      </w:tr>
    </w:tbl>
    <w:p>
      <w:pPr>
        <w:spacing w:after="200"/>
      </w:pPr>
    </w:p>
    <w:p>
      <w:pPr>
        <w:spacing w:after="160"/>
      </w:pPr>
      <w:r>
        <w:rPr>
          <w:i/>
          <w:iCs/>
          <w:color w:val="595959"/>
          <w:sz w:val="19"/>
          <w:szCs w:val="19"/>
        </w:rPr>
        <w:t xml:space="preserve">This document is proposed for insertion into the Surya Enterprises Employee &amp; Operations Handbook. It was drafted to close a gap identified during a handbook completeness review and has not yet been reviewed or approved by Legal, Finance, or the Chief People Officer.</w:t>
      </w:r>
    </w:p>
    <w:p>
      <w:pPr>
        <w:pBdr>
          <w:bottom w:val="single" w:color="1F3864" w:sz="8" w:space="4"/>
        </w:pBdr>
        <w:spacing w:after="200"/>
      </w:pPr>
    </w:p>
    <w:p>
      <w:pPr>
        <w:pStyle w:val="Heading1"/>
        <w:spacing w:after="200" w:before="400"/>
      </w:pPr>
      <w:r>
        <w:rPr>
          <w:b/>
          <w:bCs/>
          <w:color w:val="1F3864"/>
          <w:sz w:val="26"/>
          <w:szCs w:val="26"/>
        </w:rPr>
        <w:t xml:space="preserve">1. Why This Policy Is Missing</w:t>
      </w:r>
    </w:p>
    <w:p>
      <w:pPr>
        <w:spacing w:after="160"/>
      </w:pPr>
      <w:r>
        <w:rPr>
          <w:sz w:val="21"/>
          <w:szCs w:val="21"/>
        </w:rPr>
        <w:t xml:space="preserve">The current handbook discusses cash compensation in detail across Chapter 9 (Payroll and Compensation Administration), Chapter 49 (Compensation Bands and Benchmarking), and the pay-equity review in Appendix F.4. The word "equity" appears eleven times in the handbook, but in every instance it refers to diversity/inclusion ("Diversity, Equity, and Inclusion") or to internal pay fairness ("pay equity analysis") — never to ownership equity such as stock options or restricted stock units (RSUs). No chapter defines whether Surya Enterprises grants equity at all, to whom, on what schedule, or what happens to unvested equity when someone leaves. For a company with a U.S. operating unit (Chapter 51) and an Engineering/Product organization with defined levels (Role Library, Chapter 47), the absence of an equity policy is a material gap that new hires, especially at senior levels, will ask about during offer negotiation.</w:t>
      </w:r>
    </w:p>
    <w:p>
      <w:pPr>
        <w:pStyle w:val="Heading1"/>
        <w:spacing w:after="200" w:before="400"/>
      </w:pPr>
      <w:r>
        <w:rPr>
          <w:b/>
          <w:bCs/>
          <w:color w:val="1F3864"/>
          <w:sz w:val="26"/>
          <w:szCs w:val="26"/>
        </w:rPr>
        <w:t xml:space="preserve">2. Purpose</w:t>
      </w:r>
    </w:p>
    <w:p>
      <w:pPr>
        <w:spacing w:after="160"/>
      </w:pPr>
      <w:r>
        <w:rPr>
          <w:sz w:val="21"/>
          <w:szCs w:val="21"/>
        </w:rPr>
        <w:t xml:space="preserve">This policy defines how Surya Enterprises grants, administers, vests, and settles equity-based compensation, so that offer letters, performance reviews, and separations can reference a single authoritative source instead of ad hoc verbal commitments.</w:t>
      </w:r>
    </w:p>
    <w:p>
      <w:pPr>
        <w:pStyle w:val="Heading1"/>
        <w:spacing w:after="200" w:before="400"/>
      </w:pPr>
      <w:r>
        <w:rPr>
          <w:b/>
          <w:bCs/>
          <w:color w:val="1F3864"/>
          <w:sz w:val="26"/>
          <w:szCs w:val="26"/>
        </w:rPr>
        <w:t xml:space="preserve">3. Scope</w:t>
      </w:r>
    </w:p>
    <w:p>
      <w:pPr>
        <w:spacing w:after="160"/>
      </w:pPr>
      <w:r>
        <w:rPr>
          <w:sz w:val="21"/>
          <w:szCs w:val="21"/>
        </w:rPr>
        <w:t xml:space="preserve">Applies to any employee who receives a written equity grant letter referencing this policy, across both the Indian private limited entity and the U.S. operating unit, subject to the securities and tax law differences described in Section 8.</w:t>
      </w:r>
    </w:p>
    <w:p>
      <w:pPr>
        <w:pStyle w:val="Heading1"/>
        <w:spacing w:after="200" w:before="400"/>
      </w:pPr>
      <w:r>
        <w:rPr>
          <w:b/>
          <w:bCs/>
          <w:color w:val="1F3864"/>
          <w:sz w:val="26"/>
          <w:szCs w:val="26"/>
        </w:rPr>
        <w:t xml:space="preserve">4. Types of Equity Awards</w:t>
      </w:r>
    </w:p>
    <w:p>
      <w:pPr>
        <w:pStyle w:val="Heading2"/>
        <w:spacing w:after="140" w:before="260"/>
      </w:pPr>
      <w:r>
        <w:rPr>
          <w:b/>
          <w:bCs/>
          <w:color w:val="000000"/>
          <w:sz w:val="22"/>
          <w:szCs w:val="22"/>
        </w:rPr>
        <w:t xml:space="preserve">4.1 Stock Options</w:t>
      </w:r>
    </w:p>
    <w:p>
      <w:pPr>
        <w:spacing w:after="160"/>
      </w:pPr>
      <w:r>
        <w:rPr>
          <w:sz w:val="21"/>
          <w:szCs w:val="21"/>
        </w:rPr>
        <w:t xml:space="preserve">A right to purchase a fixed number of shares at a predetermined exercise price ("strike price"), set at fair market value on the grant date as determined by an independent 409A valuation (U.S.) or equivalent valuation (India).</w:t>
      </w:r>
    </w:p>
    <w:p>
      <w:pPr>
        <w:pStyle w:val="Heading2"/>
        <w:spacing w:after="140" w:before="260"/>
      </w:pPr>
      <w:r>
        <w:rPr>
          <w:b/>
          <w:bCs/>
          <w:color w:val="000000"/>
          <w:sz w:val="22"/>
          <w:szCs w:val="22"/>
        </w:rPr>
        <w:t xml:space="preserve">4.2 Restricted Stock Units (RSUs)</w:t>
      </w:r>
    </w:p>
    <w:p>
      <w:pPr>
        <w:spacing w:after="160"/>
      </w:pPr>
      <w:r>
        <w:rPr>
          <w:sz w:val="21"/>
          <w:szCs w:val="21"/>
        </w:rPr>
        <w:t xml:space="preserve">A promise to deliver a fixed number of shares upon vesting, with no purchase price required from the employee. RSUs are typically reserved for senior and post-Series-C-equivalent grants where the company's valuation makes options less tax-efficient for the recipient.</w:t>
      </w:r>
    </w:p>
    <w:p>
      <w:pPr>
        <w:pStyle w:val="Heading2"/>
        <w:spacing w:after="140" w:before="260"/>
      </w:pPr>
      <w:r>
        <w:rPr>
          <w:b/>
          <w:bCs/>
          <w:color w:val="000000"/>
          <w:sz w:val="22"/>
          <w:szCs w:val="22"/>
        </w:rPr>
        <w:t xml:space="preserve">4.3 Grant Eligibility</w:t>
      </w:r>
    </w:p>
    <w:p>
      <w:pPr>
        <w:pStyle w:val="ListParagraph"/>
        <w:numPr>
          <w:ilvl w:val="0"/>
          <w:numId w:val="2"/>
        </w:numPr>
        <w:spacing w:after="80"/>
      </w:pPr>
      <w:r>
        <w:rPr>
          <w:sz w:val="21"/>
          <w:szCs w:val="21"/>
        </w:rPr>
        <w:t xml:space="preserve">New hires at Senior Engineer / Senior Manager level and above (Role Library, Chapters 47–48), as an offer-letter component.</w:t>
      </w:r>
    </w:p>
    <w:p>
      <w:pPr>
        <w:pStyle w:val="ListParagraph"/>
        <w:numPr>
          <w:ilvl w:val="0"/>
          <w:numId w:val="2"/>
        </w:numPr>
        <w:spacing w:after="80"/>
      </w:pPr>
      <w:r>
        <w:rPr>
          <w:sz w:val="21"/>
          <w:szCs w:val="21"/>
        </w:rPr>
        <w:t xml:space="preserve">Existing employees receiving a promotion into an eligible band.</w:t>
      </w:r>
    </w:p>
    <w:p>
      <w:pPr>
        <w:pStyle w:val="ListParagraph"/>
        <w:numPr>
          <w:ilvl w:val="0"/>
          <w:numId w:val="2"/>
        </w:numPr>
        <w:spacing w:after="80"/>
      </w:pPr>
      <w:r>
        <w:rPr>
          <w:sz w:val="21"/>
          <w:szCs w:val="21"/>
        </w:rPr>
        <w:t xml:space="preserve">Refresh grants for high performers rated 'Exceeds Expectations' or above in two consecutive review cycles (Chapter 12).</w:t>
      </w:r>
    </w:p>
    <w:p>
      <w:pPr>
        <w:pStyle w:val="ListParagraph"/>
        <w:numPr>
          <w:ilvl w:val="0"/>
          <w:numId w:val="2"/>
        </w:numPr>
        <w:spacing w:after="80"/>
      </w:pPr>
      <w:r>
        <w:rPr>
          <w:sz w:val="21"/>
          <w:szCs w:val="21"/>
        </w:rPr>
        <w:t xml:space="preserve">Grants approved case-by-case by the Compensation Committee for exceptional retention situations.</w:t>
      </w:r>
    </w:p>
    <w:p>
      <w:pPr>
        <w:pStyle w:val="Heading1"/>
        <w:spacing w:after="200" w:before="400"/>
      </w:pPr>
      <w:r>
        <w:rPr>
          <w:b/>
          <w:bCs/>
          <w:color w:val="1F3864"/>
          <w:sz w:val="26"/>
          <w:szCs w:val="26"/>
        </w:rPr>
        <w:t xml:space="preserve">5. Vesting Schedule</w:t>
      </w:r>
    </w:p>
    <w:p>
      <w:pPr>
        <w:spacing w:after="160"/>
      </w:pPr>
      <w:r>
        <w:rPr>
          <w:sz w:val="21"/>
          <w:szCs w:val="21"/>
        </w:rPr>
        <w:t xml:space="preserve">Unless a grant letter states otherwise, all equity awards vest on a standard four-year schedule with a one-year cliff: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val="clear"/>
          </w:tcPr>
          <w:p>
            <w:r>
              <w:rPr>
                <w:b/>
                <w:bCs/>
                <w:color w:val="FFFFFF"/>
                <w:sz w:val="20"/>
                <w:szCs w:val="20"/>
              </w:rPr>
              <w:t xml:space="preserve">Milestone</w:t>
            </w:r>
          </w:p>
        </w:tc>
        <w:tc>
          <w:tcPr>
            <w:tcW w:type="dxa" w:w="3200"/>
            <w:shd w:fill="1F3864" w:val="clear"/>
          </w:tcPr>
          <w:p>
            <w:r>
              <w:rPr>
                <w:b/>
                <w:bCs/>
                <w:color w:val="FFFFFF"/>
                <w:sz w:val="20"/>
                <w:szCs w:val="20"/>
              </w:rPr>
              <w:t xml:space="preserve">Vested Amount</w:t>
            </w:r>
          </w:p>
        </w:tc>
        <w:tc>
          <w:tcPr>
            <w:tcW w:type="dxa" w:w="3200"/>
            <w:shd w:fill="1F3864" w:val="clear"/>
          </w:tcPr>
          <w:p>
            <w:r>
              <w:rPr>
                <w:b/>
                <w:bCs/>
                <w:color w:val="FFFFFF"/>
                <w:sz w:val="20"/>
                <w:szCs w:val="20"/>
              </w:rPr>
              <w:t xml:space="preserve">Notes</w:t>
            </w:r>
          </w:p>
        </w:tc>
      </w:tr>
      <w:tr>
        <w:tc>
          <w:tcPr>
            <w:tcW w:type="dxa" w:w="3200"/>
          </w:tcPr>
          <w:p>
            <w:r>
              <w:rPr>
                <w:sz w:val="20"/>
                <w:szCs w:val="20"/>
              </w:rPr>
              <w:t xml:space="preserve">Before 12 months of continuous service</w:t>
            </w:r>
          </w:p>
        </w:tc>
        <w:tc>
          <w:tcPr>
            <w:tcW w:type="dxa" w:w="3200"/>
          </w:tcPr>
          <w:p>
            <w:r>
              <w:rPr>
                <w:sz w:val="20"/>
                <w:szCs w:val="20"/>
              </w:rPr>
              <w:t xml:space="preserve">0%</w:t>
            </w:r>
          </w:p>
        </w:tc>
        <w:tc>
          <w:tcPr>
            <w:tcW w:type="dxa" w:w="3200"/>
          </w:tcPr>
          <w:p>
            <w:r>
              <w:rPr>
                <w:sz w:val="20"/>
                <w:szCs w:val="20"/>
              </w:rPr>
              <w:t xml:space="preserve">The 'cliff' — no shares vest until the first anniversary of the vesting start date</w:t>
            </w:r>
          </w:p>
        </w:tc>
      </w:tr>
      <w:tr>
        <w:tc>
          <w:tcPr>
            <w:tcW w:type="dxa" w:w="3200"/>
          </w:tcPr>
          <w:p>
            <w:r>
              <w:rPr>
                <w:sz w:val="20"/>
                <w:szCs w:val="20"/>
              </w:rPr>
              <w:t xml:space="preserve">12-month anniversary (the cliff date)</w:t>
            </w:r>
          </w:p>
        </w:tc>
        <w:tc>
          <w:tcPr>
            <w:tcW w:type="dxa" w:w="3200"/>
          </w:tcPr>
          <w:p>
            <w:r>
              <w:rPr>
                <w:sz w:val="20"/>
                <w:szCs w:val="20"/>
              </w:rPr>
              <w:t xml:space="preserve">25%</w:t>
            </w:r>
          </w:p>
        </w:tc>
        <w:tc>
          <w:tcPr>
            <w:tcW w:type="dxa" w:w="3200"/>
          </w:tcPr>
          <w:p>
            <w:r>
              <w:rPr>
                <w:sz w:val="20"/>
                <w:szCs w:val="20"/>
              </w:rPr>
              <w:t xml:space="preserve">Vests in a single lump sum on the cliff date</w:t>
            </w:r>
          </w:p>
        </w:tc>
      </w:tr>
      <w:tr>
        <w:tc>
          <w:tcPr>
            <w:tcW w:type="dxa" w:w="3200"/>
          </w:tcPr>
          <w:p>
            <w:r>
              <w:rPr>
                <w:sz w:val="20"/>
                <w:szCs w:val="20"/>
              </w:rPr>
              <w:t xml:space="preserve">Months 13–48</w:t>
            </w:r>
          </w:p>
        </w:tc>
        <w:tc>
          <w:tcPr>
            <w:tcW w:type="dxa" w:w="3200"/>
          </w:tcPr>
          <w:p>
            <w:r>
              <w:rPr>
                <w:sz w:val="20"/>
                <w:szCs w:val="20"/>
              </w:rPr>
              <w:t xml:space="preserve">Remaining 75%</w:t>
            </w:r>
          </w:p>
        </w:tc>
        <w:tc>
          <w:tcPr>
            <w:tcW w:type="dxa" w:w="3200"/>
          </w:tcPr>
          <w:p>
            <w:r>
              <w:rPr>
                <w:sz w:val="20"/>
                <w:szCs w:val="20"/>
              </w:rPr>
              <w:t xml:space="preserve">Vests in equal monthly instalments (1/48th of total grant per month)</w:t>
            </w:r>
          </w:p>
        </w:tc>
      </w:tr>
      <w:tr>
        <w:tc>
          <w:tcPr>
            <w:tcW w:type="dxa" w:w="3200"/>
          </w:tcPr>
          <w:p>
            <w:r>
              <w:rPr>
                <w:sz w:val="20"/>
                <w:szCs w:val="20"/>
              </w:rPr>
              <w:t xml:space="preserve">Refresh grants</w:t>
            </w:r>
          </w:p>
        </w:tc>
        <w:tc>
          <w:tcPr>
            <w:tcW w:type="dxa" w:w="3200"/>
          </w:tcPr>
          <w:p>
            <w:r>
              <w:rPr>
                <w:sz w:val="20"/>
                <w:szCs w:val="20"/>
              </w:rPr>
              <w:t xml:space="preserve">New 4-year schedule from refresh grant date</w:t>
            </w:r>
          </w:p>
        </w:tc>
        <w:tc>
          <w:tcPr>
            <w:tcW w:type="dxa" w:w="3200"/>
          </w:tcPr>
          <w:p>
            <w:r>
              <w:rPr>
                <w:sz w:val="20"/>
                <w:szCs w:val="20"/>
              </w:rPr>
              <w:t xml:space="preserve">Refresh grants do not restart or extend the original grant's schedule</w:t>
            </w:r>
          </w:p>
        </w:tc>
      </w:tr>
    </w:tbl>
    <w:p>
      <w:pPr>
        <w:pStyle w:val="Heading1"/>
        <w:spacing w:after="200" w:before="400"/>
      </w:pPr>
      <w:r>
        <w:rPr>
          <w:b/>
          <w:bCs/>
          <w:color w:val="1F3864"/>
          <w:sz w:val="26"/>
          <w:szCs w:val="26"/>
        </w:rPr>
        <w:t xml:space="preserve">6. Exercise and Settlement</w:t>
      </w:r>
    </w:p>
    <w:p>
      <w:pPr>
        <w:pStyle w:val="ListParagraph"/>
        <w:numPr>
          <w:ilvl w:val="0"/>
          <w:numId w:val="2"/>
        </w:numPr>
        <w:spacing w:after="80"/>
      </w:pPr>
      <w:r>
        <w:rPr>
          <w:sz w:val="21"/>
          <w:szCs w:val="21"/>
        </w:rPr>
        <w:t xml:space="preserve">Vested stock options may be exercised at any time before the post-termination exercise window closes (see Section 7).</w:t>
      </w:r>
    </w:p>
    <w:p>
      <w:pPr>
        <w:pStyle w:val="ListParagraph"/>
        <w:numPr>
          <w:ilvl w:val="0"/>
          <w:numId w:val="2"/>
        </w:numPr>
        <w:spacing w:after="80"/>
      </w:pPr>
      <w:r>
        <w:rPr>
          <w:sz w:val="21"/>
          <w:szCs w:val="21"/>
        </w:rPr>
        <w:t xml:space="preserve">RSUs settle automatically in shares (net of applicable tax withholding) on each vesting date; no exercise action is required from the employee.</w:t>
      </w:r>
    </w:p>
    <w:p>
      <w:pPr>
        <w:pStyle w:val="ListParagraph"/>
        <w:numPr>
          <w:ilvl w:val="0"/>
          <w:numId w:val="2"/>
        </w:numPr>
        <w:spacing w:after="80"/>
      </w:pPr>
      <w:r>
        <w:rPr>
          <w:sz w:val="21"/>
          <w:szCs w:val="21"/>
        </w:rPr>
        <w:t xml:space="preserve">The exercise window, payment methods (cash, cashless exercise, or net exercise), and any company right of first refusal on private-company shares will be specified in the individual grant agreement and equity plan document.</w:t>
      </w:r>
    </w:p>
    <w:p>
      <w:pPr>
        <w:pStyle w:val="Heading1"/>
        <w:spacing w:after="200" w:before="400"/>
      </w:pPr>
      <w:r>
        <w:rPr>
          <w:b/>
          <w:bCs/>
          <w:color w:val="1F3864"/>
          <w:sz w:val="26"/>
          <w:szCs w:val="26"/>
        </w:rPr>
        <w:t xml:space="preserve">7. Treatment on Termination or Separation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val="clear"/>
          </w:tcPr>
          <w:p>
            <w:r>
              <w:rPr>
                <w:b/>
                <w:bCs/>
                <w:color w:val="FFFFFF"/>
                <w:sz w:val="20"/>
                <w:szCs w:val="20"/>
              </w:rPr>
              <w:t xml:space="preserve">Separation Type</w:t>
            </w:r>
          </w:p>
        </w:tc>
        <w:tc>
          <w:tcPr>
            <w:tcW w:type="dxa" w:w="3200"/>
            <w:shd w:fill="1F3864" w:val="clear"/>
          </w:tcPr>
          <w:p>
            <w:r>
              <w:rPr>
                <w:b/>
                <w:bCs/>
                <w:color w:val="FFFFFF"/>
                <w:sz w:val="20"/>
                <w:szCs w:val="20"/>
              </w:rPr>
              <w:t xml:space="preserve">Unvested Equity</w:t>
            </w:r>
          </w:p>
        </w:tc>
        <w:tc>
          <w:tcPr>
            <w:tcW w:type="dxa" w:w="3200"/>
            <w:shd w:fill="1F3864" w:val="clear"/>
          </w:tcPr>
          <w:p>
            <w:r>
              <w:rPr>
                <w:b/>
                <w:bCs/>
                <w:color w:val="FFFFFF"/>
                <w:sz w:val="20"/>
                <w:szCs w:val="20"/>
              </w:rPr>
              <w:t xml:space="preserve">Vested but Unexercised Options</w:t>
            </w:r>
          </w:p>
        </w:tc>
      </w:tr>
      <w:tr>
        <w:tc>
          <w:tcPr>
            <w:tcW w:type="dxa" w:w="3200"/>
          </w:tcPr>
          <w:p>
            <w:r>
              <w:rPr>
                <w:sz w:val="20"/>
                <w:szCs w:val="20"/>
              </w:rPr>
              <w:t xml:space="preserve">Resignation (voluntary)</w:t>
            </w:r>
          </w:p>
        </w:tc>
        <w:tc>
          <w:tcPr>
            <w:tcW w:type="dxa" w:w="3200"/>
          </w:tcPr>
          <w:p>
            <w:r>
              <w:rPr>
                <w:sz w:val="20"/>
                <w:szCs w:val="20"/>
              </w:rPr>
              <w:t xml:space="preserve">Forfeited immediately</w:t>
            </w:r>
          </w:p>
        </w:tc>
        <w:tc>
          <w:tcPr>
            <w:tcW w:type="dxa" w:w="3200"/>
          </w:tcPr>
          <w:p>
            <w:r>
              <w:rPr>
                <w:sz w:val="20"/>
                <w:szCs w:val="20"/>
              </w:rPr>
              <w:t xml:space="preserve">90-day post-termination exercise window (standard); extended windows require Compensation Committee approval</w:t>
            </w:r>
          </w:p>
        </w:tc>
      </w:tr>
      <w:tr>
        <w:tc>
          <w:tcPr>
            <w:tcW w:type="dxa" w:w="3200"/>
          </w:tcPr>
          <w:p>
            <w:r>
              <w:rPr>
                <w:sz w:val="20"/>
                <w:szCs w:val="20"/>
              </w:rPr>
              <w:t xml:space="preserve">Termination for cause (Chapter 24)</w:t>
            </w:r>
          </w:p>
        </w:tc>
        <w:tc>
          <w:tcPr>
            <w:tcW w:type="dxa" w:w="3200"/>
          </w:tcPr>
          <w:p>
            <w:r>
              <w:rPr>
                <w:sz w:val="20"/>
                <w:szCs w:val="20"/>
              </w:rPr>
              <w:t xml:space="preserve">Forfeited immediately</w:t>
            </w:r>
          </w:p>
        </w:tc>
        <w:tc>
          <w:tcPr>
            <w:tcW w:type="dxa" w:w="3200"/>
          </w:tcPr>
          <w:p>
            <w:r>
              <w:rPr>
                <w:sz w:val="20"/>
                <w:szCs w:val="20"/>
              </w:rPr>
              <w:t xml:space="preserve">Forfeited immediately unless the grant agreement states otherwise</w:t>
            </w:r>
          </w:p>
        </w:tc>
      </w:tr>
      <w:tr>
        <w:tc>
          <w:tcPr>
            <w:tcW w:type="dxa" w:w="3200"/>
          </w:tcPr>
          <w:p>
            <w:r>
              <w:rPr>
                <w:sz w:val="20"/>
                <w:szCs w:val="20"/>
              </w:rPr>
              <w:t xml:space="preserve">Involuntary separation / redundancy (Chapter 15)</w:t>
            </w:r>
          </w:p>
        </w:tc>
        <w:tc>
          <w:tcPr>
            <w:tcW w:type="dxa" w:w="3200"/>
          </w:tcPr>
          <w:p>
            <w:r>
              <w:rPr>
                <w:sz w:val="20"/>
                <w:szCs w:val="20"/>
              </w:rPr>
              <w:t xml:space="preserve">Forfeited unless the severance agreement provides accelerated vesting</w:t>
            </w:r>
          </w:p>
        </w:tc>
        <w:tc>
          <w:tcPr>
            <w:tcW w:type="dxa" w:w="3200"/>
          </w:tcPr>
          <w:p>
            <w:r>
              <w:rPr>
                <w:sz w:val="20"/>
                <w:szCs w:val="20"/>
              </w:rPr>
              <w:t xml:space="preserve">90-day post-termination exercise window</w:t>
            </w:r>
          </w:p>
        </w:tc>
      </w:tr>
      <w:tr>
        <w:tc>
          <w:tcPr>
            <w:tcW w:type="dxa" w:w="3200"/>
          </w:tcPr>
          <w:p>
            <w:r>
              <w:rPr>
                <w:sz w:val="20"/>
                <w:szCs w:val="20"/>
              </w:rPr>
              <w:t xml:space="preserve">Death or permanent disability</w:t>
            </w:r>
          </w:p>
        </w:tc>
        <w:tc>
          <w:tcPr>
            <w:tcW w:type="dxa" w:w="3200"/>
          </w:tcPr>
          <w:p>
            <w:r>
              <w:rPr>
                <w:sz w:val="20"/>
                <w:szCs w:val="20"/>
              </w:rPr>
              <w:t xml:space="preserve">Immediate acceleration of the following 12 months of unvested shares</w:t>
            </w:r>
          </w:p>
        </w:tc>
        <w:tc>
          <w:tcPr>
            <w:tcW w:type="dxa" w:w="3200"/>
          </w:tcPr>
          <w:p>
            <w:r>
              <w:rPr>
                <w:sz w:val="20"/>
                <w:szCs w:val="20"/>
              </w:rPr>
              <w:t xml:space="preserve">12-month exercise window for the employee's estate or nominee</w:t>
            </w:r>
          </w:p>
        </w:tc>
      </w:tr>
    </w:tbl>
    <w:p>
      <w:pPr>
        <w:pStyle w:val="Heading1"/>
        <w:spacing w:after="200" w:before="400"/>
      </w:pPr>
      <w:r>
        <w:rPr>
          <w:b/>
          <w:bCs/>
          <w:color w:val="1F3864"/>
          <w:sz w:val="26"/>
          <w:szCs w:val="26"/>
        </w:rPr>
        <w:t xml:space="preserve">8. Tax and Regulatory Treatment</w:t>
      </w:r>
    </w:p>
    <w:p>
      <w:pPr>
        <w:spacing w:after="160"/>
      </w:pPr>
      <w:r>
        <w:rPr>
          <w:sz w:val="21"/>
          <w:szCs w:val="21"/>
        </w:rPr>
        <w:t xml:space="preserve">Equity compensation is taxed differently for the Indian entity's employees (perquisite tax on exercise under the Income Tax Act, and capital gains tax on eventual sale) versus the U.S. operating unit's employees (ordinary income on RSU vesting or on option exercise spread, and capital gains on sale, subject to ISO/NSO classification). Employees are strongly encouraged to consult a personal tax advisor before exercising options; Surya Enterprises does not provide individual tax advice, but the Finance team (Chapter 35) will issue the relevant tax forms (Form 12BB coordination for India; W-2/1099 adjustments for the U.S.) each fiscal year.</w:t>
      </w:r>
    </w:p>
    <w:p>
      <w:pPr>
        <w:pStyle w:val="Heading1"/>
        <w:spacing w:after="200" w:before="400"/>
      </w:pPr>
      <w:r>
        <w:rPr>
          <w:b/>
          <w:bCs/>
          <w:color w:val="1F3864"/>
          <w:sz w:val="26"/>
          <w:szCs w:val="26"/>
        </w:rPr>
        <w:t xml:space="preserve">9. Governance</w:t>
      </w:r>
    </w:p>
    <w:p>
      <w:pPr>
        <w:spacing w:after="160"/>
      </w:pPr>
      <w:r>
        <w:rPr>
          <w:sz w:val="21"/>
          <w:szCs w:val="21"/>
        </w:rPr>
        <w:t xml:space="preserve">All equity grants are approved by the Compensation Committee referenced in Chapter 2 (Organizational Structure and Governance) and are subject to the total option pool approved by the Board of Directors. The Chief People Officer maintains the equity grant ledger; the Chief Financial Officer maintains the cap table and coordinates all valuation events.</w:t>
      </w:r>
    </w:p>
    <w:p>
      <w:pPr>
        <w:pStyle w:val="Heading1"/>
        <w:spacing w:after="200" w:before="400"/>
      </w:pPr>
      <w:r>
        <w:rPr>
          <w:b/>
          <w:bCs/>
          <w:color w:val="1F3864"/>
          <w:sz w:val="26"/>
          <w:szCs w:val="26"/>
        </w:rPr>
        <w:t xml:space="preserve">10. Related Chapters</w:t>
      </w:r>
    </w:p>
    <w:p>
      <w:pPr>
        <w:pStyle w:val="ListParagraph"/>
        <w:numPr>
          <w:ilvl w:val="0"/>
          <w:numId w:val="2"/>
        </w:numPr>
        <w:spacing w:after="80"/>
      </w:pPr>
      <w:r>
        <w:rPr>
          <w:sz w:val="21"/>
          <w:szCs w:val="21"/>
        </w:rPr>
        <w:t xml:space="preserve">Chapter 9 — Payroll and Compensation Administration</w:t>
      </w:r>
    </w:p>
    <w:p>
      <w:pPr>
        <w:pStyle w:val="ListParagraph"/>
        <w:numPr>
          <w:ilvl w:val="0"/>
          <w:numId w:val="2"/>
        </w:numPr>
        <w:spacing w:after="80"/>
      </w:pPr>
      <w:r>
        <w:rPr>
          <w:sz w:val="21"/>
          <w:szCs w:val="21"/>
        </w:rPr>
        <w:t xml:space="preserve">Chapter 12 — Performance Management</w:t>
      </w:r>
    </w:p>
    <w:p>
      <w:pPr>
        <w:pStyle w:val="ListParagraph"/>
        <w:numPr>
          <w:ilvl w:val="0"/>
          <w:numId w:val="2"/>
        </w:numPr>
        <w:spacing w:after="80"/>
      </w:pPr>
      <w:r>
        <w:rPr>
          <w:sz w:val="21"/>
          <w:szCs w:val="21"/>
        </w:rPr>
        <w:t xml:space="preserve">Chapter 15 — Offboarding and Separation</w:t>
      </w:r>
    </w:p>
    <w:p>
      <w:pPr>
        <w:pStyle w:val="ListParagraph"/>
        <w:numPr>
          <w:ilvl w:val="0"/>
          <w:numId w:val="2"/>
        </w:numPr>
        <w:spacing w:after="80"/>
      </w:pPr>
      <w:r>
        <w:rPr>
          <w:sz w:val="21"/>
          <w:szCs w:val="21"/>
        </w:rPr>
        <w:t xml:space="preserve">Chapter 49 — Compensation Bands and Benchmarking</w:t>
      </w:r>
    </w:p>
    <w:p>
      <w:pPr>
        <w:pStyle w:val="ListParagraph"/>
        <w:numPr>
          <w:ilvl w:val="0"/>
          <w:numId w:val="2"/>
        </w:numPr>
        <w:spacing w:after="80"/>
      </w:pPr>
      <w:r>
        <w:rPr>
          <w:sz w:val="21"/>
          <w:szCs w:val="21"/>
        </w:rPr>
        <w:t xml:space="preserve">Chapter 51 — Regional Policy Addendum: United States Operating Unit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2026-09-12T05:01:13.295Z</dcterms:created>
  <dcterms:modified xsi:type="dcterms:W3CDTF">2026-09-12T05:01:13.306Z</dcterms:modified>
</cp:coreProperties>
</file>

<file path=docProps/custom.xml><?xml version="1.0" encoding="utf-8"?>
<Properties xmlns="http://schemas.openxmlformats.org/officeDocument/2006/custom-properties" xmlns:vt="http://schemas.openxmlformats.org/officeDocument/2006/docPropsVTypes"/>
</file>