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30"/>
          <w:szCs w:val="30"/>
        </w:rPr>
        <w:t xml:space="preserve">SURYA ENTERPRISES</w:t>
      </w:r>
    </w:p>
    <w:p>
      <w:pPr>
        <w:spacing w:after="400" w:before="100"/>
        <w:jc w:val="center"/>
      </w:pPr>
      <w:r>
        <w:rPr>
          <w:i/>
          <w:iCs/>
          <w:color w:val="595959"/>
          <w:sz w:val="22"/>
          <w:szCs w:val="22"/>
        </w:rPr>
        <w:t xml:space="preserve">Proposed Handbook Addition</w:t>
      </w:r>
    </w:p>
    <w:p>
      <w:pPr>
        <w:spacing w:after="200" w:before="300"/>
        <w:jc w:val="center"/>
      </w:pPr>
      <w:r>
        <w:rPr>
          <w:b/>
          <w:bCs/>
          <w:color w:val="000000"/>
          <w:sz w:val="40"/>
          <w:szCs w:val="40"/>
        </w:rPr>
        <w:t xml:space="preserve">Non-Compete, Non-Solicitation, and Restrictive Covenants Policy</w:t>
      </w:r>
    </w:p>
    <w:p>
      <w:pPr>
        <w:spacing w:after="800" w:before="100"/>
        <w:jc w:val="center"/>
      </w:pPr>
      <w:r>
        <w:rPr>
          <w:color w:val="595959"/>
          <w:sz w:val="22"/>
          <w:szCs w:val="22"/>
        </w:rPr>
        <w:t xml:space="preserve">Missing Policy #2 of 8 — Legal &amp; Compliance</w:t>
      </w:r>
    </w:p>
    <w:p>
      <w:pPr>
        <w:spacing w:before="1600"/>
        <w:jc w:val="center"/>
      </w:pPr>
      <w:r>
        <w:rPr>
          <w:color w:val="595959"/>
          <w:sz w:val="20"/>
          <w:szCs w:val="20"/>
        </w:rPr>
        <w:t xml:space="preserve">Drafted for review — Version 0.1 (Draft) — September 2026</w:t>
      </w:r>
    </w:p>
    <w:p>
      <w:pPr>
        <w:spacing w:before="100"/>
        <w:jc w:val="center"/>
      </w:pPr>
      <w:r>
        <w:rPr>
          <w:color w:val="595959"/>
          <w:sz w:val="20"/>
          <w:szCs w:val="20"/>
        </w:rPr>
        <w:t xml:space="preserve">Classification: Confidential — Internal Use Only</w:t>
      </w:r>
    </w:p>
    <w:p>
      <w:pPr>
        <w:spacing w:before="100"/>
        <w:jc w:val="center"/>
      </w:pPr>
      <w:r>
        <w:rPr>
          <w:color w:val="595959"/>
          <w:sz w:val="20"/>
          <w:szCs w:val="20"/>
        </w:rPr>
        <w:t xml:space="preserve">Owner: People Operations &amp; Human Resources (proposed)</w:t>
      </w:r>
    </w:p>
    <w:p>
      <w:r>
        <w:br w:type="page"/>
      </w:r>
    </w:p>
    <w:p>
      <w:pPr>
        <w:pStyle w:val="Heading1"/>
        <w:spacing w:after="200" w:before="400"/>
      </w:pPr>
      <w:r>
        <w:rPr>
          <w:b/>
          <w:bCs/>
          <w:color w:val="1F3864"/>
          <w:sz w:val="26"/>
          <w:szCs w:val="26"/>
        </w:rPr>
        <w:t xml:space="preserve">Document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F2F2F2" w:val="clear"/>
          </w:tcPr>
          <w:p>
            <w:r>
              <w:rPr>
                <w:b/>
                <w:bCs/>
                <w:sz w:val="20"/>
                <w:szCs w:val="20"/>
              </w:rPr>
              <w:t xml:space="preserve">Document Title</w:t>
            </w:r>
          </w:p>
        </w:tc>
        <w:tc>
          <w:tcPr>
            <w:tcW w:type="dxa" w:w="7000"/>
          </w:tcPr>
          <w:p>
            <w:r>
              <w:rPr>
                <w:sz w:val="20"/>
                <w:szCs w:val="20"/>
              </w:rPr>
              <w:t xml:space="preserve">Non-Compete, Non-Solicitation, and Restrictive Covenants Policy</w:t>
            </w:r>
          </w:p>
        </w:tc>
      </w:tr>
      <w:tr>
        <w:tc>
          <w:tcPr>
            <w:tcW w:type="dxa" w:w="2600"/>
            <w:shd w:fill="F2F2F2" w:val="clear"/>
          </w:tcPr>
          <w:p>
            <w:r>
              <w:rPr>
                <w:b/>
                <w:bCs/>
                <w:sz w:val="20"/>
                <w:szCs w:val="20"/>
              </w:rPr>
              <w:t xml:space="preserve">Version</w:t>
            </w:r>
          </w:p>
        </w:tc>
        <w:tc>
          <w:tcPr>
            <w:tcW w:type="dxa" w:w="7000"/>
          </w:tcPr>
          <w:p>
            <w:r>
              <w:rPr>
                <w:sz w:val="20"/>
                <w:szCs w:val="20"/>
              </w:rPr>
              <w:t xml:space="preserve">0.1 (Draft — Proposed)</w:t>
            </w:r>
          </w:p>
        </w:tc>
      </w:tr>
      <w:tr>
        <w:tc>
          <w:tcPr>
            <w:tcW w:type="dxa" w:w="2600"/>
            <w:shd w:fill="F2F2F2" w:val="clear"/>
          </w:tcPr>
          <w:p>
            <w:r>
              <w:rPr>
                <w:b/>
                <w:bCs/>
                <w:sz w:val="20"/>
                <w:szCs w:val="20"/>
              </w:rPr>
              <w:t xml:space="preserve">Proposed Effective Date</w:t>
            </w:r>
          </w:p>
        </w:tc>
        <w:tc>
          <w:tcPr>
            <w:tcW w:type="dxa" w:w="7000"/>
          </w:tcPr>
          <w:p>
            <w:r>
              <w:rPr>
                <w:sz w:val="20"/>
                <w:szCs w:val="20"/>
              </w:rPr>
              <w:t xml:space="preserve">Upon approval by People Operations and Legal</w:t>
            </w:r>
          </w:p>
        </w:tc>
      </w:tr>
      <w:tr>
        <w:tc>
          <w:tcPr>
            <w:tcW w:type="dxa" w:w="2600"/>
            <w:shd w:fill="F2F2F2" w:val="clear"/>
          </w:tcPr>
          <w:p>
            <w:r>
              <w:rPr>
                <w:b/>
                <w:bCs/>
                <w:sz w:val="20"/>
                <w:szCs w:val="20"/>
              </w:rPr>
              <w:t xml:space="preserve">Proposed Owner</w:t>
            </w:r>
          </w:p>
        </w:tc>
        <w:tc>
          <w:tcPr>
            <w:tcW w:type="dxa" w:w="7000"/>
          </w:tcPr>
          <w:p>
            <w:r>
              <w:rPr>
                <w:sz w:val="20"/>
                <w:szCs w:val="20"/>
              </w:rPr>
              <w:t xml:space="preserve">General Counsel &amp; Chief People Officer</w:t>
            </w:r>
          </w:p>
        </w:tc>
      </w:tr>
      <w:tr>
        <w:tc>
          <w:tcPr>
            <w:tcW w:type="dxa" w:w="2600"/>
            <w:shd w:fill="F2F2F2" w:val="clear"/>
          </w:tcPr>
          <w:p>
            <w:r>
              <w:rPr>
                <w:b/>
                <w:bCs/>
                <w:sz w:val="20"/>
                <w:szCs w:val="20"/>
              </w:rPr>
              <w:t xml:space="preserve">Review Cycle</w:t>
            </w:r>
          </w:p>
        </w:tc>
        <w:tc>
          <w:tcPr>
            <w:tcW w:type="dxa" w:w="7000"/>
          </w:tcPr>
          <w:p>
            <w:r>
              <w:rPr>
                <w:sz w:val="20"/>
                <w:szCs w:val="20"/>
              </w:rPr>
              <w:t xml:space="preserve">Annual, or upon material policy/regulatory change</w:t>
            </w:r>
          </w:p>
        </w:tc>
      </w:tr>
      <w:tr>
        <w:tc>
          <w:tcPr>
            <w:tcW w:type="dxa" w:w="2600"/>
            <w:shd w:fill="F2F2F2" w:val="clear"/>
          </w:tcPr>
          <w:p>
            <w:r>
              <w:rPr>
                <w:b/>
                <w:bCs/>
                <w:sz w:val="20"/>
                <w:szCs w:val="20"/>
              </w:rPr>
              <w:t xml:space="preserve">Classification</w:t>
            </w:r>
          </w:p>
        </w:tc>
        <w:tc>
          <w:tcPr>
            <w:tcW w:type="dxa" w:w="7000"/>
          </w:tcPr>
          <w:p>
            <w:r>
              <w:rPr>
                <w:sz w:val="20"/>
                <w:szCs w:val="20"/>
              </w:rPr>
              <w:t xml:space="preserve">Confidential — Internal Use Only</w:t>
            </w:r>
          </w:p>
        </w:tc>
      </w:tr>
      <w:tr>
        <w:tc>
          <w:tcPr>
            <w:tcW w:type="dxa" w:w="2600"/>
            <w:shd w:fill="F2F2F2" w:val="clear"/>
          </w:tcPr>
          <w:p>
            <w:r>
              <w:rPr>
                <w:b/>
                <w:bCs/>
                <w:sz w:val="20"/>
                <w:szCs w:val="20"/>
              </w:rPr>
              <w:t xml:space="preserve">Applies To</w:t>
            </w:r>
          </w:p>
        </w:tc>
        <w:tc>
          <w:tcPr>
            <w:tcW w:type="dxa" w:w="7000"/>
          </w:tcPr>
          <w:p>
            <w:r>
              <w:rPr>
                <w:sz w:val="20"/>
                <w:szCs w:val="20"/>
              </w:rPr>
              <w:t xml:space="preserve">All employees, contractors, and interns of Surya Enterprises Private Limited and Surya Enterprises Inc., except where a section states otherwise</w:t>
            </w:r>
          </w:p>
        </w:tc>
      </w:tr>
      <w:tr>
        <w:tc>
          <w:tcPr>
            <w:tcW w:type="dxa" w:w="2600"/>
            <w:shd w:fill="F2F2F2" w:val="clear"/>
          </w:tcPr>
          <w:p>
            <w:r>
              <w:rPr>
                <w:b/>
                <w:bCs/>
                <w:sz w:val="20"/>
                <w:szCs w:val="20"/>
              </w:rPr>
              <w:t xml:space="preserve">Suggested Handbook Placement</w:t>
            </w:r>
          </w:p>
        </w:tc>
        <w:tc>
          <w:tcPr>
            <w:tcW w:type="dxa" w:w="7000"/>
          </w:tcPr>
          <w:p>
            <w:r>
              <w:rPr>
                <w:sz w:val="20"/>
                <w:szCs w:val="20"/>
              </w:rPr>
              <w:t xml:space="preserve">Part I, adjacent to Chapter 23 (Confidentiality and Intellectual Property)</w:t>
            </w:r>
          </w:p>
        </w:tc>
      </w:tr>
    </w:tbl>
    <w:p>
      <w:pPr>
        <w:spacing w:after="200"/>
      </w:pPr>
    </w:p>
    <w:p>
      <w:pPr>
        <w:spacing w:after="160"/>
      </w:pPr>
      <w:r>
        <w:rPr>
          <w:i/>
          <w:iCs/>
          <w:color w:val="595959"/>
          <w:sz w:val="19"/>
          <w:szCs w:val="19"/>
        </w:rPr>
        <w:t xml:space="preserve">This document is proposed for insertion into the Surya Enterprises Employee &amp; Operations Handbook. It was drafted to close a gap identified during a handbook completeness review and has not yet been reviewed or approved by Legal, Finance, or the Chief People Officer.</w:t>
      </w:r>
    </w:p>
    <w:p>
      <w:pPr>
        <w:pBdr>
          <w:bottom w:val="single" w:color="1F3864" w:sz="8" w:space="4"/>
        </w:pBdr>
        <w:spacing w:after="200"/>
      </w:pPr>
    </w:p>
    <w:p>
      <w:pPr>
        <w:pStyle w:val="Heading1"/>
        <w:spacing w:after="200" w:before="400"/>
      </w:pPr>
      <w:r>
        <w:rPr>
          <w:b/>
          <w:bCs/>
          <w:color w:val="1F3864"/>
          <w:sz w:val="26"/>
          <w:szCs w:val="26"/>
        </w:rPr>
        <w:t xml:space="preserve">1. Why This Policy Is Missing</w:t>
      </w:r>
    </w:p>
    <w:p>
      <w:pPr>
        <w:spacing w:after="160"/>
      </w:pPr>
      <w:r>
        <w:rPr>
          <w:sz w:val="21"/>
          <w:szCs w:val="21"/>
        </w:rPr>
        <w:t xml:space="preserve">Chapter 23 (Confidentiality and Intellectual Property) thoroughly protects company information and IP created during employment, and Chapter 16 (Code of Conduct) addresses conflicts of interest while employed. However, no chapter in the handbook addresses what an employee may or may not do after they leave — specifically, joining or starting a competing business, soliciting Surya Enterprises' clients, or recruiting former colleagues. Searching the full text for 'non-compete', 'non-solicit', and 'restrictive covenant' returns zero matches. Given that the company operates in both India and the United States — two jurisdictions with very different enforceability rules for non-competes — this is a significant and legally sensitive gap.</w:t>
      </w:r>
    </w:p>
    <w:p>
      <w:pPr>
        <w:pStyle w:val="Heading1"/>
        <w:spacing w:after="200" w:before="400"/>
      </w:pPr>
      <w:r>
        <w:rPr>
          <w:b/>
          <w:bCs/>
          <w:color w:val="1F3864"/>
          <w:sz w:val="26"/>
          <w:szCs w:val="26"/>
        </w:rPr>
        <w:t xml:space="preserve">2. Purpose</w:t>
      </w:r>
    </w:p>
    <w:p>
      <w:pPr>
        <w:spacing w:after="160"/>
      </w:pPr>
      <w:r>
        <w:rPr>
          <w:sz w:val="21"/>
          <w:szCs w:val="21"/>
        </w:rPr>
        <w:t xml:space="preserve">To set clear, jurisdiction-appropriate expectations about post-employment competitive conduct, protecting legitimate business interests (client relationships, confidential information, workforce stability) while remaining enforceable and fair to departing employees.</w:t>
      </w:r>
    </w:p>
    <w:p>
      <w:pPr>
        <w:pStyle w:val="Heading1"/>
        <w:spacing w:after="200" w:before="400"/>
      </w:pPr>
      <w:r>
        <w:rPr>
          <w:b/>
          <w:bCs/>
          <w:color w:val="1F3864"/>
          <w:sz w:val="26"/>
          <w:szCs w:val="26"/>
        </w:rPr>
        <w:t xml:space="preserve">3. Important Jurisdictional Note</w:t>
      </w:r>
    </w:p>
    <w:p>
      <w:pPr>
        <w:spacing w:after="160"/>
      </w:pPr>
      <w:r>
        <w:rPr>
          <w:sz w:val="21"/>
          <w:szCs w:val="21"/>
        </w:rPr>
        <w:t xml:space="preserve">Post-employment non-compete clauses restricting an individual from working for a competitor are generally unenforceable under Indian law (Section 27 of the Indian Contract Act, 1872), except in narrow circumstances such as the sale of a business. In the United States, enforceability varies significantly by state — some states (e.g., California) prohibit most employee non-competes outright, while others permit them if reasonable in scope, duration, and geography. This policy is therefore structured in two tiers: (a) non-solicitation and confidentiality obligations that apply broadly and are more consistently enforceable, and (b) a narrow non-compete that applies only where local law permits and only to specified senior roles.</w:t>
      </w:r>
    </w:p>
    <w:p>
      <w:pPr>
        <w:pStyle w:val="Heading1"/>
        <w:spacing w:after="200" w:before="400"/>
      </w:pPr>
      <w:r>
        <w:rPr>
          <w:b/>
          <w:bCs/>
          <w:color w:val="1F3864"/>
          <w:sz w:val="26"/>
          <w:szCs w:val="26"/>
        </w:rPr>
        <w:t xml:space="preserve">4. Non-Solicitation of Clients and Employees</w:t>
      </w:r>
    </w:p>
    <w:p>
      <w:pPr>
        <w:spacing w:after="160"/>
      </w:pPr>
      <w:r>
        <w:rPr>
          <w:sz w:val="21"/>
          <w:szCs w:val="21"/>
        </w:rPr>
        <w:t xml:space="preserve">For 12 months following separation, regardless of the reason for separation, employees agree not to:</w:t>
      </w:r>
    </w:p>
    <w:p>
      <w:pPr>
        <w:pStyle w:val="ListParagraph"/>
        <w:numPr>
          <w:ilvl w:val="0"/>
          <w:numId w:val="2"/>
        </w:numPr>
        <w:spacing w:after="80"/>
      </w:pPr>
      <w:r>
        <w:rPr>
          <w:sz w:val="21"/>
          <w:szCs w:val="21"/>
        </w:rPr>
        <w:t xml:space="preserve">Directly solicit any client the employee actively worked with in the 12 months preceding separation, for the purpose of diverting business away from Surya Enterprises.</w:t>
      </w:r>
    </w:p>
    <w:p>
      <w:pPr>
        <w:pStyle w:val="ListParagraph"/>
        <w:numPr>
          <w:ilvl w:val="0"/>
          <w:numId w:val="2"/>
        </w:numPr>
        <w:spacing w:after="80"/>
      </w:pPr>
      <w:r>
        <w:rPr>
          <w:sz w:val="21"/>
          <w:szCs w:val="21"/>
        </w:rPr>
        <w:t xml:space="preserve">Directly or indirectly solicit, induce, or encourage any Surya Enterprises employee or contractor to resign or end their engagement in order to join the employee's new venture or employer.</w:t>
      </w:r>
    </w:p>
    <w:p>
      <w:pPr>
        <w:pStyle w:val="ListParagraph"/>
        <w:numPr>
          <w:ilvl w:val="0"/>
          <w:numId w:val="2"/>
        </w:numPr>
        <w:spacing w:after="80"/>
      </w:pPr>
      <w:r>
        <w:rPr>
          <w:sz w:val="21"/>
          <w:szCs w:val="21"/>
        </w:rPr>
        <w:t xml:space="preserve">Use confidential client lists, pricing, or relationship notes (protected under Chapter 23) to inform any competing solicitation.</w:t>
      </w:r>
    </w:p>
    <w:p>
      <w:pPr>
        <w:spacing w:after="160"/>
      </w:pPr>
      <w:r>
        <w:rPr>
          <w:sz w:val="21"/>
          <w:szCs w:val="21"/>
        </w:rPr>
        <w:t xml:space="preserve">This clause does not prevent a former employee from working for a competitor, only from actively poaching specific clients or staff using company knowledge.</w:t>
      </w:r>
    </w:p>
    <w:p>
      <w:pPr>
        <w:pStyle w:val="Heading1"/>
        <w:spacing w:after="200" w:before="400"/>
      </w:pPr>
      <w:r>
        <w:rPr>
          <w:b/>
          <w:bCs/>
          <w:color w:val="1F3864"/>
          <w:sz w:val="26"/>
          <w:szCs w:val="26"/>
        </w:rPr>
        <w:t xml:space="preserve">5. Limited Non-Compete (Senior Roles Only, Where Legally Permitted)</w:t>
      </w:r>
    </w:p>
    <w:p>
      <w:pPr>
        <w:spacing w:after="160"/>
      </w:pPr>
      <w:r>
        <w:rPr>
          <w:sz w:val="21"/>
          <w:szCs w:val="21"/>
        </w:rPr>
        <w:t xml:space="preserve">For employees at Director level and above, or with direct access to company-wide strategic, financial, or product roadmap information, the employment agreement may include a non-compete restricting employment with a defined list of named direct competitors for up to 6 months post-separation, in exchange for a garden-leave payment equal to the employee's base salary for that period. This clause applies only where enforceable under the governing law of the employee's contract, and does not apply to any employee based in India except in the narrow statutory circumstances described in Section 3.</w:t>
      </w:r>
    </w:p>
    <w:p>
      <w:pPr>
        <w:pStyle w:val="Heading1"/>
        <w:spacing w:after="200" w:before="400"/>
      </w:pPr>
      <w:r>
        <w:rPr>
          <w:b/>
          <w:bCs/>
          <w:color w:val="1F3864"/>
          <w:sz w:val="26"/>
          <w:szCs w:val="26"/>
        </w:rPr>
        <w:t xml:space="preserve">6. Garden Leave</w:t>
      </w:r>
    </w:p>
    <w:p>
      <w:pPr>
        <w:spacing w:after="160"/>
      </w:pPr>
      <w:r>
        <w:rPr>
          <w:sz w:val="21"/>
          <w:szCs w:val="21"/>
        </w:rPr>
        <w:t xml:space="preserve">Where a senior employee resigns to join a named competitor, Surya Enterprises may, at its discretion, place the employee on garden leave for up to the notice period defined in their contract: the employee remains employed and paid in full, retains benefits, but does not attend work or contact clients, and their system access is suspended per Chapter 15 (Offboarding).</w:t>
      </w:r>
    </w:p>
    <w:p>
      <w:pPr>
        <w:pStyle w:val="Heading1"/>
        <w:spacing w:after="200" w:before="400"/>
      </w:pPr>
      <w:r>
        <w:rPr>
          <w:b/>
          <w:bCs/>
          <w:color w:val="1F3864"/>
          <w:sz w:val="26"/>
          <w:szCs w:val="26"/>
        </w:rPr>
        <w:t xml:space="preserve">7. Consideration and Notice</w:t>
      </w:r>
    </w:p>
    <w:p>
      <w:pPr>
        <w:spacing w:after="160"/>
      </w:pPr>
      <w:r>
        <w:rPr>
          <w:sz w:val="21"/>
          <w:szCs w:val="21"/>
        </w:rPr>
        <w:t xml:space="preserve">Any restrictive covenant beyond standard confidentiality obligations must be disclosed in writing at the time of hire or promotion, must be signed voluntarily, and must be supported by specific consideration (e.g., the garden-leave payment in Section 6, or a signing bonus at hire). Covenants added after the fact require fresh, separately negotiated consideration.</w:t>
      </w:r>
    </w:p>
    <w:p>
      <w:pPr>
        <w:pStyle w:val="Heading1"/>
        <w:spacing w:after="200" w:before="400"/>
      </w:pPr>
      <w:r>
        <w:rPr>
          <w:b/>
          <w:bCs/>
          <w:color w:val="1F3864"/>
          <w:sz w:val="26"/>
          <w:szCs w:val="26"/>
        </w:rPr>
        <w:t xml:space="preserve">8. Enforcement</w:t>
      </w:r>
    </w:p>
    <w:p>
      <w:pPr>
        <w:spacing w:after="160"/>
      </w:pPr>
      <w:r>
        <w:rPr>
          <w:sz w:val="21"/>
          <w:szCs w:val="21"/>
        </w:rPr>
        <w:t xml:space="preserve">Suspected breaches are investigated by the General Counsel's office in coordination with HR, following the same evidentiary standards described in Chapter 24 (Disciplinary Procedure). Surya Enterprises reserves the right to seek injunctive relief in addition to damages where a breach is confirmed, but will not pursue claims that a competent court is likely to find unenforceable under local law.</w:t>
      </w:r>
    </w:p>
    <w:p>
      <w:pPr>
        <w:pStyle w:val="Heading1"/>
        <w:spacing w:after="200" w:before="400"/>
      </w:pPr>
      <w:r>
        <w:rPr>
          <w:b/>
          <w:bCs/>
          <w:color w:val="1F3864"/>
          <w:sz w:val="26"/>
          <w:szCs w:val="26"/>
        </w:rPr>
        <w:t xml:space="preserve">9. Related Chapters</w:t>
      </w:r>
    </w:p>
    <w:p>
      <w:pPr>
        <w:pStyle w:val="ListParagraph"/>
        <w:numPr>
          <w:ilvl w:val="0"/>
          <w:numId w:val="2"/>
        </w:numPr>
        <w:spacing w:after="80"/>
      </w:pPr>
      <w:r>
        <w:rPr>
          <w:sz w:val="21"/>
          <w:szCs w:val="21"/>
        </w:rPr>
        <w:t xml:space="preserve">Chapter 16 — Code of Conduct and Business Ethics</w:t>
      </w:r>
    </w:p>
    <w:p>
      <w:pPr>
        <w:pStyle w:val="ListParagraph"/>
        <w:numPr>
          <w:ilvl w:val="0"/>
          <w:numId w:val="2"/>
        </w:numPr>
        <w:spacing w:after="80"/>
      </w:pPr>
      <w:r>
        <w:rPr>
          <w:sz w:val="21"/>
          <w:szCs w:val="21"/>
        </w:rPr>
        <w:t xml:space="preserve">Chapter 23 — Confidentiality and Intellectual Property</w:t>
      </w:r>
    </w:p>
    <w:p>
      <w:pPr>
        <w:pStyle w:val="ListParagraph"/>
        <w:numPr>
          <w:ilvl w:val="0"/>
          <w:numId w:val="2"/>
        </w:numPr>
        <w:spacing w:after="80"/>
      </w:pPr>
      <w:r>
        <w:rPr>
          <w:sz w:val="21"/>
          <w:szCs w:val="21"/>
        </w:rPr>
        <w:t xml:space="preserve">Chapter 15 — Offboarding and Separation</w:t>
      </w:r>
    </w:p>
    <w:p>
      <w:pPr>
        <w:pStyle w:val="ListParagraph"/>
        <w:numPr>
          <w:ilvl w:val="0"/>
          <w:numId w:val="2"/>
        </w:numPr>
        <w:spacing w:after="80"/>
      </w:pPr>
      <w:r>
        <w:rPr>
          <w:sz w:val="21"/>
          <w:szCs w:val="21"/>
        </w:rPr>
        <w:t xml:space="preserve">Chapter 24 — Disciplinary Procedure</w:t>
      </w:r>
    </w:p>
    <w:p>
      <w:pPr>
        <w:pStyle w:val="ListParagraph"/>
        <w:numPr>
          <w:ilvl w:val="0"/>
          <w:numId w:val="2"/>
        </w:numPr>
        <w:spacing w:after="80"/>
      </w:pPr>
      <w:r>
        <w:rPr>
          <w:sz w:val="21"/>
          <w:szCs w:val="21"/>
        </w:rPr>
        <w:t xml:space="preserve">Chapter 51 — Regional Policy Addendum: United States Operating Unit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2026-09-12T05:01:13.469Z</dcterms:created>
  <dcterms:modified xsi:type="dcterms:W3CDTF">2026-09-12T05:01:13.469Z</dcterms:modified>
</cp:coreProperties>
</file>

<file path=docProps/custom.xml><?xml version="1.0" encoding="utf-8"?>
<Properties xmlns="http://schemas.openxmlformats.org/officeDocument/2006/custom-properties" xmlns:vt="http://schemas.openxmlformats.org/officeDocument/2006/docPropsVTypes"/>
</file>