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30"/>
          <w:szCs w:val="30"/>
        </w:rPr>
        <w:t xml:space="preserve">SURYA ENTERPRISES</w:t>
      </w:r>
    </w:p>
    <w:p>
      <w:pPr>
        <w:spacing w:after="400" w:before="100"/>
        <w:jc w:val="center"/>
      </w:pPr>
      <w:r>
        <w:rPr>
          <w:i/>
          <w:iCs/>
          <w:color w:val="595959"/>
          <w:sz w:val="22"/>
          <w:szCs w:val="22"/>
        </w:rPr>
        <w:t xml:space="preserve">Proposed Handbook Addition</w:t>
      </w:r>
    </w:p>
    <w:p>
      <w:pPr>
        <w:spacing w:after="200" w:before="300"/>
        <w:jc w:val="center"/>
      </w:pPr>
      <w:r>
        <w:rPr>
          <w:b/>
          <w:bCs/>
          <w:color w:val="000000"/>
          <w:sz w:val="40"/>
          <w:szCs w:val="40"/>
        </w:rPr>
        <w:t xml:space="preserve">Employee Referral Program Policy</w:t>
      </w:r>
    </w:p>
    <w:p>
      <w:pPr>
        <w:spacing w:after="800" w:before="100"/>
        <w:jc w:val="center"/>
      </w:pPr>
      <w:r>
        <w:rPr>
          <w:color w:val="595959"/>
          <w:sz w:val="22"/>
          <w:szCs w:val="22"/>
        </w:rPr>
        <w:t xml:space="preserve">Missing Policy #3 of 8 — Talent Acquisition</w:t>
      </w:r>
    </w:p>
    <w:p>
      <w:pPr>
        <w:spacing w:before="1600"/>
        <w:jc w:val="center"/>
      </w:pPr>
      <w:r>
        <w:rPr>
          <w:color w:val="595959"/>
          <w:sz w:val="20"/>
          <w:szCs w:val="20"/>
        </w:rPr>
        <w:t xml:space="preserve">Drafted for review — Version 0.1 (Draft) — September 2026</w:t>
      </w:r>
    </w:p>
    <w:p>
      <w:pPr>
        <w:spacing w:before="100"/>
        <w:jc w:val="center"/>
      </w:pPr>
      <w:r>
        <w:rPr>
          <w:color w:val="595959"/>
          <w:sz w:val="20"/>
          <w:szCs w:val="20"/>
        </w:rPr>
        <w:t xml:space="preserve">Classification: Confidential — Internal Use Only</w:t>
      </w:r>
    </w:p>
    <w:p>
      <w:pPr>
        <w:spacing w:before="100"/>
        <w:jc w:val="center"/>
      </w:pPr>
      <w:r>
        <w:rPr>
          <w:color w:val="595959"/>
          <w:sz w:val="20"/>
          <w:szCs w:val="20"/>
        </w:rPr>
        <w:t xml:space="preserve">Owner: People Operations &amp; Human Resources (proposed)</w:t>
      </w:r>
    </w:p>
    <w:p>
      <w:r>
        <w:br w:type="page"/>
      </w:r>
    </w:p>
    <w:p>
      <w:pPr>
        <w:pStyle w:val="Heading1"/>
        <w:spacing w:after="200" w:before="400"/>
      </w:pPr>
      <w:r>
        <w:rPr>
          <w:b/>
          <w:bCs/>
          <w:color w:val="1F3864"/>
          <w:sz w:val="26"/>
          <w:szCs w:val="26"/>
        </w:rPr>
        <w:t xml:space="preserve">Document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F2F2" w:val="clear"/>
          </w:tcPr>
          <w:p>
            <w:r>
              <w:rPr>
                <w:b/>
                <w:bCs/>
                <w:sz w:val="20"/>
                <w:szCs w:val="20"/>
              </w:rPr>
              <w:t xml:space="preserve">Document Title</w:t>
            </w:r>
          </w:p>
        </w:tc>
        <w:tc>
          <w:tcPr>
            <w:tcW w:type="dxa" w:w="7000"/>
          </w:tcPr>
          <w:p>
            <w:r>
              <w:rPr>
                <w:sz w:val="20"/>
                <w:szCs w:val="20"/>
              </w:rPr>
              <w:t xml:space="preserve">Employee Referral Program Policy</w:t>
            </w:r>
          </w:p>
        </w:tc>
      </w:tr>
      <w:tr>
        <w:tc>
          <w:tcPr>
            <w:tcW w:type="dxa" w:w="2600"/>
            <w:shd w:fill="F2F2F2" w:val="clear"/>
          </w:tcPr>
          <w:p>
            <w:r>
              <w:rPr>
                <w:b/>
                <w:bCs/>
                <w:sz w:val="20"/>
                <w:szCs w:val="20"/>
              </w:rPr>
              <w:t xml:space="preserve">Version</w:t>
            </w:r>
          </w:p>
        </w:tc>
        <w:tc>
          <w:tcPr>
            <w:tcW w:type="dxa" w:w="7000"/>
          </w:tcPr>
          <w:p>
            <w:r>
              <w:rPr>
                <w:sz w:val="20"/>
                <w:szCs w:val="20"/>
              </w:rPr>
              <w:t xml:space="preserve">0.1 (Draft — Proposed)</w:t>
            </w:r>
          </w:p>
        </w:tc>
      </w:tr>
      <w:tr>
        <w:tc>
          <w:tcPr>
            <w:tcW w:type="dxa" w:w="2600"/>
            <w:shd w:fill="F2F2F2" w:val="clear"/>
          </w:tcPr>
          <w:p>
            <w:r>
              <w:rPr>
                <w:b/>
                <w:bCs/>
                <w:sz w:val="20"/>
                <w:szCs w:val="20"/>
              </w:rPr>
              <w:t xml:space="preserve">Proposed Effective Date</w:t>
            </w:r>
          </w:p>
        </w:tc>
        <w:tc>
          <w:tcPr>
            <w:tcW w:type="dxa" w:w="7000"/>
          </w:tcPr>
          <w:p>
            <w:r>
              <w:rPr>
                <w:sz w:val="20"/>
                <w:szCs w:val="20"/>
              </w:rPr>
              <w:t xml:space="preserve">Upon approval by People Operations and Legal</w:t>
            </w:r>
          </w:p>
        </w:tc>
      </w:tr>
      <w:tr>
        <w:tc>
          <w:tcPr>
            <w:tcW w:type="dxa" w:w="2600"/>
            <w:shd w:fill="F2F2F2" w:val="clear"/>
          </w:tcPr>
          <w:p>
            <w:r>
              <w:rPr>
                <w:b/>
                <w:bCs/>
                <w:sz w:val="20"/>
                <w:szCs w:val="20"/>
              </w:rPr>
              <w:t xml:space="preserve">Proposed Owner</w:t>
            </w:r>
          </w:p>
        </w:tc>
        <w:tc>
          <w:tcPr>
            <w:tcW w:type="dxa" w:w="7000"/>
          </w:tcPr>
          <w:p>
            <w:r>
              <w:rPr>
                <w:sz w:val="20"/>
                <w:szCs w:val="20"/>
              </w:rPr>
              <w:t xml:space="preserve">Head of Talent Acquisition</w:t>
            </w:r>
          </w:p>
        </w:tc>
      </w:tr>
      <w:tr>
        <w:tc>
          <w:tcPr>
            <w:tcW w:type="dxa" w:w="2600"/>
            <w:shd w:fill="F2F2F2" w:val="clear"/>
          </w:tcPr>
          <w:p>
            <w:r>
              <w:rPr>
                <w:b/>
                <w:bCs/>
                <w:sz w:val="20"/>
                <w:szCs w:val="20"/>
              </w:rPr>
              <w:t xml:space="preserve">Review Cycle</w:t>
            </w:r>
          </w:p>
        </w:tc>
        <w:tc>
          <w:tcPr>
            <w:tcW w:type="dxa" w:w="7000"/>
          </w:tcPr>
          <w:p>
            <w:r>
              <w:rPr>
                <w:sz w:val="20"/>
                <w:szCs w:val="20"/>
              </w:rPr>
              <w:t xml:space="preserve">Annual, or upon material policy/regulatory change</w:t>
            </w:r>
          </w:p>
        </w:tc>
      </w:tr>
      <w:tr>
        <w:tc>
          <w:tcPr>
            <w:tcW w:type="dxa" w:w="2600"/>
            <w:shd w:fill="F2F2F2" w:val="clear"/>
          </w:tcPr>
          <w:p>
            <w:r>
              <w:rPr>
                <w:b/>
                <w:bCs/>
                <w:sz w:val="20"/>
                <w:szCs w:val="20"/>
              </w:rPr>
              <w:t xml:space="preserve">Classification</w:t>
            </w:r>
          </w:p>
        </w:tc>
        <w:tc>
          <w:tcPr>
            <w:tcW w:type="dxa" w:w="7000"/>
          </w:tcPr>
          <w:p>
            <w:r>
              <w:rPr>
                <w:sz w:val="20"/>
                <w:szCs w:val="20"/>
              </w:rPr>
              <w:t xml:space="preserve">Confidential — Internal Use Only</w:t>
            </w:r>
          </w:p>
        </w:tc>
      </w:tr>
      <w:tr>
        <w:tc>
          <w:tcPr>
            <w:tcW w:type="dxa" w:w="2600"/>
            <w:shd w:fill="F2F2F2" w:val="clear"/>
          </w:tcPr>
          <w:p>
            <w:r>
              <w:rPr>
                <w:b/>
                <w:bCs/>
                <w:sz w:val="20"/>
                <w:szCs w:val="20"/>
              </w:rPr>
              <w:t xml:space="preserve">Applies To</w:t>
            </w:r>
          </w:p>
        </w:tc>
        <w:tc>
          <w:tcPr>
            <w:tcW w:type="dxa" w:w="7000"/>
          </w:tcPr>
          <w:p>
            <w:r>
              <w:rPr>
                <w:sz w:val="20"/>
                <w:szCs w:val="20"/>
              </w:rPr>
              <w:t xml:space="preserve">All employees, contractors, and interns of Surya Enterprises Private Limited and Surya Enterprises Inc., except where a section states otherwise</w:t>
            </w:r>
          </w:p>
        </w:tc>
      </w:tr>
      <w:tr>
        <w:tc>
          <w:tcPr>
            <w:tcW w:type="dxa" w:w="2600"/>
            <w:shd w:fill="F2F2F2" w:val="clear"/>
          </w:tcPr>
          <w:p>
            <w:r>
              <w:rPr>
                <w:b/>
                <w:bCs/>
                <w:sz w:val="20"/>
                <w:szCs w:val="20"/>
              </w:rPr>
              <w:t xml:space="preserve">Suggested Handbook Placement</w:t>
            </w:r>
          </w:p>
        </w:tc>
        <w:tc>
          <w:tcPr>
            <w:tcW w:type="dxa" w:w="7000"/>
          </w:tcPr>
          <w:p>
            <w:r>
              <w:rPr>
                <w:sz w:val="20"/>
                <w:szCs w:val="20"/>
              </w:rPr>
              <w:t xml:space="preserve">Part I, adjacent to Chapter 14 (Recruitment and Onboarding)</w:t>
            </w:r>
          </w:p>
        </w:tc>
      </w:tr>
    </w:tbl>
    <w:p>
      <w:pPr>
        <w:spacing w:after="200"/>
      </w:pPr>
    </w:p>
    <w:p>
      <w:pPr>
        <w:spacing w:after="160"/>
      </w:pPr>
      <w:r>
        <w:rPr>
          <w:i/>
          <w:iCs/>
          <w:color w:val="595959"/>
          <w:sz w:val="19"/>
          <w:szCs w:val="19"/>
        </w:rPr>
        <w:t xml:space="preserve">This document is proposed for insertion into the Surya Enterprises Employee &amp; Operations Handbook. It was drafted to close a gap identified during a handbook completeness review and has not yet been reviewed or approved by Legal, Finance, or the Chief People Officer.</w:t>
      </w:r>
    </w:p>
    <w:p>
      <w:pPr>
        <w:pBdr>
          <w:bottom w:val="single" w:color="1F3864" w:sz="8" w:space="4"/>
        </w:pBdr>
        <w:spacing w:after="200"/>
      </w:pPr>
    </w:p>
    <w:p>
      <w:pPr>
        <w:pStyle w:val="Heading1"/>
        <w:spacing w:after="200" w:before="400"/>
      </w:pPr>
      <w:r>
        <w:rPr>
          <w:b/>
          <w:bCs/>
          <w:color w:val="1F3864"/>
          <w:sz w:val="26"/>
          <w:szCs w:val="26"/>
        </w:rPr>
        <w:t xml:space="preserve">1. Why This Policy Is Missing</w:t>
      </w:r>
    </w:p>
    <w:p>
      <w:pPr>
        <w:spacing w:after="160"/>
      </w:pPr>
      <w:r>
        <w:rPr>
          <w:sz w:val="21"/>
          <w:szCs w:val="21"/>
        </w:rPr>
        <w:t xml:space="preserve">Chapter 14 (Recruitment and Onboarding) describes the requisition, interview panel, and structured-scorecard process in detail (also cross-referenced in Chapter 76.2 on inclusive hiring), but contains no mention of referrals at all. There is no referral bonus amount, no eligibility criteria, and no process for an employee to submit a candidate. This is a notable omission because employee referrals are typically the highest-quality, lowest-cost-per-hire channel, and its absence means the company has no documented incentive structure to encourage it.</w:t>
      </w:r>
    </w:p>
    <w:p>
      <w:pPr>
        <w:pStyle w:val="Heading1"/>
        <w:spacing w:after="200" w:before="400"/>
      </w:pPr>
      <w:r>
        <w:rPr>
          <w:b/>
          <w:bCs/>
          <w:color w:val="1F3864"/>
          <w:sz w:val="26"/>
          <w:szCs w:val="26"/>
        </w:rPr>
        <w:t xml:space="preserve">2. Purpose</w:t>
      </w:r>
    </w:p>
    <w:p>
      <w:pPr>
        <w:spacing w:after="160"/>
      </w:pPr>
      <w:r>
        <w:rPr>
          <w:sz w:val="21"/>
          <w:szCs w:val="21"/>
        </w:rPr>
        <w:t xml:space="preserve">To formally encourage employees to refer qualified candidates by defining a transparent bonus structure, eligibility rules, and a simple submission process, while protecting the integrity and fairness of the hiring process described in Chapter 14.</w:t>
      </w:r>
    </w:p>
    <w:p>
      <w:pPr>
        <w:pStyle w:val="Heading1"/>
        <w:spacing w:after="200" w:before="400"/>
      </w:pPr>
      <w:r>
        <w:rPr>
          <w:b/>
          <w:bCs/>
          <w:color w:val="1F3864"/>
          <w:sz w:val="26"/>
          <w:szCs w:val="26"/>
        </w:rPr>
        <w:t xml:space="preserve">3. Eligibility to Refer</w:t>
      </w:r>
    </w:p>
    <w:p>
      <w:pPr>
        <w:pStyle w:val="ListParagraph"/>
        <w:numPr>
          <w:ilvl w:val="0"/>
          <w:numId w:val="2"/>
        </w:numPr>
        <w:spacing w:after="80"/>
      </w:pPr>
      <w:r>
        <w:rPr>
          <w:sz w:val="21"/>
          <w:szCs w:val="21"/>
        </w:rPr>
        <w:t xml:space="preserve">All full-time and part-time employees who have completed their probation period are eligible to submit referrals.</w:t>
      </w:r>
    </w:p>
    <w:p>
      <w:pPr>
        <w:pStyle w:val="ListParagraph"/>
        <w:numPr>
          <w:ilvl w:val="0"/>
          <w:numId w:val="2"/>
        </w:numPr>
        <w:spacing w:after="80"/>
      </w:pPr>
      <w:r>
        <w:rPr>
          <w:sz w:val="21"/>
          <w:szCs w:val="21"/>
        </w:rPr>
        <w:t xml:space="preserve">Interns, contractors, and members of the Talent Acquisition and interviewing panel for the specific open role are not eligible for a bonus on that requisition, to avoid conflicts of interest.</w:t>
      </w:r>
    </w:p>
    <w:p>
      <w:pPr>
        <w:pStyle w:val="ListParagraph"/>
        <w:numPr>
          <w:ilvl w:val="0"/>
          <w:numId w:val="2"/>
        </w:numPr>
        <w:spacing w:after="80"/>
      </w:pPr>
      <w:r>
        <w:rPr>
          <w:sz w:val="21"/>
          <w:szCs w:val="21"/>
        </w:rPr>
        <w:t xml:space="preserve">Members of the Executive Leadership Team (Chapter 2) are eligible to refer but bonuses for their referrals are approved by the CPO rather than paid automatically.</w:t>
      </w:r>
    </w:p>
    <w:p>
      <w:pPr>
        <w:pStyle w:val="Heading1"/>
        <w:spacing w:after="200" w:before="400"/>
      </w:pPr>
      <w:r>
        <w:rPr>
          <w:b/>
          <w:bCs/>
          <w:color w:val="1F3864"/>
          <w:sz w:val="26"/>
          <w:szCs w:val="26"/>
        </w:rPr>
        <w:t xml:space="preserve">4. Referral Bonus 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3864" w:val="clear"/>
          </w:tcPr>
          <w:p>
            <w:r>
              <w:rPr>
                <w:b/>
                <w:bCs/>
                <w:color w:val="FFFFFF"/>
                <w:sz w:val="20"/>
                <w:szCs w:val="20"/>
              </w:rPr>
              <w:t xml:space="preserve">Role Band</w:t>
            </w:r>
          </w:p>
        </w:tc>
        <w:tc>
          <w:tcPr>
            <w:tcW w:type="dxa" w:w="3200"/>
            <w:shd w:fill="1F3864" w:val="clear"/>
          </w:tcPr>
          <w:p>
            <w:r>
              <w:rPr>
                <w:b/>
                <w:bCs/>
                <w:color w:val="FFFFFF"/>
                <w:sz w:val="20"/>
                <w:szCs w:val="20"/>
              </w:rPr>
              <w:t xml:space="preserve">Referral Bonus (India)</w:t>
            </w:r>
          </w:p>
        </w:tc>
        <w:tc>
          <w:tcPr>
            <w:tcW w:type="dxa" w:w="3200"/>
            <w:shd w:fill="1F3864" w:val="clear"/>
          </w:tcPr>
          <w:p>
            <w:r>
              <w:rPr>
                <w:b/>
                <w:bCs/>
                <w:color w:val="FFFFFF"/>
                <w:sz w:val="20"/>
                <w:szCs w:val="20"/>
              </w:rPr>
              <w:t xml:space="preserve">Referral Bonus (US)</w:t>
            </w:r>
          </w:p>
        </w:tc>
      </w:tr>
      <w:tr>
        <w:tc>
          <w:tcPr>
            <w:tcW w:type="dxa" w:w="3200"/>
          </w:tcPr>
          <w:p>
            <w:r>
              <w:rPr>
                <w:sz w:val="20"/>
                <w:szCs w:val="20"/>
              </w:rPr>
              <w:t xml:space="preserve">Individual Contributor (L1–L3, Role Library Ch. 47–48)</w:t>
            </w:r>
          </w:p>
        </w:tc>
        <w:tc>
          <w:tcPr>
            <w:tcW w:type="dxa" w:w="3200"/>
          </w:tcPr>
          <w:p>
            <w:r>
              <w:rPr>
                <w:sz w:val="20"/>
                <w:szCs w:val="20"/>
              </w:rPr>
              <w:t xml:space="preserve">INR 25,000</w:t>
            </w:r>
          </w:p>
        </w:tc>
        <w:tc>
          <w:tcPr>
            <w:tcW w:type="dxa" w:w="3200"/>
          </w:tcPr>
          <w:p>
            <w:r>
              <w:rPr>
                <w:sz w:val="20"/>
                <w:szCs w:val="20"/>
              </w:rPr>
              <w:t xml:space="preserve">USD 1,000</w:t>
            </w:r>
          </w:p>
        </w:tc>
      </w:tr>
      <w:tr>
        <w:tc>
          <w:tcPr>
            <w:tcW w:type="dxa" w:w="3200"/>
          </w:tcPr>
          <w:p>
            <w:r>
              <w:rPr>
                <w:sz w:val="20"/>
                <w:szCs w:val="20"/>
              </w:rPr>
              <w:t xml:space="preserve">Senior / Lead (L4–L5)</w:t>
            </w:r>
          </w:p>
        </w:tc>
        <w:tc>
          <w:tcPr>
            <w:tcW w:type="dxa" w:w="3200"/>
          </w:tcPr>
          <w:p>
            <w:r>
              <w:rPr>
                <w:sz w:val="20"/>
                <w:szCs w:val="20"/>
              </w:rPr>
              <w:t xml:space="preserve">INR 50,000</w:t>
            </w:r>
          </w:p>
        </w:tc>
        <w:tc>
          <w:tcPr>
            <w:tcW w:type="dxa" w:w="3200"/>
          </w:tcPr>
          <w:p>
            <w:r>
              <w:rPr>
                <w:sz w:val="20"/>
                <w:szCs w:val="20"/>
              </w:rPr>
              <w:t xml:space="preserve">USD 2,000</w:t>
            </w:r>
          </w:p>
        </w:tc>
      </w:tr>
      <w:tr>
        <w:tc>
          <w:tcPr>
            <w:tcW w:type="dxa" w:w="3200"/>
          </w:tcPr>
          <w:p>
            <w:r>
              <w:rPr>
                <w:sz w:val="20"/>
                <w:szCs w:val="20"/>
              </w:rPr>
              <w:t xml:space="preserve">Manager and above</w:t>
            </w:r>
          </w:p>
        </w:tc>
        <w:tc>
          <w:tcPr>
            <w:tcW w:type="dxa" w:w="3200"/>
          </w:tcPr>
          <w:p>
            <w:r>
              <w:rPr>
                <w:sz w:val="20"/>
                <w:szCs w:val="20"/>
              </w:rPr>
              <w:t xml:space="preserve">INR 75,000</w:t>
            </w:r>
          </w:p>
        </w:tc>
        <w:tc>
          <w:tcPr>
            <w:tcW w:type="dxa" w:w="3200"/>
          </w:tcPr>
          <w:p>
            <w:r>
              <w:rPr>
                <w:sz w:val="20"/>
                <w:szCs w:val="20"/>
              </w:rPr>
              <w:t xml:space="preserve">USD 3,000</w:t>
            </w:r>
          </w:p>
        </w:tc>
      </w:tr>
      <w:tr>
        <w:tc>
          <w:tcPr>
            <w:tcW w:type="dxa" w:w="3200"/>
          </w:tcPr>
          <w:p>
            <w:r>
              <w:rPr>
                <w:sz w:val="20"/>
                <w:szCs w:val="20"/>
              </w:rPr>
              <w:t xml:space="preserve">Hard-to-fill / Critical Skills (published quarterly by Talent Acquisition)</w:t>
            </w:r>
          </w:p>
        </w:tc>
        <w:tc>
          <w:tcPr>
            <w:tcW w:type="dxa" w:w="3200"/>
          </w:tcPr>
          <w:p>
            <w:r>
              <w:rPr>
                <w:sz w:val="20"/>
                <w:szCs w:val="20"/>
              </w:rPr>
              <w:t xml:space="preserve">1.5x the standard band amount</w:t>
            </w:r>
          </w:p>
        </w:tc>
        <w:tc>
          <w:tcPr>
            <w:tcW w:type="dxa" w:w="3200"/>
          </w:tcPr>
          <w:p>
            <w:r>
              <w:rPr>
                <w:sz w:val="20"/>
                <w:szCs w:val="20"/>
              </w:rPr>
              <w:t xml:space="preserve">1.5x the standard band amount</w:t>
            </w:r>
          </w:p>
        </w:tc>
      </w:tr>
    </w:tbl>
    <w:p>
      <w:pPr>
        <w:pStyle w:val="Heading1"/>
        <w:spacing w:after="200" w:before="400"/>
      </w:pPr>
      <w:r>
        <w:rPr>
          <w:b/>
          <w:bCs/>
          <w:color w:val="1F3864"/>
          <w:sz w:val="26"/>
          <w:szCs w:val="26"/>
        </w:rPr>
        <w:t xml:space="preserve">5. Payment Schedule</w:t>
      </w:r>
    </w:p>
    <w:p>
      <w:pPr>
        <w:pStyle w:val="ListParagraph"/>
        <w:numPr>
          <w:ilvl w:val="0"/>
          <w:numId w:val="2"/>
        </w:numPr>
        <w:spacing w:after="80"/>
      </w:pPr>
      <w:r>
        <w:rPr>
          <w:sz w:val="21"/>
          <w:szCs w:val="21"/>
        </w:rPr>
        <w:t xml:space="preserve">50% of the bonus is paid in the payroll cycle following the referred candidate's start date.</w:t>
      </w:r>
    </w:p>
    <w:p>
      <w:pPr>
        <w:pStyle w:val="ListParagraph"/>
        <w:numPr>
          <w:ilvl w:val="0"/>
          <w:numId w:val="2"/>
        </w:numPr>
        <w:spacing w:after="80"/>
      </w:pPr>
      <w:r>
        <w:rPr>
          <w:sz w:val="21"/>
          <w:szCs w:val="21"/>
        </w:rPr>
        <w:t xml:space="preserve">The remaining 50% is paid after the referred employee completes their probation period (per Chapter 3, Employment Classifications and Terms) and remains in good standing.</w:t>
      </w:r>
    </w:p>
    <w:p>
      <w:pPr>
        <w:pStyle w:val="ListParagraph"/>
        <w:numPr>
          <w:ilvl w:val="0"/>
          <w:numId w:val="2"/>
        </w:numPr>
        <w:spacing w:after="80"/>
      </w:pPr>
      <w:r>
        <w:rPr>
          <w:sz w:val="21"/>
          <w:szCs w:val="21"/>
        </w:rPr>
        <w:t xml:space="preserve">No bonus is paid, or any unpaid portion is forfeited, if the referred employee resigns or is terminated for cause before completing probation.</w:t>
      </w:r>
    </w:p>
    <w:p>
      <w:pPr>
        <w:pStyle w:val="Heading1"/>
        <w:spacing w:after="200" w:before="400"/>
      </w:pPr>
      <w:r>
        <w:rPr>
          <w:b/>
          <w:bCs/>
          <w:color w:val="1F3864"/>
          <w:sz w:val="26"/>
          <w:szCs w:val="26"/>
        </w:rPr>
        <w:t xml:space="preserve">6. Submission Process</w:t>
      </w:r>
    </w:p>
    <w:p>
      <w:pPr>
        <w:pStyle w:val="ListParagraph"/>
        <w:numPr>
          <w:ilvl w:val="0"/>
          <w:numId w:val="2"/>
        </w:numPr>
        <w:spacing w:after="80"/>
      </w:pPr>
      <w:r>
        <w:rPr>
          <w:sz w:val="21"/>
          <w:szCs w:val="21"/>
        </w:rPr>
        <w:t xml:space="preserve">Submit the candidate's resume and the specific open requisition ID through the referral form in the HR portal before the candidate applies through any other channel.</w:t>
      </w:r>
    </w:p>
    <w:p>
      <w:pPr>
        <w:pStyle w:val="ListParagraph"/>
        <w:numPr>
          <w:ilvl w:val="0"/>
          <w:numId w:val="2"/>
        </w:numPr>
        <w:spacing w:after="80"/>
      </w:pPr>
      <w:r>
        <w:rPr>
          <w:sz w:val="21"/>
          <w:szCs w:val="21"/>
        </w:rPr>
        <w:t xml:space="preserve">Talent Acquisition confirms receipt within 3 business days and screens the candidate using the same structured criteria as any other applicant.</w:t>
      </w:r>
    </w:p>
    <w:p>
      <w:pPr>
        <w:pStyle w:val="ListParagraph"/>
        <w:numPr>
          <w:ilvl w:val="0"/>
          <w:numId w:val="2"/>
        </w:numPr>
        <w:spacing w:after="80"/>
      </w:pPr>
      <w:r>
        <w:rPr>
          <w:sz w:val="21"/>
          <w:szCs w:val="21"/>
        </w:rPr>
        <w:t xml:space="preserve">The referring employee receives a status update at each major stage (screen, interview, offer, decline) but does not participate in interviewing or hiring decisions for their own referral.</w:t>
      </w:r>
    </w:p>
    <w:p>
      <w:pPr>
        <w:pStyle w:val="Heading1"/>
        <w:spacing w:after="200" w:before="400"/>
      </w:pPr>
      <w:r>
        <w:rPr>
          <w:b/>
          <w:bCs/>
          <w:color w:val="1F3864"/>
          <w:sz w:val="26"/>
          <w:szCs w:val="26"/>
        </w:rPr>
        <w:t xml:space="preserve">7. Program Integrity</w:t>
      </w:r>
    </w:p>
    <w:p>
      <w:pPr>
        <w:spacing w:after="160"/>
      </w:pPr>
      <w:r>
        <w:rPr>
          <w:sz w:val="21"/>
          <w:szCs w:val="21"/>
        </w:rPr>
        <w:t xml:space="preserve">Referral bonuses do not override the merit-based, structured hiring process in Chapter 14. A referred candidate must pass the same interview panel and scorecard evaluation as any other applicant, and hiring managers retain full discretion to decline a referral. Any attempt to circumvent standard screening for a referred candidate is treated as a Code of Conduct matter under Chapter 16.</w:t>
      </w:r>
    </w:p>
    <w:p>
      <w:pPr>
        <w:pStyle w:val="Heading1"/>
        <w:spacing w:after="200" w:before="400"/>
      </w:pPr>
      <w:r>
        <w:rPr>
          <w:b/>
          <w:bCs/>
          <w:color w:val="1F3864"/>
          <w:sz w:val="26"/>
          <w:szCs w:val="26"/>
        </w:rPr>
        <w:t xml:space="preserve">8. Related Chapters</w:t>
      </w:r>
    </w:p>
    <w:p>
      <w:pPr>
        <w:pStyle w:val="ListParagraph"/>
        <w:numPr>
          <w:ilvl w:val="0"/>
          <w:numId w:val="2"/>
        </w:numPr>
        <w:spacing w:after="80"/>
      </w:pPr>
      <w:r>
        <w:rPr>
          <w:sz w:val="21"/>
          <w:szCs w:val="21"/>
        </w:rPr>
        <w:t xml:space="preserve">Chapter 3 — Employment Classifications and Terms</w:t>
      </w:r>
    </w:p>
    <w:p>
      <w:pPr>
        <w:pStyle w:val="ListParagraph"/>
        <w:numPr>
          <w:ilvl w:val="0"/>
          <w:numId w:val="2"/>
        </w:numPr>
        <w:spacing w:after="80"/>
      </w:pPr>
      <w:r>
        <w:rPr>
          <w:sz w:val="21"/>
          <w:szCs w:val="21"/>
        </w:rPr>
        <w:t xml:space="preserve">Chapter 14 — Recruitment and Onboarding</w:t>
      </w:r>
    </w:p>
    <w:p>
      <w:pPr>
        <w:pStyle w:val="ListParagraph"/>
        <w:numPr>
          <w:ilvl w:val="0"/>
          <w:numId w:val="2"/>
        </w:numPr>
        <w:spacing w:after="80"/>
      </w:pPr>
      <w:r>
        <w:rPr>
          <w:sz w:val="21"/>
          <w:szCs w:val="21"/>
        </w:rPr>
        <w:t xml:space="preserve">Chapter 16 — Code of Conduct and Business Ethics</w:t>
      </w:r>
    </w:p>
    <w:p>
      <w:pPr>
        <w:pStyle w:val="ListParagraph"/>
        <w:numPr>
          <w:ilvl w:val="0"/>
          <w:numId w:val="2"/>
        </w:numPr>
        <w:spacing w:after="80"/>
      </w:pPr>
      <w:r>
        <w:rPr>
          <w:sz w:val="21"/>
          <w:szCs w:val="21"/>
        </w:rPr>
        <w:t xml:space="preserve">Chapter 76 — Diversity, Equity, and Inclusion — Program Detail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2026-09-12T05:01:13.520Z</dcterms:created>
  <dcterms:modified xsi:type="dcterms:W3CDTF">2026-09-12T05:01:13.520Z</dcterms:modified>
</cp:coreProperties>
</file>

<file path=docProps/custom.xml><?xml version="1.0" encoding="utf-8"?>
<Properties xmlns="http://schemas.openxmlformats.org/officeDocument/2006/custom-properties" xmlns:vt="http://schemas.openxmlformats.org/officeDocument/2006/docPropsVTypes"/>
</file>