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93" w:rsidRPr="00175A34" w:rsidRDefault="00C54FF4" w:rsidP="00C54FF4">
      <w:pPr>
        <w:spacing w:line="240" w:lineRule="auto"/>
        <w:rPr>
          <w:rFonts w:ascii="Times New Roman" w:eastAsia="맑은 고딕" w:hAnsi="Times New Roman" w:cs="Times New Roman"/>
          <w:b/>
        </w:rPr>
      </w:pPr>
      <w:r w:rsidRPr="00175A34">
        <w:rPr>
          <w:rFonts w:ascii="Times New Roman" w:eastAsia="맑은 고딕" w:hAnsi="Times New Roman" w:cs="Times New Roman"/>
          <w:b/>
        </w:rPr>
        <w:t>[</w:t>
      </w:r>
      <w:r w:rsidR="000315DC">
        <w:rPr>
          <w:rFonts w:ascii="Times New Roman" w:eastAsia="맑은 고딕" w:hAnsi="Times New Roman" w:cs="Times New Roman"/>
          <w:b/>
        </w:rPr>
        <w:t xml:space="preserve">Example of Report Title: </w:t>
      </w:r>
      <w:r w:rsidR="00175A34" w:rsidRPr="00175A34">
        <w:rPr>
          <w:rFonts w:ascii="Times New Roman" w:eastAsia="맑은 고딕" w:hAnsi="Times New Roman" w:cs="Times New Roman"/>
          <w:b/>
        </w:rPr>
        <w:t>Difference between Vaccination and Computer Vaccine</w:t>
      </w:r>
      <w:r w:rsidRPr="00175A34">
        <w:rPr>
          <w:rFonts w:ascii="Times New Roman" w:eastAsia="맑은 고딕" w:hAnsi="Times New Roman" w:cs="Times New Roman"/>
          <w:b/>
        </w:rPr>
        <w:t>]</w:t>
      </w:r>
    </w:p>
    <w:p w:rsidR="00C54FF4" w:rsidRPr="00762010" w:rsidRDefault="00175A34" w:rsidP="00C54FF4">
      <w:pPr>
        <w:spacing w:line="240" w:lineRule="auto"/>
        <w:rPr>
          <w:rFonts w:ascii="Times New Roman" w:eastAsia="맑은 고딕" w:hAnsi="Times New Roman" w:cs="Times New Roman"/>
          <w:color w:val="FF0000"/>
        </w:rPr>
      </w:pPr>
      <w:r w:rsidRPr="00175A34">
        <w:rPr>
          <w:rFonts w:ascii="Times New Roman" w:eastAsia="맑은 고딕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2540</wp:posOffset>
            </wp:positionH>
            <wp:positionV relativeFrom="margin">
              <wp:posOffset>285115</wp:posOffset>
            </wp:positionV>
            <wp:extent cx="2519680" cy="2519680"/>
            <wp:effectExtent l="19050" t="19050" r="13970" b="139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고려대_로고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맑은 고딕" w:hAnsi="Times New Roman" w:cs="Times New Roman"/>
        </w:rPr>
        <w:t xml:space="preserve">* </w:t>
      </w:r>
      <w:r w:rsidR="00C54FF4" w:rsidRPr="00762010">
        <w:rPr>
          <w:rFonts w:ascii="Times New Roman" w:eastAsia="맑은 고딕" w:hAnsi="Times New Roman" w:cs="Times New Roman"/>
          <w:color w:val="FF0000"/>
        </w:rPr>
        <w:t xml:space="preserve">Font: </w:t>
      </w:r>
      <w:r w:rsidR="00C54FF4" w:rsidRPr="00762010">
        <w:rPr>
          <w:rFonts w:ascii="Times New Roman" w:eastAsia="맑은 고딕" w:hAnsi="Times New Roman" w:cs="Times New Roman"/>
          <w:color w:val="FF0000"/>
        </w:rPr>
        <w:t>맑은</w:t>
      </w:r>
      <w:r w:rsidR="00C54FF4" w:rsidRPr="00762010">
        <w:rPr>
          <w:rFonts w:ascii="Times New Roman" w:eastAsia="맑은 고딕" w:hAnsi="Times New Roman" w:cs="Times New Roman"/>
          <w:color w:val="FF0000"/>
        </w:rPr>
        <w:t xml:space="preserve"> </w:t>
      </w:r>
      <w:r w:rsidR="00C54FF4" w:rsidRPr="00762010">
        <w:rPr>
          <w:rFonts w:ascii="Times New Roman" w:eastAsia="맑은 고딕" w:hAnsi="Times New Roman" w:cs="Times New Roman"/>
          <w:color w:val="FF0000"/>
        </w:rPr>
        <w:t>고딕</w:t>
      </w:r>
      <w:r w:rsidR="00762010">
        <w:rPr>
          <w:rFonts w:ascii="Times New Roman" w:eastAsia="맑은 고딕" w:hAnsi="Times New Roman" w:cs="Times New Roman" w:hint="eastAsia"/>
          <w:color w:val="FF0000"/>
        </w:rPr>
        <w:t xml:space="preserve"> (</w:t>
      </w:r>
      <w:r w:rsidR="00762010">
        <w:rPr>
          <w:rFonts w:ascii="Times New Roman" w:eastAsia="맑은 고딕" w:hAnsi="Times New Roman" w:cs="Times New Roman" w:hint="eastAsia"/>
          <w:color w:val="FF0000"/>
        </w:rPr>
        <w:t>한글</w:t>
      </w:r>
      <w:r w:rsidR="00762010">
        <w:rPr>
          <w:rFonts w:ascii="Times New Roman" w:eastAsia="맑은 고딕" w:hAnsi="Times New Roman" w:cs="Times New Roman" w:hint="eastAsia"/>
          <w:color w:val="FF0000"/>
        </w:rPr>
        <w:t>)</w:t>
      </w:r>
      <w:r w:rsidRPr="00762010">
        <w:rPr>
          <w:rFonts w:ascii="Times New Roman" w:eastAsia="맑은 고딕" w:hAnsi="Times New Roman" w:cs="Times New Roman" w:hint="eastAsia"/>
          <w:color w:val="FF0000"/>
        </w:rPr>
        <w:t xml:space="preserve"> </w:t>
      </w:r>
      <w:r w:rsidRPr="00762010">
        <w:rPr>
          <w:rFonts w:ascii="Times New Roman" w:eastAsia="맑은 고딕" w:hAnsi="Times New Roman" w:cs="Times New Roman"/>
          <w:color w:val="FF0000"/>
        </w:rPr>
        <w:t>or Times New Roman</w:t>
      </w:r>
      <w:r w:rsidR="00762010">
        <w:rPr>
          <w:rFonts w:ascii="Times New Roman" w:eastAsia="맑은 고딕" w:hAnsi="Times New Roman" w:cs="Times New Roman"/>
          <w:color w:val="FF0000"/>
        </w:rPr>
        <w:t xml:space="preserve"> (English)</w:t>
      </w:r>
    </w:p>
    <w:p w:rsidR="00C54FF4" w:rsidRPr="00762010" w:rsidRDefault="00175A34" w:rsidP="00C54FF4">
      <w:pPr>
        <w:spacing w:line="240" w:lineRule="auto"/>
        <w:rPr>
          <w:rFonts w:ascii="Times New Roman" w:eastAsia="맑은 고딕" w:hAnsi="Times New Roman" w:cs="Times New Roman"/>
          <w:color w:val="FF0000"/>
        </w:rPr>
      </w:pPr>
      <w:r w:rsidRPr="00762010">
        <w:rPr>
          <w:rFonts w:ascii="Times New Roman" w:eastAsia="맑은 고딕" w:hAnsi="Times New Roman" w:cs="Times New Roman"/>
          <w:color w:val="FF0000"/>
        </w:rPr>
        <w:t xml:space="preserve">* </w:t>
      </w:r>
      <w:r w:rsidR="00C54FF4" w:rsidRPr="00762010">
        <w:rPr>
          <w:rFonts w:ascii="Times New Roman" w:eastAsia="맑은 고딕" w:hAnsi="Times New Roman" w:cs="Times New Roman"/>
          <w:color w:val="FF0000"/>
        </w:rPr>
        <w:t xml:space="preserve">Font size: 11 </w:t>
      </w:r>
      <w:proofErr w:type="spellStart"/>
      <w:r w:rsidR="00C54FF4" w:rsidRPr="00762010">
        <w:rPr>
          <w:rFonts w:ascii="Times New Roman" w:eastAsia="맑은 고딕" w:hAnsi="Times New Roman" w:cs="Times New Roman"/>
          <w:color w:val="FF0000"/>
        </w:rPr>
        <w:t>pt</w:t>
      </w:r>
      <w:proofErr w:type="spellEnd"/>
    </w:p>
    <w:p w:rsidR="00175A34" w:rsidRPr="00762010" w:rsidRDefault="00175A34" w:rsidP="00C54FF4">
      <w:pPr>
        <w:spacing w:line="240" w:lineRule="auto"/>
        <w:rPr>
          <w:rFonts w:ascii="Times New Roman" w:eastAsia="맑은 고딕" w:hAnsi="Times New Roman" w:cs="Times New Roman"/>
          <w:color w:val="FF0000"/>
        </w:rPr>
      </w:pPr>
      <w:r w:rsidRPr="00762010">
        <w:rPr>
          <w:rFonts w:ascii="Times New Roman" w:eastAsia="맑은 고딕" w:hAnsi="Times New Roman" w:cs="Times New Roman" w:hint="eastAsia"/>
          <w:color w:val="FF0000"/>
        </w:rPr>
        <w:t>*</w:t>
      </w:r>
      <w:r w:rsidRPr="00762010">
        <w:rPr>
          <w:rFonts w:ascii="Times New Roman" w:eastAsia="맑은 고딕" w:hAnsi="Times New Roman" w:cs="Times New Roman"/>
          <w:color w:val="FF0000"/>
        </w:rPr>
        <w:t xml:space="preserve"> </w:t>
      </w:r>
      <w:proofErr w:type="spellStart"/>
      <w:r w:rsidR="00C54FF4" w:rsidRPr="00762010">
        <w:rPr>
          <w:rFonts w:ascii="Times New Roman" w:eastAsia="맑은 고딕" w:hAnsi="Times New Roman" w:cs="Times New Roman"/>
          <w:color w:val="FF0000"/>
        </w:rPr>
        <w:t>줄간격</w:t>
      </w:r>
      <w:proofErr w:type="spellEnd"/>
      <w:r w:rsidR="00C54FF4" w:rsidRPr="00762010">
        <w:rPr>
          <w:rFonts w:ascii="Times New Roman" w:eastAsia="맑은 고딕" w:hAnsi="Times New Roman" w:cs="Times New Roman"/>
          <w:color w:val="FF0000"/>
        </w:rPr>
        <w:t xml:space="preserve">: 1.0 </w:t>
      </w:r>
    </w:p>
    <w:p w:rsidR="00175A34" w:rsidRPr="00762010" w:rsidRDefault="00175A34" w:rsidP="00C54FF4">
      <w:pPr>
        <w:spacing w:line="240" w:lineRule="auto"/>
        <w:rPr>
          <w:rFonts w:ascii="Times New Roman" w:eastAsia="맑은 고딕" w:hAnsi="Times New Roman" w:cs="Times New Roman"/>
          <w:color w:val="FF0000"/>
        </w:rPr>
      </w:pPr>
      <w:r w:rsidRPr="00762010">
        <w:rPr>
          <w:rFonts w:ascii="Times New Roman" w:eastAsia="맑은 고딕" w:hAnsi="Times New Roman" w:cs="Times New Roman" w:hint="eastAsia"/>
          <w:color w:val="FF0000"/>
        </w:rPr>
        <w:t>*</w:t>
      </w:r>
      <w:r w:rsidRPr="00762010">
        <w:rPr>
          <w:rFonts w:ascii="Times New Roman" w:eastAsia="맑은 고딕" w:hAnsi="Times New Roman" w:cs="Times New Roman"/>
          <w:color w:val="FF0000"/>
        </w:rPr>
        <w:t xml:space="preserve"> Figure size: 7 </w:t>
      </w:r>
      <w:r w:rsidRPr="00762010">
        <w:rPr>
          <w:rFonts w:ascii="Times New Roman" w:eastAsia="맑은 고딕" w:hAnsi="Times New Roman" w:cs="Times New Roman" w:hint="eastAsia"/>
          <w:color w:val="FF0000"/>
        </w:rPr>
        <w:t xml:space="preserve">cm </w:t>
      </w:r>
      <w:r w:rsidRPr="00762010">
        <w:rPr>
          <w:rFonts w:ascii="Times New Roman" w:eastAsia="맑은 고딕" w:hAnsi="Times New Roman" w:cs="Times New Roman"/>
          <w:color w:val="FF0000"/>
        </w:rPr>
        <w:t>x 7 cm</w:t>
      </w:r>
    </w:p>
    <w:p w:rsidR="00674C44" w:rsidRPr="00762010" w:rsidRDefault="00674C44" w:rsidP="00C54FF4">
      <w:pPr>
        <w:spacing w:line="240" w:lineRule="auto"/>
        <w:rPr>
          <w:rFonts w:ascii="Times New Roman" w:eastAsia="맑은 고딕" w:hAnsi="Times New Roman" w:cs="Times New Roman"/>
          <w:color w:val="FF0000"/>
        </w:rPr>
      </w:pPr>
      <w:r w:rsidRPr="00762010">
        <w:rPr>
          <w:rFonts w:ascii="Times New Roman" w:eastAsia="맑은 고딕" w:hAnsi="Times New Roman" w:cs="Times New Roman"/>
          <w:color w:val="FF0000"/>
        </w:rPr>
        <w:t xml:space="preserve">* Save the file name: </w:t>
      </w:r>
      <w:proofErr w:type="spellStart"/>
      <w:r w:rsidRPr="00762010">
        <w:rPr>
          <w:rFonts w:ascii="Times New Roman" w:eastAsia="맑은 고딕" w:hAnsi="Times New Roman" w:cs="Times New Roman"/>
          <w:color w:val="FF0000"/>
        </w:rPr>
        <w:t>StudentName</w:t>
      </w:r>
      <w:proofErr w:type="spellEnd"/>
      <w:r w:rsidRPr="00762010">
        <w:rPr>
          <w:rFonts w:ascii="Times New Roman" w:eastAsia="맑은 고딕" w:hAnsi="Times New Roman" w:cs="Times New Roman"/>
          <w:color w:val="FF0000"/>
        </w:rPr>
        <w:t>_</w:t>
      </w:r>
      <w:r w:rsidRPr="00762010">
        <w:rPr>
          <w:rFonts w:ascii="Times New Roman" w:eastAsia="맑은 고딕" w:hAnsi="Times New Roman" w:cs="Times New Roman" w:hint="eastAsia"/>
          <w:color w:val="FF0000"/>
        </w:rPr>
        <w:t>학번</w:t>
      </w:r>
      <w:r w:rsidRPr="00762010">
        <w:rPr>
          <w:rFonts w:ascii="Times New Roman" w:eastAsia="맑은 고딕" w:hAnsi="Times New Roman" w:cs="Times New Roman" w:hint="eastAsia"/>
          <w:color w:val="FF0000"/>
        </w:rPr>
        <w:t>_YYYYMMDD.pdf</w:t>
      </w:r>
    </w:p>
    <w:p w:rsidR="00C54FF4" w:rsidRPr="00175A34" w:rsidRDefault="00C54FF4" w:rsidP="00C54FF4">
      <w:pPr>
        <w:spacing w:line="240" w:lineRule="auto"/>
        <w:rPr>
          <w:rFonts w:ascii="Times New Roman" w:eastAsia="맑은 고딕" w:hAnsi="Times New Roman" w:cs="Times New Roman"/>
        </w:rPr>
      </w:pPr>
      <w:bookmarkStart w:id="0" w:name="_GoBack"/>
      <w:bookmarkEnd w:id="0"/>
    </w:p>
    <w:p w:rsidR="002E33FE" w:rsidRPr="002E33FE" w:rsidRDefault="002E33FE" w:rsidP="002E33FE">
      <w:pPr>
        <w:spacing w:line="240" w:lineRule="auto"/>
        <w:rPr>
          <w:rFonts w:asciiTheme="majorEastAsia" w:eastAsiaTheme="majorEastAsia" w:hAnsiTheme="majorEastAsia" w:cs="Times New Roman" w:hint="eastAsia"/>
        </w:rPr>
      </w:pPr>
      <w:r w:rsidRPr="002E33FE">
        <w:rPr>
          <w:rFonts w:asciiTheme="majorEastAsia" w:eastAsiaTheme="majorEastAsia" w:hAnsiTheme="majorEastAsia" w:cs="Times New Roman" w:hint="eastAsia"/>
        </w:rPr>
        <w:t xml:space="preserve">SER 또는 smooth ER로 약기. 리보솜이 결합하고 있지 않은 소포체. 곳곳에서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조면소포체와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연속되어 있기 때문에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활면소포체는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조면소포체로부터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형성되고 있는 것으로 알려져 있다.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활면소포체에는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리보솜이 부착하고 있지 않아서 단백질합성에 관계하는 소포체의 기능은 없고, 그 외의 소포체 기능은 일반적으로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활면소포체에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의해 많이 알려져 있다.</w:t>
      </w:r>
    </w:p>
    <w:p w:rsidR="002E33FE" w:rsidRPr="002E33FE" w:rsidRDefault="002E33FE" w:rsidP="002E33FE">
      <w:pPr>
        <w:spacing w:line="240" w:lineRule="auto"/>
        <w:rPr>
          <w:rFonts w:asciiTheme="majorEastAsia" w:eastAsiaTheme="majorEastAsia" w:hAnsiTheme="majorEastAsia" w:cs="Times New Roman"/>
        </w:rPr>
      </w:pPr>
    </w:p>
    <w:p w:rsidR="002E33FE" w:rsidRPr="002E33FE" w:rsidRDefault="002E33FE" w:rsidP="002E33FE">
      <w:pPr>
        <w:spacing w:line="240" w:lineRule="auto"/>
        <w:rPr>
          <w:rFonts w:asciiTheme="majorEastAsia" w:eastAsiaTheme="majorEastAsia" w:hAnsiTheme="majorEastAsia" w:cs="Times New Roman" w:hint="eastAsia"/>
        </w:rPr>
      </w:pPr>
      <w:r w:rsidRPr="002E33FE">
        <w:rPr>
          <w:rFonts w:asciiTheme="majorEastAsia" w:eastAsiaTheme="majorEastAsia" w:hAnsiTheme="majorEastAsia" w:cs="Times New Roman" w:hint="eastAsia"/>
        </w:rPr>
        <w:t xml:space="preserve">즉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활면소포체에는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인지질, 콜레스테롤 등의 복합지질합성을 하며, 복합지질합성이 왕성한 세포에서는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활면소포체가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대단히 잘 발달되어 있다.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시토크롬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P450,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시토크롬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b5와 이들의 환원효소로 구성되는 전자전달계가 주로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활면소포체에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존재하여 스테로이드 호르몬이나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프로스타글라딘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등의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내인성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물질의 합성 · 대사와,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페놀바르비탈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등의 약제나 여러 가지 발암물질 등의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외인성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물질의 해독 · 대사에 관여하고 있다.</w:t>
      </w:r>
    </w:p>
    <w:p w:rsidR="002E33FE" w:rsidRPr="002E33FE" w:rsidRDefault="002E33FE" w:rsidP="002E33FE">
      <w:pPr>
        <w:spacing w:line="240" w:lineRule="auto"/>
        <w:rPr>
          <w:rFonts w:asciiTheme="majorEastAsia" w:eastAsiaTheme="majorEastAsia" w:hAnsiTheme="majorEastAsia" w:cs="Times New Roman"/>
        </w:rPr>
      </w:pPr>
    </w:p>
    <w:p w:rsidR="002E33FE" w:rsidRPr="002E33FE" w:rsidRDefault="002E33FE" w:rsidP="002E33FE">
      <w:pPr>
        <w:spacing w:line="240" w:lineRule="auto"/>
        <w:rPr>
          <w:rFonts w:asciiTheme="majorEastAsia" w:eastAsiaTheme="majorEastAsia" w:hAnsiTheme="majorEastAsia" w:cs="Times New Roman" w:hint="eastAsia"/>
        </w:rPr>
      </w:pPr>
      <w:r w:rsidRPr="002E33FE">
        <w:rPr>
          <w:rFonts w:asciiTheme="majorEastAsia" w:eastAsiaTheme="majorEastAsia" w:hAnsiTheme="majorEastAsia" w:cs="Times New Roman" w:hint="eastAsia"/>
        </w:rPr>
        <w:t xml:space="preserve">또 약물의 다량 투여로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해독계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효소를 유도함으로써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활면소포체도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현저하게 증가하는 것으로 알려져 있다.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글루코오스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-6-인산가수분해효소,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에스테르가수분해효소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등의 대사효소도 다량으로 존재하고 있다.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활면소포체는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세포내 Ca2＋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저류장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(pool)으로 신호전달에 중요한 역할을 하고 있다.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근소포체는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활면소포체의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Ca2＋ 저류 · 방출기능이 고도로 발달한 것으로 생각된다. 간세포에서 조제한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활면마이크로솜은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주로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활면소포체에서도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유래한다.</w:t>
      </w:r>
    </w:p>
    <w:p w:rsidR="00C54FF4" w:rsidRPr="002E33FE" w:rsidRDefault="002E33FE" w:rsidP="002E33FE">
      <w:pPr>
        <w:spacing w:line="240" w:lineRule="auto"/>
        <w:rPr>
          <w:rFonts w:asciiTheme="majorEastAsia" w:eastAsiaTheme="majorEastAsia" w:hAnsiTheme="majorEastAsia" w:cs="Times New Roman"/>
        </w:rPr>
      </w:pPr>
      <w:r w:rsidRPr="002E33FE">
        <w:rPr>
          <w:rFonts w:asciiTheme="majorEastAsia" w:eastAsiaTheme="majorEastAsia" w:hAnsiTheme="majorEastAsia" w:cs="Times New Roman" w:hint="eastAsia"/>
        </w:rPr>
        <w:t xml:space="preserve">[네이버 지식백과]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활면소포체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 xml:space="preserve"> [smooth endoplasmic reticulum, 滑面小胞體] (생명과학대사전, 초판 2008., 개정판 2014., 도서출판 </w:t>
      </w:r>
      <w:proofErr w:type="spellStart"/>
      <w:r w:rsidRPr="002E33FE">
        <w:rPr>
          <w:rFonts w:asciiTheme="majorEastAsia" w:eastAsiaTheme="majorEastAsia" w:hAnsiTheme="majorEastAsia" w:cs="Times New Roman" w:hint="eastAsia"/>
        </w:rPr>
        <w:t>여초</w:t>
      </w:r>
      <w:proofErr w:type="spellEnd"/>
      <w:r w:rsidRPr="002E33FE">
        <w:rPr>
          <w:rFonts w:asciiTheme="majorEastAsia" w:eastAsiaTheme="majorEastAsia" w:hAnsiTheme="majorEastAsia" w:cs="Times New Roman" w:hint="eastAsia"/>
        </w:rPr>
        <w:t>)</w:t>
      </w:r>
    </w:p>
    <w:p w:rsidR="00C54FF4" w:rsidRPr="00175A34" w:rsidRDefault="00C54FF4" w:rsidP="00C54FF4">
      <w:pPr>
        <w:spacing w:line="240" w:lineRule="auto"/>
        <w:rPr>
          <w:rFonts w:ascii="Times New Roman" w:eastAsia="맑은 고딕" w:hAnsi="Times New Roman" w:cs="Times New Roman"/>
        </w:rPr>
      </w:pPr>
    </w:p>
    <w:sectPr w:rsidR="00C54FF4" w:rsidRPr="00175A34" w:rsidSect="00D910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1NTU2NTYyNDQ0NTdW0lEKTi0uzszPAykwqgUAYAQo3ywAAAA="/>
  </w:docVars>
  <w:rsids>
    <w:rsidRoot w:val="001D2A9D"/>
    <w:rsid w:val="000315DC"/>
    <w:rsid w:val="000961FE"/>
    <w:rsid w:val="00175A34"/>
    <w:rsid w:val="001D2A9D"/>
    <w:rsid w:val="002E33FE"/>
    <w:rsid w:val="00674C44"/>
    <w:rsid w:val="00762010"/>
    <w:rsid w:val="00BD5F42"/>
    <w:rsid w:val="00C54FF4"/>
    <w:rsid w:val="00D9101B"/>
    <w:rsid w:val="00EB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D164"/>
  <w15:chartTrackingRefBased/>
  <w15:docId w15:val="{CDFD9ACC-E7FF-4B97-A01C-97E54789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Gyudo Lee</dc:creator>
  <cp:keywords/>
  <dc:description/>
  <cp:lastModifiedBy>Gyudo Lee</cp:lastModifiedBy>
  <cp:revision>7</cp:revision>
  <dcterms:created xsi:type="dcterms:W3CDTF">2017-08-07T04:55:00Z</dcterms:created>
  <dcterms:modified xsi:type="dcterms:W3CDTF">2017-09-05T03:40:00Z</dcterms:modified>
</cp:coreProperties>
</file>