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工作提交到tbds任务调度有问题，根据潘工所说，每个任务都是一个java进程，因此将工程打包成fat-jar放到机器上测试。</w:t>
      </w:r>
    </w:p>
    <w:p>
      <w:pPr>
        <w:bidi w:val="0"/>
      </w:pPr>
      <w:r>
        <w:drawing>
          <wp:inline distT="0" distB="0" distL="114300" distR="114300">
            <wp:extent cx="2992120" cy="740410"/>
            <wp:effectExtent l="0" t="0" r="177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499360" cy="1479550"/>
            <wp:effectExtent l="0" t="0" r="152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项目说明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配置问题：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项目中采用了xml和网页传入参数两种配置方式，网页参数会覆盖xml参数，因此本jar包对于本地环境和任务调度环境应是通用的。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Mpp-hdfs和hdfs-mpp 的功能切换仅需要按sample.xml替换conf.xml即可。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项目启动类：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任务调度中入口类需要继承tbds jar包中的类com.dfjx.diy.DataSyncRunner，非任务调度中入口为实际的做任务的类com.dfjx.diy.DataSync。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任务调度网页填写的主类com.dfjx.diy.DataSyncRunner所作的仅仅是调用了实际做任务的类，其他传参、结束等方法均从demo复制。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DataSync dataSync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DataSync();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dataSync.doWork(params);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Mpp到hdfs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diy-1.0-SNAPSHOT-jar-with-dependencies-mpptohdfs.jar com.dfjx.diy.DataSync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因为hdfs写入速度较慢，因此采用读取一批写入一批的方法。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使用自定义阻塞队列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队列满时唤醒写线程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写线程阻塞在带超时的take方法上，一次将全部数据拿走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过程分解：</w:t>
      </w:r>
    </w:p>
    <w:p>
      <w:pPr>
        <w:bidi w:val="0"/>
      </w:pPr>
      <w:r>
        <w:drawing>
          <wp:inline distT="0" distB="0" distL="114300" distR="114300">
            <wp:extent cx="3166110" cy="1161415"/>
            <wp:effectExtent l="0" t="0" r="152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22955" cy="199834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70605" cy="1866265"/>
            <wp:effectExtent l="0" t="0" r="1079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Hdfs到mpp</w:t>
      </w:r>
    </w:p>
    <w:p>
      <w:pPr>
        <w:rPr>
          <w:rFonts w:hint="eastAsia"/>
        </w:rPr>
      </w:pPr>
      <w:r>
        <w:rPr>
          <w:rFonts w:hint="eastAsia"/>
        </w:rPr>
        <w:t>java -cp diy-1.0-SNAPSHOT-jar-with-dependencies-hdfstompp.jar com.dfjx.diy.DataSync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809365" cy="11614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6040" cy="176339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7465" cy="262001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7140" cy="11093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2020-09-27T06:23:33Z</dcterms:created>
  <dc:creator>fw103</dc:creator>
  <cp:lastModifiedBy>fw103</cp:lastModifiedBy>
  <dcterms:modified xsi:type="dcterms:W3CDTF">2020-09-27T08:00:11Z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