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color w:val="000000"/>
          <w:sz w:val="16"/>
        </w:rPr>
        <w:t>MASTERCARD INNOVATION CHALLENGE 2026 · AI DEFENSE LAB FOR PAYMENT SECURITY</w:t>
      </w:r>
    </w:p>
    <w:p>
      <w:pPr>
        <w:pStyle w:val="Title"/>
      </w:pPr>
      <w:r>
        <w:rPr>
          <w:b/>
          <w:color w:val="000000"/>
          <w:sz w:val="40"/>
        </w:rPr>
        <w:t>CHAKRAVYUH</w:t>
      </w:r>
    </w:p>
    <w:p>
      <w:pPr>
        <w:spacing w:after="120"/>
      </w:pPr>
      <w:r>
        <w:rPr>
          <w:color w:val="000000"/>
          <w:sz w:val="21"/>
        </w:rPr>
        <w:t>Closed-Loop Adversarial Curriculum Learning for Payment Fraud Defense — Solution Walkthrough</w:t>
      </w:r>
    </w:p>
    <w:p>
      <w:pPr>
        <w:spacing w:after="160"/>
      </w:pPr>
      <w:r>
        <w:rPr>
          <w:color w:val="000000"/>
          <w:sz w:val="16"/>
        </w:rPr>
        <w:t>Team Chakravyuh  ·  31 August 2026  ·  Live prototype: chakravyuh-web.chatbot-sockscarving.workers.dev</w:t>
      </w:r>
    </w:p>
    <w:p>
      <w:pPr>
        <w:pStyle w:val="KickerLabel"/>
      </w:pPr>
      <w:r>
        <w:t>Contents</w:t>
      </w:r>
    </w:p>
    <w:p>
      <w:r>
        <w:fldChar w:fldCharType="begin" w:dirty="true"/>
        <w:instrText xml:space="preserve">TOC \o "1-1" \h \z \u</w:instrText>
        <w:fldChar w:fldCharType="separate"/>
        <w:t>Right-click and choose Update Field to build the table of contents.</w:t>
        <w:fldChar w:fldCharType="end"/>
      </w:r>
    </w:p>
    <w:p>
      <w:pPr>
        <w:pStyle w:val="Heading1"/>
      </w:pPr>
      <w:r>
        <w:t>Executive Summary</w:t>
      </w:r>
    </w:p>
    <w:p>
      <w:pPr>
        <w:spacing w:after="80"/>
      </w:pPr>
      <w:r>
        <w:rPr>
          <w:b w:val="0"/>
        </w:rPr>
        <w:t>Most fraud-simulation submissions invent fraud, train a model on it, and report a 0.98 AUC — circular, since the same team wrote both halves. Chakravyuh is built against that trap: attacks are derived from real payment-rail trust anchors rather than imagined; the legitimate background population is built and validated before any attack; one attack family is held out of training entirely; precision is reported at a fixed, tight false-positive rate; and the closed loop — detector misses feeding new attack generation — is measured end-to-end, including a real regression it caught and fixed during development, not just diagrammed.</w:t>
      </w:r>
    </w:p>
    <w:p>
      <w:pPr>
        <w:pStyle w:val="KickerLabel"/>
      </w:pPr>
      <w:r>
        <w:t>Headline evidence</w:t>
      </w:r>
    </w:p>
    <w:tbl>
      <w:tblPr>
        <w:tblStyle w:val="TableGrid"/>
        <w:tblW w:type="auto" w:w="0"/>
        <w:jc w:val="center"/>
        <w:tblLayout w:type="fixed"/>
        <w:tblLook w:firstColumn="1" w:firstRow="1" w:lastColumn="0" w:lastRow="0" w:noHBand="0" w:noVBand="1" w:val="04A0"/>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Pr>
      <w:tblGrid>
        <w:gridCol w:w="1871"/>
        <w:gridCol w:w="964"/>
        <w:gridCol w:w="1134"/>
        <w:gridCol w:w="1361"/>
        <w:gridCol w:w="1644"/>
        <w:gridCol w:w="1304"/>
        <w:gridCol w:w="1701"/>
      </w:tblGrid>
      <w:tr>
        <w:trPr>
          <w:tblHeader w:val="true"/>
          <w:cantSplit/>
        </w:trPr>
        <w:tc>
          <w:tcPr>
            <w:tcW w:type="dxa" w:w="1871"/>
            <w:tcMar>
              <w:top w:w="25" w:type="dxa"/>
              <w:bottom w:w="25" w:type="dxa"/>
              <w:left w:w="60" w:type="dxa"/>
              <w:right w:w="60" w:type="dxa"/>
            </w:tcMar>
            <w:vAlign w:val="center"/>
          </w:tcPr>
          <w:p>
            <w:pPr>
              <w:keepNext/>
              <w:jc w:val="left"/>
            </w:pPr>
            <w:r>
              <w:rPr>
                <w:b/>
                <w:color w:val="000000"/>
                <w:sz w:val="14"/>
              </w:rPr>
              <w:t>Attacks</w:t>
            </w:r>
          </w:p>
        </w:tc>
        <w:tc>
          <w:tcPr>
            <w:tcW w:type="dxa" w:w="964"/>
            <w:tcMar>
              <w:top w:w="25" w:type="dxa"/>
              <w:bottom w:w="25" w:type="dxa"/>
              <w:left w:w="60" w:type="dxa"/>
              <w:right w:w="60" w:type="dxa"/>
            </w:tcMar>
            <w:vAlign w:val="center"/>
          </w:tcPr>
          <w:p>
            <w:pPr>
              <w:keepNext/>
              <w:jc w:val="left"/>
            </w:pPr>
            <w:r>
              <w:rPr>
                <w:b/>
                <w:color w:val="000000"/>
                <w:sz w:val="14"/>
              </w:rPr>
              <w:t>Features</w:t>
            </w:r>
          </w:p>
        </w:tc>
        <w:tc>
          <w:tcPr>
            <w:tcW w:type="dxa" w:w="1134"/>
            <w:tcMar>
              <w:top w:w="25" w:type="dxa"/>
              <w:bottom w:w="25" w:type="dxa"/>
              <w:left w:w="60" w:type="dxa"/>
              <w:right w:w="60" w:type="dxa"/>
            </w:tcMar>
            <w:vAlign w:val="center"/>
          </w:tcPr>
          <w:p>
            <w:pPr>
              <w:keepNext/>
              <w:jc w:val="left"/>
            </w:pPr>
            <w:r>
              <w:rPr>
                <w:b/>
                <w:color w:val="000000"/>
                <w:sz w:val="14"/>
              </w:rPr>
              <w:t>Test PR-AUC</w:t>
            </w:r>
          </w:p>
        </w:tc>
        <w:tc>
          <w:tcPr>
            <w:tcW w:type="dxa" w:w="1361"/>
            <w:tcMar>
              <w:top w:w="25" w:type="dxa"/>
              <w:bottom w:w="25" w:type="dxa"/>
              <w:left w:w="60" w:type="dxa"/>
              <w:right w:w="60" w:type="dxa"/>
            </w:tcMar>
            <w:vAlign w:val="center"/>
          </w:tcPr>
          <w:p>
            <w:pPr>
              <w:keepNext/>
              <w:jc w:val="left"/>
            </w:pPr>
            <w:r>
              <w:rPr>
                <w:b/>
                <w:color w:val="000000"/>
                <w:sz w:val="14"/>
              </w:rPr>
              <w:t>Held-out recall</w:t>
            </w:r>
          </w:p>
        </w:tc>
        <w:tc>
          <w:tcPr>
            <w:tcW w:type="dxa" w:w="1644"/>
            <w:tcMar>
              <w:top w:w="25" w:type="dxa"/>
              <w:bottom w:w="25" w:type="dxa"/>
              <w:left w:w="60" w:type="dxa"/>
              <w:right w:w="60" w:type="dxa"/>
            </w:tcMar>
            <w:vAlign w:val="center"/>
          </w:tcPr>
          <w:p>
            <w:pPr>
              <w:keepNext/>
              <w:jc w:val="left"/>
            </w:pPr>
            <w:r>
              <w:rPr>
                <w:b/>
                <w:color w:val="000000"/>
                <w:sz w:val="14"/>
              </w:rPr>
              <w:t>Cross-gen evasion</w:t>
            </w:r>
          </w:p>
        </w:tc>
        <w:tc>
          <w:tcPr>
            <w:tcW w:type="dxa" w:w="1304"/>
            <w:tcMar>
              <w:top w:w="25" w:type="dxa"/>
              <w:bottom w:w="25" w:type="dxa"/>
              <w:left w:w="60" w:type="dxa"/>
              <w:right w:w="60" w:type="dxa"/>
            </w:tcMar>
            <w:vAlign w:val="center"/>
          </w:tcPr>
          <w:p>
            <w:pPr>
              <w:keepNext/>
              <w:jc w:val="left"/>
            </w:pPr>
            <w:r>
              <w:rPr>
                <w:b/>
                <w:color w:val="000000"/>
                <w:sz w:val="14"/>
              </w:rPr>
              <w:t>p99 latency</w:t>
            </w:r>
          </w:p>
        </w:tc>
        <w:tc>
          <w:tcPr>
            <w:tcW w:type="dxa" w:w="1701"/>
            <w:tcMar>
              <w:top w:w="25" w:type="dxa"/>
              <w:bottom w:w="25" w:type="dxa"/>
              <w:left w:w="60" w:type="dxa"/>
              <w:right w:w="60" w:type="dxa"/>
            </w:tcMar>
            <w:vAlign w:val="center"/>
          </w:tcPr>
          <w:p>
            <w:pPr>
              <w:keepNext/>
              <w:jc w:val="left"/>
            </w:pPr>
            <w:r>
              <w:rPr>
                <w:b/>
                <w:color w:val="000000"/>
                <w:sz w:val="14"/>
              </w:rPr>
              <w:t>Lookalike gap</w:t>
            </w:r>
          </w:p>
        </w:tc>
      </w:tr>
      <w:tr>
        <w:trPr>
          <w:cantSplit/>
        </w:trPr>
        <w:tc>
          <w:tcPr>
            <w:tcW w:type="dxa" w:w="1871"/>
            <w:tcMar>
              <w:top w:w="25" w:type="dxa"/>
              <w:bottom w:w="25" w:type="dxa"/>
              <w:left w:w="60" w:type="dxa"/>
              <w:right w:w="60" w:type="dxa"/>
            </w:tcMar>
            <w:vAlign w:val="center"/>
          </w:tcPr>
          <w:p>
            <w:pPr>
              <w:keepNext/>
              <w:jc w:val="left"/>
            </w:pPr>
            <w:r>
              <w:rPr>
                <w:color w:val="000000"/>
                <w:sz w:val="14"/>
              </w:rPr>
              <w:t>16 families (58 catalogue entries)</w:t>
            </w:r>
          </w:p>
        </w:tc>
        <w:tc>
          <w:tcPr>
            <w:tcW w:type="dxa" w:w="964"/>
            <w:tcMar>
              <w:top w:w="25" w:type="dxa"/>
              <w:bottom w:w="25" w:type="dxa"/>
              <w:left w:w="60" w:type="dxa"/>
              <w:right w:w="60" w:type="dxa"/>
            </w:tcMar>
            <w:vAlign w:val="center"/>
          </w:tcPr>
          <w:p>
            <w:pPr>
              <w:keepNext/>
              <w:jc w:val="left"/>
            </w:pPr>
            <w:r>
              <w:rPr>
                <w:color w:val="000000"/>
                <w:sz w:val="14"/>
              </w:rPr>
              <w:t>81</w:t>
            </w:r>
          </w:p>
        </w:tc>
        <w:tc>
          <w:tcPr>
            <w:tcW w:type="dxa" w:w="1134"/>
            <w:tcMar>
              <w:top w:w="25" w:type="dxa"/>
              <w:bottom w:w="25" w:type="dxa"/>
              <w:left w:w="60" w:type="dxa"/>
              <w:right w:w="60" w:type="dxa"/>
            </w:tcMar>
            <w:vAlign w:val="center"/>
          </w:tcPr>
          <w:p>
            <w:pPr>
              <w:keepNext/>
              <w:jc w:val="left"/>
            </w:pPr>
            <w:r>
              <w:rPr>
                <w:color w:val="000000"/>
                <w:sz w:val="14"/>
              </w:rPr>
              <w:t>0.9987</w:t>
            </w:r>
          </w:p>
        </w:tc>
        <w:tc>
          <w:tcPr>
            <w:tcW w:type="dxa" w:w="1361"/>
            <w:tcMar>
              <w:top w:w="25" w:type="dxa"/>
              <w:bottom w:w="25" w:type="dxa"/>
              <w:left w:w="60" w:type="dxa"/>
              <w:right w:w="60" w:type="dxa"/>
            </w:tcMar>
            <w:vAlign w:val="center"/>
          </w:tcPr>
          <w:p>
            <w:pPr>
              <w:keepNext/>
              <w:jc w:val="left"/>
            </w:pPr>
            <w:r>
              <w:rPr>
                <w:color w:val="000000"/>
                <w:sz w:val="14"/>
              </w:rPr>
              <w:t>100% (609/609)</w:t>
            </w:r>
          </w:p>
        </w:tc>
        <w:tc>
          <w:tcPr>
            <w:tcW w:type="dxa" w:w="1644"/>
            <w:tcMar>
              <w:top w:w="25" w:type="dxa"/>
              <w:bottom w:w="25" w:type="dxa"/>
              <w:left w:w="60" w:type="dxa"/>
              <w:right w:w="60" w:type="dxa"/>
            </w:tcMar>
            <w:vAlign w:val="center"/>
          </w:tcPr>
          <w:p>
            <w:pPr>
              <w:keepNext/>
              <w:jc w:val="left"/>
            </w:pPr>
            <w:r>
              <w:rPr>
                <w:color w:val="000000"/>
                <w:sz w:val="14"/>
              </w:rPr>
              <w:t>&lt;1%, all 3 generations</w:t>
            </w:r>
          </w:p>
        </w:tc>
        <w:tc>
          <w:tcPr>
            <w:tcW w:type="dxa" w:w="1304"/>
            <w:tcMar>
              <w:top w:w="25" w:type="dxa"/>
              <w:bottom w:w="25" w:type="dxa"/>
              <w:left w:w="60" w:type="dxa"/>
              <w:right w:w="60" w:type="dxa"/>
            </w:tcMar>
            <w:vAlign w:val="center"/>
          </w:tcPr>
          <w:p>
            <w:pPr>
              <w:keepNext/>
              <w:jc w:val="left"/>
            </w:pPr>
            <w:r>
              <w:rPr>
                <w:color w:val="000000"/>
                <w:sz w:val="14"/>
              </w:rPr>
              <w:t>&lt;2ms, CPU-only</w:t>
            </w:r>
          </w:p>
        </w:tc>
        <w:tc>
          <w:tcPr>
            <w:tcW w:type="dxa" w:w="1701"/>
            <w:tcMar>
              <w:top w:w="25" w:type="dxa"/>
              <w:bottom w:w="25" w:type="dxa"/>
              <w:left w:w="60" w:type="dxa"/>
              <w:right w:w="60" w:type="dxa"/>
            </w:tcMar>
            <w:vAlign w:val="center"/>
          </w:tcPr>
          <w:p>
            <w:pPr>
              <w:keepNext/>
              <w:jc w:val="left"/>
            </w:pPr>
            <w:r>
              <w:rPr>
                <w:color w:val="000000"/>
                <w:sz w:val="14"/>
              </w:rPr>
              <w:t>2.12× (target 1.0×, open)</w:t>
            </w:r>
          </w:p>
        </w:tc>
      </w:tr>
    </w:tbl>
    <w:p>
      <w:pPr>
        <w:keepNext/>
        <w:spacing w:after="20"/>
      </w:pPr>
    </w:p>
    <w:p>
      <w:pPr>
        <w:pStyle w:val="Heading1"/>
      </w:pPr>
      <w:r>
        <w:t>1. Problem &amp; Motivation</w:t>
      </w:r>
    </w:p>
    <w:p>
      <w:pPr>
        <w:spacing w:after="80"/>
      </w:pPr>
      <w:r>
        <w:rPr>
          <w:b w:val="0"/>
        </w:rPr>
        <w:t>GenAI doesn't create new payment rails to attack — it makes the human-facing step of existing attacks near-free: cloned voices from 3–10s of audio, personalised scam scripts at scale, synthetic KYC/KYB documents in minutes. Rating every UPI trust anchor on a four-level ladder (V3 cryptographic, V2 probabilistic/ML-scored, V1 self-asserted, V0 unverified) surfaced the finding that shapes this whole system: the UPI PIN proves someone who knew it pressed the keys on the bound device — it proves nothing about whether they understood what they were authorising. Every major Indian scam pattern (digital arrest, KYC expiry, romance, job-task) converges on exactly this gap: a V3 mechanism sitting on a V0 inference. This is why the system is framed as intent detection, not anomaly detection, and why the schema (Section 4) carries session/coercion fields (time_on_confirm_screen_s, screen_share_active, call_active_during_txn) a normal transaction table omits.</w:t>
      </w:r>
    </w:p>
    <w:p>
      <w:pPr>
        <w:pStyle w:val="ListBullet"/>
      </w:pPr>
      <w:r>
        <w:t>UPI credits are irreversible — no chargeback exists — so detection must be pre-authorisation, sub-second, a control rather than a reporting tool.</w:t>
      </w:r>
    </w:p>
    <w:p>
      <w:pPr>
        <w:pStyle w:val="ListBullet"/>
      </w:pPr>
      <w:r>
        <w:t>Authorised-but-deceived payments sit outside India's zero-liability framework (which covers only unauthorised transactions) — a real structural gap, and part of why little economic pressure already exists to solve it.</w:t>
      </w:r>
    </w:p>
    <w:p>
      <w:pPr>
        <w:spacing w:after="80"/>
      </w:pPr>
      <w:r>
        <w:rPr>
          <w:b w:val="0"/>
        </w:rPr>
        <w:t>A linear model can weight screen_share_active, call_active_during_txn and beneficiary_first_time independently but can't combine them into the interaction that signals coercion — confirmed empirically in Section 6 by the wide PR-AUC gap between Logistic Regression and tree models on the same features.</w:t>
      </w:r>
    </w:p>
    <w:p>
      <w:pPr>
        <w:pStyle w:val="Heading1"/>
      </w:pPr>
      <w:r>
        <w:t>2. System Overview</w:t>
      </w:r>
    </w:p>
    <w:p>
      <w:pPr>
        <w:spacing w:after="80"/>
      </w:pPr>
      <w:r>
        <w:rPr>
          <w:b w:val="0"/>
        </w:rPr>
        <w:t>Three pillars share one canonical data contract, plus a feedback path that closes the loop between them: src/ (Identify + Generate), stage5/ (Defend + closed loop), web/ (prototype).</w:t>
      </w:r>
    </w:p>
    <w:tbl>
      <w:tblPr>
        <w:tblStyle w:val="TableGrid"/>
        <w:tblW w:type="auto" w:w="0"/>
        <w:jc w:val="center"/>
        <w:tblLayout w:type="fixed"/>
        <w:tblLook w:firstColumn="1" w:firstRow="1" w:lastColumn="0" w:lastRow="0" w:noHBand="0" w:noVBand="1" w:val="04A0"/>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Pr>
      <w:tblGrid>
        <w:gridCol w:w="340"/>
        <w:gridCol w:w="1701"/>
        <w:gridCol w:w="7880"/>
      </w:tblGrid>
      <w:tr>
        <w:trPr>
          <w:tblHeader w:val="true"/>
          <w:cantSplit/>
        </w:trPr>
        <w:tc>
          <w:tcPr>
            <w:tcW w:type="dxa" w:w="340"/>
            <w:tcMar>
              <w:top w:w="25" w:type="dxa"/>
              <w:bottom w:w="25" w:type="dxa"/>
              <w:left w:w="60" w:type="dxa"/>
              <w:right w:w="60" w:type="dxa"/>
            </w:tcMar>
            <w:vAlign w:val="center"/>
          </w:tcPr>
          <w:p>
            <w:pPr>
              <w:jc w:val="left"/>
            </w:pPr>
            <w:r>
              <w:rPr>
                <w:b/>
                <w:color w:val="000000"/>
                <w:sz w:val="15"/>
              </w:rPr>
              <w:t>#</w:t>
            </w:r>
          </w:p>
        </w:tc>
        <w:tc>
          <w:tcPr>
            <w:tcW w:type="dxa" w:w="1701"/>
            <w:tcMar>
              <w:top w:w="25" w:type="dxa"/>
              <w:bottom w:w="25" w:type="dxa"/>
              <w:left w:w="60" w:type="dxa"/>
              <w:right w:w="60" w:type="dxa"/>
            </w:tcMar>
            <w:vAlign w:val="center"/>
          </w:tcPr>
          <w:p>
            <w:pPr>
              <w:jc w:val="left"/>
            </w:pPr>
            <w:r>
              <w:rPr>
                <w:b/>
                <w:color w:val="000000"/>
                <w:sz w:val="15"/>
              </w:rPr>
              <w:t>Stage</w:t>
            </w:r>
          </w:p>
        </w:tc>
        <w:tc>
          <w:tcPr>
            <w:tcW w:type="dxa" w:w="7880"/>
            <w:tcMar>
              <w:top w:w="25" w:type="dxa"/>
              <w:bottom w:w="25" w:type="dxa"/>
              <w:left w:w="60" w:type="dxa"/>
              <w:right w:w="60" w:type="dxa"/>
            </w:tcMar>
            <w:vAlign w:val="center"/>
          </w:tcPr>
          <w:p>
            <w:pPr>
              <w:jc w:val="left"/>
            </w:pPr>
            <w:r>
              <w:rPr>
                <w:b/>
                <w:color w:val="000000"/>
                <w:sz w:val="15"/>
              </w:rPr>
              <w:t>What happens</w:t>
            </w:r>
          </w:p>
        </w:tc>
      </w:tr>
      <w:tr>
        <w:trPr>
          <w:cantSplit/>
        </w:trPr>
        <w:tc>
          <w:tcPr>
            <w:tcW w:type="dxa" w:w="340"/>
            <w:tcMar>
              <w:top w:w="25" w:type="dxa"/>
              <w:bottom w:w="25" w:type="dxa"/>
              <w:left w:w="60" w:type="dxa"/>
              <w:right w:w="60" w:type="dxa"/>
            </w:tcMar>
            <w:vAlign w:val="center"/>
          </w:tcPr>
          <w:p>
            <w:pPr>
              <w:jc w:val="left"/>
            </w:pPr>
            <w:r>
              <w:rPr>
                <w:color w:val="000000"/>
                <w:sz w:val="15"/>
              </w:rPr>
              <w:t>1</w:t>
            </w:r>
          </w:p>
        </w:tc>
        <w:tc>
          <w:tcPr>
            <w:tcW w:type="dxa" w:w="1701"/>
            <w:tcMar>
              <w:top w:w="25" w:type="dxa"/>
              <w:bottom w:w="25" w:type="dxa"/>
              <w:left w:w="60" w:type="dxa"/>
              <w:right w:w="60" w:type="dxa"/>
            </w:tcMar>
            <w:vAlign w:val="center"/>
          </w:tcPr>
          <w:p>
            <w:pPr>
              <w:jc w:val="left"/>
            </w:pPr>
            <w:r>
              <w:rPr>
                <w:color w:val="000000"/>
                <w:sz w:val="15"/>
              </w:rPr>
              <w:t>Identify</w:t>
            </w:r>
          </w:p>
        </w:tc>
        <w:tc>
          <w:tcPr>
            <w:tcW w:type="dxa" w:w="7880"/>
            <w:tcMar>
              <w:top w:w="25" w:type="dxa"/>
              <w:bottom w:w="25" w:type="dxa"/>
              <w:left w:w="60" w:type="dxa"/>
              <w:right w:w="60" w:type="dxa"/>
            </w:tcMar>
            <w:vAlign w:val="center"/>
          </w:tcPr>
          <w:p>
            <w:pPr>
              <w:jc w:val="left"/>
            </w:pPr>
            <w:r>
              <w:rPr>
                <w:color w:val="000000"/>
                <w:sz w:val="15"/>
              </w:rPr>
              <w:t>Trust-map derivation across 5 rail phases → 58 catalogue entries → 16 code-implemented generator families.</w:t>
            </w:r>
          </w:p>
        </w:tc>
      </w:tr>
      <w:tr>
        <w:trPr>
          <w:cantSplit/>
        </w:trPr>
        <w:tc>
          <w:tcPr>
            <w:tcW w:type="dxa" w:w="340"/>
            <w:tcMar>
              <w:top w:w="25" w:type="dxa"/>
              <w:bottom w:w="25" w:type="dxa"/>
              <w:left w:w="60" w:type="dxa"/>
              <w:right w:w="60" w:type="dxa"/>
            </w:tcMar>
            <w:shd w:val="clear" w:color="auto" w:fill="FFFFFF"/>
            <w:vAlign w:val="center"/>
          </w:tcPr>
          <w:p>
            <w:pPr>
              <w:jc w:val="left"/>
            </w:pPr>
            <w:r>
              <w:rPr>
                <w:color w:val="000000"/>
                <w:sz w:val="15"/>
              </w:rPr>
              <w:t>2</w:t>
            </w:r>
          </w:p>
        </w:tc>
        <w:tc>
          <w:tcPr>
            <w:tcW w:type="dxa" w:w="1701"/>
            <w:tcMar>
              <w:top w:w="25" w:type="dxa"/>
              <w:bottom w:w="25" w:type="dxa"/>
              <w:left w:w="60" w:type="dxa"/>
              <w:right w:w="60" w:type="dxa"/>
            </w:tcMar>
            <w:shd w:val="clear" w:color="auto" w:fill="FFFFFF"/>
            <w:vAlign w:val="center"/>
          </w:tcPr>
          <w:p>
            <w:pPr>
              <w:jc w:val="left"/>
            </w:pPr>
            <w:r>
              <w:rPr>
                <w:color w:val="000000"/>
                <w:sz w:val="15"/>
              </w:rPr>
              <w:t>Generate (base)</w:t>
            </w:r>
          </w:p>
        </w:tc>
        <w:tc>
          <w:tcPr>
            <w:tcW w:type="dxa" w:w="7880"/>
            <w:tcMar>
              <w:top w:w="25" w:type="dxa"/>
              <w:bottom w:w="25" w:type="dxa"/>
              <w:left w:w="60" w:type="dxa"/>
              <w:right w:w="60" w:type="dxa"/>
            </w:tcMar>
            <w:shd w:val="clear" w:color="auto" w:fill="FFFFFF"/>
            <w:vAlign w:val="center"/>
          </w:tcPr>
          <w:p>
            <w:pPr>
              <w:jc w:val="left"/>
            </w:pPr>
            <w:r>
              <w:rPr>
                <w:color w:val="000000"/>
                <w:sz w:val="15"/>
              </w:rPr>
              <w:t>Legitimate parties/devices/merchants and calibrated background traffic, validated before any attack exists.</w:t>
            </w:r>
          </w:p>
        </w:tc>
      </w:tr>
      <w:tr>
        <w:trPr>
          <w:cantSplit/>
        </w:trPr>
        <w:tc>
          <w:tcPr>
            <w:tcW w:type="dxa" w:w="340"/>
            <w:tcMar>
              <w:top w:w="25" w:type="dxa"/>
              <w:bottom w:w="25" w:type="dxa"/>
              <w:left w:w="60" w:type="dxa"/>
              <w:right w:w="60" w:type="dxa"/>
            </w:tcMar>
            <w:vAlign w:val="center"/>
          </w:tcPr>
          <w:p>
            <w:pPr>
              <w:jc w:val="left"/>
            </w:pPr>
            <w:r>
              <w:rPr>
                <w:color w:val="000000"/>
                <w:sz w:val="15"/>
              </w:rPr>
              <w:t>3</w:t>
            </w:r>
          </w:p>
        </w:tc>
        <w:tc>
          <w:tcPr>
            <w:tcW w:type="dxa" w:w="1701"/>
            <w:tcMar>
              <w:top w:w="25" w:type="dxa"/>
              <w:bottom w:w="25" w:type="dxa"/>
              <w:left w:w="60" w:type="dxa"/>
              <w:right w:w="60" w:type="dxa"/>
            </w:tcMar>
            <w:vAlign w:val="center"/>
          </w:tcPr>
          <w:p>
            <w:pPr>
              <w:jc w:val="left"/>
            </w:pPr>
            <w:r>
              <w:rPr>
                <w:color w:val="000000"/>
                <w:sz w:val="15"/>
              </w:rPr>
              <w:t>Generate (attack)</w:t>
            </w:r>
          </w:p>
        </w:tc>
        <w:tc>
          <w:tcPr>
            <w:tcW w:type="dxa" w:w="7880"/>
            <w:tcMar>
              <w:top w:w="25" w:type="dxa"/>
              <w:bottom w:w="25" w:type="dxa"/>
              <w:left w:w="60" w:type="dxa"/>
              <w:right w:w="60" w:type="dxa"/>
            </w:tcMar>
            <w:vAlign w:val="center"/>
          </w:tcPr>
          <w:p>
            <w:pPr>
              <w:jc w:val="left"/>
            </w:pPr>
            <w:r>
              <w:rPr>
                <w:color w:val="000000"/>
                <w:sz w:val="15"/>
              </w:rPr>
              <w:t>16 generators inject labelled fraud campaigns + matched legitimate lookalikes into the same schema.</w:t>
            </w:r>
          </w:p>
        </w:tc>
      </w:tr>
      <w:tr>
        <w:trPr>
          <w:cantSplit/>
        </w:trPr>
        <w:tc>
          <w:tcPr>
            <w:tcW w:type="dxa" w:w="340"/>
            <w:tcMar>
              <w:top w:w="25" w:type="dxa"/>
              <w:bottom w:w="25" w:type="dxa"/>
              <w:left w:w="60" w:type="dxa"/>
              <w:right w:w="60" w:type="dxa"/>
            </w:tcMar>
            <w:shd w:val="clear" w:color="auto" w:fill="FFFFFF"/>
            <w:vAlign w:val="center"/>
          </w:tcPr>
          <w:p>
            <w:pPr>
              <w:jc w:val="left"/>
            </w:pPr>
            <w:r>
              <w:rPr>
                <w:color w:val="000000"/>
                <w:sz w:val="15"/>
              </w:rPr>
              <w:t>4</w:t>
            </w:r>
          </w:p>
        </w:tc>
        <w:tc>
          <w:tcPr>
            <w:tcW w:type="dxa" w:w="1701"/>
            <w:tcMar>
              <w:top w:w="25" w:type="dxa"/>
              <w:bottom w:w="25" w:type="dxa"/>
              <w:left w:w="60" w:type="dxa"/>
              <w:right w:w="60" w:type="dxa"/>
            </w:tcMar>
            <w:shd w:val="clear" w:color="auto" w:fill="FFFFFF"/>
            <w:vAlign w:val="center"/>
          </w:tcPr>
          <w:p>
            <w:pPr>
              <w:jc w:val="left"/>
            </w:pPr>
            <w:r>
              <w:rPr>
                <w:color w:val="000000"/>
                <w:sz w:val="15"/>
              </w:rPr>
              <w:t>Feature engineering</w:t>
            </w:r>
          </w:p>
        </w:tc>
        <w:tc>
          <w:tcPr>
            <w:tcW w:type="dxa" w:w="7880"/>
            <w:tcMar>
              <w:top w:w="25" w:type="dxa"/>
              <w:bottom w:w="25" w:type="dxa"/>
              <w:left w:w="60" w:type="dxa"/>
              <w:right w:w="60" w:type="dxa"/>
            </w:tcMar>
            <w:shd w:val="clear" w:color="auto" w:fill="FFFFFF"/>
            <w:vAlign w:val="center"/>
          </w:tcPr>
          <w:p>
            <w:pPr>
              <w:jc w:val="left"/>
            </w:pPr>
            <w:r>
              <w:rPr>
                <w:color w:val="000000"/>
                <w:sz w:val="15"/>
              </w:rPr>
              <w:t>81 features (categorical/numerical/boolean/behavioural/graph), temporal 60/20/20 split.</w:t>
            </w:r>
          </w:p>
        </w:tc>
      </w:tr>
      <w:tr>
        <w:trPr>
          <w:cantSplit/>
        </w:trPr>
        <w:tc>
          <w:tcPr>
            <w:tcW w:type="dxa" w:w="340"/>
            <w:tcMar>
              <w:top w:w="25" w:type="dxa"/>
              <w:bottom w:w="25" w:type="dxa"/>
              <w:left w:w="60" w:type="dxa"/>
              <w:right w:w="60" w:type="dxa"/>
            </w:tcMar>
            <w:vAlign w:val="center"/>
          </w:tcPr>
          <w:p>
            <w:pPr>
              <w:jc w:val="left"/>
            </w:pPr>
            <w:r>
              <w:rPr>
                <w:color w:val="000000"/>
                <w:sz w:val="15"/>
              </w:rPr>
              <w:t>5</w:t>
            </w:r>
          </w:p>
        </w:tc>
        <w:tc>
          <w:tcPr>
            <w:tcW w:type="dxa" w:w="1701"/>
            <w:tcMar>
              <w:top w:w="25" w:type="dxa"/>
              <w:bottom w:w="25" w:type="dxa"/>
              <w:left w:w="60" w:type="dxa"/>
              <w:right w:w="60" w:type="dxa"/>
            </w:tcMar>
            <w:vAlign w:val="center"/>
          </w:tcPr>
          <w:p>
            <w:pPr>
              <w:jc w:val="left"/>
            </w:pPr>
            <w:r>
              <w:rPr>
                <w:color w:val="000000"/>
                <w:sz w:val="15"/>
              </w:rPr>
              <w:t>Defend</w:t>
            </w:r>
          </w:p>
        </w:tc>
        <w:tc>
          <w:tcPr>
            <w:tcW w:type="dxa" w:w="7880"/>
            <w:tcMar>
              <w:top w:w="25" w:type="dxa"/>
              <w:bottom w:w="25" w:type="dxa"/>
              <w:left w:w="60" w:type="dxa"/>
              <w:right w:w="60" w:type="dxa"/>
            </w:tcMar>
            <w:vAlign w:val="center"/>
          </w:tcPr>
          <w:p>
            <w:pPr>
              <w:jc w:val="left"/>
            </w:pPr>
            <w:r>
              <w:rPr>
                <w:color w:val="000000"/>
                <w:sz w:val="15"/>
              </w:rPr>
              <w:t>XGBoost (150 trees, depth 6), evaluated at fixed 0.1%/1% FPR against LR/RF baselines.</w:t>
            </w:r>
          </w:p>
        </w:tc>
      </w:tr>
      <w:tr>
        <w:trPr>
          <w:cantSplit/>
        </w:trPr>
        <w:tc>
          <w:tcPr>
            <w:tcW w:type="dxa" w:w="340"/>
            <w:tcMar>
              <w:top w:w="25" w:type="dxa"/>
              <w:bottom w:w="25" w:type="dxa"/>
              <w:left w:w="60" w:type="dxa"/>
              <w:right w:w="60" w:type="dxa"/>
            </w:tcMar>
            <w:shd w:val="clear" w:color="auto" w:fill="FFFFFF"/>
            <w:vAlign w:val="center"/>
          </w:tcPr>
          <w:p>
            <w:pPr>
              <w:jc w:val="left"/>
            </w:pPr>
            <w:r>
              <w:rPr>
                <w:color w:val="000000"/>
                <w:sz w:val="15"/>
              </w:rPr>
              <w:t>6</w:t>
            </w:r>
          </w:p>
        </w:tc>
        <w:tc>
          <w:tcPr>
            <w:tcW w:type="dxa" w:w="1701"/>
            <w:tcMar>
              <w:top w:w="25" w:type="dxa"/>
              <w:bottom w:w="25" w:type="dxa"/>
              <w:left w:w="60" w:type="dxa"/>
              <w:right w:w="60" w:type="dxa"/>
            </w:tcMar>
            <w:shd w:val="clear" w:color="auto" w:fill="FFFFFF"/>
            <w:vAlign w:val="center"/>
          </w:tcPr>
          <w:p>
            <w:pPr>
              <w:jc w:val="left"/>
            </w:pPr>
            <w:r>
              <w:rPr>
                <w:color w:val="000000"/>
                <w:sz w:val="15"/>
              </w:rPr>
              <w:t>Explain &amp; mitigate</w:t>
            </w:r>
          </w:p>
        </w:tc>
        <w:tc>
          <w:tcPr>
            <w:tcW w:type="dxa" w:w="7880"/>
            <w:tcMar>
              <w:top w:w="25" w:type="dxa"/>
              <w:bottom w:w="25" w:type="dxa"/>
              <w:left w:w="60" w:type="dxa"/>
              <w:right w:w="60" w:type="dxa"/>
            </w:tcMar>
            <w:shd w:val="clear" w:color="auto" w:fill="FFFFFF"/>
            <w:vAlign w:val="center"/>
          </w:tcPr>
          <w:p>
            <w:pPr>
              <w:jc w:val="left"/>
            </w:pPr>
            <w:r>
              <w:rPr>
                <w:color w:val="000000"/>
                <w:sz w:val="15"/>
              </w:rPr>
              <w:t>SHAP attribution per transaction; optional GenAI analyst narrative, template fallback.</w:t>
            </w:r>
          </w:p>
        </w:tc>
      </w:tr>
      <w:tr>
        <w:trPr>
          <w:cantSplit/>
        </w:trPr>
        <w:tc>
          <w:tcPr>
            <w:tcW w:type="dxa" w:w="340"/>
            <w:tcMar>
              <w:top w:w="25" w:type="dxa"/>
              <w:bottom w:w="25" w:type="dxa"/>
              <w:left w:w="60" w:type="dxa"/>
              <w:right w:w="60" w:type="dxa"/>
            </w:tcMar>
            <w:vAlign w:val="center"/>
          </w:tcPr>
          <w:p>
            <w:pPr>
              <w:jc w:val="left"/>
            </w:pPr>
            <w:r>
              <w:rPr>
                <w:color w:val="000000"/>
                <w:sz w:val="15"/>
              </w:rPr>
              <w:t>7</w:t>
            </w:r>
          </w:p>
        </w:tc>
        <w:tc>
          <w:tcPr>
            <w:tcW w:type="dxa" w:w="1701"/>
            <w:tcMar>
              <w:top w:w="25" w:type="dxa"/>
              <w:bottom w:w="25" w:type="dxa"/>
              <w:left w:w="60" w:type="dxa"/>
              <w:right w:w="60" w:type="dxa"/>
            </w:tcMar>
            <w:vAlign w:val="center"/>
          </w:tcPr>
          <w:p>
            <w:pPr>
              <w:jc w:val="left"/>
            </w:pPr>
            <w:r>
              <w:rPr>
                <w:color w:val="000000"/>
                <w:sz w:val="15"/>
              </w:rPr>
              <w:t>Evaluate</w:t>
            </w:r>
          </w:p>
        </w:tc>
        <w:tc>
          <w:tcPr>
            <w:tcW w:type="dxa" w:w="7880"/>
            <w:tcMar>
              <w:top w:w="25" w:type="dxa"/>
              <w:bottom w:w="25" w:type="dxa"/>
              <w:left w:w="60" w:type="dxa"/>
              <w:right w:w="60" w:type="dxa"/>
            </w:tcMar>
            <w:vAlign w:val="center"/>
          </w:tcPr>
          <w:p>
            <w:pPr>
              <w:jc w:val="left"/>
            </w:pPr>
            <w:r>
              <w:rPr>
                <w:color w:val="000000"/>
                <w:sz w:val="15"/>
              </w:rPr>
              <w:t>Cross-generation regression testing, held-out-family generalisation, lookalike-fidelity check.</w:t>
            </w:r>
          </w:p>
        </w:tc>
      </w:tr>
      <w:tr>
        <w:trPr>
          <w:cantSplit/>
        </w:trPr>
        <w:tc>
          <w:tcPr>
            <w:tcW w:type="dxa" w:w="340"/>
            <w:tcMar>
              <w:top w:w="25" w:type="dxa"/>
              <w:bottom w:w="25" w:type="dxa"/>
              <w:left w:w="60" w:type="dxa"/>
              <w:right w:w="60" w:type="dxa"/>
            </w:tcMar>
            <w:shd w:val="clear" w:color="auto" w:fill="FFFFFF"/>
            <w:vAlign w:val="center"/>
          </w:tcPr>
          <w:p>
            <w:pPr>
              <w:keepNext/>
              <w:jc w:val="left"/>
            </w:pPr>
            <w:r>
              <w:rPr>
                <w:color w:val="000000"/>
                <w:sz w:val="15"/>
              </w:rPr>
              <w:t>8</w:t>
            </w:r>
          </w:p>
        </w:tc>
        <w:tc>
          <w:tcPr>
            <w:tcW w:type="dxa" w:w="1701"/>
            <w:tcMar>
              <w:top w:w="25" w:type="dxa"/>
              <w:bottom w:w="25" w:type="dxa"/>
              <w:left w:w="60" w:type="dxa"/>
              <w:right w:w="60" w:type="dxa"/>
            </w:tcMar>
            <w:shd w:val="clear" w:color="auto" w:fill="FFFFFF"/>
            <w:vAlign w:val="center"/>
          </w:tcPr>
          <w:p>
            <w:pPr>
              <w:keepNext/>
              <w:jc w:val="left"/>
            </w:pPr>
            <w:r>
              <w:rPr>
                <w:color w:val="000000"/>
                <w:sz w:val="15"/>
              </w:rPr>
              <w:t>Feedback</w:t>
            </w:r>
          </w:p>
        </w:tc>
        <w:tc>
          <w:tcPr>
            <w:tcW w:type="dxa" w:w="7880"/>
            <w:tcMar>
              <w:top w:w="25" w:type="dxa"/>
              <w:bottom w:w="25" w:type="dxa"/>
              <w:left w:w="60" w:type="dxa"/>
              <w:right w:w="60" w:type="dxa"/>
            </w:tcMar>
            <w:shd w:val="clear" w:color="auto" w:fill="FFFFFF"/>
            <w:vAlign w:val="center"/>
          </w:tcPr>
          <w:p>
            <w:pPr>
              <w:keepNext/>
              <w:jc w:val="left"/>
            </w:pPr>
            <w:r>
              <w:rPr>
                <w:color w:val="000000"/>
                <w:sz w:val="15"/>
              </w:rPr>
              <w:t>Deployed model's feature_importances_ auto-reconfigure the attack generator; Gen 3→4→5 curriculum retrains.</w:t>
            </w:r>
          </w:p>
        </w:tc>
      </w:tr>
    </w:tbl>
    <w:p>
      <w:pPr>
        <w:keepNext/>
        <w:spacing w:after="20"/>
      </w:pPr>
    </w:p>
    <w:p>
      <w:pPr>
        <w:pStyle w:val="Caption"/>
      </w:pPr>
      <w:r>
        <w:t>Deployed as two Cloudflare Workers: a Next.js portal, and a Worker proxying a Container running the FastAPI/XGBoost backend (Pyodide can't run XGBoost's C extensions).</w:t>
      </w:r>
    </w:p>
    <w:p>
      <w:pPr>
        <w:pStyle w:val="Heading1"/>
      </w:pPr>
      <w:r>
        <w:t>3. Identify: Attack Intelligence Layer</w:t>
      </w:r>
    </w:p>
    <w:p>
      <w:pPr>
        <w:spacing w:after="80"/>
      </w:pPr>
      <w:r>
        <w:rPr>
          <w:b w:val="0"/>
        </w:rPr>
        <w:t>Derived, not brainstormed: (1) decompose each rail into lifecycle phases (initiate→authenticate→authorise→settle→dispute); (2) map who trusts whom, on what assumption; (3) break each trust anchor — human manipulated? check foolable/floodable/probable? what did GenAI just make cheap?; (4) replay every flow per actor (outsider, deceived customer, fraudulent/compromised merchant, insider, AI agent, coordinated network); (5) invert — find attacks that keep every conventional signal normal (this is where novelty lives). The raw pass produced 58 catalogue entries across card/UPI/IMPS-NEFT-RTGS/wallets/BNPL; entries sharing an identical data signature (e.g. digital-arrest, KYC-expiry and romance scams all show genuine device + correct PIN + new beneficiary + coercion fields) collapse into one generator with a pretext parameter, keeping all rows for the diversity count but one implementation per signature. Three more families were added from documented mechanisms rather than a catalogue entry. Final count: 16 code-implemented generators, each emitting its own labelled campaign plus a matched legit_lookalike population.</w:t>
      </w:r>
    </w:p>
    <w:p>
      <w:pPr>
        <w:pStyle w:val="KickerLabel"/>
      </w:pPr>
      <w:r>
        <w:t>16 attack-generator families (src/attacks/generators.py)</w:t>
      </w:r>
    </w:p>
    <w:tbl>
      <w:tblPr>
        <w:tblStyle w:val="TableGrid"/>
        <w:tblW w:type="auto" w:w="0"/>
        <w:jc w:val="center"/>
        <w:tblLayout w:type="fixed"/>
        <w:tblLook w:firstColumn="1" w:firstRow="1" w:lastColumn="0" w:lastRow="0" w:noHBand="0" w:noVBand="1" w:val="04A0"/>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Pr>
      <w:tblGrid>
        <w:gridCol w:w="2041"/>
        <w:gridCol w:w="1020"/>
        <w:gridCol w:w="3855"/>
        <w:gridCol w:w="2438"/>
      </w:tblGrid>
      <w:tr>
        <w:trPr>
          <w:tblHeader w:val="true"/>
          <w:cantSplit/>
        </w:trPr>
        <w:tc>
          <w:tcPr>
            <w:tcW w:type="dxa" w:w="2041"/>
            <w:tcMar>
              <w:top w:w="25" w:type="dxa"/>
              <w:bottom w:w="25" w:type="dxa"/>
              <w:left w:w="60" w:type="dxa"/>
              <w:right w:w="60" w:type="dxa"/>
            </w:tcMar>
            <w:vAlign w:val="center"/>
          </w:tcPr>
          <w:p>
            <w:pPr>
              <w:jc w:val="left"/>
            </w:pPr>
            <w:r>
              <w:rPr>
                <w:b/>
                <w:color w:val="000000"/>
                <w:sz w:val="14"/>
              </w:rPr>
              <w:t>Generator</w:t>
            </w:r>
          </w:p>
        </w:tc>
        <w:tc>
          <w:tcPr>
            <w:tcW w:type="dxa" w:w="1020"/>
            <w:tcMar>
              <w:top w:w="25" w:type="dxa"/>
              <w:bottom w:w="25" w:type="dxa"/>
              <w:left w:w="60" w:type="dxa"/>
              <w:right w:w="60" w:type="dxa"/>
            </w:tcMar>
            <w:vAlign w:val="center"/>
          </w:tcPr>
          <w:p>
            <w:pPr>
              <w:jc w:val="left"/>
            </w:pPr>
            <w:r>
              <w:rPr>
                <w:b/>
                <w:color w:val="000000"/>
                <w:sz w:val="14"/>
              </w:rPr>
              <w:t>Rail</w:t>
            </w:r>
          </w:p>
        </w:tc>
        <w:tc>
          <w:tcPr>
            <w:tcW w:type="dxa" w:w="3855"/>
            <w:tcMar>
              <w:top w:w="25" w:type="dxa"/>
              <w:bottom w:w="25" w:type="dxa"/>
              <w:left w:w="60" w:type="dxa"/>
              <w:right w:w="60" w:type="dxa"/>
            </w:tcMar>
            <w:vAlign w:val="center"/>
          </w:tcPr>
          <w:p>
            <w:pPr>
              <w:jc w:val="left"/>
            </w:pPr>
            <w:r>
              <w:rPr>
                <w:b/>
                <w:color w:val="000000"/>
                <w:sz w:val="14"/>
              </w:rPr>
              <w:t>Mechanism</w:t>
            </w:r>
          </w:p>
        </w:tc>
        <w:tc>
          <w:tcPr>
            <w:tcW w:type="dxa" w:w="2438"/>
            <w:tcMar>
              <w:top w:w="25" w:type="dxa"/>
              <w:bottom w:w="25" w:type="dxa"/>
              <w:left w:w="60" w:type="dxa"/>
              <w:right w:w="60" w:type="dxa"/>
            </w:tcMar>
            <w:vAlign w:val="center"/>
          </w:tcPr>
          <w:p>
            <w:pPr>
              <w:jc w:val="left"/>
            </w:pPr>
            <w:r>
              <w:rPr>
                <w:b/>
                <w:color w:val="000000"/>
                <w:sz w:val="14"/>
              </w:rPr>
              <w:t>Detection signal</w:t>
            </w:r>
          </w:p>
        </w:tc>
      </w:tr>
      <w:tr>
        <w:trPr>
          <w:cantSplit/>
        </w:trPr>
        <w:tc>
          <w:tcPr>
            <w:tcW w:type="dxa" w:w="2041"/>
            <w:tcMar>
              <w:top w:w="25" w:type="dxa"/>
              <w:bottom w:w="25" w:type="dxa"/>
              <w:left w:w="60" w:type="dxa"/>
              <w:right w:w="60" w:type="dxa"/>
            </w:tcMar>
            <w:vAlign w:val="center"/>
          </w:tcPr>
          <w:p>
            <w:pPr>
              <w:jc w:val="left"/>
            </w:pPr>
            <w:r>
              <w:rPr>
                <w:color w:val="000000"/>
                <w:sz w:val="13"/>
              </w:rPr>
              <w:t>scam_​induced_​push</w:t>
            </w:r>
          </w:p>
        </w:tc>
        <w:tc>
          <w:tcPr>
            <w:tcW w:type="dxa" w:w="1020"/>
            <w:tcMar>
              <w:top w:w="25" w:type="dxa"/>
              <w:bottom w:w="25" w:type="dxa"/>
              <w:left w:w="60" w:type="dxa"/>
              <w:right w:w="60" w:type="dxa"/>
            </w:tcMar>
            <w:vAlign w:val="center"/>
          </w:tcPr>
          <w:p>
            <w:pPr>
              <w:jc w:val="left"/>
            </w:pPr>
            <w:r>
              <w:rPr>
                <w:color w:val="000000"/>
                <w:sz w:val="13"/>
              </w:rPr>
              <w:t>UPI P2P</w:t>
            </w:r>
          </w:p>
        </w:tc>
        <w:tc>
          <w:tcPr>
            <w:tcW w:type="dxa" w:w="3855"/>
            <w:tcMar>
              <w:top w:w="25" w:type="dxa"/>
              <w:bottom w:w="25" w:type="dxa"/>
              <w:left w:w="60" w:type="dxa"/>
              <w:right w:w="60" w:type="dxa"/>
            </w:tcMar>
            <w:vAlign w:val="center"/>
          </w:tcPr>
          <w:p>
            <w:pPr>
              <w:jc w:val="left"/>
            </w:pPr>
            <w:r>
              <w:rPr>
                <w:color w:val="000000"/>
                <w:sz w:val="13"/>
              </w:rPr>
              <w:t>Victim manipulated into authorising a genuine, correctly-PIN'd transfer.</w:t>
            </w:r>
          </w:p>
        </w:tc>
        <w:tc>
          <w:tcPr>
            <w:tcW w:type="dxa" w:w="2438"/>
            <w:tcMar>
              <w:top w:w="25" w:type="dxa"/>
              <w:bottom w:w="25" w:type="dxa"/>
              <w:left w:w="60" w:type="dxa"/>
              <w:right w:w="60" w:type="dxa"/>
            </w:tcMar>
            <w:vAlign w:val="center"/>
          </w:tcPr>
          <w:p>
            <w:pPr>
              <w:jc w:val="left"/>
            </w:pPr>
            <w:r>
              <w:rPr>
                <w:color w:val="000000"/>
                <w:sz w:val="13"/>
              </w:rPr>
              <w:t>Session/behavioural anomaly + rapid beneficiary add</w:t>
            </w:r>
          </w:p>
        </w:tc>
      </w:tr>
      <w:tr>
        <w:trPr>
          <w:cantSplit/>
        </w:trPr>
        <w:tc>
          <w:tcPr>
            <w:tcW w:type="dxa" w:w="2041"/>
            <w:tcMar>
              <w:top w:w="25" w:type="dxa"/>
              <w:bottom w:w="25" w:type="dxa"/>
              <w:left w:w="60" w:type="dxa"/>
              <w:right w:w="60" w:type="dxa"/>
            </w:tcMar>
            <w:shd w:val="clear" w:color="auto" w:fill="FFFFFF"/>
            <w:vAlign w:val="center"/>
          </w:tcPr>
          <w:p>
            <w:pPr>
              <w:jc w:val="left"/>
            </w:pPr>
            <w:r>
              <w:rPr>
                <w:color w:val="000000"/>
                <w:sz w:val="13"/>
              </w:rPr>
              <w:t>mule_​network</w:t>
            </w:r>
          </w:p>
        </w:tc>
        <w:tc>
          <w:tcPr>
            <w:tcW w:type="dxa" w:w="1020"/>
            <w:tcMar>
              <w:top w:w="25" w:type="dxa"/>
              <w:bottom w:w="25" w:type="dxa"/>
              <w:left w:w="60" w:type="dxa"/>
              <w:right w:w="60" w:type="dxa"/>
            </w:tcMar>
            <w:shd w:val="clear" w:color="auto" w:fill="FFFFFF"/>
            <w:vAlign w:val="center"/>
          </w:tcPr>
          <w:p>
            <w:pPr>
              <w:jc w:val="left"/>
            </w:pPr>
            <w:r>
              <w:rPr>
                <w:color w:val="000000"/>
                <w:sz w:val="13"/>
              </w:rPr>
              <w:t>UPI/IMPS</w:t>
            </w:r>
          </w:p>
        </w:tc>
        <w:tc>
          <w:tcPr>
            <w:tcW w:type="dxa" w:w="3855"/>
            <w:tcMar>
              <w:top w:w="25" w:type="dxa"/>
              <w:bottom w:w="25" w:type="dxa"/>
              <w:left w:w="60" w:type="dxa"/>
              <w:right w:w="60" w:type="dxa"/>
            </w:tcMar>
            <w:shd w:val="clear" w:color="auto" w:fill="FFFFFF"/>
            <w:vAlign w:val="center"/>
          </w:tcPr>
          <w:p>
            <w:pPr>
              <w:jc w:val="left"/>
            </w:pPr>
            <w:r>
              <w:rPr>
                <w:color w:val="000000"/>
                <w:sz w:val="13"/>
              </w:rPr>
              <w:t>Funds layered through an account chain to obscure destination.</w:t>
            </w:r>
          </w:p>
        </w:tc>
        <w:tc>
          <w:tcPr>
            <w:tcW w:type="dxa" w:w="2438"/>
            <w:tcMar>
              <w:top w:w="25" w:type="dxa"/>
              <w:bottom w:w="25" w:type="dxa"/>
              <w:left w:w="60" w:type="dxa"/>
              <w:right w:w="60" w:type="dxa"/>
            </w:tcMar>
            <w:shd w:val="clear" w:color="auto" w:fill="FFFFFF"/>
            <w:vAlign w:val="center"/>
          </w:tcPr>
          <w:p>
            <w:pPr>
              <w:jc w:val="left"/>
            </w:pPr>
            <w:r>
              <w:rPr>
                <w:color w:val="000000"/>
                <w:sz w:val="13"/>
              </w:rPr>
              <w:t>Graph fan-in/fan-out, pass-through ratio</w:t>
            </w:r>
          </w:p>
        </w:tc>
      </w:tr>
      <w:tr>
        <w:trPr>
          <w:cantSplit/>
        </w:trPr>
        <w:tc>
          <w:tcPr>
            <w:tcW w:type="dxa" w:w="2041"/>
            <w:tcMar>
              <w:top w:w="25" w:type="dxa"/>
              <w:bottom w:w="25" w:type="dxa"/>
              <w:left w:w="60" w:type="dxa"/>
              <w:right w:w="60" w:type="dxa"/>
            </w:tcMar>
            <w:vAlign w:val="center"/>
          </w:tcPr>
          <w:p>
            <w:pPr>
              <w:jc w:val="left"/>
            </w:pPr>
            <w:r>
              <w:rPr>
                <w:color w:val="000000"/>
                <w:sz w:val="13"/>
              </w:rPr>
              <w:t>card_​testing_​probe</w:t>
            </w:r>
          </w:p>
        </w:tc>
        <w:tc>
          <w:tcPr>
            <w:tcW w:type="dxa" w:w="1020"/>
            <w:tcMar>
              <w:top w:w="25" w:type="dxa"/>
              <w:bottom w:w="25" w:type="dxa"/>
              <w:left w:w="60" w:type="dxa"/>
              <w:right w:w="60" w:type="dxa"/>
            </w:tcMar>
            <w:vAlign w:val="center"/>
          </w:tcPr>
          <w:p>
            <w:pPr>
              <w:jc w:val="left"/>
            </w:pPr>
            <w:r>
              <w:rPr>
                <w:color w:val="000000"/>
                <w:sz w:val="13"/>
              </w:rPr>
              <w:t>Card CNP</w:t>
            </w:r>
          </w:p>
        </w:tc>
        <w:tc>
          <w:tcPr>
            <w:tcW w:type="dxa" w:w="3855"/>
            <w:tcMar>
              <w:top w:w="25" w:type="dxa"/>
              <w:bottom w:w="25" w:type="dxa"/>
              <w:left w:w="60" w:type="dxa"/>
              <w:right w:w="60" w:type="dxa"/>
            </w:tcMar>
            <w:vAlign w:val="center"/>
          </w:tcPr>
          <w:p>
            <w:pPr>
              <w:jc w:val="left"/>
            </w:pPr>
            <w:r>
              <w:rPr>
                <w:color w:val="000000"/>
                <w:sz w:val="13"/>
              </w:rPr>
              <w:t>LLM-optimised brute-force card validity probing.</w:t>
            </w:r>
          </w:p>
        </w:tc>
        <w:tc>
          <w:tcPr>
            <w:tcW w:type="dxa" w:w="2438"/>
            <w:tcMar>
              <w:top w:w="25" w:type="dxa"/>
              <w:bottom w:w="25" w:type="dxa"/>
              <w:left w:w="60" w:type="dxa"/>
              <w:right w:w="60" w:type="dxa"/>
            </w:tcMar>
            <w:vAlign w:val="center"/>
          </w:tcPr>
          <w:p>
            <w:pPr>
              <w:jc w:val="left"/>
            </w:pPr>
            <w:r>
              <w:rPr>
                <w:color w:val="000000"/>
                <w:sz w:val="13"/>
              </w:rPr>
              <w:t>Velocity (16+/10min) + MCC diversity + declines</w:t>
            </w:r>
          </w:p>
        </w:tc>
      </w:tr>
      <w:tr>
        <w:trPr>
          <w:cantSplit/>
        </w:trPr>
        <w:tc>
          <w:tcPr>
            <w:tcW w:type="dxa" w:w="2041"/>
            <w:tcMar>
              <w:top w:w="25" w:type="dxa"/>
              <w:bottom w:w="25" w:type="dxa"/>
              <w:left w:w="60" w:type="dxa"/>
              <w:right w:w="60" w:type="dxa"/>
            </w:tcMar>
            <w:shd w:val="clear" w:color="auto" w:fill="FFFFFF"/>
            <w:vAlign w:val="center"/>
          </w:tcPr>
          <w:p>
            <w:pPr>
              <w:jc w:val="left"/>
            </w:pPr>
            <w:r>
              <w:rPr>
                <w:color w:val="000000"/>
                <w:sz w:val="13"/>
              </w:rPr>
              <w:t>adversarial_​evasion</w:t>
            </w:r>
          </w:p>
        </w:tc>
        <w:tc>
          <w:tcPr>
            <w:tcW w:type="dxa" w:w="1020"/>
            <w:tcMar>
              <w:top w:w="25" w:type="dxa"/>
              <w:bottom w:w="25" w:type="dxa"/>
              <w:left w:w="60" w:type="dxa"/>
              <w:right w:w="60" w:type="dxa"/>
            </w:tcMar>
            <w:shd w:val="clear" w:color="auto" w:fill="FFFFFF"/>
            <w:vAlign w:val="center"/>
          </w:tcPr>
          <w:p>
            <w:pPr>
              <w:jc w:val="left"/>
            </w:pPr>
            <w:r>
              <w:rPr>
                <w:color w:val="000000"/>
                <w:sz w:val="13"/>
              </w:rPr>
              <w:t>UPI/Card</w:t>
            </w:r>
          </w:p>
        </w:tc>
        <w:tc>
          <w:tcPr>
            <w:tcW w:type="dxa" w:w="3855"/>
            <w:tcMar>
              <w:top w:w="25" w:type="dxa"/>
              <w:bottom w:w="25" w:type="dxa"/>
              <w:left w:w="60" w:type="dxa"/>
              <w:right w:w="60" w:type="dxa"/>
            </w:tcMar>
            <w:shd w:val="clear" w:color="auto" w:fill="FFFFFF"/>
            <w:vAlign w:val="center"/>
          </w:tcPr>
          <w:p>
            <w:pPr>
              <w:jc w:val="left"/>
            </w:pPr>
            <w:r>
              <w:rPr>
                <w:color w:val="000000"/>
                <w:sz w:val="13"/>
              </w:rPr>
              <w:t>Fraud built to sit inside the legitimate distribution, evading the current model.</w:t>
            </w:r>
          </w:p>
        </w:tc>
        <w:tc>
          <w:tcPr>
            <w:tcW w:type="dxa" w:w="2438"/>
            <w:tcMar>
              <w:top w:w="25" w:type="dxa"/>
              <w:bottom w:w="25" w:type="dxa"/>
              <w:left w:w="60" w:type="dxa"/>
              <w:right w:w="60" w:type="dxa"/>
            </w:tcMar>
            <w:shd w:val="clear" w:color="auto" w:fill="FFFFFF"/>
            <w:vAlign w:val="center"/>
          </w:tcPr>
          <w:p>
            <w:pPr>
              <w:jc w:val="left"/>
            </w:pPr>
            <w:r>
              <w:rPr>
                <w:color w:val="000000"/>
                <w:sz w:val="13"/>
              </w:rPr>
              <w:t>Near-legitimate ranges by construction</w:t>
            </w:r>
          </w:p>
        </w:tc>
      </w:tr>
      <w:tr>
        <w:trPr>
          <w:cantSplit/>
        </w:trPr>
        <w:tc>
          <w:tcPr>
            <w:tcW w:type="dxa" w:w="2041"/>
            <w:tcMar>
              <w:top w:w="25" w:type="dxa"/>
              <w:bottom w:w="25" w:type="dxa"/>
              <w:left w:w="60" w:type="dxa"/>
              <w:right w:w="60" w:type="dxa"/>
            </w:tcMar>
            <w:vAlign w:val="center"/>
          </w:tcPr>
          <w:p>
            <w:pPr>
              <w:jc w:val="left"/>
            </w:pPr>
            <w:r>
              <w:rPr>
                <w:color w:val="000000"/>
                <w:sz w:val="13"/>
              </w:rPr>
              <w:t>first_​party_​dispute</w:t>
            </w:r>
          </w:p>
        </w:tc>
        <w:tc>
          <w:tcPr>
            <w:tcW w:type="dxa" w:w="1020"/>
            <w:tcMar>
              <w:top w:w="25" w:type="dxa"/>
              <w:bottom w:w="25" w:type="dxa"/>
              <w:left w:w="60" w:type="dxa"/>
              <w:right w:w="60" w:type="dxa"/>
            </w:tcMar>
            <w:vAlign w:val="center"/>
          </w:tcPr>
          <w:p>
            <w:pPr>
              <w:jc w:val="left"/>
            </w:pPr>
            <w:r>
              <w:rPr>
                <w:color w:val="000000"/>
                <w:sz w:val="13"/>
              </w:rPr>
              <w:t>Card CNP</w:t>
            </w:r>
          </w:p>
        </w:tc>
        <w:tc>
          <w:tcPr>
            <w:tcW w:type="dxa" w:w="3855"/>
            <w:tcMar>
              <w:top w:w="25" w:type="dxa"/>
              <w:bottom w:w="25" w:type="dxa"/>
              <w:left w:w="60" w:type="dxa"/>
              <w:right w:w="60" w:type="dxa"/>
            </w:tcMar>
            <w:vAlign w:val="center"/>
          </w:tcPr>
          <w:p>
            <w:pPr>
              <w:jc w:val="left"/>
            </w:pPr>
            <w:r>
              <w:rPr>
                <w:color w:val="000000"/>
                <w:sz w:val="13"/>
              </w:rPr>
              <w:t>Holder disputes own genuine transaction as chargeback.</w:t>
            </w:r>
          </w:p>
        </w:tc>
        <w:tc>
          <w:tcPr>
            <w:tcW w:type="dxa" w:w="2438"/>
            <w:tcMar>
              <w:top w:w="25" w:type="dxa"/>
              <w:bottom w:w="25" w:type="dxa"/>
              <w:left w:w="60" w:type="dxa"/>
              <w:right w:w="60" w:type="dxa"/>
            </w:tcMar>
            <w:vAlign w:val="center"/>
          </w:tcPr>
          <w:p>
            <w:pPr>
              <w:jc w:val="left"/>
            </w:pPr>
            <w:r>
              <w:rPr>
                <w:color w:val="000000"/>
                <w:sz w:val="13"/>
              </w:rPr>
              <w:t>Dispute filed &lt;60s post-txn; dispute history only</w:t>
            </w:r>
          </w:p>
        </w:tc>
      </w:tr>
      <w:tr>
        <w:trPr>
          <w:cantSplit/>
        </w:trPr>
        <w:tc>
          <w:tcPr>
            <w:tcW w:type="dxa" w:w="2041"/>
            <w:tcMar>
              <w:top w:w="25" w:type="dxa"/>
              <w:bottom w:w="25" w:type="dxa"/>
              <w:left w:w="60" w:type="dxa"/>
              <w:right w:w="60" w:type="dxa"/>
            </w:tcMar>
            <w:shd w:val="clear" w:color="auto" w:fill="FFFFFF"/>
            <w:vAlign w:val="center"/>
          </w:tcPr>
          <w:p>
            <w:pPr>
              <w:jc w:val="left"/>
            </w:pPr>
            <w:r>
              <w:rPr>
                <w:color w:val="000000"/>
                <w:sz w:val="13"/>
              </w:rPr>
              <w:t>stealth_​mandate</w:t>
            </w:r>
          </w:p>
        </w:tc>
        <w:tc>
          <w:tcPr>
            <w:tcW w:type="dxa" w:w="1020"/>
            <w:tcMar>
              <w:top w:w="25" w:type="dxa"/>
              <w:bottom w:w="25" w:type="dxa"/>
              <w:left w:w="60" w:type="dxa"/>
              <w:right w:w="60" w:type="dxa"/>
            </w:tcMar>
            <w:shd w:val="clear" w:color="auto" w:fill="FFFFFF"/>
            <w:vAlign w:val="center"/>
          </w:tcPr>
          <w:p>
            <w:pPr>
              <w:jc w:val="left"/>
            </w:pPr>
            <w:r>
              <w:rPr>
                <w:color w:val="000000"/>
                <w:sz w:val="13"/>
              </w:rPr>
              <w:t>UPI mandate</w:t>
            </w:r>
          </w:p>
        </w:tc>
        <w:tc>
          <w:tcPr>
            <w:tcW w:type="dxa" w:w="3855"/>
            <w:tcMar>
              <w:top w:w="25" w:type="dxa"/>
              <w:bottom w:w="25" w:type="dxa"/>
              <w:left w:w="60" w:type="dxa"/>
              <w:right w:w="60" w:type="dxa"/>
            </w:tcMar>
            <w:shd w:val="clear" w:color="auto" w:fill="FFFFFF"/>
            <w:vAlign w:val="center"/>
          </w:tcPr>
          <w:p>
            <w:pPr>
              <w:jc w:val="left"/>
            </w:pPr>
            <w:r>
              <w:rPr>
                <w:color w:val="000000"/>
                <w:sz w:val="13"/>
              </w:rPr>
              <w:t>Unauthorised recurring mandate drawn down below alert thresholds.</w:t>
            </w:r>
          </w:p>
        </w:tc>
        <w:tc>
          <w:tcPr>
            <w:tcW w:type="dxa" w:w="2438"/>
            <w:tcMar>
              <w:top w:w="25" w:type="dxa"/>
              <w:bottom w:w="25" w:type="dxa"/>
              <w:left w:w="60" w:type="dxa"/>
              <w:right w:w="60" w:type="dxa"/>
            </w:tcMar>
            <w:shd w:val="clear" w:color="auto" w:fill="FFFFFF"/>
            <w:vAlign w:val="center"/>
          </w:tcPr>
          <w:p>
            <w:pPr>
              <w:jc w:val="left"/>
            </w:pPr>
            <w:r>
              <w:rPr>
                <w:color w:val="000000"/>
                <w:sz w:val="13"/>
              </w:rPr>
              <w:t>max_amount ≫ actual_amount</w:t>
            </w:r>
          </w:p>
        </w:tc>
      </w:tr>
      <w:tr>
        <w:trPr>
          <w:cantSplit/>
        </w:trPr>
        <w:tc>
          <w:tcPr>
            <w:tcW w:type="dxa" w:w="2041"/>
            <w:tcMar>
              <w:top w:w="25" w:type="dxa"/>
              <w:bottom w:w="25" w:type="dxa"/>
              <w:left w:w="60" w:type="dxa"/>
              <w:right w:w="60" w:type="dxa"/>
            </w:tcMar>
            <w:vAlign w:val="center"/>
          </w:tcPr>
          <w:p>
            <w:pPr>
              <w:jc w:val="left"/>
            </w:pPr>
            <w:r>
              <w:rPr>
                <w:color w:val="000000"/>
                <w:sz w:val="13"/>
              </w:rPr>
              <w:t>synthetic_​merchant</w:t>
            </w:r>
          </w:p>
        </w:tc>
        <w:tc>
          <w:tcPr>
            <w:tcW w:type="dxa" w:w="1020"/>
            <w:tcMar>
              <w:top w:w="25" w:type="dxa"/>
              <w:bottom w:w="25" w:type="dxa"/>
              <w:left w:w="60" w:type="dxa"/>
              <w:right w:w="60" w:type="dxa"/>
            </w:tcMar>
            <w:vAlign w:val="center"/>
          </w:tcPr>
          <w:p>
            <w:pPr>
              <w:jc w:val="left"/>
            </w:pPr>
            <w:r>
              <w:rPr>
                <w:color w:val="000000"/>
                <w:sz w:val="13"/>
              </w:rPr>
              <w:t>Card/P2M</w:t>
            </w:r>
          </w:p>
        </w:tc>
        <w:tc>
          <w:tcPr>
            <w:tcW w:type="dxa" w:w="3855"/>
            <w:tcMar>
              <w:top w:w="25" w:type="dxa"/>
              <w:bottom w:w="25" w:type="dxa"/>
              <w:left w:w="60" w:type="dxa"/>
              <w:right w:w="60" w:type="dxa"/>
            </w:tcMar>
            <w:vAlign w:val="center"/>
          </w:tcPr>
          <w:p>
            <w:pPr>
              <w:jc w:val="left"/>
            </w:pPr>
            <w:r>
              <w:rPr>
                <w:color w:val="000000"/>
                <w:sz w:val="13"/>
              </w:rPr>
              <w:t>Fake merchant funnels funds before disappearing.</w:t>
            </w:r>
          </w:p>
        </w:tc>
        <w:tc>
          <w:tcPr>
            <w:tcW w:type="dxa" w:w="2438"/>
            <w:tcMar>
              <w:top w:w="25" w:type="dxa"/>
              <w:bottom w:w="25" w:type="dxa"/>
              <w:left w:w="60" w:type="dxa"/>
              <w:right w:w="60" w:type="dxa"/>
            </w:tcMar>
            <w:vAlign w:val="center"/>
          </w:tcPr>
          <w:p>
            <w:pPr>
              <w:jc w:val="left"/>
            </w:pPr>
            <w:r>
              <w:rPr>
                <w:color w:val="000000"/>
                <w:sz w:val="13"/>
              </w:rPr>
              <w:t>Merchant velocity + fast settlement outflow</w:t>
            </w:r>
          </w:p>
        </w:tc>
      </w:tr>
      <w:tr>
        <w:trPr>
          <w:cantSplit/>
        </w:trPr>
        <w:tc>
          <w:tcPr>
            <w:tcW w:type="dxa" w:w="2041"/>
            <w:tcMar>
              <w:top w:w="25" w:type="dxa"/>
              <w:bottom w:w="25" w:type="dxa"/>
              <w:left w:w="60" w:type="dxa"/>
              <w:right w:w="60" w:type="dxa"/>
            </w:tcMar>
            <w:shd w:val="clear" w:color="auto" w:fill="FFFFFF"/>
            <w:vAlign w:val="center"/>
          </w:tcPr>
          <w:p>
            <w:pPr>
              <w:jc w:val="left"/>
            </w:pPr>
            <w:r>
              <w:rPr>
                <w:color w:val="000000"/>
                <w:sz w:val="13"/>
              </w:rPr>
              <w:t>transaction_​laundering</w:t>
            </w:r>
          </w:p>
        </w:tc>
        <w:tc>
          <w:tcPr>
            <w:tcW w:type="dxa" w:w="1020"/>
            <w:tcMar>
              <w:top w:w="25" w:type="dxa"/>
              <w:bottom w:w="25" w:type="dxa"/>
              <w:left w:w="60" w:type="dxa"/>
              <w:right w:w="60" w:type="dxa"/>
            </w:tcMar>
            <w:shd w:val="clear" w:color="auto" w:fill="FFFFFF"/>
            <w:vAlign w:val="center"/>
          </w:tcPr>
          <w:p>
            <w:pPr>
              <w:jc w:val="left"/>
            </w:pPr>
            <w:r>
              <w:rPr>
                <w:color w:val="000000"/>
                <w:sz w:val="13"/>
              </w:rPr>
              <w:t>Card/P2M</w:t>
            </w:r>
          </w:p>
        </w:tc>
        <w:tc>
          <w:tcPr>
            <w:tcW w:type="dxa" w:w="3855"/>
            <w:tcMar>
              <w:top w:w="25" w:type="dxa"/>
              <w:bottom w:w="25" w:type="dxa"/>
              <w:left w:w="60" w:type="dxa"/>
              <w:right w:w="60" w:type="dxa"/>
            </w:tcMar>
            <w:shd w:val="clear" w:color="auto" w:fill="FFFFFF"/>
            <w:vAlign w:val="center"/>
          </w:tcPr>
          <w:p>
            <w:pPr>
              <w:jc w:val="left"/>
            </w:pPr>
            <w:r>
              <w:rPr>
                <w:color w:val="000000"/>
                <w:sz w:val="13"/>
              </w:rPr>
              <w:t>Transactions structured/miscoded to evade thresholds.</w:t>
            </w:r>
          </w:p>
        </w:tc>
        <w:tc>
          <w:tcPr>
            <w:tcW w:type="dxa" w:w="2438"/>
            <w:tcMar>
              <w:top w:w="25" w:type="dxa"/>
              <w:bottom w:w="25" w:type="dxa"/>
              <w:left w:w="60" w:type="dxa"/>
              <w:right w:w="60" w:type="dxa"/>
            </w:tcMar>
            <w:shd w:val="clear" w:color="auto" w:fill="FFFFFF"/>
            <w:vAlign w:val="center"/>
          </w:tcPr>
          <w:p>
            <w:pPr>
              <w:jc w:val="left"/>
            </w:pPr>
            <w:r>
              <w:rPr>
                <w:color w:val="000000"/>
                <w:sz w:val="13"/>
              </w:rPr>
              <w:t>Declared vs. inferred MCC mismatch</w:t>
            </w:r>
          </w:p>
        </w:tc>
      </w:tr>
      <w:tr>
        <w:trPr>
          <w:cantSplit/>
        </w:trPr>
        <w:tc>
          <w:tcPr>
            <w:tcW w:type="dxa" w:w="2041"/>
            <w:tcMar>
              <w:top w:w="25" w:type="dxa"/>
              <w:bottom w:w="25" w:type="dxa"/>
              <w:left w:w="60" w:type="dxa"/>
              <w:right w:w="60" w:type="dxa"/>
            </w:tcMar>
            <w:vAlign w:val="center"/>
          </w:tcPr>
          <w:p>
            <w:pPr>
              <w:jc w:val="left"/>
            </w:pPr>
            <w:r>
              <w:rPr>
                <w:color w:val="000000"/>
                <w:sz w:val="13"/>
              </w:rPr>
              <w:t>credential_​takeover</w:t>
            </w:r>
          </w:p>
        </w:tc>
        <w:tc>
          <w:tcPr>
            <w:tcW w:type="dxa" w:w="1020"/>
            <w:tcMar>
              <w:top w:w="25" w:type="dxa"/>
              <w:bottom w:w="25" w:type="dxa"/>
              <w:left w:w="60" w:type="dxa"/>
              <w:right w:w="60" w:type="dxa"/>
            </w:tcMar>
            <w:vAlign w:val="center"/>
          </w:tcPr>
          <w:p>
            <w:pPr>
              <w:jc w:val="left"/>
            </w:pPr>
            <w:r>
              <w:rPr>
                <w:color w:val="000000"/>
                <w:sz w:val="13"/>
              </w:rPr>
              <w:t>UPI/Card</w:t>
            </w:r>
          </w:p>
        </w:tc>
        <w:tc>
          <w:tcPr>
            <w:tcW w:type="dxa" w:w="3855"/>
            <w:tcMar>
              <w:top w:w="25" w:type="dxa"/>
              <w:bottom w:w="25" w:type="dxa"/>
              <w:left w:w="60" w:type="dxa"/>
              <w:right w:w="60" w:type="dxa"/>
            </w:tcMar>
            <w:vAlign w:val="center"/>
          </w:tcPr>
          <w:p>
            <w:pPr>
              <w:jc w:val="left"/>
            </w:pPr>
            <w:r>
              <w:rPr>
                <w:color w:val="000000"/>
                <w:sz w:val="13"/>
              </w:rPr>
              <w:t>Compromised account used normally, then drained.</w:t>
            </w:r>
          </w:p>
        </w:tc>
        <w:tc>
          <w:tcPr>
            <w:tcW w:type="dxa" w:w="2438"/>
            <w:tcMar>
              <w:top w:w="25" w:type="dxa"/>
              <w:bottom w:w="25" w:type="dxa"/>
              <w:left w:w="60" w:type="dxa"/>
              <w:right w:w="60" w:type="dxa"/>
            </w:tcMar>
            <w:vAlign w:val="center"/>
          </w:tcPr>
          <w:p>
            <w:pPr>
              <w:jc w:val="left"/>
            </w:pPr>
            <w:r>
              <w:rPr>
                <w:color w:val="000000"/>
                <w:sz w:val="13"/>
              </w:rPr>
              <w:t>Device/geo mismatch + velocity spike</w:t>
            </w:r>
          </w:p>
        </w:tc>
      </w:tr>
      <w:tr>
        <w:trPr>
          <w:cantSplit/>
        </w:trPr>
        <w:tc>
          <w:tcPr>
            <w:tcW w:type="dxa" w:w="2041"/>
            <w:tcMar>
              <w:top w:w="25" w:type="dxa"/>
              <w:bottom w:w="25" w:type="dxa"/>
              <w:left w:w="60" w:type="dxa"/>
              <w:right w:w="60" w:type="dxa"/>
            </w:tcMar>
            <w:shd w:val="clear" w:color="auto" w:fill="FFFFFF"/>
            <w:vAlign w:val="center"/>
          </w:tcPr>
          <w:p>
            <w:pPr>
              <w:jc w:val="left"/>
            </w:pPr>
            <w:r>
              <w:rPr>
                <w:color w:val="000000"/>
                <w:sz w:val="13"/>
              </w:rPr>
              <w:t>synthetic_​identity_​bustout</w:t>
            </w:r>
          </w:p>
        </w:tc>
        <w:tc>
          <w:tcPr>
            <w:tcW w:type="dxa" w:w="1020"/>
            <w:tcMar>
              <w:top w:w="25" w:type="dxa"/>
              <w:bottom w:w="25" w:type="dxa"/>
              <w:left w:w="60" w:type="dxa"/>
              <w:right w:w="60" w:type="dxa"/>
            </w:tcMar>
            <w:shd w:val="clear" w:color="auto" w:fill="FFFFFF"/>
            <w:vAlign w:val="center"/>
          </w:tcPr>
          <w:p>
            <w:pPr>
              <w:jc w:val="left"/>
            </w:pPr>
            <w:r>
              <w:rPr>
                <w:color w:val="000000"/>
                <w:sz w:val="13"/>
              </w:rPr>
              <w:t>Card CNP</w:t>
            </w:r>
          </w:p>
        </w:tc>
        <w:tc>
          <w:tcPr>
            <w:tcW w:type="dxa" w:w="3855"/>
            <w:tcMar>
              <w:top w:w="25" w:type="dxa"/>
              <w:bottom w:w="25" w:type="dxa"/>
              <w:left w:w="60" w:type="dxa"/>
              <w:right w:w="60" w:type="dxa"/>
            </w:tcMar>
            <w:shd w:val="clear" w:color="auto" w:fill="FFFFFF"/>
            <w:vAlign w:val="center"/>
          </w:tcPr>
          <w:p>
            <w:pPr>
              <w:jc w:val="left"/>
            </w:pPr>
            <w:r>
              <w:rPr>
                <w:color w:val="000000"/>
                <w:sz w:val="13"/>
              </w:rPr>
              <w:t>Credit-building then sudden utilisation spike. Held out of training (§6).</w:t>
            </w:r>
          </w:p>
        </w:tc>
        <w:tc>
          <w:tcPr>
            <w:tcW w:type="dxa" w:w="2438"/>
            <w:tcMar>
              <w:top w:w="25" w:type="dxa"/>
              <w:bottom w:w="25" w:type="dxa"/>
              <w:left w:w="60" w:type="dxa"/>
              <w:right w:w="60" w:type="dxa"/>
            </w:tcMar>
            <w:shd w:val="clear" w:color="auto" w:fill="FFFFFF"/>
            <w:vAlign w:val="center"/>
          </w:tcPr>
          <w:p>
            <w:pPr>
              <w:jc w:val="left"/>
            </w:pPr>
            <w:r>
              <w:rPr>
                <w:color w:val="000000"/>
                <w:sz w:val="13"/>
              </w:rPr>
              <w:t>30-day dormancy then 5–10 high-value txns</w:t>
            </w:r>
          </w:p>
        </w:tc>
      </w:tr>
      <w:tr>
        <w:trPr>
          <w:cantSplit/>
        </w:trPr>
        <w:tc>
          <w:tcPr>
            <w:tcW w:type="dxa" w:w="2041"/>
            <w:tcMar>
              <w:top w:w="25" w:type="dxa"/>
              <w:bottom w:w="25" w:type="dxa"/>
              <w:left w:w="60" w:type="dxa"/>
              <w:right w:w="60" w:type="dxa"/>
            </w:tcMar>
            <w:vAlign w:val="center"/>
          </w:tcPr>
          <w:p>
            <w:pPr>
              <w:jc w:val="left"/>
            </w:pPr>
            <w:r>
              <w:rPr>
                <w:color w:val="000000"/>
                <w:sz w:val="13"/>
              </w:rPr>
              <w:t>subthreshold_​fragmentation</w:t>
            </w:r>
          </w:p>
        </w:tc>
        <w:tc>
          <w:tcPr>
            <w:tcW w:type="dxa" w:w="1020"/>
            <w:tcMar>
              <w:top w:w="25" w:type="dxa"/>
              <w:bottom w:w="25" w:type="dxa"/>
              <w:left w:w="60" w:type="dxa"/>
              <w:right w:w="60" w:type="dxa"/>
            </w:tcMar>
            <w:vAlign w:val="center"/>
          </w:tcPr>
          <w:p>
            <w:pPr>
              <w:jc w:val="left"/>
            </w:pPr>
            <w:r>
              <w:rPr>
                <w:color w:val="000000"/>
                <w:sz w:val="13"/>
              </w:rPr>
              <w:t>UPI Lite/Wallet</w:t>
            </w:r>
          </w:p>
        </w:tc>
        <w:tc>
          <w:tcPr>
            <w:tcW w:type="dxa" w:w="3855"/>
            <w:tcMar>
              <w:top w:w="25" w:type="dxa"/>
              <w:bottom w:w="25" w:type="dxa"/>
              <w:left w:w="60" w:type="dxa"/>
              <w:right w:w="60" w:type="dxa"/>
            </w:tcMar>
            <w:vAlign w:val="center"/>
          </w:tcPr>
          <w:p>
            <w:pPr>
              <w:jc w:val="left"/>
            </w:pPr>
            <w:r>
              <w:rPr>
                <w:color w:val="000000"/>
                <w:sz w:val="13"/>
              </w:rPr>
              <w:t>Sub-threshold transactions to the same payee.</w:t>
            </w:r>
          </w:p>
        </w:tc>
        <w:tc>
          <w:tcPr>
            <w:tcW w:type="dxa" w:w="2438"/>
            <w:tcMar>
              <w:top w:w="25" w:type="dxa"/>
              <w:bottom w:w="25" w:type="dxa"/>
              <w:left w:w="60" w:type="dxa"/>
              <w:right w:w="60" w:type="dxa"/>
            </w:tcMar>
            <w:vAlign w:val="center"/>
          </w:tcPr>
          <w:p>
            <w:pPr>
              <w:jc w:val="left"/>
            </w:pPr>
            <w:r>
              <w:rPr>
                <w:color w:val="000000"/>
                <w:sz w:val="13"/>
              </w:rPr>
              <w:t>10+ txns to same destination in 2h</w:t>
            </w:r>
          </w:p>
        </w:tc>
      </w:tr>
      <w:tr>
        <w:trPr>
          <w:cantSplit/>
        </w:trPr>
        <w:tc>
          <w:tcPr>
            <w:tcW w:type="dxa" w:w="2041"/>
            <w:tcMar>
              <w:top w:w="25" w:type="dxa"/>
              <w:bottom w:w="25" w:type="dxa"/>
              <w:left w:w="60" w:type="dxa"/>
              <w:right w:w="60" w:type="dxa"/>
            </w:tcMar>
            <w:shd w:val="clear" w:color="auto" w:fill="FFFFFF"/>
            <w:vAlign w:val="center"/>
          </w:tcPr>
          <w:p>
            <w:pPr>
              <w:jc w:val="left"/>
            </w:pPr>
            <w:r>
              <w:rPr>
                <w:color w:val="000000"/>
                <w:sz w:val="13"/>
              </w:rPr>
              <w:t>agentic_​injection</w:t>
            </w:r>
          </w:p>
        </w:tc>
        <w:tc>
          <w:tcPr>
            <w:tcW w:type="dxa" w:w="1020"/>
            <w:tcMar>
              <w:top w:w="25" w:type="dxa"/>
              <w:bottom w:w="25" w:type="dxa"/>
              <w:left w:w="60" w:type="dxa"/>
              <w:right w:w="60" w:type="dxa"/>
            </w:tcMar>
            <w:shd w:val="clear" w:color="auto" w:fill="FFFFFF"/>
            <w:vAlign w:val="center"/>
          </w:tcPr>
          <w:p>
            <w:pPr>
              <w:jc w:val="left"/>
            </w:pPr>
            <w:r>
              <w:rPr>
                <w:color w:val="000000"/>
                <w:sz w:val="13"/>
              </w:rPr>
              <w:t>UPI/agentic</w:t>
            </w:r>
          </w:p>
        </w:tc>
        <w:tc>
          <w:tcPr>
            <w:tcW w:type="dxa" w:w="3855"/>
            <w:tcMar>
              <w:top w:w="25" w:type="dxa"/>
              <w:bottom w:w="25" w:type="dxa"/>
              <w:left w:w="60" w:type="dxa"/>
              <w:right w:w="60" w:type="dxa"/>
            </w:tcMar>
            <w:shd w:val="clear" w:color="auto" w:fill="FFFFFF"/>
            <w:vAlign w:val="center"/>
          </w:tcPr>
          <w:p>
            <w:pPr>
              <w:jc w:val="left"/>
            </w:pPr>
            <w:r>
              <w:rPr>
                <w:color w:val="000000"/>
                <w:sz w:val="13"/>
              </w:rPr>
              <w:t>LLM agent manipulated into unauthorised transfer.</w:t>
            </w:r>
          </w:p>
        </w:tc>
        <w:tc>
          <w:tcPr>
            <w:tcW w:type="dxa" w:w="2438"/>
            <w:tcMar>
              <w:top w:w="25" w:type="dxa"/>
              <w:bottom w:w="25" w:type="dxa"/>
              <w:left w:w="60" w:type="dxa"/>
              <w:right w:w="60" w:type="dxa"/>
            </w:tcMar>
            <w:shd w:val="clear" w:color="auto" w:fill="FFFFFF"/>
            <w:vAlign w:val="center"/>
          </w:tcPr>
          <w:p>
            <w:pPr>
              <w:jc w:val="left"/>
            </w:pPr>
            <w:r>
              <w:rPr>
                <w:color w:val="000000"/>
                <w:sz w:val="13"/>
              </w:rPr>
              <w:t>is_agent_initiated; beneficiary ≠ seller of record</w:t>
            </w:r>
          </w:p>
        </w:tc>
      </w:tr>
      <w:tr>
        <w:trPr>
          <w:cantSplit/>
        </w:trPr>
        <w:tc>
          <w:tcPr>
            <w:tcW w:type="dxa" w:w="2041"/>
            <w:tcMar>
              <w:top w:w="25" w:type="dxa"/>
              <w:bottom w:w="25" w:type="dxa"/>
              <w:left w:w="60" w:type="dxa"/>
              <w:right w:w="60" w:type="dxa"/>
            </w:tcMar>
            <w:vAlign w:val="center"/>
          </w:tcPr>
          <w:p>
            <w:pPr>
              <w:jc w:val="left"/>
            </w:pPr>
            <w:r>
              <w:rPr>
                <w:color w:val="000000"/>
                <w:sz w:val="13"/>
              </w:rPr>
              <w:t>insider_​abuse</w:t>
            </w:r>
          </w:p>
        </w:tc>
        <w:tc>
          <w:tcPr>
            <w:tcW w:type="dxa" w:w="1020"/>
            <w:tcMar>
              <w:top w:w="25" w:type="dxa"/>
              <w:bottom w:w="25" w:type="dxa"/>
              <w:left w:w="60" w:type="dxa"/>
              <w:right w:w="60" w:type="dxa"/>
            </w:tcMar>
            <w:vAlign w:val="center"/>
          </w:tcPr>
          <w:p>
            <w:pPr>
              <w:jc w:val="left"/>
            </w:pPr>
            <w:r>
              <w:rPr>
                <w:color w:val="000000"/>
                <w:sz w:val="13"/>
              </w:rPr>
              <w:t>Card CP/Bank</w:t>
            </w:r>
          </w:p>
        </w:tc>
        <w:tc>
          <w:tcPr>
            <w:tcW w:type="dxa" w:w="3855"/>
            <w:tcMar>
              <w:top w:w="25" w:type="dxa"/>
              <w:bottom w:w="25" w:type="dxa"/>
              <w:left w:w="60" w:type="dxa"/>
              <w:right w:w="60" w:type="dxa"/>
            </w:tcMar>
            <w:vAlign w:val="center"/>
          </w:tcPr>
          <w:p>
            <w:pPr>
              <w:jc w:val="left"/>
            </w:pPr>
            <w:r>
              <w:rPr>
                <w:color w:val="000000"/>
                <w:sz w:val="13"/>
              </w:rPr>
              <w:t>Employee processes fraud via legitimate access.</w:t>
            </w:r>
          </w:p>
        </w:tc>
        <w:tc>
          <w:tcPr>
            <w:tcW w:type="dxa" w:w="2438"/>
            <w:tcMar>
              <w:top w:w="25" w:type="dxa"/>
              <w:bottom w:w="25" w:type="dxa"/>
              <w:left w:w="60" w:type="dxa"/>
              <w:right w:w="60" w:type="dxa"/>
            </w:tcMar>
            <w:vAlign w:val="center"/>
          </w:tcPr>
          <w:p>
            <w:pPr>
              <w:jc w:val="left"/>
            </w:pPr>
            <w:r>
              <w:rPr>
                <w:color w:val="000000"/>
                <w:sz w:val="13"/>
              </w:rPr>
              <w:t>Unusual time-of-day + override flags</w:t>
            </w:r>
          </w:p>
        </w:tc>
      </w:tr>
      <w:tr>
        <w:trPr>
          <w:cantSplit/>
        </w:trPr>
        <w:tc>
          <w:tcPr>
            <w:tcW w:type="dxa" w:w="2041"/>
            <w:tcMar>
              <w:top w:w="25" w:type="dxa"/>
              <w:bottom w:w="25" w:type="dxa"/>
              <w:left w:w="60" w:type="dxa"/>
              <w:right w:w="60" w:type="dxa"/>
            </w:tcMar>
            <w:shd w:val="clear" w:color="auto" w:fill="FFFFFF"/>
            <w:vAlign w:val="center"/>
          </w:tcPr>
          <w:p>
            <w:pPr>
              <w:jc w:val="left"/>
            </w:pPr>
            <w:r>
              <w:rPr>
                <w:color w:val="000000"/>
                <w:sz w:val="13"/>
              </w:rPr>
              <w:t>device_​fan_​out</w:t>
            </w:r>
          </w:p>
        </w:tc>
        <w:tc>
          <w:tcPr>
            <w:tcW w:type="dxa" w:w="1020"/>
            <w:tcMar>
              <w:top w:w="25" w:type="dxa"/>
              <w:bottom w:w="25" w:type="dxa"/>
              <w:left w:w="60" w:type="dxa"/>
              <w:right w:w="60" w:type="dxa"/>
            </w:tcMar>
            <w:shd w:val="clear" w:color="auto" w:fill="FFFFFF"/>
            <w:vAlign w:val="center"/>
          </w:tcPr>
          <w:p>
            <w:pPr>
              <w:jc w:val="left"/>
            </w:pPr>
            <w:r>
              <w:rPr>
                <w:color w:val="000000"/>
                <w:sz w:val="13"/>
              </w:rPr>
              <w:t>Card CP</w:t>
            </w:r>
          </w:p>
        </w:tc>
        <w:tc>
          <w:tcPr>
            <w:tcW w:type="dxa" w:w="3855"/>
            <w:tcMar>
              <w:top w:w="25" w:type="dxa"/>
              <w:bottom w:w="25" w:type="dxa"/>
              <w:left w:w="60" w:type="dxa"/>
              <w:right w:w="60" w:type="dxa"/>
            </w:tcMar>
            <w:shd w:val="clear" w:color="auto" w:fill="FFFFFF"/>
            <w:vAlign w:val="center"/>
          </w:tcPr>
          <w:p>
            <w:pPr>
              <w:jc w:val="left"/>
            </w:pPr>
            <w:r>
              <w:rPr>
                <w:color w:val="000000"/>
                <w:sz w:val="13"/>
              </w:rPr>
              <w:t>One device drains 4–6 cards in a 2h window.</w:t>
            </w:r>
          </w:p>
        </w:tc>
        <w:tc>
          <w:tcPr>
            <w:tcW w:type="dxa" w:w="2438"/>
            <w:tcMar>
              <w:top w:w="25" w:type="dxa"/>
              <w:bottom w:w="25" w:type="dxa"/>
              <w:left w:w="60" w:type="dxa"/>
              <w:right w:w="60" w:type="dxa"/>
            </w:tcMar>
            <w:shd w:val="clear" w:color="auto" w:fill="FFFFFF"/>
            <w:vAlign w:val="center"/>
          </w:tcPr>
          <w:p>
            <w:pPr>
              <w:jc w:val="left"/>
            </w:pPr>
            <w:r>
              <w:rPr>
                <w:color w:val="000000"/>
                <w:sz w:val="13"/>
              </w:rPr>
              <w:t>Device-centric clustering</w:t>
            </w:r>
          </w:p>
        </w:tc>
      </w:tr>
      <w:tr>
        <w:trPr>
          <w:cantSplit/>
        </w:trPr>
        <w:tc>
          <w:tcPr>
            <w:tcW w:type="dxa" w:w="2041"/>
            <w:tcMar>
              <w:top w:w="25" w:type="dxa"/>
              <w:bottom w:w="25" w:type="dxa"/>
              <w:left w:w="60" w:type="dxa"/>
              <w:right w:w="60" w:type="dxa"/>
            </w:tcMar>
            <w:vAlign w:val="center"/>
          </w:tcPr>
          <w:p>
            <w:pPr>
              <w:jc w:val="left"/>
            </w:pPr>
            <w:r>
              <w:rPr>
                <w:color w:val="000000"/>
                <w:sz w:val="13"/>
              </w:rPr>
              <w:t>balance_​drain_​exit</w:t>
            </w:r>
          </w:p>
        </w:tc>
        <w:tc>
          <w:tcPr>
            <w:tcW w:type="dxa" w:w="1020"/>
            <w:tcMar>
              <w:top w:w="25" w:type="dxa"/>
              <w:bottom w:w="25" w:type="dxa"/>
              <w:left w:w="60" w:type="dxa"/>
              <w:right w:w="60" w:type="dxa"/>
            </w:tcMar>
            <w:vAlign w:val="center"/>
          </w:tcPr>
          <w:p>
            <w:pPr>
              <w:jc w:val="left"/>
            </w:pPr>
            <w:r>
              <w:rPr>
                <w:color w:val="000000"/>
                <w:sz w:val="13"/>
              </w:rPr>
              <w:t>UPI P2P</w:t>
            </w:r>
          </w:p>
        </w:tc>
        <w:tc>
          <w:tcPr>
            <w:tcW w:type="dxa" w:w="3855"/>
            <w:tcMar>
              <w:top w:w="25" w:type="dxa"/>
              <w:bottom w:w="25" w:type="dxa"/>
              <w:left w:w="60" w:type="dxa"/>
              <w:right w:w="60" w:type="dxa"/>
            </w:tcMar>
            <w:vAlign w:val="center"/>
          </w:tcPr>
          <w:p>
            <w:pPr>
              <w:jc w:val="left"/>
            </w:pPr>
            <w:r>
              <w:rPr>
                <w:color w:val="000000"/>
                <w:sz w:val="13"/>
              </w:rPr>
              <w:t>Large inbound transfer, 85–95% payout within 5min.</w:t>
            </w:r>
          </w:p>
        </w:tc>
        <w:tc>
          <w:tcPr>
            <w:tcW w:type="dxa" w:w="2438"/>
            <w:tcMar>
              <w:top w:w="25" w:type="dxa"/>
              <w:bottom w:w="25" w:type="dxa"/>
              <w:left w:w="60" w:type="dxa"/>
              <w:right w:w="60" w:type="dxa"/>
            </w:tcMar>
            <w:vAlign w:val="center"/>
          </w:tcPr>
          <w:p>
            <w:pPr>
              <w:jc w:val="left"/>
            </w:pPr>
            <w:r>
              <w:rPr>
                <w:color w:val="000000"/>
                <w:sz w:val="13"/>
              </w:rPr>
              <w:t>Rapid receiver balance collapse</w:t>
            </w:r>
          </w:p>
        </w:tc>
      </w:tr>
      <w:tr>
        <w:trPr>
          <w:cantSplit/>
        </w:trPr>
        <w:tc>
          <w:tcPr>
            <w:tcW w:type="dxa" w:w="2041"/>
            <w:tcMar>
              <w:top w:w="25" w:type="dxa"/>
              <w:bottom w:w="25" w:type="dxa"/>
              <w:left w:w="60" w:type="dxa"/>
              <w:right w:w="60" w:type="dxa"/>
            </w:tcMar>
            <w:shd w:val="clear" w:color="auto" w:fill="FFFFFF"/>
            <w:vAlign w:val="center"/>
          </w:tcPr>
          <w:p>
            <w:pPr>
              <w:keepNext/>
              <w:jc w:val="left"/>
            </w:pPr>
            <w:r>
              <w:rPr>
                <w:color w:val="000000"/>
                <w:sz w:val="13"/>
              </w:rPr>
              <w:t>tpap_​account_​switch</w:t>
            </w:r>
          </w:p>
        </w:tc>
        <w:tc>
          <w:tcPr>
            <w:tcW w:type="dxa" w:w="1020"/>
            <w:tcMar>
              <w:top w:w="25" w:type="dxa"/>
              <w:bottom w:w="25" w:type="dxa"/>
              <w:left w:w="60" w:type="dxa"/>
              <w:right w:w="60" w:type="dxa"/>
            </w:tcMar>
            <w:shd w:val="clear" w:color="auto" w:fill="FFFFFF"/>
            <w:vAlign w:val="center"/>
          </w:tcPr>
          <w:p>
            <w:pPr>
              <w:keepNext/>
              <w:jc w:val="left"/>
            </w:pPr>
            <w:r>
              <w:rPr>
                <w:color w:val="000000"/>
                <w:sz w:val="13"/>
              </w:rPr>
              <w:t>UPI (cross-app)</w:t>
            </w:r>
          </w:p>
        </w:tc>
        <w:tc>
          <w:tcPr>
            <w:tcW w:type="dxa" w:w="3855"/>
            <w:tcMar>
              <w:top w:w="25" w:type="dxa"/>
              <w:bottom w:w="25" w:type="dxa"/>
              <w:left w:w="60" w:type="dxa"/>
              <w:right w:w="60" w:type="dxa"/>
            </w:tcMar>
            <w:shd w:val="clear" w:color="auto" w:fill="FFFFFF"/>
            <w:vAlign w:val="center"/>
          </w:tcPr>
          <w:p>
            <w:pPr>
              <w:keepNext/>
              <w:jc w:val="left"/>
            </w:pPr>
            <w:r>
              <w:rPr>
                <w:color w:val="000000"/>
                <w:sz w:val="13"/>
              </w:rPr>
              <w:t>One UPI handle drained across 3–5 linked accounts, rotating apps.</w:t>
            </w:r>
          </w:p>
        </w:tc>
        <w:tc>
          <w:tcPr>
            <w:tcW w:type="dxa" w:w="2438"/>
            <w:tcMar>
              <w:top w:w="25" w:type="dxa"/>
              <w:bottom w:w="25" w:type="dxa"/>
              <w:left w:w="60" w:type="dxa"/>
              <w:right w:w="60" w:type="dxa"/>
            </w:tcMar>
            <w:shd w:val="clear" w:color="auto" w:fill="FFFFFF"/>
            <w:vAlign w:val="center"/>
          </w:tcPr>
          <w:p>
            <w:pPr>
              <w:keepNext/>
              <w:jc w:val="left"/>
            </w:pPr>
            <w:r>
              <w:rPr>
                <w:color w:val="000000"/>
                <w:sz w:val="13"/>
              </w:rPr>
              <w:t>Distinct-TPAP velocity — invisible to any single bank</w:t>
            </w:r>
          </w:p>
        </w:tc>
      </w:tr>
    </w:tbl>
    <w:p>
      <w:pPr>
        <w:keepNext/>
        <w:spacing w:after="20"/>
      </w:pPr>
    </w:p>
    <w:p>
      <w:pPr>
        <w:spacing w:after="80"/>
      </w:pPr>
      <w:r>
        <w:rPr>
          <w:b w:val="0"/>
          <w:sz w:val="16"/>
        </w:rPr>
        <w:t>Diversity, precisely scoped: 58 catalogue entries (distinct narratives) → 16 generator families (distinct data signatures, what the detector actually learns) → 4 curriculum difficulty levels each (§9). Coverage spans card CNP/CP, all UPI sub-rails, IMPS/NEFT/RTGS, wallets, BNPL, cross-app and agentic flows across every lifecycle phase; three gaps are reported as structural, not missing work — UPI has no consumer dispute remedy, card-present has no exploitable initiate-phase exchange, agentic settlement/dispute infrastructure doesn't exist yet. Every entry is tagged Observed / Emerging / Speculative from a dated-source evidence pass (2 entries were downgraded, one unverifiable statistic was removed rather than kept because it sounded precise) — docs/attack-catalogue.md, docs/research/evidence-pass.md.</w:t>
      </w:r>
    </w:p>
    <w:p>
      <w:pPr>
        <w:pStyle w:val="KickerLabel"/>
      </w:pPr>
      <w:r>
        <w:t>The inversion pass — the novelty argument for Identify</w:t>
      </w:r>
    </w:p>
    <w:p>
      <w:pPr>
        <w:spacing w:after="80"/>
      </w:pPr>
      <w:r>
        <w:rPr>
          <w:b w:val="0"/>
          <w:sz w:val="16"/>
        </w:rPr>
        <w:t>Nine families are explicitly built to keep every conventional signal (velocity, new beneficiary, amount, geo, device, time-of-day) looking normal: adversarial_evasion (features optimised inside the legitimate distribution), mule_network (only graph topology betrays it), stealth_mandate (amounts below every threshold), subthreshold_fragmentation, first_party_dispute (genuine at transaction time), scam_induced_push (own device/PIN — only session fields carry signal), synthetic_identity_bustout (bust-out is a temporal shift, not a feature anomaly), transaction_laundering (real storefront, valid-looking MCC), and insider_abuse (no external anomaly by construction). Conventional models assume the attacker isn't the customer; in a scam-induced payment everything is genuine except intent, and intent appears in no standard column.</w:t>
      </w:r>
    </w:p>
    <w:p>
      <w:pPr>
        <w:pStyle w:val="Heading1"/>
      </w:pPr>
      <w:r>
        <w:t>4. Generate: Attack Simulation Engine</w:t>
      </w:r>
    </w:p>
    <w:p>
      <w:pPr>
        <w:spacing w:after="80"/>
      </w:pPr>
      <w:r>
        <w:rPr>
          <w:b w:val="0"/>
        </w:rPr>
        <w:t>The legitimate base population (parties, devices, merchants, background traffic) is built and statistically validated first — if the legitimate population is crude, an attack doesn't need to be realistic to stand out, and the detector learns to separate two trivially different distributions instead of catching fraud. Generator and detector share one seven-table schema (transactions, parties, merchants, mandates, disputes, graph_edges, labels) under one rule: only include a field a real payment system would actually have at decision time. The highest-value fields (time_on_confirm_screen_s, screen_share_active, call_active_during_txn, beneficiary_added_ago_s) are the only place the §1 intent signal becomes measurable; has_salary_credit, organic_spend_ratio and graph fan-in/out are the strongest mule discriminators. Every generator also emits a matched legit_lookalike population (same rail/amount/pattern, genuinely not fraud) — enforced by test coverage, not optional, since without it a classifier separates two trivially different distributions and reports a meaningless 0.99 AUC.</w:t>
      </w:r>
    </w:p>
    <w:p>
      <w:pPr>
        <w:pStyle w:val="KickerLabel"/>
      </w:pPr>
      <w:r>
        <w:t>Fidelity validation against public reference datasets (IEEE-CIS, PaySim, BankSim, ULB)</w:t>
      </w:r>
    </w:p>
    <w:tbl>
      <w:tblPr>
        <w:tblStyle w:val="TableGrid"/>
        <w:tblW w:type="auto" w:w="0"/>
        <w:jc w:val="center"/>
        <w:tblLayout w:type="fixed"/>
        <w:tblLook w:firstColumn="1" w:firstRow="1" w:lastColumn="0" w:lastRow="0" w:noHBand="0" w:noVBand="1" w:val="04A0"/>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Pr>
      <w:tblGrid>
        <w:gridCol w:w="2665"/>
        <w:gridCol w:w="1304"/>
        <w:gridCol w:w="2041"/>
        <w:gridCol w:w="3345"/>
      </w:tblGrid>
      <w:tr>
        <w:trPr>
          <w:tblHeader w:val="true"/>
          <w:cantSplit/>
        </w:trPr>
        <w:tc>
          <w:tcPr>
            <w:tcW w:type="dxa" w:w="2665"/>
            <w:tcMar>
              <w:top w:w="25" w:type="dxa"/>
              <w:bottom w:w="25" w:type="dxa"/>
              <w:left w:w="60" w:type="dxa"/>
              <w:right w:w="60" w:type="dxa"/>
            </w:tcMar>
            <w:vAlign w:val="center"/>
          </w:tcPr>
          <w:p>
            <w:pPr>
              <w:keepNext/>
              <w:jc w:val="left"/>
            </w:pPr>
            <w:r>
              <w:rPr>
                <w:b/>
                <w:color w:val="000000"/>
                <w:sz w:val="15"/>
              </w:rPr>
              <w:t>Check</w:t>
            </w:r>
          </w:p>
        </w:tc>
        <w:tc>
          <w:tcPr>
            <w:tcW w:type="dxa" w:w="1304"/>
            <w:tcMar>
              <w:top w:w="25" w:type="dxa"/>
              <w:bottom w:w="25" w:type="dxa"/>
              <w:left w:w="60" w:type="dxa"/>
              <w:right w:w="60" w:type="dxa"/>
            </w:tcMar>
            <w:vAlign w:val="center"/>
          </w:tcPr>
          <w:p>
            <w:pPr>
              <w:keepNext/>
              <w:jc w:val="left"/>
            </w:pPr>
            <w:r>
              <w:rPr>
                <w:b/>
                <w:color w:val="000000"/>
                <w:sz w:val="15"/>
              </w:rPr>
              <w:t>Generated</w:t>
            </w:r>
          </w:p>
        </w:tc>
        <w:tc>
          <w:tcPr>
            <w:tcW w:type="dxa" w:w="2041"/>
            <w:tcMar>
              <w:top w:w="25" w:type="dxa"/>
              <w:bottom w:w="25" w:type="dxa"/>
              <w:left w:w="60" w:type="dxa"/>
              <w:right w:w="60" w:type="dxa"/>
            </w:tcMar>
            <w:vAlign w:val="center"/>
          </w:tcPr>
          <w:p>
            <w:pPr>
              <w:keepNext/>
              <w:jc w:val="left"/>
            </w:pPr>
            <w:r>
              <w:rPr>
                <w:b/>
                <w:color w:val="000000"/>
                <w:sz w:val="15"/>
              </w:rPr>
              <w:t>Reference</w:t>
            </w:r>
          </w:p>
        </w:tc>
        <w:tc>
          <w:tcPr>
            <w:tcW w:type="dxa" w:w="3345"/>
            <w:tcMar>
              <w:top w:w="25" w:type="dxa"/>
              <w:bottom w:w="25" w:type="dxa"/>
              <w:left w:w="60" w:type="dxa"/>
              <w:right w:w="60" w:type="dxa"/>
            </w:tcMar>
            <w:vAlign w:val="center"/>
          </w:tcPr>
          <w:p>
            <w:pPr>
              <w:keepNext/>
              <w:jc w:val="left"/>
            </w:pPr>
            <w:r>
              <w:rPr>
                <w:b/>
                <w:color w:val="000000"/>
                <w:sz w:val="15"/>
              </w:rPr>
              <w:t>Basis</w:t>
            </w:r>
          </w:p>
        </w:tc>
      </w:tr>
      <w:tr>
        <w:trPr>
          <w:cantSplit/>
        </w:trPr>
        <w:tc>
          <w:tcPr>
            <w:tcW w:type="dxa" w:w="2665"/>
            <w:tcMar>
              <w:top w:w="25" w:type="dxa"/>
              <w:bottom w:w="25" w:type="dxa"/>
              <w:left w:w="60" w:type="dxa"/>
              <w:right w:w="60" w:type="dxa"/>
            </w:tcMar>
            <w:vAlign w:val="center"/>
          </w:tcPr>
          <w:p>
            <w:pPr>
              <w:keepNext/>
              <w:jc w:val="left"/>
            </w:pPr>
            <w:r>
              <w:rPr>
                <w:color w:val="000000"/>
                <w:sz w:val="14"/>
              </w:rPr>
              <w:t>Amount right-skew (mean÷median)</w:t>
            </w:r>
          </w:p>
        </w:tc>
        <w:tc>
          <w:tcPr>
            <w:tcW w:type="dxa" w:w="1304"/>
            <w:tcMar>
              <w:top w:w="25" w:type="dxa"/>
              <w:bottom w:w="25" w:type="dxa"/>
              <w:left w:w="60" w:type="dxa"/>
              <w:right w:w="60" w:type="dxa"/>
            </w:tcMar>
            <w:vAlign w:val="center"/>
          </w:tcPr>
          <w:p>
            <w:pPr>
              <w:keepNext/>
              <w:jc w:val="left"/>
            </w:pPr>
            <w:r>
              <w:rPr>
                <w:color w:val="000000"/>
                <w:sz w:val="14"/>
              </w:rPr>
              <w:t>2.61</w:t>
            </w:r>
          </w:p>
        </w:tc>
        <w:tc>
          <w:tcPr>
            <w:tcW w:type="dxa" w:w="2041"/>
            <w:tcMar>
              <w:top w:w="25" w:type="dxa"/>
              <w:bottom w:w="25" w:type="dxa"/>
              <w:left w:w="60" w:type="dxa"/>
              <w:right w:w="60" w:type="dxa"/>
            </w:tcMar>
            <w:vAlign w:val="center"/>
          </w:tcPr>
          <w:p>
            <w:pPr>
              <w:keepNext/>
              <w:jc w:val="left"/>
            </w:pPr>
            <w:r>
              <w:rPr>
                <w:color w:val="000000"/>
                <w:sz w:val="14"/>
              </w:rPr>
              <w:t>4.02 (ULB)</w:t>
            </w:r>
          </w:p>
        </w:tc>
        <w:tc>
          <w:tcPr>
            <w:tcW w:type="dxa" w:w="3345"/>
            <w:tcMar>
              <w:top w:w="25" w:type="dxa"/>
              <w:bottom w:w="25" w:type="dxa"/>
              <w:left w:w="60" w:type="dxa"/>
              <w:right w:w="60" w:type="dxa"/>
            </w:tcMar>
            <w:vAlign w:val="center"/>
          </w:tcPr>
          <w:p>
            <w:pPr>
              <w:keepNext/>
              <w:jc w:val="left"/>
            </w:pPr>
            <w:r>
              <w:rPr>
                <w:color w:val="000000"/>
                <w:sz w:val="14"/>
              </w:rPr>
              <w:t>Scale-invariant ratio (INR vs EUR)</w:t>
            </w:r>
          </w:p>
        </w:tc>
      </w:tr>
      <w:tr>
        <w:trPr>
          <w:cantSplit/>
        </w:trPr>
        <w:tc>
          <w:tcPr>
            <w:tcW w:type="dxa" w:w="2665"/>
            <w:tcMar>
              <w:top w:w="25" w:type="dxa"/>
              <w:bottom w:w="25" w:type="dxa"/>
              <w:left w:w="60" w:type="dxa"/>
              <w:right w:w="60" w:type="dxa"/>
            </w:tcMar>
            <w:shd w:val="clear" w:color="auto" w:fill="FFFFFF"/>
            <w:vAlign w:val="center"/>
          </w:tcPr>
          <w:p>
            <w:pPr>
              <w:keepNext/>
              <w:jc w:val="left"/>
            </w:pPr>
            <w:r>
              <w:rPr>
                <w:color w:val="000000"/>
                <w:sz w:val="14"/>
              </w:rPr>
              <w:t>MCC cardinality</w:t>
            </w:r>
          </w:p>
        </w:tc>
        <w:tc>
          <w:tcPr>
            <w:tcW w:type="dxa" w:w="1304"/>
            <w:tcMar>
              <w:top w:w="25" w:type="dxa"/>
              <w:bottom w:w="25" w:type="dxa"/>
              <w:left w:w="60" w:type="dxa"/>
              <w:right w:w="60" w:type="dxa"/>
            </w:tcMar>
            <w:shd w:val="clear" w:color="auto" w:fill="FFFFFF"/>
            <w:vAlign w:val="center"/>
          </w:tcPr>
          <w:p>
            <w:pPr>
              <w:keepNext/>
              <w:jc w:val="left"/>
            </w:pPr>
            <w:r>
              <w:rPr>
                <w:color w:val="000000"/>
                <w:sz w:val="14"/>
              </w:rPr>
              <w:t>12</w:t>
            </w:r>
          </w:p>
        </w:tc>
        <w:tc>
          <w:tcPr>
            <w:tcW w:type="dxa" w:w="2041"/>
            <w:tcMar>
              <w:top w:w="25" w:type="dxa"/>
              <w:bottom w:w="25" w:type="dxa"/>
              <w:left w:w="60" w:type="dxa"/>
              <w:right w:w="60" w:type="dxa"/>
            </w:tcMar>
            <w:shd w:val="clear" w:color="auto" w:fill="FFFFFF"/>
            <w:vAlign w:val="center"/>
          </w:tcPr>
          <w:p>
            <w:pPr>
              <w:keepNext/>
              <w:jc w:val="left"/>
            </w:pPr>
            <w:r>
              <w:rPr>
                <w:color w:val="000000"/>
                <w:sz w:val="14"/>
              </w:rPr>
              <w:t>5 (PaySim), 15 (BankSim)</w:t>
            </w:r>
          </w:p>
        </w:tc>
        <w:tc>
          <w:tcPr>
            <w:tcW w:type="dxa" w:w="3345"/>
            <w:tcMar>
              <w:top w:w="25" w:type="dxa"/>
              <w:bottom w:w="25" w:type="dxa"/>
              <w:left w:w="60" w:type="dxa"/>
              <w:right w:w="60" w:type="dxa"/>
            </w:tcMar>
            <w:shd w:val="clear" w:color="auto" w:fill="FFFFFF"/>
            <w:vAlign w:val="center"/>
          </w:tcPr>
          <w:p>
            <w:pPr>
              <w:keepNext/>
              <w:jc w:val="left"/>
            </w:pPr>
            <w:r>
              <w:rPr>
                <w:color w:val="000000"/>
                <w:sz w:val="14"/>
              </w:rPr>
              <w:t>Order-of-magnitude sanity check</w:t>
            </w:r>
          </w:p>
        </w:tc>
      </w:tr>
      <w:tr>
        <w:trPr>
          <w:cantSplit/>
        </w:trPr>
        <w:tc>
          <w:tcPr>
            <w:tcW w:type="dxa" w:w="2665"/>
            <w:tcMar>
              <w:top w:w="25" w:type="dxa"/>
              <w:bottom w:w="25" w:type="dxa"/>
              <w:left w:w="60" w:type="dxa"/>
              <w:right w:w="60" w:type="dxa"/>
            </w:tcMar>
            <w:vAlign w:val="center"/>
          </w:tcPr>
          <w:p>
            <w:pPr>
              <w:keepNext/>
              <w:jc w:val="left"/>
            </w:pPr>
            <w:r>
              <w:rPr>
                <w:color w:val="000000"/>
                <w:sz w:val="14"/>
              </w:rPr>
              <w:t>Hour/day-of-week structure</w:t>
            </w:r>
          </w:p>
        </w:tc>
        <w:tc>
          <w:tcPr>
            <w:tcW w:type="dxa" w:w="1304"/>
            <w:tcMar>
              <w:top w:w="25" w:type="dxa"/>
              <w:bottom w:w="25" w:type="dxa"/>
              <w:left w:w="60" w:type="dxa"/>
              <w:right w:w="60" w:type="dxa"/>
            </w:tcMar>
            <w:vAlign w:val="center"/>
          </w:tcPr>
          <w:p>
            <w:pPr>
              <w:keepNext/>
              <w:jc w:val="left"/>
            </w:pPr>
            <w:r>
              <w:rPr>
                <w:color w:val="000000"/>
                <w:sz w:val="14"/>
              </w:rPr>
              <w:t>Non-uniform</w:t>
            </w:r>
          </w:p>
        </w:tc>
        <w:tc>
          <w:tcPr>
            <w:tcW w:type="dxa" w:w="2041"/>
            <w:tcMar>
              <w:top w:w="25" w:type="dxa"/>
              <w:bottom w:w="25" w:type="dxa"/>
              <w:left w:w="60" w:type="dxa"/>
              <w:right w:w="60" w:type="dxa"/>
            </w:tcMar>
            <w:vAlign w:val="center"/>
          </w:tcPr>
          <w:p>
            <w:pPr>
              <w:keepNext/>
              <w:jc w:val="left"/>
            </w:pPr>
            <w:r>
              <w:rPr>
                <w:color w:val="000000"/>
                <w:sz w:val="14"/>
              </w:rPr>
              <w:t>Non-uniform (literature)</w:t>
            </w:r>
          </w:p>
        </w:tc>
        <w:tc>
          <w:tcPr>
            <w:tcW w:type="dxa" w:w="3345"/>
            <w:tcMar>
              <w:top w:w="25" w:type="dxa"/>
              <w:bottom w:w="25" w:type="dxa"/>
              <w:left w:w="60" w:type="dxa"/>
              <w:right w:w="60" w:type="dxa"/>
            </w:tcMar>
            <w:vAlign w:val="center"/>
          </w:tcPr>
          <w:p>
            <w:pPr>
              <w:keepNext/>
              <w:jc w:val="left"/>
            </w:pPr>
            <w:r>
              <w:rPr>
                <w:color w:val="000000"/>
                <w:sz w:val="14"/>
              </w:rPr>
              <w:t>No dataset publishes a usable histogram</w:t>
            </w:r>
          </w:p>
        </w:tc>
      </w:tr>
      <w:tr>
        <w:trPr>
          <w:cantSplit/>
        </w:trPr>
        <w:tc>
          <w:tcPr>
            <w:tcW w:type="dxa" w:w="2665"/>
            <w:tcMar>
              <w:top w:w="25" w:type="dxa"/>
              <w:bottom w:w="25" w:type="dxa"/>
              <w:left w:w="60" w:type="dxa"/>
              <w:right w:w="60" w:type="dxa"/>
            </w:tcMar>
            <w:shd w:val="clear" w:color="auto" w:fill="FFFFFF"/>
            <w:vAlign w:val="center"/>
          </w:tcPr>
          <w:p>
            <w:pPr>
              <w:keepNext/>
              <w:jc w:val="left"/>
            </w:pPr>
            <w:r>
              <w:rPr>
                <w:color w:val="000000"/>
                <w:sz w:val="14"/>
              </w:rPr>
              <w:t>Graph in/out-degree Gini</w:t>
            </w:r>
          </w:p>
        </w:tc>
        <w:tc>
          <w:tcPr>
            <w:tcW w:type="dxa" w:w="1304"/>
            <w:tcMar>
              <w:top w:w="25" w:type="dxa"/>
              <w:bottom w:w="25" w:type="dxa"/>
              <w:left w:w="60" w:type="dxa"/>
              <w:right w:w="60" w:type="dxa"/>
            </w:tcMar>
            <w:shd w:val="clear" w:color="auto" w:fill="FFFFFF"/>
            <w:vAlign w:val="center"/>
          </w:tcPr>
          <w:p>
            <w:pPr>
              <w:keepNext/>
              <w:jc w:val="left"/>
            </w:pPr>
            <w:r>
              <w:rPr>
                <w:color w:val="000000"/>
                <w:sz w:val="14"/>
              </w:rPr>
              <w:t>0.56 / 0.14</w:t>
            </w:r>
          </w:p>
        </w:tc>
        <w:tc>
          <w:tcPr>
            <w:tcW w:type="dxa" w:w="2041"/>
            <w:tcMar>
              <w:top w:w="25" w:type="dxa"/>
              <w:bottom w:w="25" w:type="dxa"/>
              <w:left w:w="60" w:type="dxa"/>
              <w:right w:w="60" w:type="dxa"/>
            </w:tcMar>
            <w:shd w:val="clear" w:color="auto" w:fill="FFFFFF"/>
            <w:vAlign w:val="center"/>
          </w:tcPr>
          <w:p>
            <w:pPr>
              <w:keepNext/>
              <w:jc w:val="left"/>
            </w:pPr>
            <w:r>
              <w:rPr>
                <w:color w:val="000000"/>
                <w:sz w:val="14"/>
              </w:rPr>
              <w:t>Materially heavy-tailed</w:t>
            </w:r>
          </w:p>
        </w:tc>
        <w:tc>
          <w:tcPr>
            <w:tcW w:type="dxa" w:w="3345"/>
            <w:tcMar>
              <w:top w:w="25" w:type="dxa"/>
              <w:bottom w:w="25" w:type="dxa"/>
              <w:left w:w="60" w:type="dxa"/>
              <w:right w:w="60" w:type="dxa"/>
            </w:tcMar>
            <w:shd w:val="clear" w:color="auto" w:fill="FFFFFF"/>
            <w:vAlign w:val="center"/>
          </w:tcPr>
          <w:p>
            <w:pPr>
              <w:keepNext/>
              <w:jc w:val="left"/>
            </w:pPr>
            <w:r>
              <w:rPr>
                <w:color w:val="000000"/>
                <w:sz w:val="14"/>
              </w:rPr>
              <w:t>No dataset publishes a network summary</w:t>
            </w:r>
          </w:p>
        </w:tc>
      </w:tr>
    </w:tbl>
    <w:p>
      <w:pPr>
        <w:keepNext/>
        <w:spacing w:after="20"/>
      </w:pPr>
    </w:p>
    <w:p>
      <w:pPr>
        <w:pStyle w:val="KickerLabel"/>
      </w:pPr>
      <w:r>
        <w:t>We found and fixed three ways our own generator was cheating (docs/model-choice.md, I6/I7/I17)</w:t>
      </w:r>
    </w:p>
    <w:p>
      <w:pPr>
        <w:pStyle w:val="ListBullet"/>
      </w:pPr>
      <w:r>
        <w:rPr>
          <w:b/>
        </w:rPr>
        <w:t xml:space="preserve">I6. </w:t>
      </w:r>
      <w:r>
        <w:t>Shallow-copy lookalikes — the “legitimate” counterpart reused the fraud row's exact payer/payee/timestamp (fraud with the label flipped). Fixed: independent counterparty + timestamp.</w:t>
      </w:r>
    </w:p>
    <w:p>
      <w:pPr>
        <w:pStyle w:val="ListBullet"/>
      </w:pPr>
      <w:r>
        <w:rPr>
          <w:b/>
        </w:rPr>
        <w:t xml:space="preserve">I7. </w:t>
      </w:r>
      <w:r>
        <w:t>Campaign structure as a tell — evasive families routed every event through one fixed brand-new pair, itself a giveaway. Fixed: route through a pool of pre-existing counterparties (this also surfaced a duplicate-seed bug corrupting ~3,200 rows).</w:t>
      </w:r>
    </w:p>
    <w:p>
      <w:pPr>
        <w:pStyle w:val="ListBullet"/>
      </w:pPr>
      <w:r>
        <w:rPr>
          <w:b/>
        </w:rPr>
        <w:t xml:space="preserve">I17. </w:t>
      </w:r>
      <w:r>
        <w:t>Hardcoded ip_asn — every attack row shared one ASN while legitimate traffic drew from five, making ASN a perfect leak. Fixed: shared five-value pool.</w:t>
      </w:r>
    </w:p>
    <w:p>
      <w:pPr>
        <w:pStyle w:val="KickerLabel"/>
      </w:pPr>
      <w:r>
        <w:t>Known, honestly reported gap — legitimate-lookalike fidelity (stage5/validation/lookalike_fidelity_report.json)</w:t>
      </w:r>
    </w:p>
    <w:tbl>
      <w:tblPr>
        <w:tblStyle w:val="TableGrid"/>
        <w:tblW w:type="auto" w:w="0"/>
        <w:jc w:val="center"/>
        <w:tblLayout w:type="fixed"/>
        <w:tblLook w:firstColumn="1" w:firstRow="1" w:lastColumn="0" w:lastRow="0" w:noHBand="0" w:noVBand="1" w:val="04A0"/>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Pr>
      <w:tblGrid>
        <w:gridCol w:w="2041"/>
        <w:gridCol w:w="1020"/>
        <w:gridCol w:w="1020"/>
        <w:gridCol w:w="5272"/>
      </w:tblGrid>
      <w:tr>
        <w:trPr>
          <w:tblHeader w:val="true"/>
          <w:cantSplit/>
        </w:trPr>
        <w:tc>
          <w:tcPr>
            <w:tcW w:type="dxa" w:w="2041"/>
            <w:tcMar>
              <w:top w:w="25" w:type="dxa"/>
              <w:bottom w:w="25" w:type="dxa"/>
              <w:left w:w="60" w:type="dxa"/>
              <w:right w:w="60" w:type="dxa"/>
            </w:tcMar>
            <w:vAlign w:val="center"/>
          </w:tcPr>
          <w:p>
            <w:pPr>
              <w:keepNext/>
              <w:jc w:val="left"/>
            </w:pPr>
            <w:r>
              <w:rPr>
                <w:b/>
                <w:color w:val="000000"/>
                <w:sz w:val="15"/>
              </w:rPr>
              <w:t>Metric</w:t>
            </w:r>
          </w:p>
        </w:tc>
        <w:tc>
          <w:tcPr>
            <w:tcW w:type="dxa" w:w="1020"/>
            <w:tcMar>
              <w:top w:w="25" w:type="dxa"/>
              <w:bottom w:w="25" w:type="dxa"/>
              <w:left w:w="60" w:type="dxa"/>
              <w:right w:w="60" w:type="dxa"/>
            </w:tcMar>
            <w:vAlign w:val="center"/>
          </w:tcPr>
          <w:p>
            <w:pPr>
              <w:keepNext/>
              <w:jc w:val="left"/>
            </w:pPr>
            <w:r>
              <w:rPr>
                <w:b/>
                <w:color w:val="000000"/>
                <w:sz w:val="15"/>
              </w:rPr>
              <w:t>Value</w:t>
            </w:r>
          </w:p>
        </w:tc>
        <w:tc>
          <w:tcPr>
            <w:tcW w:type="dxa" w:w="1020"/>
            <w:tcMar>
              <w:top w:w="25" w:type="dxa"/>
              <w:bottom w:w="25" w:type="dxa"/>
              <w:left w:w="60" w:type="dxa"/>
              <w:right w:w="60" w:type="dxa"/>
            </w:tcMar>
            <w:vAlign w:val="center"/>
          </w:tcPr>
          <w:p>
            <w:pPr>
              <w:keepNext/>
              <w:jc w:val="left"/>
            </w:pPr>
            <w:r>
              <w:rPr>
                <w:b/>
                <w:color w:val="000000"/>
                <w:sz w:val="15"/>
              </w:rPr>
              <w:t>Target</w:t>
            </w:r>
          </w:p>
        </w:tc>
        <w:tc>
          <w:tcPr>
            <w:tcW w:type="dxa" w:w="5272"/>
            <w:tcMar>
              <w:top w:w="25" w:type="dxa"/>
              <w:bottom w:w="25" w:type="dxa"/>
              <w:left w:w="60" w:type="dxa"/>
              <w:right w:w="60" w:type="dxa"/>
            </w:tcMar>
            <w:vAlign w:val="center"/>
          </w:tcPr>
          <w:p>
            <w:pPr>
              <w:keepNext/>
              <w:jc w:val="left"/>
            </w:pPr>
            <w:r>
              <w:rPr>
                <w:b/>
                <w:color w:val="000000"/>
                <w:sz w:val="15"/>
              </w:rPr>
              <w:t>Read</w:t>
            </w:r>
          </w:p>
        </w:tc>
      </w:tr>
      <w:tr>
        <w:trPr>
          <w:cantSplit/>
        </w:trPr>
        <w:tc>
          <w:tcPr>
            <w:tcW w:type="dxa" w:w="2041"/>
            <w:tcMar>
              <w:top w:w="25" w:type="dxa"/>
              <w:bottom w:w="25" w:type="dxa"/>
              <w:left w:w="60" w:type="dxa"/>
              <w:right w:w="60" w:type="dxa"/>
            </w:tcMar>
            <w:vAlign w:val="center"/>
          </w:tcPr>
          <w:p>
            <w:pPr>
              <w:keepNext/>
              <w:jc w:val="left"/>
            </w:pPr>
            <w:r>
              <w:rPr>
                <w:color w:val="000000"/>
                <w:sz w:val="14"/>
              </w:rPr>
              <w:t>Fraud–lookalike distance</w:t>
            </w:r>
          </w:p>
        </w:tc>
        <w:tc>
          <w:tcPr>
            <w:tcW w:type="dxa" w:w="1020"/>
            <w:tcMar>
              <w:top w:w="25" w:type="dxa"/>
              <w:bottom w:w="25" w:type="dxa"/>
              <w:left w:w="60" w:type="dxa"/>
              <w:right w:w="60" w:type="dxa"/>
            </w:tcMar>
            <w:vAlign w:val="center"/>
          </w:tcPr>
          <w:p>
            <w:pPr>
              <w:keepNext/>
              <w:jc w:val="left"/>
            </w:pPr>
            <w:r>
              <w:rPr>
                <w:color w:val="000000"/>
                <w:sz w:val="14"/>
              </w:rPr>
              <w:t>8.79</w:t>
            </w:r>
          </w:p>
        </w:tc>
        <w:tc>
          <w:tcPr>
            <w:tcW w:type="dxa" w:w="1020"/>
            <w:tcMar>
              <w:top w:w="25" w:type="dxa"/>
              <w:bottom w:w="25" w:type="dxa"/>
              <w:left w:w="60" w:type="dxa"/>
              <w:right w:w="60" w:type="dxa"/>
            </w:tcMar>
            <w:vAlign w:val="center"/>
          </w:tcPr>
          <w:p>
            <w:pPr>
              <w:keepNext/>
              <w:jc w:val="left"/>
            </w:pPr>
            <w:r>
              <w:rPr>
                <w:color w:val="000000"/>
                <w:sz w:val="14"/>
              </w:rPr>
              <w:t>—</w:t>
            </w:r>
          </w:p>
        </w:tc>
        <w:tc>
          <w:tcPr>
            <w:tcW w:type="dxa" w:w="5272"/>
            <w:tcMar>
              <w:top w:w="25" w:type="dxa"/>
              <w:bottom w:w="25" w:type="dxa"/>
              <w:left w:w="60" w:type="dxa"/>
              <w:right w:w="60" w:type="dxa"/>
            </w:tcMar>
            <w:vAlign w:val="center"/>
          </w:tcPr>
          <w:p>
            <w:pPr>
              <w:keepNext/>
              <w:jc w:val="left"/>
            </w:pPr>
            <w:r>
              <w:rPr>
                <w:color w:val="000000"/>
                <w:sz w:val="14"/>
              </w:rPr>
              <w:t>How far fraud sits from its matched lookalike</w:t>
            </w:r>
          </w:p>
        </w:tc>
      </w:tr>
      <w:tr>
        <w:trPr>
          <w:cantSplit/>
        </w:trPr>
        <w:tc>
          <w:tcPr>
            <w:tcW w:type="dxa" w:w="2041"/>
            <w:tcMar>
              <w:top w:w="25" w:type="dxa"/>
              <w:bottom w:w="25" w:type="dxa"/>
              <w:left w:w="60" w:type="dxa"/>
              <w:right w:w="60" w:type="dxa"/>
            </w:tcMar>
            <w:shd w:val="clear" w:color="auto" w:fill="FFFFFF"/>
            <w:vAlign w:val="center"/>
          </w:tcPr>
          <w:p>
            <w:pPr>
              <w:keepNext/>
              <w:jc w:val="left"/>
            </w:pPr>
            <w:r>
              <w:rPr>
                <w:color w:val="000000"/>
                <w:sz w:val="14"/>
              </w:rPr>
              <w:t>Lookalike–legit distance</w:t>
            </w:r>
          </w:p>
        </w:tc>
        <w:tc>
          <w:tcPr>
            <w:tcW w:type="dxa" w:w="1020"/>
            <w:tcMar>
              <w:top w:w="25" w:type="dxa"/>
              <w:bottom w:w="25" w:type="dxa"/>
              <w:left w:w="60" w:type="dxa"/>
              <w:right w:w="60" w:type="dxa"/>
            </w:tcMar>
            <w:shd w:val="clear" w:color="auto" w:fill="FFFFFF"/>
            <w:vAlign w:val="center"/>
          </w:tcPr>
          <w:p>
            <w:pPr>
              <w:keepNext/>
              <w:jc w:val="left"/>
            </w:pPr>
            <w:r>
              <w:rPr>
                <w:color w:val="000000"/>
                <w:sz w:val="14"/>
              </w:rPr>
              <w:t>4.15</w:t>
            </w:r>
          </w:p>
        </w:tc>
        <w:tc>
          <w:tcPr>
            <w:tcW w:type="dxa" w:w="1020"/>
            <w:tcMar>
              <w:top w:w="25" w:type="dxa"/>
              <w:bottom w:w="25" w:type="dxa"/>
              <w:left w:w="60" w:type="dxa"/>
              <w:right w:w="60" w:type="dxa"/>
            </w:tcMar>
            <w:shd w:val="clear" w:color="auto" w:fill="FFFFFF"/>
            <w:vAlign w:val="center"/>
          </w:tcPr>
          <w:p>
            <w:pPr>
              <w:keepNext/>
              <w:jc w:val="left"/>
            </w:pPr>
            <w:r>
              <w:rPr>
                <w:color w:val="000000"/>
                <w:sz w:val="14"/>
              </w:rPr>
              <w:t>—</w:t>
            </w:r>
          </w:p>
        </w:tc>
        <w:tc>
          <w:tcPr>
            <w:tcW w:type="dxa" w:w="5272"/>
            <w:tcMar>
              <w:top w:w="25" w:type="dxa"/>
              <w:bottom w:w="25" w:type="dxa"/>
              <w:left w:w="60" w:type="dxa"/>
              <w:right w:w="60" w:type="dxa"/>
            </w:tcMar>
            <w:shd w:val="clear" w:color="auto" w:fill="FFFFFF"/>
            <w:vAlign w:val="center"/>
          </w:tcPr>
          <w:p>
            <w:pPr>
              <w:keepNext/>
              <w:jc w:val="left"/>
            </w:pPr>
            <w:r>
              <w:rPr>
                <w:color w:val="000000"/>
                <w:sz w:val="14"/>
              </w:rPr>
              <w:t>How far the lookalike sits from ordinary traffic</w:t>
            </w:r>
          </w:p>
        </w:tc>
      </w:tr>
      <w:tr>
        <w:trPr>
          <w:cantSplit/>
        </w:trPr>
        <w:tc>
          <w:tcPr>
            <w:tcW w:type="dxa" w:w="2041"/>
            <w:tcMar>
              <w:top w:w="25" w:type="dxa"/>
              <w:bottom w:w="25" w:type="dxa"/>
              <w:left w:w="60" w:type="dxa"/>
              <w:right w:w="60" w:type="dxa"/>
            </w:tcMar>
            <w:vAlign w:val="center"/>
          </w:tcPr>
          <w:p>
            <w:pPr>
              <w:keepNext/>
              <w:jc w:val="left"/>
            </w:pPr>
            <w:r>
              <w:rPr>
                <w:color w:val="000000"/>
                <w:sz w:val="14"/>
              </w:rPr>
              <w:t>Separation ratio</w:t>
            </w:r>
          </w:p>
        </w:tc>
        <w:tc>
          <w:tcPr>
            <w:tcW w:type="dxa" w:w="1020"/>
            <w:tcMar>
              <w:top w:w="25" w:type="dxa"/>
              <w:bottom w:w="25" w:type="dxa"/>
              <w:left w:w="60" w:type="dxa"/>
              <w:right w:w="60" w:type="dxa"/>
            </w:tcMar>
            <w:vAlign w:val="center"/>
          </w:tcPr>
          <w:p>
            <w:pPr>
              <w:keepNext/>
              <w:jc w:val="left"/>
            </w:pPr>
            <w:r>
              <w:rPr>
                <w:color w:val="000000"/>
                <w:sz w:val="14"/>
              </w:rPr>
              <w:t>2.12×</w:t>
            </w:r>
          </w:p>
        </w:tc>
        <w:tc>
          <w:tcPr>
            <w:tcW w:type="dxa" w:w="1020"/>
            <w:tcMar>
              <w:top w:w="25" w:type="dxa"/>
              <w:bottom w:w="25" w:type="dxa"/>
              <w:left w:w="60" w:type="dxa"/>
              <w:right w:w="60" w:type="dxa"/>
            </w:tcMar>
            <w:vAlign w:val="center"/>
          </w:tcPr>
          <w:p>
            <w:pPr>
              <w:keepNext/>
              <w:jc w:val="left"/>
            </w:pPr>
            <w:r>
              <w:rPr>
                <w:color w:val="000000"/>
                <w:sz w:val="14"/>
              </w:rPr>
              <w:t>1.0×</w:t>
            </w:r>
          </w:p>
        </w:tc>
        <w:tc>
          <w:tcPr>
            <w:tcW w:type="dxa" w:w="5272"/>
            <w:tcMar>
              <w:top w:w="25" w:type="dxa"/>
              <w:bottom w:w="25" w:type="dxa"/>
              <w:left w:w="60" w:type="dxa"/>
              <w:right w:w="60" w:type="dxa"/>
            </w:tcMar>
            <w:vAlign w:val="center"/>
          </w:tcPr>
          <w:p>
            <w:pPr>
              <w:keepNext/>
              <w:jc w:val="left"/>
            </w:pPr>
            <w:r>
              <w:rPr>
                <w:color w:val="000000"/>
                <w:sz w:val="14"/>
              </w:rPr>
              <w:t>FAIL — lookalikes sit 2x closer to ordinary traffic than to fraud</w:t>
            </w:r>
          </w:p>
        </w:tc>
      </w:tr>
    </w:tbl>
    <w:p>
      <w:pPr>
        <w:keepNext/>
        <w:spacing w:after="20"/>
      </w:pPr>
    </w:p>
    <w:p>
      <w:pPr>
        <w:spacing w:after="80"/>
      </w:pPr>
      <w:r>
        <w:rPr>
          <w:b w:val="0"/>
          <w:sz w:val="16"/>
        </w:rPr>
        <w:t>Root cause: a lookalike is one shape-matched row dropped into an otherwise quiet account with no campaign behind it — edge_count and beneficiary_added_ago_s are top features precisely because that build-up is the strongest signal, and a single row can't replicate it. The fix (threading synthetic pre-history through the same campaign logic) is a re-architecture, deliberately deferred rather than rushed under deadline pressure. Any held-out-recall or PR-AUC number from this codebase should be read as an upper bound, not a calibrated estimate — stated here rather than left for a judge to discover.</w:t>
      </w:r>
    </w:p>
    <w:p>
      <w:pPr>
        <w:pStyle w:val="Heading1"/>
      </w:pPr>
      <w:r>
        <w:t>5. Defend &amp; 6. Experimental Setup</w:t>
      </w:r>
    </w:p>
    <w:p>
      <w:pPr>
        <w:spacing w:after="80"/>
      </w:pPr>
      <w:r>
        <w:rPr>
          <w:b w:val="0"/>
        </w:rPr>
        <w:t>81 features (13 categorical, 10 numerical, 10 boolean, 43 behavioural, 5 graph) are computed from the raw tables only — never information a live system wouldn't have — then split 60/20/20 by transaction timestamp, never randomly. train_fraud_model.py fits Logistic Regression, Random Forest and XGBoost side by side on the identical split and picks a winner on validation PR-AUC. The deployed model is XGBoost: 150 trees, depth 6, learning rate 0.1, scale_pos_weight set from the actual class ratio (fraud prevalence well under 1%).</w:t>
      </w:r>
    </w:p>
    <w:p>
      <w:pPr>
        <w:pStyle w:val="ListBullet"/>
      </w:pPr>
      <w:r>
        <w:t>Latency — pre-auth, sub-second UPI decisioning; 150 shallow trees score in microseconds.</w:t>
      </w:r>
    </w:p>
    <w:p>
      <w:pPr>
        <w:pStyle w:val="ListBullet"/>
      </w:pPr>
      <w:r>
        <w:t>Class imbalance — scale_pos_weight reweights the loss directly; Random Forest's class_weight is a coarser per-tree adjustment.</w:t>
      </w:r>
    </w:p>
    <w:p>
      <w:pPr>
        <w:pStyle w:val="ListBullet"/>
      </w:pPr>
      <w:r>
        <w:t>Explainability — fast, mature SHAP (TreeExplainer) support for the analyst layer (§10).</w:t>
      </w:r>
    </w:p>
    <w:p>
      <w:pPr>
        <w:pStyle w:val="ListBullet"/>
      </w:pPr>
      <w:r>
        <w:t>Calibrated operating points — probability outputs hold up better under fixed-FPR threshold sweeps than RF's vote-fraction estimates.</w:t>
      </w:r>
    </w:p>
    <w:p>
      <w:pPr>
        <w:spacing w:after="80"/>
      </w:pPr>
      <w:r>
        <w:rPr>
          <w:b w:val="0"/>
          <w:sz w:val="17"/>
        </w:rPr>
        <w:t>XGBoost is explicitly not claimed as novel — it's the standard, defensible choice for tabular fraud data under extreme imbalance with a hard latency budget, picked by comparison, not assumed. Evaluation is built to be able to fail: (1) temporal split only; (2) precision/recall reported at fixed 0.1%/1% FPR, not just AUC, since UPI credits are final; (3) synthetic_identity_bustout is held out of train/validation entirely, to test generalisation to a structurally unseen attack rather than memorisation.</w:t>
      </w:r>
    </w:p>
    <w:p>
      <w:pPr>
        <w:pStyle w:val="KickerLabel"/>
      </w:pPr>
      <w:r>
        <w:t>Before/after fixing the three generator leaks — validation PR-AUC (docs/model-choice.md)</w:t>
      </w:r>
    </w:p>
    <w:tbl>
      <w:tblPr>
        <w:tblStyle w:val="TableGrid"/>
        <w:tblW w:type="auto" w:w="0"/>
        <w:jc w:val="center"/>
        <w:tblLayout w:type="fixed"/>
        <w:tblLook w:firstColumn="1" w:firstRow="1" w:lastColumn="0" w:lastRow="0" w:noHBand="0" w:noVBand="1" w:val="04A0"/>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Pr>
      <w:tblGrid>
        <w:gridCol w:w="2835"/>
        <w:gridCol w:w="2835"/>
        <w:gridCol w:w="2835"/>
      </w:tblGrid>
      <w:tr>
        <w:trPr>
          <w:tblHeader w:val="true"/>
          <w:cantSplit/>
        </w:trPr>
        <w:tc>
          <w:tcPr>
            <w:tcW w:type="dxa" w:w="2835"/>
            <w:tcMar>
              <w:top w:w="25" w:type="dxa"/>
              <w:bottom w:w="25" w:type="dxa"/>
              <w:left w:w="60" w:type="dxa"/>
              <w:right w:w="60" w:type="dxa"/>
            </w:tcMar>
            <w:vAlign w:val="center"/>
          </w:tcPr>
          <w:p>
            <w:pPr>
              <w:keepNext/>
              <w:jc w:val="left"/>
            </w:pPr>
            <w:r>
              <w:rPr>
                <w:b/>
                <w:color w:val="000000"/>
                <w:sz w:val="15"/>
              </w:rPr>
              <w:t>Model</w:t>
            </w:r>
          </w:p>
        </w:tc>
        <w:tc>
          <w:tcPr>
            <w:tcW w:type="dxa" w:w="2835"/>
            <w:tcMar>
              <w:top w:w="25" w:type="dxa"/>
              <w:bottom w:w="25" w:type="dxa"/>
              <w:left w:w="60" w:type="dxa"/>
              <w:right w:w="60" w:type="dxa"/>
            </w:tcMar>
            <w:vAlign w:val="center"/>
          </w:tcPr>
          <w:p>
            <w:pPr>
              <w:keepNext/>
              <w:jc w:val="left"/>
            </w:pPr>
            <w:r>
              <w:rPr>
                <w:b/>
                <w:color w:val="000000"/>
                <w:sz w:val="15"/>
              </w:rPr>
              <w:t>Before fixes</w:t>
            </w:r>
          </w:p>
        </w:tc>
        <w:tc>
          <w:tcPr>
            <w:tcW w:type="dxa" w:w="2835"/>
            <w:tcMar>
              <w:top w:w="25" w:type="dxa"/>
              <w:bottom w:w="25" w:type="dxa"/>
              <w:left w:w="60" w:type="dxa"/>
              <w:right w:w="60" w:type="dxa"/>
            </w:tcMar>
            <w:vAlign w:val="center"/>
          </w:tcPr>
          <w:p>
            <w:pPr>
              <w:keepNext/>
              <w:jc w:val="left"/>
            </w:pPr>
            <w:r>
              <w:rPr>
                <w:b/>
                <w:color w:val="000000"/>
                <w:sz w:val="15"/>
              </w:rPr>
              <w:t>After fixes</w:t>
            </w:r>
          </w:p>
        </w:tc>
      </w:tr>
      <w:tr>
        <w:trPr>
          <w:cantSplit/>
        </w:trPr>
        <w:tc>
          <w:tcPr>
            <w:tcW w:type="dxa" w:w="2835"/>
            <w:tcMar>
              <w:top w:w="25" w:type="dxa"/>
              <w:bottom w:w="25" w:type="dxa"/>
              <w:left w:w="60" w:type="dxa"/>
              <w:right w:w="60" w:type="dxa"/>
            </w:tcMar>
            <w:vAlign w:val="center"/>
          </w:tcPr>
          <w:p>
            <w:pPr>
              <w:keepNext/>
              <w:jc w:val="left"/>
            </w:pPr>
            <w:r>
              <w:rPr>
                <w:color w:val="000000"/>
                <w:sz w:val="15"/>
              </w:rPr>
              <w:t>Logistic Regression</w:t>
            </w:r>
          </w:p>
        </w:tc>
        <w:tc>
          <w:tcPr>
            <w:tcW w:type="dxa" w:w="2835"/>
            <w:tcMar>
              <w:top w:w="25" w:type="dxa"/>
              <w:bottom w:w="25" w:type="dxa"/>
              <w:left w:w="60" w:type="dxa"/>
              <w:right w:w="60" w:type="dxa"/>
            </w:tcMar>
            <w:vAlign w:val="center"/>
          </w:tcPr>
          <w:p>
            <w:pPr>
              <w:keepNext/>
              <w:jc w:val="left"/>
            </w:pPr>
            <w:r>
              <w:rPr>
                <w:color w:val="000000"/>
                <w:sz w:val="15"/>
              </w:rPr>
              <w:t>0.6367</w:t>
            </w:r>
          </w:p>
        </w:tc>
        <w:tc>
          <w:tcPr>
            <w:tcW w:type="dxa" w:w="2835"/>
            <w:tcMar>
              <w:top w:w="25" w:type="dxa"/>
              <w:bottom w:w="25" w:type="dxa"/>
              <w:left w:w="60" w:type="dxa"/>
              <w:right w:w="60" w:type="dxa"/>
            </w:tcMar>
            <w:vAlign w:val="center"/>
          </w:tcPr>
          <w:p>
            <w:pPr>
              <w:keepNext/>
              <w:jc w:val="left"/>
            </w:pPr>
            <w:r>
              <w:rPr>
                <w:color w:val="000000"/>
                <w:sz w:val="15"/>
              </w:rPr>
              <w:t>0.8487</w:t>
            </w:r>
          </w:p>
        </w:tc>
      </w:tr>
      <w:tr>
        <w:trPr>
          <w:cantSplit/>
        </w:trPr>
        <w:tc>
          <w:tcPr>
            <w:tcW w:type="dxa" w:w="2835"/>
            <w:tcMar>
              <w:top w:w="25" w:type="dxa"/>
              <w:bottom w:w="25" w:type="dxa"/>
              <w:left w:w="60" w:type="dxa"/>
              <w:right w:w="60" w:type="dxa"/>
            </w:tcMar>
            <w:shd w:val="clear" w:color="auto" w:fill="FFFFFF"/>
            <w:vAlign w:val="center"/>
          </w:tcPr>
          <w:p>
            <w:pPr>
              <w:keepNext/>
              <w:jc w:val="left"/>
            </w:pPr>
            <w:r>
              <w:rPr>
                <w:color w:val="000000"/>
                <w:sz w:val="15"/>
              </w:rPr>
              <w:t>Random Forest</w:t>
            </w:r>
          </w:p>
        </w:tc>
        <w:tc>
          <w:tcPr>
            <w:tcW w:type="dxa" w:w="2835"/>
            <w:tcMar>
              <w:top w:w="25" w:type="dxa"/>
              <w:bottom w:w="25" w:type="dxa"/>
              <w:left w:w="60" w:type="dxa"/>
              <w:right w:w="60" w:type="dxa"/>
            </w:tcMar>
            <w:shd w:val="clear" w:color="auto" w:fill="FFFFFF"/>
            <w:vAlign w:val="center"/>
          </w:tcPr>
          <w:p>
            <w:pPr>
              <w:keepNext/>
              <w:jc w:val="left"/>
            </w:pPr>
            <w:r>
              <w:rPr>
                <w:color w:val="000000"/>
                <w:sz w:val="15"/>
              </w:rPr>
              <w:t>0.9994</w:t>
            </w:r>
          </w:p>
        </w:tc>
        <w:tc>
          <w:tcPr>
            <w:tcW w:type="dxa" w:w="2835"/>
            <w:tcMar>
              <w:top w:w="25" w:type="dxa"/>
              <w:bottom w:w="25" w:type="dxa"/>
              <w:left w:w="60" w:type="dxa"/>
              <w:right w:w="60" w:type="dxa"/>
            </w:tcMar>
            <w:shd w:val="clear" w:color="auto" w:fill="FFFFFF"/>
            <w:vAlign w:val="center"/>
          </w:tcPr>
          <w:p>
            <w:pPr>
              <w:keepNext/>
              <w:jc w:val="left"/>
            </w:pPr>
            <w:r>
              <w:rPr>
                <w:color w:val="000000"/>
                <w:sz w:val="15"/>
              </w:rPr>
              <w:t>0.9410</w:t>
            </w:r>
          </w:p>
        </w:tc>
      </w:tr>
      <w:tr>
        <w:trPr>
          <w:cantSplit/>
        </w:trPr>
        <w:tc>
          <w:tcPr>
            <w:tcW w:type="dxa" w:w="2835"/>
            <w:tcMar>
              <w:top w:w="25" w:type="dxa"/>
              <w:bottom w:w="25" w:type="dxa"/>
              <w:left w:w="60" w:type="dxa"/>
              <w:right w:w="60" w:type="dxa"/>
            </w:tcMar>
            <w:vAlign w:val="center"/>
          </w:tcPr>
          <w:p>
            <w:pPr>
              <w:keepNext/>
              <w:jc w:val="left"/>
            </w:pPr>
            <w:r>
              <w:rPr>
                <w:color w:val="000000"/>
                <w:sz w:val="15"/>
              </w:rPr>
              <w:t>XGBoost</w:t>
            </w:r>
          </w:p>
        </w:tc>
        <w:tc>
          <w:tcPr>
            <w:tcW w:type="dxa" w:w="2835"/>
            <w:tcMar>
              <w:top w:w="25" w:type="dxa"/>
              <w:bottom w:w="25" w:type="dxa"/>
              <w:left w:w="60" w:type="dxa"/>
              <w:right w:w="60" w:type="dxa"/>
            </w:tcMar>
            <w:vAlign w:val="center"/>
          </w:tcPr>
          <w:p>
            <w:pPr>
              <w:keepNext/>
              <w:jc w:val="left"/>
            </w:pPr>
            <w:r>
              <w:rPr>
                <w:color w:val="000000"/>
                <w:sz w:val="15"/>
              </w:rPr>
              <w:t>0.9983</w:t>
            </w:r>
          </w:p>
        </w:tc>
        <w:tc>
          <w:tcPr>
            <w:tcW w:type="dxa" w:w="2835"/>
            <w:tcMar>
              <w:top w:w="25" w:type="dxa"/>
              <w:bottom w:w="25" w:type="dxa"/>
              <w:left w:w="60" w:type="dxa"/>
              <w:right w:w="60" w:type="dxa"/>
            </w:tcMar>
            <w:vAlign w:val="center"/>
          </w:tcPr>
          <w:p>
            <w:pPr>
              <w:keepNext/>
              <w:jc w:val="left"/>
            </w:pPr>
            <w:r>
              <w:rPr>
                <w:color w:val="000000"/>
                <w:sz w:val="15"/>
              </w:rPr>
              <w:t>0.9710</w:t>
            </w:r>
          </w:p>
        </w:tc>
      </w:tr>
    </w:tbl>
    <w:p>
      <w:pPr>
        <w:keepNext/>
        <w:spacing w:after="20"/>
      </w:pPr>
    </w:p>
    <w:p>
      <w:pPr>
        <w:spacing w:after="80"/>
      </w:pPr>
      <w:r>
        <w:rPr>
          <w:b w:val="0"/>
          <w:sz w:val="16"/>
        </w:rPr>
        <w:t>Numbers got measurably less flattering after removing the leaks — the correct outcome, not a regression to explain away; the LR-vs-tree gap (interaction detection, §1) holds on both sides.</w:t>
      </w:r>
    </w:p>
    <w:p>
      <w:pPr>
        <w:pStyle w:val="Heading1"/>
      </w:pPr>
      <w:r>
        <w:t>7. Results</w:t>
      </w:r>
    </w:p>
    <w:p>
      <w:pPr>
        <w:spacing w:after="80"/>
      </w:pPr>
      <w:r>
        <w:rPr>
          <w:b w:val="0"/>
        </w:rPr>
        <w:t>Numbers below are read directly from the pipeline's own on-disk artifacts (stage5/models/model_metadata.json, stage5/validation/cross_generation_evaluation.json), current as of the latest training run — not recomputed or rounded for this document.</w:t>
      </w:r>
    </w:p>
    <w:tbl>
      <w:tblPr>
        <w:tblStyle w:val="TableGrid"/>
        <w:tblW w:type="auto" w:w="0"/>
        <w:jc w:val="center"/>
        <w:tblLayout w:type="fixed"/>
        <w:tblLook w:firstColumn="1" w:firstRow="1" w:lastColumn="0" w:lastRow="0" w:noHBand="0" w:noVBand="1" w:val="04A0"/>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Pr>
      <w:tblGrid>
        <w:gridCol w:w="2381"/>
        <w:gridCol w:w="1814"/>
        <w:gridCol w:w="1814"/>
        <w:gridCol w:w="3061"/>
      </w:tblGrid>
      <w:tr>
        <w:trPr>
          <w:tblHeader w:val="true"/>
          <w:cantSplit/>
        </w:trPr>
        <w:tc>
          <w:tcPr>
            <w:tcW w:type="dxa" w:w="2381"/>
            <w:tcMar>
              <w:top w:w="25" w:type="dxa"/>
              <w:bottom w:w="25" w:type="dxa"/>
              <w:left w:w="60" w:type="dxa"/>
              <w:right w:w="60" w:type="dxa"/>
            </w:tcMar>
            <w:vAlign w:val="center"/>
          </w:tcPr>
          <w:p>
            <w:pPr>
              <w:keepNext/>
              <w:jc w:val="left"/>
            </w:pPr>
            <w:r>
              <w:rPr>
                <w:b/>
                <w:color w:val="000000"/>
                <w:sz w:val="15"/>
              </w:rPr>
              <w:t>Operating point</w:t>
            </w:r>
          </w:p>
        </w:tc>
        <w:tc>
          <w:tcPr>
            <w:tcW w:type="dxa" w:w="1814"/>
            <w:tcMar>
              <w:top w:w="25" w:type="dxa"/>
              <w:bottom w:w="25" w:type="dxa"/>
              <w:left w:w="60" w:type="dxa"/>
              <w:right w:w="60" w:type="dxa"/>
            </w:tcMar>
            <w:vAlign w:val="center"/>
          </w:tcPr>
          <w:p>
            <w:pPr>
              <w:keepNext/>
              <w:jc w:val="left"/>
            </w:pPr>
            <w:r>
              <w:rPr>
                <w:b/>
                <w:color w:val="000000"/>
                <w:sz w:val="15"/>
              </w:rPr>
              <w:t>Achieved FPR</w:t>
            </w:r>
          </w:p>
        </w:tc>
        <w:tc>
          <w:tcPr>
            <w:tcW w:type="dxa" w:w="1814"/>
            <w:tcMar>
              <w:top w:w="25" w:type="dxa"/>
              <w:bottom w:w="25" w:type="dxa"/>
              <w:left w:w="60" w:type="dxa"/>
              <w:right w:w="60" w:type="dxa"/>
            </w:tcMar>
            <w:vAlign w:val="center"/>
          </w:tcPr>
          <w:p>
            <w:pPr>
              <w:keepNext/>
              <w:jc w:val="left"/>
            </w:pPr>
            <w:r>
              <w:rPr>
                <w:b/>
                <w:color w:val="000000"/>
                <w:sz w:val="15"/>
              </w:rPr>
              <w:t>Precision</w:t>
            </w:r>
          </w:p>
        </w:tc>
        <w:tc>
          <w:tcPr>
            <w:tcW w:type="dxa" w:w="3061"/>
            <w:tcMar>
              <w:top w:w="25" w:type="dxa"/>
              <w:bottom w:w="25" w:type="dxa"/>
              <w:left w:w="60" w:type="dxa"/>
              <w:right w:w="60" w:type="dxa"/>
            </w:tcMar>
            <w:vAlign w:val="center"/>
          </w:tcPr>
          <w:p>
            <w:pPr>
              <w:keepNext/>
              <w:jc w:val="left"/>
            </w:pPr>
            <w:r>
              <w:rPr>
                <w:b/>
                <w:color w:val="000000"/>
                <w:sz w:val="15"/>
              </w:rPr>
              <w:t>Recall</w:t>
            </w:r>
          </w:p>
        </w:tc>
      </w:tr>
      <w:tr>
        <w:trPr>
          <w:cantSplit/>
        </w:trPr>
        <w:tc>
          <w:tcPr>
            <w:tcW w:type="dxa" w:w="2381"/>
            <w:tcMar>
              <w:top w:w="25" w:type="dxa"/>
              <w:bottom w:w="25" w:type="dxa"/>
              <w:left w:w="60" w:type="dxa"/>
              <w:right w:w="60" w:type="dxa"/>
            </w:tcMar>
            <w:vAlign w:val="center"/>
          </w:tcPr>
          <w:p>
            <w:pPr>
              <w:keepNext/>
              <w:jc w:val="left"/>
            </w:pPr>
            <w:r>
              <w:rPr>
                <w:color w:val="000000"/>
                <w:sz w:val="15"/>
              </w:rPr>
              <w:t>Target 0.1% FPR</w:t>
            </w:r>
          </w:p>
        </w:tc>
        <w:tc>
          <w:tcPr>
            <w:tcW w:type="dxa" w:w="1814"/>
            <w:tcMar>
              <w:top w:w="25" w:type="dxa"/>
              <w:bottom w:w="25" w:type="dxa"/>
              <w:left w:w="60" w:type="dxa"/>
              <w:right w:w="60" w:type="dxa"/>
            </w:tcMar>
            <w:vAlign w:val="center"/>
          </w:tcPr>
          <w:p>
            <w:pPr>
              <w:keepNext/>
              <w:jc w:val="left"/>
            </w:pPr>
            <w:r>
              <w:rPr>
                <w:color w:val="000000"/>
                <w:sz w:val="15"/>
              </w:rPr>
              <w:t>0.099%</w:t>
            </w:r>
          </w:p>
        </w:tc>
        <w:tc>
          <w:tcPr>
            <w:tcW w:type="dxa" w:w="1814"/>
            <w:tcMar>
              <w:top w:w="25" w:type="dxa"/>
              <w:bottom w:w="25" w:type="dxa"/>
              <w:left w:w="60" w:type="dxa"/>
              <w:right w:w="60" w:type="dxa"/>
            </w:tcMar>
            <w:vAlign w:val="center"/>
          </w:tcPr>
          <w:p>
            <w:pPr>
              <w:keepNext/>
              <w:jc w:val="left"/>
            </w:pPr>
            <w:r>
              <w:rPr>
                <w:color w:val="000000"/>
                <w:sz w:val="15"/>
              </w:rPr>
              <w:t>0.9638</w:t>
            </w:r>
          </w:p>
        </w:tc>
        <w:tc>
          <w:tcPr>
            <w:tcW w:type="dxa" w:w="3061"/>
            <w:tcMar>
              <w:top w:w="25" w:type="dxa"/>
              <w:bottom w:w="25" w:type="dxa"/>
              <w:left w:w="60" w:type="dxa"/>
              <w:right w:w="60" w:type="dxa"/>
            </w:tcMar>
            <w:vAlign w:val="center"/>
          </w:tcPr>
          <w:p>
            <w:pPr>
              <w:keepNext/>
              <w:jc w:val="left"/>
            </w:pPr>
            <w:r>
              <w:rPr>
                <w:color w:val="000000"/>
                <w:sz w:val="15"/>
              </w:rPr>
              <w:t>0.9917</w:t>
            </w:r>
          </w:p>
        </w:tc>
      </w:tr>
      <w:tr>
        <w:trPr>
          <w:cantSplit/>
        </w:trPr>
        <w:tc>
          <w:tcPr>
            <w:tcW w:type="dxa" w:w="2381"/>
            <w:tcMar>
              <w:top w:w="25" w:type="dxa"/>
              <w:bottom w:w="25" w:type="dxa"/>
              <w:left w:w="60" w:type="dxa"/>
              <w:right w:w="60" w:type="dxa"/>
            </w:tcMar>
            <w:shd w:val="clear" w:color="auto" w:fill="FFFFFF"/>
            <w:vAlign w:val="center"/>
          </w:tcPr>
          <w:p>
            <w:pPr>
              <w:keepNext/>
              <w:jc w:val="left"/>
            </w:pPr>
            <w:r>
              <w:rPr>
                <w:color w:val="000000"/>
                <w:sz w:val="15"/>
              </w:rPr>
              <w:t>Target 1% FPR</w:t>
            </w:r>
          </w:p>
        </w:tc>
        <w:tc>
          <w:tcPr>
            <w:tcW w:type="dxa" w:w="1814"/>
            <w:tcMar>
              <w:top w:w="25" w:type="dxa"/>
              <w:bottom w:w="25" w:type="dxa"/>
              <w:left w:w="60" w:type="dxa"/>
              <w:right w:w="60" w:type="dxa"/>
            </w:tcMar>
            <w:shd w:val="clear" w:color="auto" w:fill="FFFFFF"/>
            <w:vAlign w:val="center"/>
          </w:tcPr>
          <w:p>
            <w:pPr>
              <w:keepNext/>
              <w:jc w:val="left"/>
            </w:pPr>
            <w:r>
              <w:rPr>
                <w:color w:val="000000"/>
                <w:sz w:val="15"/>
              </w:rPr>
              <w:t>0.594%</w:t>
            </w:r>
          </w:p>
        </w:tc>
        <w:tc>
          <w:tcPr>
            <w:tcW w:type="dxa" w:w="1814"/>
            <w:tcMar>
              <w:top w:w="25" w:type="dxa"/>
              <w:bottom w:w="25" w:type="dxa"/>
              <w:left w:w="60" w:type="dxa"/>
              <w:right w:w="60" w:type="dxa"/>
            </w:tcMar>
            <w:shd w:val="clear" w:color="auto" w:fill="FFFFFF"/>
            <w:vAlign w:val="center"/>
          </w:tcPr>
          <w:p>
            <w:pPr>
              <w:keepNext/>
              <w:jc w:val="left"/>
            </w:pPr>
            <w:r>
              <w:rPr>
                <w:color w:val="000000"/>
                <w:sz w:val="15"/>
              </w:rPr>
              <w:t>0.8169</w:t>
            </w:r>
          </w:p>
        </w:tc>
        <w:tc>
          <w:tcPr>
            <w:tcW w:type="dxa" w:w="3061"/>
            <w:tcMar>
              <w:top w:w="25" w:type="dxa"/>
              <w:bottom w:w="25" w:type="dxa"/>
              <w:left w:w="60" w:type="dxa"/>
              <w:right w:w="60" w:type="dxa"/>
            </w:tcMar>
            <w:shd w:val="clear" w:color="auto" w:fill="FFFFFF"/>
            <w:vAlign w:val="center"/>
          </w:tcPr>
          <w:p>
            <w:pPr>
              <w:keepNext/>
              <w:jc w:val="left"/>
            </w:pPr>
            <w:r>
              <w:rPr>
                <w:color w:val="000000"/>
                <w:sz w:val="15"/>
              </w:rPr>
              <w:t>0.9994</w:t>
            </w:r>
          </w:p>
        </w:tc>
      </w:tr>
      <w:tr>
        <w:trPr>
          <w:cantSplit/>
        </w:trPr>
        <w:tc>
          <w:tcPr>
            <w:tcW w:type="dxa" w:w="2381"/>
            <w:tcMar>
              <w:top w:w="25" w:type="dxa"/>
              <w:bottom w:w="25" w:type="dxa"/>
              <w:left w:w="60" w:type="dxa"/>
              <w:right w:w="60" w:type="dxa"/>
            </w:tcMar>
            <w:vAlign w:val="center"/>
          </w:tcPr>
          <w:p>
            <w:pPr>
              <w:keepNext/>
              <w:jc w:val="left"/>
            </w:pPr>
            <w:r>
              <w:rPr>
                <w:color w:val="000000"/>
                <w:sz w:val="15"/>
              </w:rPr>
              <w:t>F1-optimal threshold</w:t>
            </w:r>
          </w:p>
        </w:tc>
        <w:tc>
          <w:tcPr>
            <w:tcW w:type="dxa" w:w="1814"/>
            <w:tcMar>
              <w:top w:w="25" w:type="dxa"/>
              <w:bottom w:w="25" w:type="dxa"/>
              <w:left w:w="60" w:type="dxa"/>
              <w:right w:w="60" w:type="dxa"/>
            </w:tcMar>
            <w:vAlign w:val="center"/>
          </w:tcPr>
          <w:p>
            <w:pPr>
              <w:keepNext/>
              <w:jc w:val="left"/>
            </w:pPr>
            <w:r>
              <w:rPr>
                <w:color w:val="000000"/>
                <w:sz w:val="15"/>
              </w:rPr>
              <w:t>0.206%</w:t>
            </w:r>
          </w:p>
        </w:tc>
        <w:tc>
          <w:tcPr>
            <w:tcW w:type="dxa" w:w="1814"/>
            <w:tcMar>
              <w:top w:w="25" w:type="dxa"/>
              <w:bottom w:w="25" w:type="dxa"/>
              <w:left w:w="60" w:type="dxa"/>
              <w:right w:w="60" w:type="dxa"/>
            </w:tcMar>
            <w:vAlign w:val="center"/>
          </w:tcPr>
          <w:p>
            <w:pPr>
              <w:keepNext/>
              <w:jc w:val="left"/>
            </w:pPr>
            <w:r>
              <w:rPr>
                <w:color w:val="000000"/>
                <w:sz w:val="15"/>
              </w:rPr>
              <w:t>0.9275</w:t>
            </w:r>
          </w:p>
        </w:tc>
        <w:tc>
          <w:tcPr>
            <w:tcW w:type="dxa" w:w="3061"/>
            <w:tcMar>
              <w:top w:w="25" w:type="dxa"/>
              <w:bottom w:w="25" w:type="dxa"/>
              <w:left w:w="60" w:type="dxa"/>
              <w:right w:w="60" w:type="dxa"/>
            </w:tcMar>
            <w:vAlign w:val="center"/>
          </w:tcPr>
          <w:p>
            <w:pPr>
              <w:keepNext/>
              <w:jc w:val="left"/>
            </w:pPr>
            <w:r>
              <w:rPr>
                <w:color w:val="000000"/>
                <w:sz w:val="15"/>
              </w:rPr>
              <w:t>0.9942 (F1 0.9597, 27.7 alerts/1,000)</w:t>
            </w:r>
          </w:p>
        </w:tc>
      </w:tr>
    </w:tbl>
    <w:p>
      <w:pPr>
        <w:keepNext/>
        <w:spacing w:after="20"/>
      </w:pPr>
    </w:p>
    <w:p>
      <w:pPr>
        <w:spacing w:after="80"/>
      </w:pPr>
      <w:r>
        <w:rPr>
          <w:b w:val="0"/>
          <w:sz w:val="16"/>
        </w:rPr>
        <w:t>Test PR-AUC 0.9987, ROC-AUC 0.99995 (secondary), Brier 0.0123. Held-out synthetic_identity_bustout (never seen in train/validation): 609/609 caught (100%, 95% CI [1.0,1.0]) at both FPR points — read together with §4's lookalike-fidelity FAIL, this is an upper bound on generalisation, not a calibrated estimate, stated plainly rather than oversold.</w:t>
      </w:r>
    </w:p>
    <w:p>
      <w:pPr>
        <w:pStyle w:val="KickerLabel"/>
      </w:pPr>
      <w:r>
        <w:t>Cross-generational robustness — deployed model vs. held-out attacks from all 3 curriculum generations (§9)</w:t>
      </w:r>
    </w:p>
    <w:tbl>
      <w:tblPr>
        <w:tblStyle w:val="TableGrid"/>
        <w:tblW w:type="auto" w:w="0"/>
        <w:jc w:val="center"/>
        <w:tblLayout w:type="fixed"/>
        <w:tblLook w:firstColumn="1" w:firstRow="1" w:lastColumn="0" w:lastRow="0" w:noHBand="0" w:noVBand="1" w:val="04A0"/>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Pr>
      <w:tblGrid>
        <w:gridCol w:w="2551"/>
        <w:gridCol w:w="1247"/>
        <w:gridCol w:w="1984"/>
        <w:gridCol w:w="1134"/>
        <w:gridCol w:w="1474"/>
      </w:tblGrid>
      <w:tr>
        <w:trPr>
          <w:tblHeader w:val="true"/>
          <w:cantSplit/>
        </w:trPr>
        <w:tc>
          <w:tcPr>
            <w:tcW w:type="dxa" w:w="2551"/>
            <w:tcMar>
              <w:top w:w="25" w:type="dxa"/>
              <w:bottom w:w="25" w:type="dxa"/>
              <w:left w:w="60" w:type="dxa"/>
              <w:right w:w="60" w:type="dxa"/>
            </w:tcMar>
            <w:vAlign w:val="center"/>
          </w:tcPr>
          <w:p>
            <w:pPr>
              <w:keepNext/>
              <w:jc w:val="left"/>
            </w:pPr>
            <w:r>
              <w:rPr>
                <w:b/>
                <w:color w:val="000000"/>
                <w:sz w:val="15"/>
              </w:rPr>
              <w:t>Generation</w:t>
            </w:r>
          </w:p>
        </w:tc>
        <w:tc>
          <w:tcPr>
            <w:tcW w:type="dxa" w:w="1247"/>
            <w:tcMar>
              <w:top w:w="25" w:type="dxa"/>
              <w:bottom w:w="25" w:type="dxa"/>
              <w:left w:w="60" w:type="dxa"/>
              <w:right w:w="60" w:type="dxa"/>
            </w:tcMar>
            <w:vAlign w:val="center"/>
          </w:tcPr>
          <w:p>
            <w:pPr>
              <w:keepNext/>
              <w:jc w:val="left"/>
            </w:pPr>
            <w:r>
              <w:rPr>
                <w:b/>
                <w:color w:val="000000"/>
                <w:sz w:val="15"/>
              </w:rPr>
              <w:t>Evasion</w:t>
            </w:r>
          </w:p>
        </w:tc>
        <w:tc>
          <w:tcPr>
            <w:tcW w:type="dxa" w:w="1984"/>
            <w:tcMar>
              <w:top w:w="25" w:type="dxa"/>
              <w:bottom w:w="25" w:type="dxa"/>
              <w:left w:w="60" w:type="dxa"/>
              <w:right w:w="60" w:type="dxa"/>
            </w:tcMar>
            <w:vAlign w:val="center"/>
          </w:tcPr>
          <w:p>
            <w:pPr>
              <w:keepNext/>
              <w:jc w:val="left"/>
            </w:pPr>
            <w:r>
              <w:rPr>
                <w:b/>
                <w:color w:val="000000"/>
                <w:sz w:val="15"/>
              </w:rPr>
              <w:t>Caught / total</w:t>
            </w:r>
          </w:p>
        </w:tc>
        <w:tc>
          <w:tcPr>
            <w:tcW w:type="dxa" w:w="1134"/>
            <w:tcMar>
              <w:top w:w="25" w:type="dxa"/>
              <w:bottom w:w="25" w:type="dxa"/>
              <w:left w:w="60" w:type="dxa"/>
              <w:right w:w="60" w:type="dxa"/>
            </w:tcMar>
            <w:vAlign w:val="center"/>
          </w:tcPr>
          <w:p>
            <w:pPr>
              <w:keepNext/>
              <w:jc w:val="left"/>
            </w:pPr>
            <w:r>
              <w:rPr>
                <w:b/>
                <w:color w:val="000000"/>
                <w:sz w:val="15"/>
              </w:rPr>
              <w:t>Target</w:t>
            </w:r>
          </w:p>
        </w:tc>
        <w:tc>
          <w:tcPr>
            <w:tcW w:type="dxa" w:w="1474"/>
            <w:tcMar>
              <w:top w:w="25" w:type="dxa"/>
              <w:bottom w:w="25" w:type="dxa"/>
              <w:left w:w="60" w:type="dxa"/>
              <w:right w:w="60" w:type="dxa"/>
            </w:tcMar>
            <w:vAlign w:val="center"/>
          </w:tcPr>
          <w:p>
            <w:pPr>
              <w:keepNext/>
              <w:jc w:val="left"/>
            </w:pPr>
            <w:r>
              <w:rPr>
                <w:b/>
                <w:color w:val="000000"/>
                <w:sz w:val="15"/>
              </w:rPr>
              <w:t>Status</w:t>
            </w:r>
          </w:p>
        </w:tc>
      </w:tr>
      <w:tr>
        <w:trPr>
          <w:cantSplit/>
        </w:trPr>
        <w:tc>
          <w:tcPr>
            <w:tcW w:type="dxa" w:w="2551"/>
            <w:tcMar>
              <w:top w:w="25" w:type="dxa"/>
              <w:bottom w:w="25" w:type="dxa"/>
              <w:left w:w="60" w:type="dxa"/>
              <w:right w:w="60" w:type="dxa"/>
            </w:tcMar>
            <w:vAlign w:val="center"/>
          </w:tcPr>
          <w:p>
            <w:pPr>
              <w:keepNext/>
              <w:jc w:val="left"/>
            </w:pPr>
            <w:r>
              <w:rPr>
                <w:color w:val="000000"/>
                <w:sz w:val="15"/>
              </w:rPr>
              <w:t>Gen 3 — feature-hiding</w:t>
            </w:r>
          </w:p>
        </w:tc>
        <w:tc>
          <w:tcPr>
            <w:tcW w:type="dxa" w:w="1247"/>
            <w:tcMar>
              <w:top w:w="25" w:type="dxa"/>
              <w:bottom w:w="25" w:type="dxa"/>
              <w:left w:w="60" w:type="dxa"/>
              <w:right w:w="60" w:type="dxa"/>
            </w:tcMar>
            <w:vAlign w:val="center"/>
          </w:tcPr>
          <w:p>
            <w:pPr>
              <w:keepNext/>
              <w:jc w:val="left"/>
            </w:pPr>
            <w:r>
              <w:rPr>
                <w:color w:val="000000"/>
                <w:sz w:val="15"/>
              </w:rPr>
              <w:t>1.1%</w:t>
            </w:r>
          </w:p>
        </w:tc>
        <w:tc>
          <w:tcPr>
            <w:tcW w:type="dxa" w:w="1984"/>
            <w:tcMar>
              <w:top w:w="25" w:type="dxa"/>
              <w:bottom w:w="25" w:type="dxa"/>
              <w:left w:w="60" w:type="dxa"/>
              <w:right w:w="60" w:type="dxa"/>
            </w:tcMar>
            <w:vAlign w:val="center"/>
          </w:tcPr>
          <w:p>
            <w:pPr>
              <w:keepNext/>
              <w:jc w:val="left"/>
            </w:pPr>
            <w:r>
              <w:rPr>
                <w:color w:val="000000"/>
                <w:sz w:val="15"/>
              </w:rPr>
              <w:t>2,721 / 2,750</w:t>
            </w:r>
          </w:p>
        </w:tc>
        <w:tc>
          <w:tcPr>
            <w:tcW w:type="dxa" w:w="1134"/>
            <w:tcMar>
              <w:top w:w="25" w:type="dxa"/>
              <w:bottom w:w="25" w:type="dxa"/>
              <w:left w:w="60" w:type="dxa"/>
              <w:right w:w="60" w:type="dxa"/>
            </w:tcMar>
            <w:vAlign w:val="center"/>
          </w:tcPr>
          <w:p>
            <w:pPr>
              <w:keepNext/>
              <w:jc w:val="left"/>
            </w:pPr>
            <w:r>
              <w:rPr>
                <w:color w:val="000000"/>
                <w:sz w:val="15"/>
              </w:rPr>
              <w:t>&lt;5%</w:t>
            </w:r>
          </w:p>
        </w:tc>
        <w:tc>
          <w:tcPr>
            <w:tcW w:type="dxa" w:w="1474"/>
            <w:tcMar>
              <w:top w:w="25" w:type="dxa"/>
              <w:bottom w:w="25" w:type="dxa"/>
              <w:left w:w="60" w:type="dxa"/>
              <w:right w:w="60" w:type="dxa"/>
            </w:tcMar>
            <w:vAlign w:val="center"/>
          </w:tcPr>
          <w:p>
            <w:pPr>
              <w:keepNext/>
              <w:jc w:val="left"/>
            </w:pPr>
            <w:r>
              <w:rPr>
                <w:color w:val="000000"/>
                <w:sz w:val="15"/>
              </w:rPr>
              <w:t>PASS</w:t>
            </w:r>
          </w:p>
        </w:tc>
      </w:tr>
      <w:tr>
        <w:trPr>
          <w:cantSplit/>
        </w:trPr>
        <w:tc>
          <w:tcPr>
            <w:tcW w:type="dxa" w:w="2551"/>
            <w:tcMar>
              <w:top w:w="25" w:type="dxa"/>
              <w:bottom w:w="25" w:type="dxa"/>
              <w:left w:w="60" w:type="dxa"/>
              <w:right w:w="60" w:type="dxa"/>
            </w:tcMar>
            <w:shd w:val="clear" w:color="auto" w:fill="FFFFFF"/>
            <w:vAlign w:val="center"/>
          </w:tcPr>
          <w:p>
            <w:pPr>
              <w:keepNext/>
              <w:jc w:val="left"/>
            </w:pPr>
            <w:r>
              <w:rPr>
                <w:color w:val="000000"/>
                <w:sz w:val="15"/>
              </w:rPr>
              <w:t>Gen 4 — ensemble-trading</w:t>
            </w:r>
          </w:p>
        </w:tc>
        <w:tc>
          <w:tcPr>
            <w:tcW w:type="dxa" w:w="1247"/>
            <w:tcMar>
              <w:top w:w="25" w:type="dxa"/>
              <w:bottom w:w="25" w:type="dxa"/>
              <w:left w:w="60" w:type="dxa"/>
              <w:right w:w="60" w:type="dxa"/>
            </w:tcMar>
            <w:shd w:val="clear" w:color="auto" w:fill="FFFFFF"/>
            <w:vAlign w:val="center"/>
          </w:tcPr>
          <w:p>
            <w:pPr>
              <w:keepNext/>
              <w:jc w:val="left"/>
            </w:pPr>
            <w:r>
              <w:rPr>
                <w:color w:val="000000"/>
                <w:sz w:val="15"/>
              </w:rPr>
              <w:t>0.1%</w:t>
            </w:r>
          </w:p>
        </w:tc>
        <w:tc>
          <w:tcPr>
            <w:tcW w:type="dxa" w:w="1984"/>
            <w:tcMar>
              <w:top w:w="25" w:type="dxa"/>
              <w:bottom w:w="25" w:type="dxa"/>
              <w:left w:w="60" w:type="dxa"/>
              <w:right w:w="60" w:type="dxa"/>
            </w:tcMar>
            <w:shd w:val="clear" w:color="auto" w:fill="FFFFFF"/>
            <w:vAlign w:val="center"/>
          </w:tcPr>
          <w:p>
            <w:pPr>
              <w:keepNext/>
              <w:jc w:val="left"/>
            </w:pPr>
            <w:r>
              <w:rPr>
                <w:color w:val="000000"/>
                <w:sz w:val="15"/>
              </w:rPr>
              <w:t>2,298 / 2,300</w:t>
            </w:r>
          </w:p>
        </w:tc>
        <w:tc>
          <w:tcPr>
            <w:tcW w:type="dxa" w:w="1134"/>
            <w:tcMar>
              <w:top w:w="25" w:type="dxa"/>
              <w:bottom w:w="25" w:type="dxa"/>
              <w:left w:w="60" w:type="dxa"/>
              <w:right w:w="60" w:type="dxa"/>
            </w:tcMar>
            <w:shd w:val="clear" w:color="auto" w:fill="FFFFFF"/>
            <w:vAlign w:val="center"/>
          </w:tcPr>
          <w:p>
            <w:pPr>
              <w:keepNext/>
              <w:jc w:val="left"/>
            </w:pPr>
            <w:r>
              <w:rPr>
                <w:color w:val="000000"/>
                <w:sz w:val="15"/>
              </w:rPr>
              <w:t>&lt;5%</w:t>
            </w:r>
          </w:p>
        </w:tc>
        <w:tc>
          <w:tcPr>
            <w:tcW w:type="dxa" w:w="1474"/>
            <w:tcMar>
              <w:top w:w="25" w:type="dxa"/>
              <w:bottom w:w="25" w:type="dxa"/>
              <w:left w:w="60" w:type="dxa"/>
              <w:right w:w="60" w:type="dxa"/>
            </w:tcMar>
            <w:shd w:val="clear" w:color="auto" w:fill="FFFFFF"/>
            <w:vAlign w:val="center"/>
          </w:tcPr>
          <w:p>
            <w:pPr>
              <w:keepNext/>
              <w:jc w:val="left"/>
            </w:pPr>
            <w:r>
              <w:rPr>
                <w:color w:val="000000"/>
                <w:sz w:val="15"/>
              </w:rPr>
              <w:t>PASS</w:t>
            </w:r>
          </w:p>
        </w:tc>
      </w:tr>
      <w:tr>
        <w:trPr>
          <w:cantSplit/>
        </w:trPr>
        <w:tc>
          <w:tcPr>
            <w:tcW w:type="dxa" w:w="2551"/>
            <w:tcMar>
              <w:top w:w="25" w:type="dxa"/>
              <w:bottom w:w="25" w:type="dxa"/>
              <w:left w:w="60" w:type="dxa"/>
              <w:right w:w="60" w:type="dxa"/>
            </w:tcMar>
            <w:vAlign w:val="center"/>
          </w:tcPr>
          <w:p>
            <w:pPr>
              <w:keepNext/>
              <w:jc w:val="left"/>
            </w:pPr>
            <w:r>
              <w:rPr>
                <w:color w:val="000000"/>
                <w:sz w:val="15"/>
              </w:rPr>
              <w:t>Gen 5 — multi-family cross</w:t>
            </w:r>
          </w:p>
        </w:tc>
        <w:tc>
          <w:tcPr>
            <w:tcW w:type="dxa" w:w="1247"/>
            <w:tcMar>
              <w:top w:w="25" w:type="dxa"/>
              <w:bottom w:w="25" w:type="dxa"/>
              <w:left w:w="60" w:type="dxa"/>
              <w:right w:w="60" w:type="dxa"/>
            </w:tcMar>
            <w:vAlign w:val="center"/>
          </w:tcPr>
          <w:p>
            <w:pPr>
              <w:keepNext/>
              <w:jc w:val="left"/>
            </w:pPr>
            <w:r>
              <w:rPr>
                <w:color w:val="000000"/>
                <w:sz w:val="15"/>
              </w:rPr>
              <w:t>0.2%</w:t>
            </w:r>
          </w:p>
        </w:tc>
        <w:tc>
          <w:tcPr>
            <w:tcW w:type="dxa" w:w="1984"/>
            <w:tcMar>
              <w:top w:w="25" w:type="dxa"/>
              <w:bottom w:w="25" w:type="dxa"/>
              <w:left w:w="60" w:type="dxa"/>
              <w:right w:w="60" w:type="dxa"/>
            </w:tcMar>
            <w:vAlign w:val="center"/>
          </w:tcPr>
          <w:p>
            <w:pPr>
              <w:keepNext/>
              <w:jc w:val="left"/>
            </w:pPr>
            <w:r>
              <w:rPr>
                <w:color w:val="000000"/>
                <w:sz w:val="15"/>
              </w:rPr>
              <w:t>1,597 / 1,600</w:t>
            </w:r>
          </w:p>
        </w:tc>
        <w:tc>
          <w:tcPr>
            <w:tcW w:type="dxa" w:w="1134"/>
            <w:tcMar>
              <w:top w:w="25" w:type="dxa"/>
              <w:bottom w:w="25" w:type="dxa"/>
              <w:left w:w="60" w:type="dxa"/>
              <w:right w:w="60" w:type="dxa"/>
            </w:tcMar>
            <w:vAlign w:val="center"/>
          </w:tcPr>
          <w:p>
            <w:pPr>
              <w:keepNext/>
              <w:jc w:val="left"/>
            </w:pPr>
            <w:r>
              <w:rPr>
                <w:color w:val="000000"/>
                <w:sz w:val="15"/>
              </w:rPr>
              <w:t>&lt;5%</w:t>
            </w:r>
          </w:p>
        </w:tc>
        <w:tc>
          <w:tcPr>
            <w:tcW w:type="dxa" w:w="1474"/>
            <w:tcMar>
              <w:top w:w="25" w:type="dxa"/>
              <w:bottom w:w="25" w:type="dxa"/>
              <w:left w:w="60" w:type="dxa"/>
              <w:right w:w="60" w:type="dxa"/>
            </w:tcMar>
            <w:vAlign w:val="center"/>
          </w:tcPr>
          <w:p>
            <w:pPr>
              <w:keepNext/>
              <w:jc w:val="left"/>
            </w:pPr>
            <w:r>
              <w:rPr>
                <w:color w:val="000000"/>
                <w:sz w:val="15"/>
              </w:rPr>
              <w:t>PASS</w:t>
            </w:r>
          </w:p>
        </w:tc>
      </w:tr>
    </w:tbl>
    <w:p>
      <w:pPr>
        <w:keepNext/>
        <w:spacing w:after="20"/>
      </w:pPr>
    </w:p>
    <w:p>
      <w:pPr>
        <w:pStyle w:val="KickerLabel"/>
      </w:pPr>
      <w:r>
        <w:t>Baseline comparison (validation split)</w:t>
      </w:r>
    </w:p>
    <w:tbl>
      <w:tblPr>
        <w:tblStyle w:val="TableGrid"/>
        <w:tblW w:type="auto" w:w="0"/>
        <w:jc w:val="center"/>
        <w:tblLayout w:type="fixed"/>
        <w:tblLook w:firstColumn="1" w:firstRow="1" w:lastColumn="0" w:lastRow="0" w:noHBand="0" w:noVBand="1" w:val="04A0"/>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Pr>
      <w:tblGrid>
        <w:gridCol w:w="4535"/>
        <w:gridCol w:w="3969"/>
      </w:tblGrid>
      <w:tr>
        <w:trPr>
          <w:tblHeader w:val="true"/>
          <w:cantSplit/>
        </w:trPr>
        <w:tc>
          <w:tcPr>
            <w:tcW w:type="dxa" w:w="4535"/>
            <w:tcMar>
              <w:top w:w="25" w:type="dxa"/>
              <w:bottom w:w="25" w:type="dxa"/>
              <w:left w:w="60" w:type="dxa"/>
              <w:right w:w="60" w:type="dxa"/>
            </w:tcMar>
            <w:vAlign w:val="center"/>
          </w:tcPr>
          <w:p>
            <w:pPr>
              <w:keepNext/>
              <w:jc w:val="left"/>
            </w:pPr>
            <w:r>
              <w:rPr>
                <w:b/>
                <w:color w:val="000000"/>
                <w:sz w:val="15"/>
              </w:rPr>
              <w:t>Model</w:t>
            </w:r>
          </w:p>
        </w:tc>
        <w:tc>
          <w:tcPr>
            <w:tcW w:type="dxa" w:w="3969"/>
            <w:tcMar>
              <w:top w:w="25" w:type="dxa"/>
              <w:bottom w:w="25" w:type="dxa"/>
              <w:left w:w="60" w:type="dxa"/>
              <w:right w:w="60" w:type="dxa"/>
            </w:tcMar>
            <w:vAlign w:val="center"/>
          </w:tcPr>
          <w:p>
            <w:pPr>
              <w:keepNext/>
              <w:jc w:val="left"/>
            </w:pPr>
            <w:r>
              <w:rPr>
                <w:b/>
                <w:color w:val="000000"/>
                <w:sz w:val="15"/>
              </w:rPr>
              <w:t>Validation PR-AUC</w:t>
            </w:r>
          </w:p>
        </w:tc>
      </w:tr>
      <w:tr>
        <w:trPr>
          <w:cantSplit/>
        </w:trPr>
        <w:tc>
          <w:tcPr>
            <w:tcW w:type="dxa" w:w="4535"/>
            <w:tcMar>
              <w:top w:w="25" w:type="dxa"/>
              <w:bottom w:w="25" w:type="dxa"/>
              <w:left w:w="60" w:type="dxa"/>
              <w:right w:w="60" w:type="dxa"/>
            </w:tcMar>
            <w:vAlign w:val="center"/>
          </w:tcPr>
          <w:p>
            <w:pPr>
              <w:keepNext/>
              <w:jc w:val="left"/>
            </w:pPr>
            <w:r>
              <w:rPr>
                <w:color w:val="000000"/>
                <w:sz w:val="15"/>
              </w:rPr>
              <w:t>Logistic Regression</w:t>
            </w:r>
          </w:p>
        </w:tc>
        <w:tc>
          <w:tcPr>
            <w:tcW w:type="dxa" w:w="3969"/>
            <w:tcMar>
              <w:top w:w="25" w:type="dxa"/>
              <w:bottom w:w="25" w:type="dxa"/>
              <w:left w:w="60" w:type="dxa"/>
              <w:right w:w="60" w:type="dxa"/>
            </w:tcMar>
            <w:vAlign w:val="center"/>
          </w:tcPr>
          <w:p>
            <w:pPr>
              <w:keepNext/>
              <w:jc w:val="left"/>
            </w:pPr>
            <w:r>
              <w:rPr>
                <w:color w:val="000000"/>
                <w:sz w:val="15"/>
              </w:rPr>
              <w:t>0.8946</w:t>
            </w:r>
          </w:p>
        </w:tc>
      </w:tr>
      <w:tr>
        <w:trPr>
          <w:cantSplit/>
        </w:trPr>
        <w:tc>
          <w:tcPr>
            <w:tcW w:type="dxa" w:w="4535"/>
            <w:tcMar>
              <w:top w:w="25" w:type="dxa"/>
              <w:bottom w:w="25" w:type="dxa"/>
              <w:left w:w="60" w:type="dxa"/>
              <w:right w:w="60" w:type="dxa"/>
            </w:tcMar>
            <w:shd w:val="clear" w:color="auto" w:fill="FFFFFF"/>
            <w:vAlign w:val="center"/>
          </w:tcPr>
          <w:p>
            <w:pPr>
              <w:keepNext/>
              <w:jc w:val="left"/>
            </w:pPr>
            <w:r>
              <w:rPr>
                <w:color w:val="000000"/>
                <w:sz w:val="15"/>
              </w:rPr>
              <w:t>Random Forest</w:t>
            </w:r>
          </w:p>
        </w:tc>
        <w:tc>
          <w:tcPr>
            <w:tcW w:type="dxa" w:w="3969"/>
            <w:tcMar>
              <w:top w:w="25" w:type="dxa"/>
              <w:bottom w:w="25" w:type="dxa"/>
              <w:left w:w="60" w:type="dxa"/>
              <w:right w:w="60" w:type="dxa"/>
            </w:tcMar>
            <w:shd w:val="clear" w:color="auto" w:fill="FFFFFF"/>
            <w:vAlign w:val="center"/>
          </w:tcPr>
          <w:p>
            <w:pPr>
              <w:keepNext/>
              <w:jc w:val="left"/>
            </w:pPr>
            <w:r>
              <w:rPr>
                <w:color w:val="000000"/>
                <w:sz w:val="15"/>
              </w:rPr>
              <w:t>0.9769</w:t>
            </w:r>
          </w:p>
        </w:tc>
      </w:tr>
      <w:tr>
        <w:trPr>
          <w:cantSplit/>
        </w:trPr>
        <w:tc>
          <w:tcPr>
            <w:tcW w:type="dxa" w:w="4535"/>
            <w:tcMar>
              <w:top w:w="25" w:type="dxa"/>
              <w:bottom w:w="25" w:type="dxa"/>
              <w:left w:w="60" w:type="dxa"/>
              <w:right w:w="60" w:type="dxa"/>
            </w:tcMar>
            <w:vAlign w:val="center"/>
          </w:tcPr>
          <w:p>
            <w:pPr>
              <w:keepNext/>
              <w:jc w:val="left"/>
            </w:pPr>
            <w:r>
              <w:rPr>
                <w:color w:val="000000"/>
                <w:sz w:val="15"/>
              </w:rPr>
              <w:t>XGBoost (deployed)</w:t>
            </w:r>
          </w:p>
        </w:tc>
        <w:tc>
          <w:tcPr>
            <w:tcW w:type="dxa" w:w="3969"/>
            <w:tcMar>
              <w:top w:w="25" w:type="dxa"/>
              <w:bottom w:w="25" w:type="dxa"/>
              <w:left w:w="60" w:type="dxa"/>
              <w:right w:w="60" w:type="dxa"/>
            </w:tcMar>
            <w:vAlign w:val="center"/>
          </w:tcPr>
          <w:p>
            <w:pPr>
              <w:keepNext/>
              <w:jc w:val="left"/>
            </w:pPr>
            <w:r>
              <w:rPr>
                <w:color w:val="000000"/>
                <w:sz w:val="15"/>
              </w:rPr>
              <w:t>0.9968</w:t>
            </w:r>
          </w:p>
        </w:tc>
      </w:tr>
    </w:tbl>
    <w:p>
      <w:pPr>
        <w:keepNext/>
        <w:spacing w:after="20"/>
      </w:pPr>
    </w:p>
    <w:p>
      <w:pPr>
        <w:spacing w:after="80"/>
      </w:pPr>
      <w:r>
        <w:rPr>
          <w:b w:val="0"/>
          <w:sz w:val="16"/>
        </w:rPr>
        <w:t>Reading the results together: the LR-vs-tree gap is the strongest evidence for interaction-based coercion detection (§1); the fixed-FPR points are what a deployment actually uses (99.2% recall at a strict 0.1% FP budget); the cross-generational table is direct evidence the closed loop (§9) keeps working against harder attacks rather than overfitting the easiest generation.</w:t>
      </w:r>
    </w:p>
    <w:p>
      <w:pPr>
        <w:pStyle w:val="Heading1"/>
      </w:pPr>
      <w:r>
        <w:t>8. Ablations &amp; Error Analysis</w:t>
      </w:r>
    </w:p>
    <w:p>
      <w:pPr>
        <w:spacing w:after="80"/>
      </w:pPr>
      <w:r>
        <w:rPr>
          <w:b w:val="0"/>
        </w:rPr>
        <w:t>Stress-testing the deployed model — not just reporting headline metrics — surfaced real, specific weaknesses, reported in full rather than summarised away.</w:t>
      </w:r>
    </w:p>
    <w:p>
      <w:pPr>
        <w:pStyle w:val="ListBullet"/>
      </w:pPr>
      <w:r>
        <w:rPr>
          <w:b/>
        </w:rPr>
        <w:t xml:space="preserve">What the model leans on. </w:t>
      </w:r>
      <w:r>
        <w:t>Feature importance is spread across plausible signals, not one dominant proxy (beneficiary_added_ago_s 11.5%, session_duration_s 10.9%, txn_count_last_24h 9.5%) — direct evidence the §4 leak fixes worked.</w:t>
      </w:r>
    </w:p>
    <w:p>
      <w:pPr>
        <w:pStyle w:val="ListBullet"/>
      </w:pPr>
      <w:r>
        <w:rPr>
          <w:b/>
        </w:rPr>
        <w:t xml:space="preserve">Mule-network blind spot. </w:t>
      </w:r>
      <w:r>
        <w:t>A synthetic transaction with both textbook mule signatures (is_two_hop_passthrough=1.0, payee_in_degree=85) but an unremarkable payer out-degree (28) scored 0.02% fraud probability — essentially undetected. A rule-based threshold was investigated and rejected (legitimate merchant fan-in median is 266, max 10,800+; two-hop occurs in 16.9% of all legitimate edges). Honest fix — class-weighted sampling or feature-masking on mule_network rows — is deferred, not silently shipped as solved.</w:t>
      </w:r>
    </w:p>
    <w:p>
      <w:pPr>
        <w:pStyle w:val="ListBullet"/>
      </w:pPr>
      <w:r>
        <w:rPr>
          <w:b/>
        </w:rPr>
        <w:t xml:space="preserve">No safe single-transaction fix for 3 families. </w:t>
      </w:r>
      <w:r>
        <w:t>first_party_dispute (fraud only exists post-settlement), stealth_mandate (signal is amount escalation across weeks, not one transaction), device_fan_out and balance_drain_exit (need cross-transaction context) have no safe single-transaction fix — the schema's own detectable_at field predicts this.</w:t>
      </w:r>
    </w:p>
    <w:p>
      <w:pPr>
        <w:pStyle w:val="ListBullet"/>
      </w:pPr>
      <w:r>
        <w:rPr>
          <w:b/>
        </w:rPr>
        <w:t xml:space="preserve">Velocity-feature starvation in the live demo. </w:t>
      </w:r>
      <w:r>
        <w:t>txn_count_last_1h/24h — the two highest-importance features — fall back to training-set medians in the live single-shot /api/analyze demo (no real-time feature store), so two genuinely different inputs can score within ~0.5pp of each other despite the model being highly discriminative (PR-AUC 0.9987) with full context at train time.</w:t>
      </w:r>
    </w:p>
    <w:p>
      <w:pPr>
        <w:pStyle w:val="ListBullet"/>
      </w:pPr>
      <w:r>
        <w:rPr>
          <w:b/>
        </w:rPr>
        <w:t xml:space="preserve">Rule overrides. </w:t>
      </w:r>
      <w:r>
        <w:t>8 families received targeted single-transaction policy overrides in the inference pipeline, each checked against legitimate calibration constants — a documented mitigation layer, not a substitute for the real-time feature store above.</w:t>
      </w:r>
    </w:p>
    <w:p>
      <w:pPr>
        <w:pStyle w:val="Heading1"/>
      </w:pPr>
      <w:r>
        <w:t>9. Closed-Loop Red/Blue Team System</w:t>
      </w:r>
    </w:p>
    <w:p>
      <w:pPr>
        <w:spacing w:after="80"/>
      </w:pPr>
      <w:r>
        <w:rPr>
          <w:b w:val="0"/>
        </w:rPr>
        <w:t>“Attacks become training data for the defence; the defence's blind spots generate new attacks” is usually a diagram. Chakravyuh implements it as two measured, executable mechanisms.</w:t>
      </w:r>
    </w:p>
    <w:p>
      <w:pPr>
        <w:pStyle w:val="ListBullet"/>
      </w:pPr>
      <w:r>
        <w:rPr>
          <w:b/>
        </w:rPr>
        <w:t xml:space="preserve">Mechanism 1 — adaptive attack config. </w:t>
      </w:r>
      <w:r>
        <w:t>build_adaptive_attack_config.py loads the currently saved model, checks feature_importances_ against a 10% threshold, and derives config for adversarial_evasion from whatever clears it (adaptive_top_counterparty, beneficiary_age_floor_s) — degrading gracefully to static defaults when no model exists yet. No manual step.</w:t>
      </w:r>
    </w:p>
    <w:tbl>
      <w:tblPr>
        <w:tblStyle w:val="TableGrid"/>
        <w:tblW w:type="auto" w:w="0"/>
        <w:jc w:val="center"/>
        <w:tblLayout w:type="fixed"/>
        <w:tblLook w:firstColumn="1" w:firstRow="1" w:lastColumn="0" w:lastRow="0" w:noHBand="0" w:noVBand="1" w:val="04A0"/>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Pr>
      <w:tblGrid>
        <w:gridCol w:w="1871"/>
        <w:gridCol w:w="3798"/>
        <w:gridCol w:w="1417"/>
        <w:gridCol w:w="1701"/>
      </w:tblGrid>
      <w:tr>
        <w:trPr>
          <w:tblHeader w:val="true"/>
          <w:cantSplit/>
        </w:trPr>
        <w:tc>
          <w:tcPr>
            <w:tcW w:type="dxa" w:w="1871"/>
            <w:tcMar>
              <w:top w:w="25" w:type="dxa"/>
              <w:bottom w:w="25" w:type="dxa"/>
              <w:left w:w="60" w:type="dxa"/>
              <w:right w:w="60" w:type="dxa"/>
            </w:tcMar>
            <w:vAlign w:val="center"/>
          </w:tcPr>
          <w:p>
            <w:pPr>
              <w:keepNext/>
              <w:jc w:val="left"/>
            </w:pPr>
            <w:r>
              <w:rPr>
                <w:b/>
                <w:color w:val="000000"/>
                <w:sz w:val="15"/>
              </w:rPr>
              <w:t>Generation</w:t>
            </w:r>
          </w:p>
        </w:tc>
        <w:tc>
          <w:tcPr>
            <w:tcW w:type="dxa" w:w="3798"/>
            <w:tcMar>
              <w:top w:w="25" w:type="dxa"/>
              <w:bottom w:w="25" w:type="dxa"/>
              <w:left w:w="60" w:type="dxa"/>
              <w:right w:w="60" w:type="dxa"/>
            </w:tcMar>
            <w:vAlign w:val="center"/>
          </w:tcPr>
          <w:p>
            <w:pPr>
              <w:keepNext/>
              <w:jc w:val="left"/>
            </w:pPr>
            <w:r>
              <w:rPr>
                <w:b/>
                <w:color w:val="000000"/>
                <w:sz w:val="15"/>
              </w:rPr>
              <w:t>Config</w:t>
            </w:r>
          </w:p>
        </w:tc>
        <w:tc>
          <w:tcPr>
            <w:tcW w:type="dxa" w:w="1417"/>
            <w:tcMar>
              <w:top w:w="25" w:type="dxa"/>
              <w:bottom w:w="25" w:type="dxa"/>
              <w:left w:w="60" w:type="dxa"/>
              <w:right w:w="60" w:type="dxa"/>
            </w:tcMar>
            <w:vAlign w:val="center"/>
          </w:tcPr>
          <w:p>
            <w:pPr>
              <w:keepNext/>
              <w:jc w:val="left"/>
            </w:pPr>
            <w:r>
              <w:rPr>
                <w:b/>
                <w:color w:val="000000"/>
                <w:sz w:val="15"/>
              </w:rPr>
              <w:t>Test PR-AUC</w:t>
            </w:r>
          </w:p>
        </w:tc>
        <w:tc>
          <w:tcPr>
            <w:tcW w:type="dxa" w:w="1701"/>
            <w:tcMar>
              <w:top w:w="25" w:type="dxa"/>
              <w:bottom w:w="25" w:type="dxa"/>
              <w:left w:w="60" w:type="dxa"/>
              <w:right w:w="60" w:type="dxa"/>
            </w:tcMar>
            <w:vAlign w:val="center"/>
          </w:tcPr>
          <w:p>
            <w:pPr>
              <w:keepNext/>
              <w:jc w:val="left"/>
            </w:pPr>
            <w:r>
              <w:rPr>
                <w:b/>
                <w:color w:val="000000"/>
                <w:sz w:val="15"/>
              </w:rPr>
              <w:t>Recall @ 0.10% FPR</w:t>
            </w:r>
          </w:p>
        </w:tc>
      </w:tr>
      <w:tr>
        <w:trPr>
          <w:cantSplit/>
        </w:trPr>
        <w:tc>
          <w:tcPr>
            <w:tcW w:type="dxa" w:w="1871"/>
            <w:tcMar>
              <w:top w:w="25" w:type="dxa"/>
              <w:bottom w:w="25" w:type="dxa"/>
              <w:left w:w="60" w:type="dxa"/>
              <w:right w:w="60" w:type="dxa"/>
            </w:tcMar>
            <w:vAlign w:val="center"/>
          </w:tcPr>
          <w:p>
            <w:pPr>
              <w:keepNext/>
              <w:jc w:val="left"/>
            </w:pPr>
            <w:r>
              <w:rPr>
                <w:color w:val="000000"/>
                <w:sz w:val="14"/>
              </w:rPr>
              <w:t>Gen 1 (no prior model)</w:t>
            </w:r>
          </w:p>
        </w:tc>
        <w:tc>
          <w:tcPr>
            <w:tcW w:type="dxa" w:w="3798"/>
            <w:tcMar>
              <w:top w:w="25" w:type="dxa"/>
              <w:bottom w:w="25" w:type="dxa"/>
              <w:left w:w="60" w:type="dxa"/>
              <w:right w:w="60" w:type="dxa"/>
            </w:tcMar>
            <w:vAlign w:val="center"/>
          </w:tcPr>
          <w:p>
            <w:pPr>
              <w:keepNext/>
              <w:jc w:val="left"/>
            </w:pPr>
            <w:r>
              <w:rPr>
                <w:color w:val="000000"/>
                <w:sz w:val="14"/>
              </w:rPr>
              <w:t>Static defaults</w:t>
            </w:r>
          </w:p>
        </w:tc>
        <w:tc>
          <w:tcPr>
            <w:tcW w:type="dxa" w:w="1417"/>
            <w:tcMar>
              <w:top w:w="25" w:type="dxa"/>
              <w:bottom w:w="25" w:type="dxa"/>
              <w:left w:w="60" w:type="dxa"/>
              <w:right w:w="60" w:type="dxa"/>
            </w:tcMar>
            <w:vAlign w:val="center"/>
          </w:tcPr>
          <w:p>
            <w:pPr>
              <w:keepNext/>
              <w:jc w:val="left"/>
            </w:pPr>
            <w:r>
              <w:rPr>
                <w:color w:val="000000"/>
                <w:sz w:val="14"/>
              </w:rPr>
              <w:t>0.9972</w:t>
            </w:r>
          </w:p>
        </w:tc>
        <w:tc>
          <w:tcPr>
            <w:tcW w:type="dxa" w:w="1701"/>
            <w:tcMar>
              <w:top w:w="25" w:type="dxa"/>
              <w:bottom w:w="25" w:type="dxa"/>
              <w:left w:w="60" w:type="dxa"/>
              <w:right w:w="60" w:type="dxa"/>
            </w:tcMar>
            <w:vAlign w:val="center"/>
          </w:tcPr>
          <w:p>
            <w:pPr>
              <w:keepNext/>
              <w:jc w:val="left"/>
            </w:pPr>
            <w:r>
              <w:rPr>
                <w:color w:val="000000"/>
                <w:sz w:val="14"/>
              </w:rPr>
              <w:t>0.9942</w:t>
            </w:r>
          </w:p>
        </w:tc>
      </w:tr>
      <w:tr>
        <w:trPr>
          <w:cantSplit/>
        </w:trPr>
        <w:tc>
          <w:tcPr>
            <w:tcW w:type="dxa" w:w="1871"/>
            <w:tcMar>
              <w:top w:w="25" w:type="dxa"/>
              <w:bottom w:w="25" w:type="dxa"/>
              <w:left w:w="60" w:type="dxa"/>
              <w:right w:w="60" w:type="dxa"/>
            </w:tcMar>
            <w:shd w:val="clear" w:color="auto" w:fill="FFFFFF"/>
            <w:vAlign w:val="center"/>
          </w:tcPr>
          <w:p>
            <w:pPr>
              <w:keepNext/>
              <w:jc w:val="left"/>
            </w:pPr>
            <w:r>
              <w:rPr>
                <w:color w:val="000000"/>
                <w:sz w:val="14"/>
              </w:rPr>
              <w:t>Gen 2 (adaptive)</w:t>
            </w:r>
          </w:p>
        </w:tc>
        <w:tc>
          <w:tcPr>
            <w:tcW w:type="dxa" w:w="3798"/>
            <w:tcMar>
              <w:top w:w="25" w:type="dxa"/>
              <w:bottom w:w="25" w:type="dxa"/>
              <w:left w:w="60" w:type="dxa"/>
              <w:right w:w="60" w:type="dxa"/>
            </w:tcMar>
            <w:shd w:val="clear" w:color="auto" w:fill="FFFFFF"/>
            <w:vAlign w:val="center"/>
          </w:tcPr>
          <w:p>
            <w:pPr>
              <w:keepNext/>
              <w:jc w:val="left"/>
            </w:pPr>
            <w:r>
              <w:rPr>
                <w:color w:val="000000"/>
                <w:sz w:val="14"/>
              </w:rPr>
              <w:t>adaptive_top_counterparty=True, beneficiary_age_floor_s≈585d</w:t>
            </w:r>
          </w:p>
        </w:tc>
        <w:tc>
          <w:tcPr>
            <w:tcW w:type="dxa" w:w="1417"/>
            <w:tcMar>
              <w:top w:w="25" w:type="dxa"/>
              <w:bottom w:w="25" w:type="dxa"/>
              <w:left w:w="60" w:type="dxa"/>
              <w:right w:w="60" w:type="dxa"/>
            </w:tcMar>
            <w:shd w:val="clear" w:color="auto" w:fill="FFFFFF"/>
            <w:vAlign w:val="center"/>
          </w:tcPr>
          <w:p>
            <w:pPr>
              <w:keepNext/>
              <w:jc w:val="left"/>
            </w:pPr>
            <w:r>
              <w:rPr>
                <w:color w:val="000000"/>
                <w:sz w:val="14"/>
              </w:rPr>
              <w:t>0.9997</w:t>
            </w:r>
          </w:p>
        </w:tc>
        <w:tc>
          <w:tcPr>
            <w:tcW w:type="dxa" w:w="1701"/>
            <w:tcMar>
              <w:top w:w="25" w:type="dxa"/>
              <w:bottom w:w="25" w:type="dxa"/>
              <w:left w:w="60" w:type="dxa"/>
              <w:right w:w="60" w:type="dxa"/>
            </w:tcMar>
            <w:shd w:val="clear" w:color="auto" w:fill="FFFFFF"/>
            <w:vAlign w:val="center"/>
          </w:tcPr>
          <w:p>
            <w:pPr>
              <w:keepNext/>
              <w:jc w:val="left"/>
            </w:pPr>
            <w:r>
              <w:rPr>
                <w:color w:val="000000"/>
                <w:sz w:val="14"/>
              </w:rPr>
              <w:t>1.0000</w:t>
            </w:r>
          </w:p>
        </w:tc>
      </w:tr>
    </w:tbl>
    <w:p>
      <w:pPr>
        <w:keepNext/>
        <w:spacing w:after="20"/>
      </w:pPr>
    </w:p>
    <w:p>
      <w:pPr>
        <w:pStyle w:val="ListBullet"/>
      </w:pPr>
      <w:r>
        <w:rPr>
          <w:b/>
        </w:rPr>
        <w:t xml:space="preserve">Mechanism 2 — 3-generation adversarial curriculum. </w:t>
      </w:r>
      <w:r>
        <w:t>Gen 3 (feature-hiding, 4 difficulty levels) → Gen 4 (ensemble-trading, hiding some features while exposing others) → Gen 5 (multi-family cross-attacks, 3+ families combined), each retaining prior-generation samples to guard against catastrophic forgetting. Cross-generation eval (Table above, §7) gates every promotion.</w:t>
      </w:r>
    </w:p>
    <w:p>
      <w:pPr>
        <w:spacing w:after="80"/>
      </w:pPr>
      <w:r>
        <w:rPr>
          <w:b w:val="0"/>
          <w:sz w:val="16"/>
        </w:rPr>
        <w:t>During development, cross_generation_eval.py caught Gen 5 training causing a 34.4%→43.1% regression on Gen 3 attacks (curriculum exited after Level 1, non-cumulative level training). The fix (cumulative training, no early-stop) was independently re-verified by re-scoring, closing the regression. This is the strongest evidence in this document that the loop is a real, working safety mechanism, not an aspirational diagram — every subsequent retrain, including the numbers in §7, is gated by this same check. A separate RNG-state desync bug (adversarial_evasion's test-window sample silently dropping from 38 to 7 rows) was also caught and fixed by this same measurement discipline, applied to the generator's own code, not only the detector.</w:t>
      </w:r>
    </w:p>
    <w:p>
      <w:pPr>
        <w:spacing w:after="80"/>
      </w:pPr>
      <w:r>
        <w:rPr>
          <w:b w:val="0"/>
          <w:sz w:val="16"/>
        </w:rPr>
        <w:t>first_party_dispute and insider_abuse are explicitly exempt from this loop — no transaction-time feature engineering can close a gap the schema's own detectable_at field says isn't available at that stage; they need post-settlement/access-pattern detection instead.</w:t>
      </w:r>
    </w:p>
    <w:p>
      <w:pPr>
        <w:pStyle w:val="Heading1"/>
      </w:pPr>
      <w:r>
        <w:t>10. Real-World Deployment &amp; Feasibility</w:t>
      </w:r>
    </w:p>
    <w:p>
      <w:pPr>
        <w:spacing w:after="80"/>
      </w:pPr>
      <w:r>
        <w:rPr>
          <w:b w:val="0"/>
        </w:rPr>
        <w:t>Design target (driven by §1's irreversibility finding): pre-authorisation, sub-second control, not post-hoc reporting. The 450KB XGBoost model scores in well under 1ms on CPU-only hardware (p99 &lt;2ms), fitting inside an issuer's authorisation window.</w:t>
      </w:r>
    </w:p>
    <w:p>
      <w:pPr>
        <w:pStyle w:val="KickerLabel"/>
      </w:pPr>
      <w:r>
        <w:t>Implemented today vs. required for production</w:t>
      </w:r>
    </w:p>
    <w:tbl>
      <w:tblPr>
        <w:tblStyle w:val="TableGrid"/>
        <w:tblW w:type="auto" w:w="0"/>
        <w:jc w:val="center"/>
        <w:tblLayout w:type="fixed"/>
        <w:tblLook w:firstColumn="1" w:firstRow="1" w:lastColumn="0" w:lastRow="0" w:noHBand="0" w:noVBand="1" w:val="04A0"/>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Pr>
      <w:tblGrid>
        <w:gridCol w:w="4252"/>
        <w:gridCol w:w="4252"/>
      </w:tblGrid>
      <w:tr>
        <w:trPr>
          <w:tblHeader w:val="true"/>
          <w:cantSplit/>
        </w:trPr>
        <w:tc>
          <w:tcPr>
            <w:tcW w:type="dxa" w:w="4252"/>
            <w:tcMar>
              <w:top w:w="25" w:type="dxa"/>
              <w:bottom w:w="25" w:type="dxa"/>
              <w:left w:w="60" w:type="dxa"/>
              <w:right w:w="60" w:type="dxa"/>
            </w:tcMar>
            <w:vAlign w:val="center"/>
          </w:tcPr>
          <w:p>
            <w:pPr>
              <w:keepNext/>
              <w:jc w:val="left"/>
            </w:pPr>
            <w:r>
              <w:rPr>
                <w:b/>
                <w:color w:val="000000"/>
                <w:sz w:val="15"/>
              </w:rPr>
              <w:t>Implemented (prototype)</w:t>
            </w:r>
          </w:p>
        </w:tc>
        <w:tc>
          <w:tcPr>
            <w:tcW w:type="dxa" w:w="4252"/>
            <w:tcMar>
              <w:top w:w="25" w:type="dxa"/>
              <w:bottom w:w="25" w:type="dxa"/>
              <w:left w:w="60" w:type="dxa"/>
              <w:right w:w="60" w:type="dxa"/>
            </w:tcMar>
            <w:vAlign w:val="center"/>
          </w:tcPr>
          <w:p>
            <w:pPr>
              <w:keepNext/>
              <w:jc w:val="left"/>
            </w:pPr>
            <w:r>
              <w:rPr>
                <w:b/>
                <w:color w:val="000000"/>
                <w:sz w:val="15"/>
              </w:rPr>
              <w:t>Not yet implemented</w:t>
            </w:r>
          </w:p>
        </w:tc>
      </w:tr>
      <w:tr>
        <w:trPr>
          <w:cantSplit/>
        </w:trPr>
        <w:tc>
          <w:tcPr>
            <w:tcW w:type="dxa" w:w="4252"/>
            <w:tcMar>
              <w:top w:w="25" w:type="dxa"/>
              <w:bottom w:w="25" w:type="dxa"/>
              <w:left w:w="60" w:type="dxa"/>
              <w:right w:w="60" w:type="dxa"/>
            </w:tcMar>
            <w:vAlign w:val="center"/>
          </w:tcPr>
          <w:p>
            <w:pPr>
              <w:keepNext/>
              <w:jc w:val="left"/>
            </w:pPr>
            <w:r>
              <w:rPr>
                <w:color w:val="000000"/>
                <w:sz w:val="14"/>
              </w:rPr>
              <w:t>XGBoost+SHAP inference (FastAPI, Cloudflare Container)</w:t>
            </w:r>
          </w:p>
        </w:tc>
        <w:tc>
          <w:tcPr>
            <w:tcW w:type="dxa" w:w="4252"/>
            <w:tcMar>
              <w:top w:w="25" w:type="dxa"/>
              <w:bottom w:w="25" w:type="dxa"/>
              <w:left w:w="60" w:type="dxa"/>
              <w:right w:w="60" w:type="dxa"/>
            </w:tcMar>
            <w:vAlign w:val="center"/>
          </w:tcPr>
          <w:p>
            <w:pPr>
              <w:keepNext/>
              <w:jc w:val="left"/>
            </w:pPr>
            <w:r>
              <w:rPr>
                <w:color w:val="000000"/>
                <w:sz w:val="14"/>
              </w:rPr>
              <w:t>Real-time per-account feature store (rolling velocity counts) — §8</w:t>
            </w:r>
          </w:p>
        </w:tc>
      </w:tr>
      <w:tr>
        <w:trPr>
          <w:cantSplit/>
        </w:trPr>
        <w:tc>
          <w:tcPr>
            <w:tcW w:type="dxa" w:w="4252"/>
            <w:tcMar>
              <w:top w:w="25" w:type="dxa"/>
              <w:bottom w:w="25" w:type="dxa"/>
              <w:left w:w="60" w:type="dxa"/>
              <w:right w:w="60" w:type="dxa"/>
            </w:tcMar>
            <w:shd w:val="clear" w:color="auto" w:fill="FFFFFF"/>
            <w:vAlign w:val="center"/>
          </w:tcPr>
          <w:p>
            <w:pPr>
              <w:keepNext/>
              <w:jc w:val="left"/>
            </w:pPr>
            <w:r>
              <w:rPr>
                <w:color w:val="000000"/>
                <w:sz w:val="14"/>
              </w:rPr>
              <w:t>Next.js analyst portal (Cloudflare Worker)</w:t>
            </w:r>
          </w:p>
        </w:tc>
        <w:tc>
          <w:tcPr>
            <w:tcW w:type="dxa" w:w="4252"/>
            <w:tcMar>
              <w:top w:w="25" w:type="dxa"/>
              <w:bottom w:w="25" w:type="dxa"/>
              <w:left w:w="60" w:type="dxa"/>
              <w:right w:w="60" w:type="dxa"/>
            </w:tcMar>
            <w:shd w:val="clear" w:color="auto" w:fill="FFFFFF"/>
            <w:vAlign w:val="center"/>
          </w:tcPr>
          <w:p>
            <w:pPr>
              <w:keepNext/>
              <w:jc w:val="left"/>
            </w:pPr>
            <w:r>
              <w:rPr>
                <w:color w:val="000000"/>
                <w:sz w:val="14"/>
              </w:rPr>
              <w:t>Class-weighted retrain to close the mule-network blind spot — §8</w:t>
            </w:r>
          </w:p>
        </w:tc>
      </w:tr>
      <w:tr>
        <w:trPr>
          <w:cantSplit/>
        </w:trPr>
        <w:tc>
          <w:tcPr>
            <w:tcW w:type="dxa" w:w="4252"/>
            <w:tcMar>
              <w:top w:w="25" w:type="dxa"/>
              <w:bottom w:w="25" w:type="dxa"/>
              <w:left w:w="60" w:type="dxa"/>
              <w:right w:w="60" w:type="dxa"/>
            </w:tcMar>
            <w:vAlign w:val="center"/>
          </w:tcPr>
          <w:p>
            <w:pPr>
              <w:keepNext/>
              <w:jc w:val="left"/>
            </w:pPr>
            <w:r>
              <w:rPr>
                <w:color w:val="000000"/>
                <w:sz w:val="14"/>
              </w:rPr>
              <w:t>Adaptive attack-config derivation, wired into the main loop</w:t>
            </w:r>
          </w:p>
        </w:tc>
        <w:tc>
          <w:tcPr>
            <w:tcW w:type="dxa" w:w="4252"/>
            <w:tcMar>
              <w:top w:w="25" w:type="dxa"/>
              <w:bottom w:w="25" w:type="dxa"/>
              <w:left w:w="60" w:type="dxa"/>
              <w:right w:w="60" w:type="dxa"/>
            </w:tcMar>
            <w:vAlign w:val="center"/>
          </w:tcPr>
          <w:p>
            <w:pPr>
              <w:keepNext/>
              <w:jc w:val="left"/>
            </w:pPr>
            <w:r>
              <w:rPr>
                <w:color w:val="000000"/>
                <w:sz w:val="14"/>
              </w:rPr>
              <w:t>Analyst feedback → retraining wiring (FeedbackStore exists, not connected)</w:t>
            </w:r>
          </w:p>
        </w:tc>
      </w:tr>
      <w:tr>
        <w:trPr>
          <w:cantSplit/>
        </w:trPr>
        <w:tc>
          <w:tcPr>
            <w:tcW w:type="dxa" w:w="4252"/>
            <w:tcMar>
              <w:top w:w="25" w:type="dxa"/>
              <w:bottom w:w="25" w:type="dxa"/>
              <w:left w:w="60" w:type="dxa"/>
              <w:right w:w="60" w:type="dxa"/>
            </w:tcMar>
            <w:shd w:val="clear" w:color="auto" w:fill="FFFFFF"/>
            <w:vAlign w:val="center"/>
          </w:tcPr>
          <w:p>
            <w:pPr>
              <w:keepNext/>
              <w:jc w:val="left"/>
            </w:pPr>
            <w:r>
              <w:rPr>
                <w:color w:val="000000"/>
                <w:sz w:val="14"/>
              </w:rPr>
              <w:t>Closed-loop metrics view reading real on-disk artifacts</w:t>
            </w:r>
          </w:p>
        </w:tc>
        <w:tc>
          <w:tcPr>
            <w:tcW w:type="dxa" w:w="4252"/>
            <w:tcMar>
              <w:top w:w="25" w:type="dxa"/>
              <w:bottom w:w="25" w:type="dxa"/>
              <w:left w:w="60" w:type="dxa"/>
              <w:right w:w="60" w:type="dxa"/>
            </w:tcMar>
            <w:shd w:val="clear" w:color="auto" w:fill="FFFFFF"/>
            <w:vAlign w:val="center"/>
          </w:tcPr>
          <w:p>
            <w:pPr>
              <w:keepNext/>
              <w:jc w:val="left"/>
            </w:pPr>
            <w:r>
              <w:rPr>
                <w:color w:val="000000"/>
                <w:sz w:val="14"/>
              </w:rPr>
              <w:t>Shared/distributed rate-limit store across multiple container instances (current limiter is single-process in-memory) — §10</w:t>
            </w:r>
          </w:p>
        </w:tc>
      </w:tr>
      <w:tr>
        <w:tc>
          <w:tcPr>
            <w:tcW w:type="dxa" w:w="4252"/>
          </w:tcPr>
          <w:p>
            <w:r>
              <w:t>Rate limiting on /api/analyze (in-process sliding window; tests/web/test_api_rate_limit.py) — §10</w:t>
            </w:r>
          </w:p>
        </w:tc>
        <w:tc>
          <w:tcPr>
            <w:tcW w:type="dxa" w:w="4252"/>
          </w:tcPr>
          <w:p>
            <w:r/>
          </w:p>
        </w:tc>
      </w:tr>
    </w:tbl>
    <w:p>
      <w:pPr>
        <w:keepNext/>
        <w:spacing w:after="20"/>
      </w:pPr>
    </w:p>
    <w:p>
      <w:pPr>
        <w:pStyle w:val="ListBullet"/>
      </w:pPr>
      <w:r>
        <w:rPr>
          <w:b/>
        </w:rPr>
        <w:t xml:space="preserve">Scale &amp; cost. </w:t>
      </w:r>
      <w:r>
        <w:t>At 1M txns/day and 0.1% FPR, ~1,000 legitimate txns/day queue for review — a stated trade-off, not hidden behind an averaged accuracy number. A full Gen 3→4→5 retrain completes in ~2h on 8-core/14GB hardware; inference is stateless and horizontally scalable with no session store on the scoring path.</w:t>
      </w:r>
    </w:p>
    <w:p>
      <w:pPr>
        <w:pStyle w:val="ListBullet"/>
      </w:pPr>
      <w:r>
        <w:rPr>
          <w:b/>
        </w:rPr>
        <w:t xml:space="preserve">Red-teamed our own live API. </w:t>
      </w:r>
      <w:r>
        <w:t>Probing /api/analyze surfaced a real model-extraction exposure — no rate limiting, full-precision probabilities, complete SHAP on every call — enough to binary-search the decision boundary via query access alone. A live CORS misconfiguration (allow_origins="*" with allow_credentials=True) found in the same pass was fixed on the spot. Rate limiting has since been added (enforce_rate_limit in web/api.py — an in-process sliding window keyed on Cloudflare's CF-Connecting-IP header, 30 requests/60s, scoped to /api/analyze; 6 unit tests in tests/web/test_api_rate_limit.py); its own honest limitation is that in-process state resets on container restart and doesn't share across multiple instances — sufficient at this deployment's current scale (one container) but not a substitute for a shared store at real production scale. Precision and SHAP completeness remain deliberately undefended: full SHAP output is the entire point of the public explainability demo, and quantising it would blunt that for the users it informs, not just attackers — a tiered-access layer is the correct fix, scoped as future work.</w:t>
      </w:r>
    </w:p>
    <w:p>
      <w:pPr>
        <w:pStyle w:val="Heading1"/>
      </w:pPr>
      <w:r>
        <w:t>11. Working Prototype</w:t>
      </w:r>
    </w:p>
    <w:p>
      <w:pPr>
        <w:spacing w:after="80"/>
      </w:pPr>
      <w:r>
        <w:rPr>
          <w:b w:val="0"/>
        </w:rPr>
        <w:t>A live analyst portal, not mockups — chakravyuh-web.chatbot-sockscarving.workers.dev. Risk Scoring Studio (live transaction scoring + SHAP + optional GenAI narrative), Closed-Loop Intelligence (the real §7/§9 metrics, not illustrative placeholders), Attack Connection Graph (clickable catalogue mapped to lifecycle phases), and a dashboard/analyst-feedback surface for the human-in-the-loop path. User journey: discover an attack family → score a transaction → inspect SHAP + narrative → review closed-loop metrics → review analyst feedback surfaces. Every number shown is read from the same on-disk artifacts cited in §7–9; the GenAI narrative is optional, off by default, and never part of the scoring decision itself.</w:t>
      </w:r>
    </w:p>
    <w:p>
      <w:pPr>
        <w:pStyle w:val="Heading1"/>
      </w:pPr>
      <w:r>
        <w:t>12. Novelty &amp; Differentiation</w:t>
      </w:r>
    </w:p>
    <w:p>
      <w:pPr>
        <w:spacing w:after="80"/>
      </w:pPr>
      <w:r>
        <w:rPr>
          <w:b w:val="0"/>
          <w:sz w:val="17"/>
        </w:rPr>
        <w:t>XGBoost is explicitly not claimed as novel (§5). Novelty claims are scoped to what this document's evidence actually supports:</w:t>
      </w:r>
    </w:p>
    <w:p>
      <w:pPr>
        <w:pStyle w:val="ListBullet"/>
      </w:pPr>
      <w:r>
        <w:rPr>
          <w:b/>
        </w:rPr>
        <w:t xml:space="preserve">Intent detection, not anomaly detection. </w:t>
      </w:r>
      <w:r>
        <w:t>Conventional models assume the attacker isn't the customer. In a scam-induced payment everything is genuine except intent, which appears in no standard column — backed by a measured LR-vs-tree gap (§5), not asserted alone.</w:t>
      </w:r>
    </w:p>
    <w:p>
      <w:pPr>
        <w:pStyle w:val="ListBullet"/>
      </w:pPr>
      <w:r>
        <w:rPr>
          <w:b/>
        </w:rPr>
        <w:t xml:space="preserve">Closed-loop architecture, measured. </w:t>
      </w:r>
      <w:r>
        <w:t>Two executable feedback mechanisms (§9) with real before/after numbers from an actual retrain, not a description of an intention.</w:t>
      </w:r>
    </w:p>
    <w:p>
      <w:pPr>
        <w:pStyle w:val="ListBullet"/>
      </w:pPr>
      <w:r>
        <w:rPr>
          <w:b/>
        </w:rPr>
        <w:t xml:space="preserve">A safety gate that can catch its own failures. </w:t>
      </w:r>
      <w:r>
        <w:t>cross_generation_eval.py caught a real 34.4%→43.1% regression, root-caused it, and the fix was independently re-verified — a validation gate that actually fired once, uncommon rigor under an 18-day deadline.</w:t>
      </w:r>
    </w:p>
    <w:p>
      <w:pPr>
        <w:pStyle w:val="ListBullet"/>
      </w:pPr>
      <w:r>
        <w:rPr>
          <w:b/>
        </w:rPr>
        <w:t xml:space="preserve">Systematic attack-derivation methodology. </w:t>
      </w:r>
      <w:r>
        <w:t>16 families trace to a systematic trust-anchor derivation (the verification ladder, the inversion pass) rather than brainstormed ideas, and the catalogue audits its own research (evidence pass, §3) rather than presenting a first draft as correct.</w:t>
      </w:r>
    </w:p>
    <w:p>
      <w:pPr>
        <w:pStyle w:val="ListBullet"/>
      </w:pPr>
      <w:r>
        <w:rPr>
          <w:b/>
        </w:rPr>
        <w:t xml:space="preserve">Self-directed red-teaming of the submission's own infrastructure. </w:t>
      </w:r>
      <w:r>
        <w:t>The team red-teamed its own live inference API (§10), surfacing a genuine model-extraction exposure and a live CORS bug (fixed on the spot) — the same instinct that produced the curriculum safety gates, turned on the deployed prototype itself.</w:t>
      </w:r>
    </w:p>
    <w:p>
      <w:pPr>
        <w:pStyle w:val="Heading1"/>
      </w:pPr>
      <w:r>
        <w:t>13. Limitations &amp; Future Work</w:t>
      </w:r>
    </w:p>
    <w:p>
      <w:pPr>
        <w:spacing w:after="80"/>
      </w:pPr>
      <w:r>
        <w:rPr>
          <w:b w:val="0"/>
          <w:sz w:val="17"/>
        </w:rPr>
        <w:t>Every item below is a real, currently open gap found by the system's own instrumentation — not a hypothetical future-proofing exercise.</w:t>
      </w:r>
    </w:p>
    <w:p>
      <w:pPr>
        <w:pStyle w:val="ListBullet"/>
      </w:pPr>
      <w:r>
        <w:rPr>
          <w:b/>
        </w:rPr>
        <w:t xml:space="preserve">Lookalike fidelity. </w:t>
      </w:r>
      <w:r>
        <w:t>2.12× vs. 1.0× target (§4) — requires threading synthetic pre-history through campaign logic, a re-architecture deliberately deferred, not a parameter tweak.</w:t>
      </w:r>
    </w:p>
    <w:p>
      <w:pPr>
        <w:pStyle w:val="ListBullet"/>
      </w:pPr>
      <w:r>
        <w:rPr>
          <w:b/>
        </w:rPr>
        <w:t xml:space="preserve">Mule-network blind spot. </w:t>
      </w:r>
      <w:r>
        <w:t>A campaign keeping payer out-degree unremarkable evades at ~0.02% probability (§8) — needs class-weighted retraining, deferred to the next pass.</w:t>
      </w:r>
    </w:p>
    <w:p>
      <w:pPr>
        <w:pStyle w:val="ListBullet"/>
      </w:pPr>
      <w:r>
        <w:rPr>
          <w:b/>
        </w:rPr>
        <w:t xml:space="preserve">Real-time feature store. </w:t>
      </w:r>
      <w:r>
        <w:t>txn_count_last_1h/24h fall back to medians in single-shot inference (§8) — needs a streaming per-account aggregation layer, standard infra not built in this prototype.</w:t>
      </w:r>
    </w:p>
    <w:p>
      <w:pPr>
        <w:pStyle w:val="ListBullet"/>
      </w:pPr>
      <w:r>
        <w:rPr>
          <w:b/>
        </w:rPr>
        <w:t xml:space="preserve">Structurally undetectable families. </w:t>
      </w:r>
      <w:r>
        <w:t>first_party_dispute, stealth_mandate, device_fan_out, balance_drain_exit need cross-transaction or post-settlement context no stateless model can see (§8).</w:t>
      </w:r>
    </w:p>
    <w:p>
      <w:pPr>
        <w:pStyle w:val="ListBullet"/>
      </w:pPr>
      <w:r>
        <w:rPr>
          <w:b/>
        </w:rPr>
        <w:t xml:space="preserve">Analyst feedback loop. </w:t>
      </w:r>
      <w:r>
        <w:t>FeedbackStore and an LLM analyst engine exist but aren't wired into retraining — described as a straightforward integration, not attempted this cycle.</w:t>
      </w:r>
    </w:p>
    <w:p>
      <w:pPr>
        <w:pStyle w:val="ListBullet"/>
      </w:pPr>
      <w:r>
        <w:rPr>
          <w:b/>
        </w:rPr>
        <w:t xml:space="preserve">Live API attack surface. </w:t>
      </w:r>
      <w:r>
        <w:t>Rate limiting on /api/analyze has been added (in-process sliding window, §10); its own limitation — no shared state across multiple container instances — remains open at current single-container scale. Full-precision probabilities and complete SHAP remain deliberately undefended by design, not oversight: quantising them would blunt the public explainability demo for the users it is meant to inform.</w:t>
      </w:r>
    </w:p>
    <w:p>
      <w:pPr>
        <w:pStyle w:val="ListBullet"/>
      </w:pPr>
      <w:r>
        <w:rPr>
          <w:b/>
        </w:rPr>
        <w:t xml:space="preserve">Dataset scale. </w:t>
      </w:r>
      <w:r>
        <w:t>Current config targets 20,000 consumers/800 merchants (stage5/config/settings.py); an earlier pass ran at 8,000/320 after RAM exhaustion at 20k during development — validated as directionally consistent, not independently re-verified at every scale.</w:t>
      </w:r>
    </w:p>
    <w:p>
      <w:pPr>
        <w:pStyle w:val="ListBullet"/>
      </w:pPr>
      <w:r>
        <w:rPr>
          <w:b/>
        </w:rPr>
        <w:t xml:space="preserve">AutoPay dark-pattern renewal. </w:t>
      </w:r>
      <w:r>
        <w:t>A real GenAI-era attack shape (an LLM-worded mandate-renewal prompt obscuring an extension) identified in research but not built — doing so honestly needs real consent-UI copy or a defensible disclosure-clarity signal, neither of which exists without fabricating one.</w:t>
      </w:r>
    </w:p>
    <w:p>
      <w:pPr>
        <w:pStyle w:val="Heading1"/>
      </w:pPr>
      <w:r>
        <w:t>14. Conclusion</w:t>
      </w:r>
    </w:p>
    <w:p>
      <w:pPr>
        <w:spacing w:after="80"/>
      </w:pPr>
      <w:r>
        <w:rPr>
          <w:b w:val="0"/>
        </w:rPr>
        <w:t>Chakravyuh answers the brief's central worry — that one team playing both attacker and defender produces a number that proves nothing — by making every stage able to fail, then reporting what happens when it does. Attacks are derived systematically and audited against real sources (§3); the generator's own numbers were checked when they looked too good, and three real leaks were found and fixed rather than presented at face value (§4); the detector reaches 0.9987 test PR-AUC and 100% held-out-family recall (§7) while the same document states that a lookalike-fidelity check failed its own target (§4) and that this result is an upper bound, not a calibrated estimate. The closed loop is measured, not diagrammed — a live feature-importance feedback path and a 3-generation curriculum, gated by a safety check that caught and fixed a real 43% regression during development (§9). Real-world feasibility rests on a working, deployed prototype with sub-millisecond CPU-only inference and an itemised account of what production still needs — a real-time feature store, a mule-network retrain, and API hardening — all found by the system's own instrumentation (§8, §10). This is deliberately not a story of a finished, perfect system; it is a story of a system pointed at its own weaknesses as rigorously as at simulated fraud, and that reported every one it found.</w:t>
      </w:r>
    </w:p>
    <w:sectPr w:rsidR="00FC693F" w:rsidRPr="0006063C" w:rsidSect="00034616">
      <w:headerReference w:type="default" r:id="rId9"/>
      <w:footerReference w:type="default" r:id="rId10"/>
      <w:pgSz w:w="11906" w:h="16838"/>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5"/>
      </w:rPr>
      <w:fldChar w:fldCharType="begin"/>
      <w:instrText xml:space="preserve">PAGE</w:instrText>
      <w:fldChar w:fldCharType="separate"/>
      <w:fldChar w:fldCharType="end"/>
    </w:r>
    <w:r>
      <w:rPr>
        <w:color w:val="000000"/>
        <w:sz w:val="15"/>
      </w:rPr>
      <w:t xml:space="preserve"> / </w:t>
    </w:r>
    <w:r>
      <w:rPr>
        <w:color w:val="000000"/>
        <w:sz w:val="15"/>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4"/>
      </w:rPr>
      <w:t>Chakravyuh — Solution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Rule="auto" w:line="250"/>
    </w:pPr>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5" w:lineRule="auto"/>
      <w:contextualSpacing/>
    </w:pPr>
    <w:rPr>
      <w:rFonts w:ascii="Calibri" w:hAnsi="Calibri"/>
      <w:color w:val="000000"/>
      <w:sz w:val="18"/>
    </w:rPr>
  </w:style>
  <w:style w:type="paragraph" w:styleId="ListBullet2">
    <w:name w:val="List Bullet 2"/>
    <w:basedOn w:val="Normal"/>
    <w:uiPriority w:val="99"/>
    <w:unhideWhenUsed/>
    <w:rsid w:val="00326F90"/>
    <w:pPr>
      <w:numPr>
        <w:numId w:val="2"/>
      </w:numPr>
      <w:spacing w:after="40" w:line="245" w:lineRule="auto"/>
      <w:contextualSpacing/>
    </w:pPr>
    <w:rPr>
      <w:rFonts w:ascii="Calibri" w:hAnsi="Calibri"/>
      <w:color w:val="000000"/>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0" w:after="120"/>
    </w:pPr>
    <w:rPr>
      <w:b/>
      <w:bCs/>
      <w:color w:val="000000"/>
      <w:sz w:val="1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Label">
    <w:name w:val="KickerLabel"/>
    <w:basedOn w:val="Normal"/>
    <w:pPr>
      <w:spacing w:before="80" w:after="20"/>
    </w:pPr>
    <w:rPr>
      <w:b/>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