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Charte d'engagement des Coachs Puzzle-Paint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Cette charte définit les engagements réciproques entre le porteur du projet Puzzle-Paint et les coachs partenaires amenés à animer des ateliers éducatifs à partir des kits Puzzle-Paint. Elle a pour but d'assurer une expérience cohérente, sécurisée et de qualité pour tous les participants.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Valeurs du projet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Transmission ludique des connaissances scientifiques et techniques</w:t>
        <w:br w:type="textWrapping"/>
        <w:t xml:space="preserve">- Accessibilité pour tous (enfants, adolescents, adultes, écoles, centres...)</w:t>
        <w:br w:type="textWrapping"/>
        <w:t xml:space="preserve">- Créativité, bienveillance, inclusion et respect du rythme de chacun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 Engagements du Coach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Proposer des ateliers en lien avec les objectifs éducatifs du kit Puzzle-Paint</w:t>
        <w:br w:type="textWrapping"/>
        <w:t xml:space="preserve">- Adapter les activités à l'âge, au niveau et au rythme du public</w:t>
        <w:br w:type="textWrapping"/>
        <w:t xml:space="preserve">- Garantir la sécurité des participants et le bon usage du matériel</w:t>
        <w:br w:type="textWrapping"/>
        <w:t xml:space="preserve">- Respecter les tarifs ou modalités définies ensemble si les ateliers sont commercialisés sous la marque</w:t>
        <w:br w:type="textWrapping"/>
        <w:t xml:space="preserve">- Promouvoir un climat bienveillant, créatif et inclusif</w:t>
        <w:br w:type="textWrapping"/>
        <w:t xml:space="preserve">- Informer Puzzle-Paint des éventuels retours, incidents ou besoins spécifiques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3. Engagements du porteur du projet Puzzle-Paint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Fournir le kit matériel nécessaire à l’animation (kit MECA, kit ELEC…)</w:t>
        <w:br w:type="textWrapping"/>
        <w:t xml:space="preserve">- Proposer une formation initiale ou un guide complet à destination du coach</w:t>
        <w:br w:type="textWrapping"/>
        <w:t xml:space="preserve">- Apporter un appui à la communication (visuels, flyer, mini-site si besoin…)</w:t>
        <w:br w:type="textWrapping"/>
        <w:t xml:space="preserve">- Être à l’écoute des retours pour améliorer en continu l’expérience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4. Durée et fonctionnement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Le coach peut organiser des ateliers en autonomie avec les kits achetés</w:t>
        <w:br w:type="textWrapping"/>
        <w:t xml:space="preserve">- Il peut également collaborer plus étroitement avec le porteur du projet sur des événements communs</w:t>
        <w:br w:type="textWrapping"/>
        <w:t xml:space="preserve">- La présente charte est à durée libre, mais peut être réévaluée à tout moment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5. Signature et validation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signant cette charte, le coach et le porteur du projet Puzzle-Paint s'engagent à respecter ces principes pour garantir la qualité et l'éthique des ateliers proposés.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Fait à : ............................................... Le : ..........................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Signature du Coach : .........................................................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Signature du porteur du projet Puzzle-Paint : ..................................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