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0B2545"/>
          <w:sz w:val="56"/>
        </w:rPr>
        <w:t>INSIGHTPATH</w:t>
        <w:br/>
      </w:r>
      <w:r>
        <w:rPr>
          <w:b/>
          <w:color w:val="134074"/>
          <w:sz w:val="32"/>
        </w:rPr>
        <w:t>Evidence-Based Career-Readiness &amp; Progression Framework</w:t>
        <w:br/>
      </w:r>
      <w:r>
        <w:rPr>
          <w:i/>
          <w:sz w:val="24"/>
        </w:rPr>
        <w:t>A Multi-Lens Investigation of Market Demand, Junior Technical Velocity, and Senior Consulting Success</w:t>
        <w:br/>
        <w:br/>
      </w:r>
    </w:p>
    <w:p>
      <w:pPr>
        <w:spacing w:after="480"/>
        <w:jc w:val="center"/>
      </w:pPr>
      <w:r>
        <w:rPr>
          <w:color w:val="6C757D"/>
          <w:sz w:val="21"/>
        </w:rPr>
        <w:t>SAS CU Hackathon Round 2 — Analytics Final Submission Report</w:t>
        <w:br/>
        <w:t>Team: RUSTY WOLVES  |  Lead Data Scientist &amp; Analytics Architecture Team  |  October 2026</w:t>
      </w:r>
    </w:p>
    <w:p>
      <w:r>
        <w:br w:type="page"/>
      </w:r>
    </w:p>
    <w:p>
      <w:pPr>
        <w:keepNext/>
        <w:spacing w:before="280" w:after="120"/>
      </w:pPr>
      <w:r>
        <w:rPr>
          <w:b/>
          <w:color w:val="0B2545"/>
          <w:sz w:val="36"/>
        </w:rPr>
        <w:t>1. Executive Summary</w:t>
      </w:r>
    </w:p>
    <w:p>
      <w:r>
        <w:t>This project establishes the comprehensive analytical submission for the SAS CU Hackathon Round 2. The investigation addresses the core paradox of data science career planning: why conventional educational and hiring pathways fail to produce market-aligned, high-velocity talent. By analyzing four distinct, complementary datasets encompassing 17,743 combined observations, we develop an evidence-based Career-Readiness and Progression Framework.</w:t>
      </w:r>
    </w:p>
    <w:tbl>
      <w:tblPr>
        <w:tblW w:type="auto" w:w="0"/>
        <w:jc w:val="center"/>
        <w:tblLook w:firstColumn="1" w:firstRow="1" w:lastColumn="0" w:lastRow="0" w:noHBand="0" w:noVBand="1" w:val="04A0"/>
      </w:tblPr>
      <w:tblGrid>
        <w:gridCol w:w="9360"/>
      </w:tblGrid>
      <w:tr>
        <w:tc>
          <w:tcPr>
            <w:tcW w:type="dxa" w:w="9360"/>
            <w:shd w:fill="EEF4F8"/>
          </w:tcPr>
          <w:p>
            <w:pPr>
              <w:spacing w:before="80" w:after="80"/>
            </w:pPr>
            <w:r>
              <w:rPr>
                <w:b/>
                <w:color w:val="0B2545"/>
                <w:sz w:val="21"/>
              </w:rPr>
              <w:t>CORE SYNTHESIS FINDING: THE DUAL-CURRENCY TALENT MODEL</w:t>
              <w:br/>
            </w:r>
            <w:r>
              <w:rPr>
                <w:sz w:val="20"/>
              </w:rPr>
              <w:t>• CURRENCY 1 (TABLE STAKES / MARKET ACCESS): Relational querying (SQL, 48.2%) and procedural programming (Python, 39.5%) are mandatory baseline filters to secure an interview. However, possessing them alone confers zero independent wage premium (AOR ≈ 1.0).</w:t>
              <w:br/>
              <w:t>• CURRENCY 2 (ADVANCEMENT &amp; LEADERSHIP VALUE): Compensation velocity and professional leadership are driven by skills that are heavily under-indexed in job postings: Executive Data Storytelling (AOR = 3.23, Rank #1 junior driver), Mathematical Modeling Rigor (AOR = 3.65), and senior behavioral adaptability (Openness AOR = 7.72, Conscientiousness AOR = 8.11).</w:t>
            </w:r>
          </w:p>
        </w:tc>
      </w:tr>
    </w:tbl>
    <w:p>
      <w:pPr>
        <w:spacing w:after="120"/>
      </w:pPr>
    </w:p>
    <w:p>
      <w:pPr>
        <w:keepNext/>
        <w:spacing w:before="280" w:after="120"/>
      </w:pPr>
      <w:r>
        <w:rPr>
          <w:b/>
          <w:color w:val="0B2545"/>
          <w:sz w:val="36"/>
        </w:rPr>
        <w:t>2. Problem Definition</w:t>
      </w:r>
    </w:p>
    <w:p>
      <w:r>
        <w:t>Data science career planning and organizational talent development currently suffer from fragmented decision-making: job-market demand signals, early-career technical performance drivers, and senior consulting success factors are analyzed in isolation. Consequently, aspiring professionals lack evidence-based guidance on how skill requirements evolve from entry to leadership, academic programs miss market-calibrated curriculum targets, and organizations face high attrition, bloated hiring wishlists, and acute senior leadership deficits.</w:t>
      </w:r>
    </w:p>
    <w:p>
      <w:pPr>
        <w:keepNext/>
        <w:spacing w:before="280" w:after="120"/>
      </w:pPr>
      <w:r>
        <w:rPr>
          <w:b/>
          <w:color w:val="0B2545"/>
          <w:sz w:val="36"/>
        </w:rPr>
        <w:t>3. Formal Analytics Objectives</w:t>
      </w:r>
    </w:p>
    <w:p>
      <w:pPr>
        <w:spacing w:after="80"/>
      </w:pPr>
      <w:r>
        <w:rPr>
          <w:b/>
        </w:rPr>
        <w:t xml:space="preserve">• Objective 1 (Macro Demand): </w:t>
      </w:r>
      <w:r>
        <w:t>Quantify the macroeconomic structure of data science job demand across 642 hiring organizations, 10 standardized roles, experience thresholds, and compensation envelopes (N=1,602).</w:t>
      </w:r>
    </w:p>
    <w:p>
      <w:pPr>
        <w:spacing w:after="80"/>
      </w:pPr>
      <w:r>
        <w:rPr>
          <w:b/>
        </w:rPr>
        <w:t xml:space="preserve">• Objective 2 (Micro Skills): </w:t>
      </w:r>
      <w:r>
        <w:t>Mine 15,841 vacancy postings to extract high-frequency skills, geographic talent clusters (Bengaluru, NCR, Mumbai), and skill combinations commanding premium compensation (&gt;= 15L INR).</w:t>
      </w:r>
    </w:p>
    <w:p>
      <w:pPr>
        <w:spacing w:after="80"/>
      </w:pPr>
      <w:r>
        <w:rPr>
          <w:b/>
        </w:rPr>
        <w:t xml:space="preserve">• Objective 3 (Junior Competency): </w:t>
      </w:r>
      <w:r>
        <w:t>Identify which technical skill dimensions (Big Data, Math/Stats, Coding, AI/ML, Storytelling) statistically and predictively differentiate high salary-hike velocity among Junior Data Scientists (N=139).</w:t>
      </w:r>
    </w:p>
    <w:p>
      <w:pPr>
        <w:spacing w:after="80"/>
      </w:pPr>
      <w:r>
        <w:rPr>
          <w:b/>
        </w:rPr>
        <w:t xml:space="preserve">• Objective 4 (Senior Behavioral Profiles): </w:t>
      </w:r>
      <w:r>
        <w:t>Analyze how Big Five personality dimensions associate with and predict customer-facing consulting success among Senior Data Scientists (N=161).</w:t>
      </w:r>
    </w:p>
    <w:p>
      <w:pPr>
        <w:spacing w:after="80"/>
      </w:pPr>
      <w:r>
        <w:rPr>
          <w:b/>
        </w:rPr>
        <w:t xml:space="preserve">• Objective 5 (Integrated Framework): </w:t>
      </w:r>
      <w:r>
        <w:t>Synthesize findings into an operational Four-Quadrant Talent Matrix and 4-Stage Progression Roadmap without row-level joins.</w:t>
      </w:r>
    </w:p>
    <w:p>
      <w:pPr>
        <w:keepNext/>
        <w:spacing w:before="280" w:after="120"/>
      </w:pPr>
      <w:r>
        <w:rPr>
          <w:b/>
          <w:color w:val="0B2545"/>
          <w:sz w:val="36"/>
        </w:rPr>
        <w:t>4. Multi-Lens Data Architecture</w:t>
      </w:r>
    </w:p>
    <w:p>
      <w:r>
        <w:t>The project investigates four distinct datasets representing different observational units across the talent lifecycle: DataScience Jobs (1,602 employer requisitions), Analytics Jobs (15,841 individual vacancies), JDS Skill Traits (139 junior employees), and SDS Personality Traits (161 senior consultants). Crucially, the datasets feature completely disjoint identifier domains. Row-level merging was strictly rejected to preserve population integrity and avoid ecological fallacies.</w:t>
      </w:r>
    </w:p>
    <w:p>
      <w:pPr>
        <w:keepNext/>
        <w:spacing w:before="280" w:after="120"/>
      </w:pPr>
      <w:r>
        <w:rPr>
          <w:b/>
          <w:color w:val="0B2545"/>
          <w:sz w:val="36"/>
        </w:rPr>
        <w:t>5. Data Quality, Governance &amp; Leakage Controls</w:t>
      </w:r>
    </w:p>
    <w:p>
      <w:r>
        <w:t>Phase 1 and Phase 2 established cryptographic immutability (SHA-256 raw file preservation) and forensic cleaning: removing 32 blank trailing rows from JDS, sanitizing column syntax, parsing salary text envelopes into numeric Lakhs INR, and standardizing 7 geographic clusters. For predictive modeling, data leakage was prevented by embedding all scalers inside scikit-learn Pipelines and enforcing StratifiedGroupKFold on SDS to isolate duplicate subject twins.</w:t>
      </w:r>
    </w:p>
    <w:p>
      <w:pPr>
        <w:keepNext/>
        <w:spacing w:before="280" w:after="120"/>
      </w:pPr>
      <w:r>
        <w:rPr>
          <w:b/>
          <w:color w:val="0B2545"/>
          <w:sz w:val="36"/>
        </w:rPr>
        <w:t>6. Exploratory Data Analysis Key Insights</w:t>
      </w:r>
    </w:p>
    <w:p>
      <w:r>
        <w:t>Exploratory analysis (Phase 3) established foundational benchmarks: Data Scientist, ML Engineer, and Data Analyst roles account for 72.4% of macro demand; tri-metro hubs represent 68.5% of analytics vacancies; coding skills exhibit severe ceiling compression (27.3% at perfect 5.0 rating), and Big Five personality traits exhibit broad bell-shaped distributions spanning raw psychometric scale [17, 68].</w:t>
      </w:r>
    </w:p>
    <w:p>
      <w:pPr>
        <w:keepNext/>
        <w:spacing w:before="280" w:after="120"/>
      </w:pPr>
      <w:r>
        <w:rPr>
          <w:b/>
          <w:color w:val="0B2545"/>
          <w:sz w:val="36"/>
        </w:rPr>
        <w:t>7. Inferential Statistics &amp; Pre-Registered Hypotheses</w:t>
      </w:r>
    </w:p>
    <w:p>
      <w:r>
        <w:t>Phase 4 formally evaluated six pre-registered hypotheses using Benjamini-Hochberg FDR control and HC3 robust standard errors:</w:t>
        <w:br/>
        <w:t>• H1 (Junior Skills): Supported for Maths/Stats (d=1.05, q&lt;0.001) and Storytelling (d=1.04, q&lt;0.001); Unsupported for Big Data (d=0.22, p=0.217).</w:t>
        <w:br/>
        <w:t>• H2 (Multivariable JDS): Supported. Maths/Stats (AOR=4.65) and Storytelling (AOR=3.54) independently drive hike velocity.</w:t>
        <w:br/>
        <w:t>• H3 (SDS Group Differences): Supported for Conscientiousness (d=1.85, q&lt;1e-15), Openness (d=1.80, q&lt;1e-15), Extraversion (d=1.13, q&lt;1e-9); Unsupported for Neuroticism (d=-0.012, p=0.454).</w:t>
        <w:br/>
        <w:t>• H4 (Multivariable SDS): Supported for Conscientiousness (AOR=26.79) and Openness (AOR=20.97); Neuroticism showed multivariable suppressor behavior (AOR=3.94).</w:t>
        <w:br/>
        <w:t>• H5 (Experience Elasticity): Supported. Linear salary slope beta=1.98L/year (R2=0.352, p&lt;1e-134).</w:t>
        <w:br/>
        <w:t>• H6 (Geographic &amp; Skill Premia): Supported. NCR (+3.54) and Mumbai (+2.67) Haberman residuals; Spark (AOR=1.59), ML (AOR=1.58), R (AOR=1.56), SAS (AOR=1.47).</w:t>
      </w:r>
    </w:p>
    <w:p>
      <w:pPr>
        <w:keepNext/>
        <w:spacing w:before="280" w:after="120"/>
      </w:pPr>
      <w:r>
        <w:rPr>
          <w:b/>
          <w:color w:val="0B2545"/>
          <w:sz w:val="36"/>
        </w:rPr>
        <w:t>8. Junior Data Scientist Predictive Modeling (Phase 5)</w:t>
      </w:r>
    </w:p>
    <w:p>
      <w:r>
        <w:t>Under 5-fold x 5-repeat Stratified Cross-Validation (25 splits), Champion Ridge Logistic Regression (L2) achieved out-of-sample ROC-AUC = 0.9035 (+/- 0.0594), Macro F1 = 0.8506, and Accuracy = 85.29% (+32.78% baseline lift). Permutation importance confirmed Dashboarding &amp; Storytelling as Rank #1 (0.1062) across 100% of splits, and Maths/Stats as Rank #2 (0.0654). A parsimonious 2-feature model retains 96.75% of full model discrimination (ROC-AUC = 0.8741). Sensitivity re-evaluation excluding anomalous ID 3291 confirmed complete robustness (Delta AUC = 0.0015 &lt;= 0.02).</w:t>
      </w:r>
    </w:p>
    <w:p>
      <w:pPr>
        <w:keepNext/>
        <w:spacing w:before="280" w:after="120"/>
      </w:pPr>
      <w:r>
        <w:rPr>
          <w:b/>
          <w:color w:val="0B2545"/>
          <w:sz w:val="36"/>
        </w:rPr>
        <w:t>9. Senior Data Scientist Predictive Modeling (Phase 6)</w:t>
      </w:r>
    </w:p>
    <w:p>
      <w:r>
        <w:t>To prevent clone leakage from 9 duplicate subject pairs (18 rows), StratifiedGroupKFold on subject ID was enforced across 25 splits. Champion Ridge Logistic Regression achieved ROC-AUC = 0.9699 (+/- 0.0268), Macro F1 = 0.9259, and Accuracy = 92.68% (+39.9% baseline lift), while Random Forest reached 0.9946 ROC-AUC. Openness (AOR=7.72, Rank #1) and Conscientiousness (AOR=8.11, Rank #2) dominate predictive power. Crucially, Neuroticism showed near-zero held-out permutation importance (0.0005, Rank #5), resolving the Phase 4 suppressor paradox. Deduplicated sensitivity evaluation (N=152) confirmed complete robustness (Delta AUC = 0.0049 &lt;= 0.02).</w:t>
      </w:r>
    </w:p>
    <w:p>
      <w:pPr>
        <w:keepNext/>
        <w:spacing w:before="280" w:after="120"/>
      </w:pPr>
      <w:r>
        <w:rPr>
          <w:b/>
          <w:color w:val="0B2545"/>
          <w:sz w:val="36"/>
        </w:rPr>
        <w:t>10. Cross-Dataset Methodological Triangulation (Phase 7)</w:t>
      </w:r>
    </w:p>
    <w:p>
      <w:r>
        <w:t>Phase 7 synthesized the four evidence layers without row merging, revealing five systemic talent gaps: (1) The Big Data Illusion (high posting mentions, zero junior promotion signal); (2) The Storytelling Deficit (low posting visibility, #1 junior promotion driver); (3) The Table-Stakes Coding Saturation Trap (Python/SQL grant access but zero premium); (4) The Senior Behavioral Pivot (technical excellence stalls without adaptability); and (5) The Geographic Mobility Divide (Tier-2 wage discount of 21%).</w:t>
      </w:r>
    </w:p>
    <w:p>
      <w:pPr>
        <w:keepNext/>
        <w:spacing w:before="280" w:after="120"/>
      </w:pPr>
      <w:r>
        <w:rPr>
          <w:b/>
          <w:color w:val="0B2545"/>
          <w:sz w:val="36"/>
        </w:rPr>
        <w:t>11. The Four-Quadrant Talent Matrix (Phase 8)</w:t>
      </w:r>
    </w:p>
    <w:p>
      <w:r>
        <w:t>The project operationalizes findings into the Four-Quadrant Talent Matrix mapping Technical Execution against Business Storytelling:</w:t>
        <w:br/>
        <w:t>• Quadrant 1: Advanced Readiness (Strategic Impact) — High Tech + High Storytelling. 100% junior hike rate; 94.3% senior success.</w:t>
        <w:br/>
        <w:t>• Quadrant 2: The Execution Engine — High Tech + Low Storytelling. Promotion velocity drops to 66-82%; mid-career plateau risk.</w:t>
        <w:br/>
        <w:t>• Quadrant 3: The Business Facilitator — Low Tech + High Storytelling. 71.4% hike rate; translation role; ceiling limits apply.</w:t>
        <w:br/>
        <w:t>• Quadrant 4: Foundational Development (Stagnation Trap) — Low Tech + Low Storytelling. 97.7% low hike rate; immediate automation risk.</w:t>
      </w:r>
    </w:p>
    <w:p>
      <w:pPr>
        <w:keepNext/>
        <w:spacing w:before="280" w:after="120"/>
      </w:pPr>
      <w:r>
        <w:rPr>
          <w:b/>
          <w:color w:val="0B2545"/>
          <w:sz w:val="36"/>
        </w:rPr>
        <w:t>12. Stakeholder Blueprints &amp; Action Roadmap</w:t>
      </w:r>
    </w:p>
    <w:p>
      <w:r>
        <w:t>Actionable recommendations with concrete metrics are established across four key stakeholders:</w:t>
        <w:br/>
        <w:t>• Students: Build 'Dual-Artifact Portfolios' (Python code + interactive dashboard + video pitch); de-emphasize LeetCode grind.</w:t>
        <w:br/>
        <w:t>• Universities: Mandate oral project defenses; reallocate 40% of lab time from Big Data infrastructure to experimental design and dashboarding.</w:t>
        <w:br/>
        <w:t>• Mentors: Conduct client ambiguity roleplays; instill delivery conscientiousness and adaptability coaching.</w:t>
        <w:br/>
        <w:t>• Employers: De-bloat job descriptions; test business narrative interpretation; enforce a 100% ban on automated personality hiring filters.</w:t>
      </w:r>
    </w:p>
    <w:p>
      <w:pPr>
        <w:keepNext/>
        <w:spacing w:before="280" w:after="120"/>
      </w:pPr>
      <w:r>
        <w:rPr>
          <w:b/>
          <w:color w:val="0B2545"/>
          <w:sz w:val="36"/>
        </w:rPr>
        <w:t>13. Mandatory Ethical Guardrails &amp; Governance</w:t>
      </w:r>
    </w:p>
    <w:p>
      <w:r>
        <w:t>In strict compliance with governance rules: (1) Big Five personality models must NEVER be deployed as automated recruitment gates, termination scores, or promotion hurdles; (2) Personality findings serve exclusively for self-awareness and developmental coaching; (3) All claims maintain non-causal language ('associated with', 'predictively useful in this cohort'); and (4) Sample size boundaries (N=139 JDS, N=161 SDS) are transparently disclosed.</w:t>
      </w:r>
    </w:p>
    <w:p>
      <w:pPr>
        <w:keepNext/>
        <w:spacing w:before="280" w:after="120"/>
      </w:pPr>
      <w:r>
        <w:rPr>
          <w:b/>
          <w:color w:val="0B2545"/>
          <w:sz w:val="36"/>
        </w:rPr>
        <w:t>14. Conclusion &amp; Reproducibility Statement</w:t>
      </w:r>
    </w:p>
    <w:p>
      <w:r>
        <w:t>The InsightPath project provides a scientifically validated, end-to-end framework resolving fragmented talent planning in data science. All analytical steps are 100% reproducible via fixed seeds ([42, 43, 44, 45, 46]) and modular Python packages under src/. The repository includes 48 publication figures (PNG and SVG), 24+ structured CSV tables, and serialized scikit-learn model pipelines.</w:t>
      </w:r>
    </w:p>
    <w:p>
      <w:r>
        <w:br w:type="page"/>
      </w:r>
    </w:p>
    <w:p>
      <w:pPr>
        <w:keepNext/>
        <w:spacing w:before="280" w:after="120"/>
      </w:pPr>
      <w:r>
        <w:rPr>
          <w:b/>
          <w:color w:val="0B2545"/>
          <w:sz w:val="36"/>
        </w:rPr>
        <w:t>Appendix A: Consolidated Statistical &amp; Performance Tables</w:t>
      </w:r>
    </w:p>
    <w:p>
      <w:r>
        <w:t>Table A1: Model Performance Summary across Junior (Phase 5) and Senior (Phase 6) Cohorts (25 Evaluation Splits)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B2545"/>
          </w:tcPr>
          <w:p>
            <w:r>
              <w:rPr>
                <w:b/>
                <w:color w:val="FFFFFF"/>
                <w:sz w:val="19"/>
              </w:rPr>
              <w:t>Cohort</w:t>
            </w:r>
          </w:p>
        </w:tc>
        <w:tc>
          <w:tcPr>
            <w:tcW w:type="dxa" w:w="1560"/>
            <w:shd w:fill="0B2545"/>
          </w:tcPr>
          <w:p>
            <w:r>
              <w:rPr>
                <w:b/>
                <w:color w:val="FFFFFF"/>
                <w:sz w:val="19"/>
              </w:rPr>
              <w:t>Model Pipeline</w:t>
            </w:r>
          </w:p>
        </w:tc>
        <w:tc>
          <w:tcPr>
            <w:tcW w:type="dxa" w:w="1560"/>
            <w:shd w:fill="0B2545"/>
          </w:tcPr>
          <w:p>
            <w:r>
              <w:rPr>
                <w:b/>
                <w:color w:val="FFFFFF"/>
                <w:sz w:val="19"/>
              </w:rPr>
              <w:t>ROC-AUC (Mean)</w:t>
            </w:r>
          </w:p>
        </w:tc>
        <w:tc>
          <w:tcPr>
            <w:tcW w:type="dxa" w:w="1560"/>
            <w:shd w:fill="0B2545"/>
          </w:tcPr>
          <w:p>
            <w:r>
              <w:rPr>
                <w:b/>
                <w:color w:val="FFFFFF"/>
                <w:sz w:val="19"/>
              </w:rPr>
              <w:t>95% Conf. Int.</w:t>
            </w:r>
          </w:p>
        </w:tc>
        <w:tc>
          <w:tcPr>
            <w:tcW w:type="dxa" w:w="1560"/>
            <w:shd w:fill="0B2545"/>
          </w:tcPr>
          <w:p>
            <w:r>
              <w:rPr>
                <w:b/>
                <w:color w:val="FFFFFF"/>
                <w:sz w:val="19"/>
              </w:rPr>
              <w:t>Macro F1</w:t>
            </w:r>
          </w:p>
        </w:tc>
        <w:tc>
          <w:tcPr>
            <w:tcW w:type="dxa" w:w="1560"/>
            <w:shd w:fill="0B2545"/>
          </w:tcPr>
          <w:p>
            <w:r>
              <w:rPr>
                <w:b/>
                <w:color w:val="FFFFFF"/>
                <w:sz w:val="19"/>
              </w:rPr>
              <w:t>Accuracy (%)</w:t>
            </w:r>
          </w:p>
        </w:tc>
      </w:tr>
      <w:tr>
        <w:tc>
          <w:tcPr>
            <w:tcW w:type="dxa" w:w="1560"/>
          </w:tcPr>
          <w:p>
            <w:r>
              <w:rPr>
                <w:sz w:val="18"/>
              </w:rPr>
              <w:t>Junior (JDS N=139)</w:t>
            </w:r>
          </w:p>
        </w:tc>
        <w:tc>
          <w:tcPr>
            <w:tcW w:type="dxa" w:w="1560"/>
          </w:tcPr>
          <w:p>
            <w:r>
              <w:rPr>
                <w:sz w:val="18"/>
              </w:rPr>
              <w:t>Logistic L2 (Champion)</w:t>
            </w:r>
          </w:p>
        </w:tc>
        <w:tc>
          <w:tcPr>
            <w:tcW w:type="dxa" w:w="1560"/>
          </w:tcPr>
          <w:p>
            <w:r>
              <w:rPr>
                <w:sz w:val="18"/>
              </w:rPr>
              <w:t>0.9035</w:t>
            </w:r>
          </w:p>
        </w:tc>
        <w:tc>
          <w:tcPr>
            <w:tcW w:type="dxa" w:w="1560"/>
          </w:tcPr>
          <w:p>
            <w:r>
              <w:rPr>
                <w:sz w:val="18"/>
              </w:rPr>
              <w:t>[0.8802, 0.9268]</w:t>
            </w:r>
          </w:p>
        </w:tc>
        <w:tc>
          <w:tcPr>
            <w:tcW w:type="dxa" w:w="1560"/>
          </w:tcPr>
          <w:p>
            <w:r>
              <w:rPr>
                <w:sz w:val="18"/>
              </w:rPr>
              <w:t>0.8506</w:t>
            </w:r>
          </w:p>
        </w:tc>
        <w:tc>
          <w:tcPr>
            <w:tcW w:type="dxa" w:w="1560"/>
          </w:tcPr>
          <w:p>
            <w:r>
              <w:rPr>
                <w:sz w:val="18"/>
              </w:rPr>
              <w:t>85.29%</w:t>
            </w:r>
          </w:p>
        </w:tc>
      </w:tr>
      <w:tr>
        <w:tc>
          <w:tcPr>
            <w:tcW w:type="dxa" w:w="1560"/>
          </w:tcPr>
          <w:p>
            <w:r>
              <w:rPr>
                <w:sz w:val="18"/>
              </w:rPr>
              <w:t>Junior (JDS N=139)</w:t>
            </w:r>
          </w:p>
        </w:tc>
        <w:tc>
          <w:tcPr>
            <w:tcW w:type="dxa" w:w="1560"/>
          </w:tcPr>
          <w:p>
            <w:r>
              <w:rPr>
                <w:sz w:val="18"/>
              </w:rPr>
              <w:t>Random Forest (100 trees)</w:t>
            </w:r>
          </w:p>
        </w:tc>
        <w:tc>
          <w:tcPr>
            <w:tcW w:type="dxa" w:w="1560"/>
          </w:tcPr>
          <w:p>
            <w:r>
              <w:rPr>
                <w:sz w:val="18"/>
              </w:rPr>
              <w:t>0.8901</w:t>
            </w:r>
          </w:p>
        </w:tc>
        <w:tc>
          <w:tcPr>
            <w:tcW w:type="dxa" w:w="1560"/>
          </w:tcPr>
          <w:p>
            <w:r>
              <w:rPr>
                <w:sz w:val="18"/>
              </w:rPr>
              <w:t>[0.8646, 0.9156]</w:t>
            </w:r>
          </w:p>
        </w:tc>
        <w:tc>
          <w:tcPr>
            <w:tcW w:type="dxa" w:w="1560"/>
          </w:tcPr>
          <w:p>
            <w:r>
              <w:rPr>
                <w:sz w:val="18"/>
              </w:rPr>
              <w:t>0.8304</w:t>
            </w:r>
          </w:p>
        </w:tc>
        <w:tc>
          <w:tcPr>
            <w:tcW w:type="dxa" w:w="1560"/>
          </w:tcPr>
          <w:p>
            <w:r>
              <w:rPr>
                <w:sz w:val="18"/>
              </w:rPr>
              <w:t>83.15%</w:t>
            </w:r>
          </w:p>
        </w:tc>
      </w:tr>
      <w:tr>
        <w:tc>
          <w:tcPr>
            <w:tcW w:type="dxa" w:w="1560"/>
          </w:tcPr>
          <w:p>
            <w:r>
              <w:rPr>
                <w:sz w:val="18"/>
              </w:rPr>
              <w:t>Junior (JDS N=139)</w:t>
            </w:r>
          </w:p>
        </w:tc>
        <w:tc>
          <w:tcPr>
            <w:tcW w:type="dxa" w:w="1560"/>
          </w:tcPr>
          <w:p>
            <w:r>
              <w:rPr>
                <w:sz w:val="18"/>
              </w:rPr>
              <w:t>Reduced 2-Feature L2</w:t>
            </w:r>
          </w:p>
        </w:tc>
        <w:tc>
          <w:tcPr>
            <w:tcW w:type="dxa" w:w="1560"/>
          </w:tcPr>
          <w:p>
            <w:r>
              <w:rPr>
                <w:sz w:val="18"/>
              </w:rPr>
              <w:t>0.8741</w:t>
            </w:r>
          </w:p>
        </w:tc>
        <w:tc>
          <w:tcPr>
            <w:tcW w:type="dxa" w:w="1560"/>
          </w:tcPr>
          <w:p>
            <w:r>
              <w:rPr>
                <w:sz w:val="18"/>
              </w:rPr>
              <w:t>[0.8492, 0.8990]</w:t>
            </w:r>
          </w:p>
        </w:tc>
        <w:tc>
          <w:tcPr>
            <w:tcW w:type="dxa" w:w="1560"/>
          </w:tcPr>
          <w:p>
            <w:r>
              <w:rPr>
                <w:sz w:val="18"/>
              </w:rPr>
              <w:t>0.8214</w:t>
            </w:r>
          </w:p>
        </w:tc>
        <w:tc>
          <w:tcPr>
            <w:tcW w:type="dxa" w:w="1560"/>
          </w:tcPr>
          <w:p>
            <w:r>
              <w:rPr>
                <w:sz w:val="18"/>
              </w:rPr>
              <w:t>82.43%</w:t>
            </w:r>
          </w:p>
        </w:tc>
      </w:tr>
      <w:tr>
        <w:tc>
          <w:tcPr>
            <w:tcW w:type="dxa" w:w="1560"/>
          </w:tcPr>
          <w:p>
            <w:r>
              <w:rPr>
                <w:sz w:val="18"/>
              </w:rPr>
              <w:t>Junior (JDS N=139)</w:t>
            </w:r>
          </w:p>
        </w:tc>
        <w:tc>
          <w:tcPr>
            <w:tcW w:type="dxa" w:w="1560"/>
          </w:tcPr>
          <w:p>
            <w:r>
              <w:rPr>
                <w:sz w:val="18"/>
              </w:rPr>
              <w:t>Decision Tree (CART d=3)</w:t>
            </w:r>
          </w:p>
        </w:tc>
        <w:tc>
          <w:tcPr>
            <w:tcW w:type="dxa" w:w="1560"/>
          </w:tcPr>
          <w:p>
            <w:r>
              <w:rPr>
                <w:sz w:val="18"/>
              </w:rPr>
              <w:t>0.8198</w:t>
            </w:r>
          </w:p>
        </w:tc>
        <w:tc>
          <w:tcPr>
            <w:tcW w:type="dxa" w:w="1560"/>
          </w:tcPr>
          <w:p>
            <w:r>
              <w:rPr>
                <w:sz w:val="18"/>
              </w:rPr>
              <w:t>[0.7899, 0.8498]</w:t>
            </w:r>
          </w:p>
        </w:tc>
        <w:tc>
          <w:tcPr>
            <w:tcW w:type="dxa" w:w="1560"/>
          </w:tcPr>
          <w:p>
            <w:r>
              <w:rPr>
                <w:sz w:val="18"/>
              </w:rPr>
              <w:t>0.7808</w:t>
            </w:r>
          </w:p>
        </w:tc>
        <w:tc>
          <w:tcPr>
            <w:tcW w:type="dxa" w:w="1560"/>
          </w:tcPr>
          <w:p>
            <w:r>
              <w:rPr>
                <w:sz w:val="18"/>
              </w:rPr>
              <w:t>78.41%</w:t>
            </w:r>
          </w:p>
        </w:tc>
      </w:tr>
      <w:tr>
        <w:tc>
          <w:tcPr>
            <w:tcW w:type="dxa" w:w="1560"/>
          </w:tcPr>
          <w:p>
            <w:r>
              <w:rPr>
                <w:sz w:val="18"/>
              </w:rPr>
              <w:t>Junior (JDS N=139)</w:t>
            </w:r>
          </w:p>
        </w:tc>
        <w:tc>
          <w:tcPr>
            <w:tcW w:type="dxa" w:w="1560"/>
          </w:tcPr>
          <w:p>
            <w:r>
              <w:rPr>
                <w:sz w:val="18"/>
              </w:rPr>
              <w:t>Baseline Majority</w:t>
            </w:r>
          </w:p>
        </w:tc>
        <w:tc>
          <w:tcPr>
            <w:tcW w:type="dxa" w:w="1560"/>
          </w:tcPr>
          <w:p>
            <w:r>
              <w:rPr>
                <w:sz w:val="18"/>
              </w:rPr>
              <w:t>0.5000</w:t>
            </w:r>
          </w:p>
        </w:tc>
        <w:tc>
          <w:tcPr>
            <w:tcW w:type="dxa" w:w="1560"/>
          </w:tcPr>
          <w:p>
            <w:r>
              <w:rPr>
                <w:sz w:val="18"/>
              </w:rPr>
              <w:t>[0.5000, 0.5000]</w:t>
            </w:r>
          </w:p>
        </w:tc>
        <w:tc>
          <w:tcPr>
            <w:tcW w:type="dxa" w:w="1560"/>
          </w:tcPr>
          <w:p>
            <w:r>
              <w:rPr>
                <w:sz w:val="18"/>
              </w:rPr>
              <w:t>0.3442</w:t>
            </w:r>
          </w:p>
        </w:tc>
        <w:tc>
          <w:tcPr>
            <w:tcW w:type="dxa" w:w="1560"/>
          </w:tcPr>
          <w:p>
            <w:r>
              <w:rPr>
                <w:sz w:val="18"/>
              </w:rPr>
              <w:t>52.51%</w:t>
            </w:r>
          </w:p>
        </w:tc>
      </w:tr>
      <w:tr>
        <w:tc>
          <w:tcPr>
            <w:tcW w:type="dxa" w:w="1560"/>
          </w:tcPr>
          <w:p>
            <w:r>
              <w:rPr>
                <w:sz w:val="18"/>
              </w:rPr>
              <w:t>Senior (SDS N=161)</w:t>
            </w:r>
          </w:p>
        </w:tc>
        <w:tc>
          <w:tcPr>
            <w:tcW w:type="dxa" w:w="1560"/>
          </w:tcPr>
          <w:p>
            <w:r>
              <w:rPr>
                <w:sz w:val="18"/>
              </w:rPr>
              <w:t>Random Forest (Benchmark)</w:t>
            </w:r>
          </w:p>
        </w:tc>
        <w:tc>
          <w:tcPr>
            <w:tcW w:type="dxa" w:w="1560"/>
          </w:tcPr>
          <w:p>
            <w:r>
              <w:rPr>
                <w:sz w:val="18"/>
              </w:rPr>
              <w:t>0.9946</w:t>
            </w:r>
          </w:p>
        </w:tc>
        <w:tc>
          <w:tcPr>
            <w:tcW w:type="dxa" w:w="1560"/>
          </w:tcPr>
          <w:p>
            <w:r>
              <w:rPr>
                <w:sz w:val="18"/>
              </w:rPr>
              <w:t>[0.9924, 0.9969]</w:t>
            </w:r>
          </w:p>
        </w:tc>
        <w:tc>
          <w:tcPr>
            <w:tcW w:type="dxa" w:w="1560"/>
          </w:tcPr>
          <w:p>
            <w:r>
              <w:rPr>
                <w:sz w:val="18"/>
              </w:rPr>
              <w:t>0.9400</w:t>
            </w:r>
          </w:p>
        </w:tc>
        <w:tc>
          <w:tcPr>
            <w:tcW w:type="dxa" w:w="1560"/>
          </w:tcPr>
          <w:p>
            <w:r>
              <w:rPr>
                <w:sz w:val="18"/>
              </w:rPr>
              <w:t>94.05%</w:t>
            </w:r>
          </w:p>
        </w:tc>
      </w:tr>
      <w:tr>
        <w:tc>
          <w:tcPr>
            <w:tcW w:type="dxa" w:w="1560"/>
          </w:tcPr>
          <w:p>
            <w:r>
              <w:rPr>
                <w:sz w:val="18"/>
              </w:rPr>
              <w:t>Senior (SDS N=161)</w:t>
            </w:r>
          </w:p>
        </w:tc>
        <w:tc>
          <w:tcPr>
            <w:tcW w:type="dxa" w:w="1560"/>
          </w:tcPr>
          <w:p>
            <w:r>
              <w:rPr>
                <w:sz w:val="18"/>
              </w:rPr>
              <w:t>Logistic L2 (Champion)</w:t>
            </w:r>
          </w:p>
        </w:tc>
        <w:tc>
          <w:tcPr>
            <w:tcW w:type="dxa" w:w="1560"/>
          </w:tcPr>
          <w:p>
            <w:r>
              <w:rPr>
                <w:sz w:val="18"/>
              </w:rPr>
              <w:t>0.9699</w:t>
            </w:r>
          </w:p>
        </w:tc>
        <w:tc>
          <w:tcPr>
            <w:tcW w:type="dxa" w:w="1560"/>
          </w:tcPr>
          <w:p>
            <w:r>
              <w:rPr>
                <w:sz w:val="18"/>
              </w:rPr>
              <w:t>[0.9594, 0.9804]</w:t>
            </w:r>
          </w:p>
        </w:tc>
        <w:tc>
          <w:tcPr>
            <w:tcW w:type="dxa" w:w="1560"/>
          </w:tcPr>
          <w:p>
            <w:r>
              <w:rPr>
                <w:sz w:val="18"/>
              </w:rPr>
              <w:t>0.9259</w:t>
            </w:r>
          </w:p>
        </w:tc>
        <w:tc>
          <w:tcPr>
            <w:tcW w:type="dxa" w:w="1560"/>
          </w:tcPr>
          <w:p>
            <w:r>
              <w:rPr>
                <w:sz w:val="18"/>
              </w:rPr>
              <w:t>92.68%</w:t>
            </w:r>
          </w:p>
        </w:tc>
      </w:tr>
      <w:tr>
        <w:tc>
          <w:tcPr>
            <w:tcW w:type="dxa" w:w="1560"/>
          </w:tcPr>
          <w:p>
            <w:r>
              <w:rPr>
                <w:sz w:val="18"/>
              </w:rPr>
              <w:t>Senior (SDS N=161)</w:t>
            </w:r>
          </w:p>
        </w:tc>
        <w:tc>
          <w:tcPr>
            <w:tcW w:type="dxa" w:w="1560"/>
          </w:tcPr>
          <w:p>
            <w:r>
              <w:rPr>
                <w:sz w:val="18"/>
              </w:rPr>
              <w:t>Decision Tree (CART d=3)</w:t>
            </w:r>
          </w:p>
        </w:tc>
        <w:tc>
          <w:tcPr>
            <w:tcW w:type="dxa" w:w="1560"/>
          </w:tcPr>
          <w:p>
            <w:r>
              <w:rPr>
                <w:sz w:val="18"/>
              </w:rPr>
              <w:t>0.9399</w:t>
            </w:r>
          </w:p>
        </w:tc>
        <w:tc>
          <w:tcPr>
            <w:tcW w:type="dxa" w:w="1560"/>
          </w:tcPr>
          <w:p>
            <w:r>
              <w:rPr>
                <w:sz w:val="18"/>
              </w:rPr>
              <w:t>[0.9237, 0.9560]</w:t>
            </w:r>
          </w:p>
        </w:tc>
        <w:tc>
          <w:tcPr>
            <w:tcW w:type="dxa" w:w="1560"/>
          </w:tcPr>
          <w:p>
            <w:r>
              <w:rPr>
                <w:sz w:val="18"/>
              </w:rPr>
              <w:t>0.9036</w:t>
            </w:r>
          </w:p>
        </w:tc>
        <w:tc>
          <w:tcPr>
            <w:tcW w:type="dxa" w:w="1560"/>
          </w:tcPr>
          <w:p>
            <w:r>
              <w:rPr>
                <w:sz w:val="18"/>
              </w:rPr>
              <w:t>90.44%</w:t>
            </w:r>
          </w:p>
        </w:tc>
      </w:tr>
      <w:tr>
        <w:tc>
          <w:tcPr>
            <w:tcW w:type="dxa" w:w="1560"/>
          </w:tcPr>
          <w:p>
            <w:r>
              <w:rPr>
                <w:sz w:val="18"/>
              </w:rPr>
              <w:t>Senior (SDS N=161)</w:t>
            </w:r>
          </w:p>
        </w:tc>
        <w:tc>
          <w:tcPr>
            <w:tcW w:type="dxa" w:w="1560"/>
          </w:tcPr>
          <w:p>
            <w:r>
              <w:rPr>
                <w:sz w:val="18"/>
              </w:rPr>
              <w:t>Baseline Majority</w:t>
            </w:r>
          </w:p>
        </w:tc>
        <w:tc>
          <w:tcPr>
            <w:tcW w:type="dxa" w:w="1560"/>
          </w:tcPr>
          <w:p>
            <w:r>
              <w:rPr>
                <w:sz w:val="18"/>
              </w:rPr>
              <w:t>0.5000</w:t>
            </w:r>
          </w:p>
        </w:tc>
        <w:tc>
          <w:tcPr>
            <w:tcW w:type="dxa" w:w="1560"/>
          </w:tcPr>
          <w:p>
            <w:r>
              <w:rPr>
                <w:sz w:val="18"/>
              </w:rPr>
              <w:t>[0.5000, 0.5000]</w:t>
            </w:r>
          </w:p>
        </w:tc>
        <w:tc>
          <w:tcPr>
            <w:tcW w:type="dxa" w:w="1560"/>
          </w:tcPr>
          <w:p>
            <w:r>
              <w:rPr>
                <w:sz w:val="18"/>
              </w:rPr>
              <w:t>0.3454</w:t>
            </w:r>
          </w:p>
        </w:tc>
        <w:tc>
          <w:tcPr>
            <w:tcW w:type="dxa" w:w="1560"/>
          </w:tcPr>
          <w:p>
            <w:r>
              <w:rPr>
                <w:sz w:val="18"/>
              </w:rPr>
              <w:t>52.78%</w:t>
            </w:r>
          </w:p>
        </w:tc>
      </w:tr>
    </w:tbl>
    <w:p>
      <w:pPr>
        <w:spacing w:before="240"/>
      </w:pPr>
    </w:p>
    <w:p>
      <w:pPr>
        <w:keepNext/>
        <w:spacing w:before="280" w:after="120"/>
      </w:pPr>
      <w:r>
        <w:rPr>
          <w:b/>
          <w:color w:val="0B2545"/>
          <w:sz w:val="36"/>
        </w:rPr>
        <w:t>Appendix B: Research Question &amp; Hypothesis Traceability Matrix</w:t>
      </w:r>
    </w:p>
    <w:p>
      <w:r>
        <w:t>All nine Research Questions (RQ1-RQ9) and six Pre-Registered Hypotheses (H1-H6) trace directly to dedicated empirical tables, publication figures, and serialized model artifacts without analytical breaks.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