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A8713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-Bold" w:cs="Times New Roman"/>
          <w:b/>
          <w:bCs/>
          <w:color w:val="000000" w:themeColor="text1"/>
          <w:kern w:val="0"/>
          <w:sz w:val="36"/>
          <w:szCs w:val="36"/>
          <w:lang w:val="en-US" w:eastAsia="zh-CN" w:bidi="ar"/>
          <w14:textFill>
            <w14:solidFill>
              <w14:schemeClr w14:val="tx1"/>
            </w14:solidFill>
          </w14:textFill>
        </w:rPr>
        <w:t>Phase 7: Integration &amp; External Access</w:t>
      </w:r>
    </w:p>
    <w:p w14:paraId="3BC4A159"/>
    <w:p w14:paraId="4F4D0C79">
      <w:pPr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SimSun"/>
          <w:b/>
          <w:bCs/>
          <w:sz w:val="28"/>
          <w:szCs w:val="28"/>
        </w:rPr>
        <w:t>➣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Named Credentials</w:t>
      </w:r>
    </w:p>
    <w:p w14:paraId="7801516D">
      <w:pPr>
        <w:ind w:firstLine="110" w:firstLineChars="50"/>
        <w:rPr>
          <w:rFonts w:hint="default" w:ascii="Times New Roman" w:hAnsi="Times New Roman" w:cs="Times New Roman"/>
          <w:b/>
          <w:bCs/>
          <w:sz w:val="22"/>
          <w:szCs w:val="22"/>
        </w:rPr>
      </w:pPr>
    </w:p>
    <w:p w14:paraId="5FF632F7">
      <w:pPr>
        <w:ind w:firstLine="703" w:firstLineChars="25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cs="Times New Roman"/>
          <w:sz w:val="28"/>
          <w:szCs w:val="28"/>
        </w:rPr>
        <w:t>Used to securely store the connection to IoT platforms that provide bin fill-level data.</w:t>
      </w:r>
    </w:p>
    <w:p w14:paraId="69EB3F66">
      <w:pPr>
        <w:ind w:firstLine="60" w:firstLineChars="100"/>
        <w:rPr>
          <w:rFonts w:hint="default" w:ascii="Times New Roman" w:hAnsi="Times New Roman" w:cs="Times New Roman"/>
          <w:sz w:val="6"/>
          <w:szCs w:val="6"/>
        </w:rPr>
      </w:pPr>
    </w:p>
    <w:p w14:paraId="4970AFAD">
      <w:pPr>
        <w:ind w:firstLine="703" w:firstLineChars="25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Example: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Create a Named Credential for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"https://iot.greencity.com/api."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4"/>
          <w:rFonts w:hint="default" w:ascii="Times New Roman" w:hAnsi="Times New Roman" w:cs="Times New Roman"/>
          <w:sz w:val="28"/>
          <w:szCs w:val="28"/>
        </w:rPr>
        <w:t>https://iot.greencity.com/api.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5C004E87">
      <w:pPr>
        <w:ind w:firstLine="40" w:firstLineChars="100"/>
        <w:rPr>
          <w:rFonts w:hint="default" w:ascii="Times New Roman" w:hAnsi="Times New Roman" w:cs="Times New Roman"/>
          <w:sz w:val="4"/>
          <w:szCs w:val="4"/>
        </w:rPr>
      </w:pPr>
    </w:p>
    <w:p w14:paraId="319EDD58">
      <w:pPr>
        <w:ind w:firstLine="703" w:firstLineChars="25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Benefit:</w:t>
      </w:r>
      <w:r>
        <w:rPr>
          <w:rFonts w:hint="default" w:ascii="Times New Roman" w:hAnsi="Times New Roman" w:cs="Times New Roman"/>
          <w:sz w:val="28"/>
          <w:szCs w:val="28"/>
        </w:rPr>
        <w:t xml:space="preserve"> Simplifies authentication for REST callouts.</w:t>
      </w:r>
    </w:p>
    <w:p w14:paraId="692043DD">
      <w:pPr>
        <w:ind w:firstLine="700" w:firstLineChars="250"/>
        <w:rPr>
          <w:rFonts w:hint="default" w:ascii="Times New Roman" w:hAnsi="Times New Roman" w:cs="Times New Roman"/>
          <w:sz w:val="28"/>
          <w:szCs w:val="28"/>
        </w:rPr>
      </w:pPr>
    </w:p>
    <w:p w14:paraId="412D5545">
      <w:pPr>
        <w:rPr>
          <w:rFonts w:hint="default"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6638290" cy="2931160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3F560">
      <w:pPr>
        <w:rPr>
          <w:rFonts w:hint="default" w:ascii="Times New Roman" w:hAnsi="Times New Roman" w:cs="Times New Roman"/>
          <w:sz w:val="28"/>
          <w:szCs w:val="28"/>
        </w:rPr>
      </w:pPr>
    </w:p>
    <w:p w14:paraId="18D57653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/>
          <w:b/>
          <w:bCs/>
          <w:sz w:val="28"/>
          <w:szCs w:val="28"/>
        </w:rPr>
        <w:t>➣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Web Services (REST) + Callouts</w:t>
      </w:r>
    </w:p>
    <w:p w14:paraId="7CB2DE58">
      <w:pPr>
        <w:rPr>
          <w:rFonts w:hint="default" w:ascii="Times New Roman" w:hAnsi="Times New Roman" w:cs="Times New Roman"/>
          <w:sz w:val="22"/>
          <w:szCs w:val="22"/>
        </w:rPr>
      </w:pPr>
    </w:p>
    <w:p w14:paraId="2228E995">
      <w:pPr>
        <w:ind w:firstLine="703" w:firstLineChars="25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cs="Times New Roman"/>
          <w:sz w:val="28"/>
          <w:szCs w:val="28"/>
        </w:rPr>
        <w:t>REST Callouts were used to pull IoT sensor readings into Salesforce.</w:t>
      </w:r>
    </w:p>
    <w:p w14:paraId="4F0F1A98">
      <w:pPr>
        <w:ind w:left="556" w:leftChars="278" w:firstLine="141" w:firstLineChars="5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cs="Times New Roman"/>
          <w:sz w:val="28"/>
          <w:szCs w:val="28"/>
        </w:rPr>
        <w:t>Example: A scheduled Apex class makes a callout → fetches bin status → updates Waste_Bin_c.Fill_Level_c.</w:t>
      </w:r>
    </w:p>
    <w:p w14:paraId="32375545">
      <w:pPr>
        <w:ind w:firstLine="703" w:firstLineChars="25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cs="Times New Roman"/>
          <w:sz w:val="28"/>
          <w:szCs w:val="28"/>
        </w:rPr>
        <w:t>Remote Site Settings are configured to allow these API calls.</w:t>
      </w:r>
    </w:p>
    <w:p w14:paraId="10C16543">
      <w:pPr>
        <w:ind w:firstLine="700" w:firstLineChars="250"/>
        <w:rPr>
          <w:rFonts w:hint="default" w:ascii="Times New Roman" w:hAnsi="Times New Roman" w:cs="Times New Roman"/>
          <w:sz w:val="28"/>
          <w:szCs w:val="28"/>
        </w:rPr>
      </w:pPr>
    </w:p>
    <w:p w14:paraId="152080DE">
      <w:r>
        <w:drawing>
          <wp:inline distT="0" distB="0" distL="114300" distR="114300">
            <wp:extent cx="6644640" cy="3481705"/>
            <wp:effectExtent l="0" t="0" r="1016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93B71">
      <w:r>
        <w:drawing>
          <wp:inline distT="0" distB="0" distL="114300" distR="114300">
            <wp:extent cx="6638290" cy="3734435"/>
            <wp:effectExtent l="0" t="0" r="381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060C4">
      <w:pPr>
        <w:rPr>
          <w:rFonts w:hint="default"/>
        </w:rPr>
      </w:pPr>
    </w:p>
    <w:p w14:paraId="3F184C87">
      <w:pPr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SimSun"/>
          <w:b/>
          <w:bCs/>
          <w:sz w:val="28"/>
          <w:szCs w:val="28"/>
        </w:rPr>
        <w:t>➣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Platform Events</w:t>
      </w:r>
    </w:p>
    <w:p w14:paraId="43FE2A28">
      <w:pPr>
        <w:rPr>
          <w:rFonts w:hint="default" w:ascii="Times New Roman" w:hAnsi="Times New Roman" w:cs="Times New Roman"/>
          <w:b/>
          <w:bCs/>
          <w:sz w:val="22"/>
          <w:szCs w:val="22"/>
        </w:rPr>
      </w:pPr>
    </w:p>
    <w:p w14:paraId="643B72C0">
      <w:pPr>
        <w:ind w:firstLine="703" w:firstLineChars="25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cs="Times New Roman"/>
          <w:sz w:val="28"/>
          <w:szCs w:val="28"/>
        </w:rPr>
        <w:t>Used for real-time notifications inside Salesforce.</w:t>
      </w:r>
    </w:p>
    <w:p w14:paraId="06838E64">
      <w:pPr>
        <w:ind w:left="556" w:leftChars="278" w:firstLine="141" w:firstLineChars="5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cs="Times New Roman"/>
          <w:sz w:val="28"/>
          <w:szCs w:val="28"/>
        </w:rPr>
        <w:t>Example: When a Pickup Request is created, a Platform Event notifies the supervisor’s dashboard instantly.</w:t>
      </w:r>
    </w:p>
    <w:p w14:paraId="77439D85">
      <w:pPr>
        <w:ind w:left="556" w:leftChars="278" w:firstLine="140" w:firstLineChars="50"/>
        <w:rPr>
          <w:rFonts w:hint="default" w:ascii="Times New Roman" w:hAnsi="Times New Roman" w:cs="Times New Roman"/>
          <w:sz w:val="28"/>
          <w:szCs w:val="28"/>
        </w:rPr>
      </w:pPr>
    </w:p>
    <w:p w14:paraId="5C6CB61F">
      <w:r>
        <w:drawing>
          <wp:inline distT="0" distB="0" distL="114300" distR="114300">
            <wp:extent cx="6645275" cy="3543935"/>
            <wp:effectExtent l="0" t="0" r="952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6440D"/>
    <w:p w14:paraId="707A7CC4"/>
    <w:p w14:paraId="32CDB473"/>
    <w:p w14:paraId="048E8BB5"/>
    <w:p w14:paraId="23AF9FDA"/>
    <w:p w14:paraId="59BD8D72"/>
    <w:p w14:paraId="6C5900E8">
      <w:pPr>
        <w:rPr>
          <w:rFonts w:hint="default"/>
        </w:rPr>
      </w:pPr>
    </w:p>
    <w:p w14:paraId="49A6120F">
      <w:pPr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SimSun"/>
          <w:b/>
          <w:bCs/>
          <w:sz w:val="28"/>
          <w:szCs w:val="28"/>
        </w:rPr>
        <w:t>➣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API Limits</w:t>
      </w:r>
    </w:p>
    <w:p w14:paraId="1B61D062">
      <w:pPr>
        <w:rPr>
          <w:rFonts w:hint="default" w:ascii="Times New Roman" w:hAnsi="Times New Roman" w:cs="Times New Roman"/>
          <w:b/>
          <w:bCs/>
          <w:sz w:val="22"/>
          <w:szCs w:val="22"/>
        </w:rPr>
      </w:pPr>
    </w:p>
    <w:p w14:paraId="7D536C04">
      <w:pPr>
        <w:ind w:firstLine="703" w:firstLineChars="25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cs="Times New Roman"/>
          <w:sz w:val="28"/>
          <w:szCs w:val="28"/>
        </w:rPr>
        <w:t>Monitored to ensure IoT integrations do not exceed Salesforce daily API usage.</w:t>
      </w:r>
    </w:p>
    <w:p w14:paraId="19FDC0C1">
      <w:pPr>
        <w:ind w:firstLine="703" w:firstLineChars="25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cs="Times New Roman"/>
          <w:sz w:val="28"/>
          <w:szCs w:val="28"/>
        </w:rPr>
        <w:t>Important since IoT sensors can send frequent updates.</w:t>
      </w:r>
    </w:p>
    <w:p w14:paraId="0E4FD833">
      <w:pPr>
        <w:ind w:firstLine="700" w:firstLineChars="250"/>
        <w:rPr>
          <w:rFonts w:hint="default" w:ascii="Times New Roman" w:hAnsi="Times New Roman" w:cs="Times New Roman"/>
          <w:sz w:val="28"/>
          <w:szCs w:val="28"/>
        </w:rPr>
      </w:pPr>
    </w:p>
    <w:p w14:paraId="729B942D">
      <w:r>
        <w:drawing>
          <wp:inline distT="0" distB="0" distL="114300" distR="114300">
            <wp:extent cx="6643370" cy="2863215"/>
            <wp:effectExtent l="0" t="0" r="1143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3BDB7"/>
    <w:p w14:paraId="17D967DC">
      <w:r>
        <w:drawing>
          <wp:inline distT="0" distB="0" distL="114300" distR="114300">
            <wp:extent cx="6637655" cy="26670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98A93"/>
    <w:p w14:paraId="018B101A">
      <w:pPr>
        <w:rPr>
          <w:rFonts w:hint="default"/>
        </w:rPr>
      </w:pPr>
    </w:p>
    <w:p w14:paraId="2C20FC6A">
      <w:pPr>
        <w:pBdr>
          <w:bottom w:val="single" w:color="auto" w:sz="12" w:space="0"/>
        </w:pBdr>
        <w:ind w:firstLine="700" w:firstLineChars="250"/>
        <w:rPr>
          <w:rFonts w:hint="default" w:ascii="Times New Roman" w:hAnsi="Times New Roman" w:cs="Times New Roman"/>
          <w:sz w:val="28"/>
          <w:szCs w:val="28"/>
        </w:rPr>
      </w:pPr>
    </w:p>
    <w:p w14:paraId="29756C6B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1243BFBE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742B7CD9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39F14D7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-Bold" w:cs="Times New Roman"/>
          <w:b/>
          <w:bCs/>
          <w:color w:val="000000" w:themeColor="text1"/>
          <w:kern w:val="0"/>
          <w:sz w:val="36"/>
          <w:szCs w:val="36"/>
          <w:lang w:val="en-US" w:eastAsia="zh-CN" w:bidi="ar"/>
          <w14:textFill>
            <w14:solidFill>
              <w14:schemeClr w14:val="tx1"/>
            </w14:solidFill>
          </w14:textFill>
        </w:rPr>
        <w:t>Phase 8: Data Management &amp; Deployment</w:t>
      </w:r>
    </w:p>
    <w:p w14:paraId="46B23C7C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373A9251">
      <w:pPr>
        <w:rPr>
          <w:rFonts w:hint="default" w:ascii="Times New Roman" w:hAnsi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</w:rPr>
        <w:t>➣</w:t>
      </w: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t>Data Import Wizard</w:t>
      </w:r>
    </w:p>
    <w:p w14:paraId="6CC40233">
      <w:pPr>
        <w:rPr>
          <w:rFonts w:hint="default" w:ascii="Times New Roman" w:hAnsi="Times New Roman"/>
          <w:b/>
          <w:bCs/>
          <w:sz w:val="22"/>
          <w:szCs w:val="22"/>
          <w:lang w:val="en-US"/>
        </w:rPr>
      </w:pPr>
    </w:p>
    <w:p w14:paraId="31677114">
      <w:pPr>
        <w:ind w:firstLine="703" w:firstLineChars="250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Used initially to bulk-upload Waste Bins, Trucks, and Citizen records.</w:t>
      </w:r>
    </w:p>
    <w:p w14:paraId="1323E9E9">
      <w:pPr>
        <w:ind w:firstLine="703" w:firstLineChars="250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Simple UI, good for non-technical admins.</w:t>
      </w:r>
    </w:p>
    <w:p w14:paraId="6AA2FDA3">
      <w:r>
        <w:drawing>
          <wp:inline distT="0" distB="0" distL="114300" distR="114300">
            <wp:extent cx="6631940" cy="2911475"/>
            <wp:effectExtent l="0" t="0" r="1016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1C255">
      <w:pPr>
        <w:rPr>
          <w:rFonts w:hint="default"/>
          <w:lang w:val="en-US"/>
        </w:rPr>
      </w:pPr>
    </w:p>
    <w:p w14:paraId="5676D9A8">
      <w:pPr>
        <w:rPr>
          <w:rFonts w:hint="default" w:ascii="Times New Roman" w:hAnsi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</w:rPr>
        <w:t>➣</w:t>
      </w: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t>Data Loader</w:t>
      </w:r>
    </w:p>
    <w:p w14:paraId="33984C19">
      <w:pPr>
        <w:rPr>
          <w:rFonts w:hint="default" w:ascii="Times New Roman" w:hAnsi="Times New Roman"/>
          <w:b/>
          <w:bCs/>
          <w:sz w:val="22"/>
          <w:szCs w:val="22"/>
          <w:lang w:val="en-US"/>
        </w:rPr>
      </w:pPr>
    </w:p>
    <w:p w14:paraId="35EA8977">
      <w:pPr>
        <w:ind w:firstLine="703" w:firstLineChars="250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Used for larger imports/updates (e.g., adding 1000+ recycling records from legacy system).</w:t>
      </w:r>
    </w:p>
    <w:p w14:paraId="6EB53362">
      <w:pPr>
        <w:ind w:firstLine="703" w:firstLineChars="250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Supports CSV files with insert, update, upsert, delete.</w:t>
      </w:r>
    </w:p>
    <w:p w14:paraId="0BD39CED">
      <w:pPr>
        <w:ind w:firstLine="700" w:firstLineChars="250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44EA6A89">
      <w:r>
        <w:drawing>
          <wp:inline distT="0" distB="0" distL="114300" distR="114300">
            <wp:extent cx="6634480" cy="317119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AFFA7"/>
    <w:p w14:paraId="2760863D">
      <w:pPr>
        <w:rPr>
          <w:rFonts w:hint="default"/>
          <w:lang w:val="en-US"/>
        </w:rPr>
      </w:pPr>
    </w:p>
    <w:p w14:paraId="024533B6">
      <w:pPr>
        <w:rPr>
          <w:rFonts w:hint="default"/>
          <w:lang w:val="en-US"/>
        </w:rPr>
      </w:pPr>
    </w:p>
    <w:p w14:paraId="3DA59493">
      <w:pPr>
        <w:rPr>
          <w:rFonts w:hint="default"/>
          <w:lang w:val="en-US"/>
        </w:rPr>
      </w:pPr>
      <w:bookmarkStart w:id="0" w:name="_GoBack"/>
      <w:bookmarkEnd w:id="0"/>
    </w:p>
    <w:p w14:paraId="3303CE04">
      <w:pPr>
        <w:rPr>
          <w:rFonts w:hint="default" w:ascii="Times New Roman" w:hAnsi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</w:rPr>
        <w:t>➣</w:t>
      </w: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t>Duplicate Rules</w:t>
      </w:r>
    </w:p>
    <w:p w14:paraId="17C21987">
      <w:pPr>
        <w:rPr>
          <w:rFonts w:hint="default" w:ascii="Times New Roman" w:hAnsi="Times New Roman"/>
          <w:b/>
          <w:bCs/>
          <w:sz w:val="22"/>
          <w:szCs w:val="22"/>
          <w:lang w:val="en-US"/>
        </w:rPr>
      </w:pPr>
    </w:p>
    <w:p w14:paraId="53E5D8C8">
      <w:pPr>
        <w:ind w:firstLine="703" w:firstLineChars="250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Prevent duplicate Pickup Requests for the same bin.</w:t>
      </w:r>
    </w:p>
    <w:p w14:paraId="796F8B5E">
      <w:pPr>
        <w:ind w:firstLine="703" w:firstLineChars="250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Example: If a bin already has a “Pending Collection” request, block a new one.</w:t>
      </w:r>
    </w:p>
    <w:p w14:paraId="31CDABBD">
      <w:r>
        <w:drawing>
          <wp:inline distT="0" distB="0" distL="114300" distR="114300">
            <wp:extent cx="6642100" cy="23355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76D87">
      <w:r>
        <w:drawing>
          <wp:inline distT="0" distB="0" distL="114300" distR="114300">
            <wp:extent cx="6637020" cy="2712085"/>
            <wp:effectExtent l="0" t="0" r="508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CF911">
      <w:pPr>
        <w:rPr>
          <w:rFonts w:hint="default"/>
          <w:lang w:val="en-US"/>
        </w:rPr>
      </w:pPr>
    </w:p>
    <w:p w14:paraId="4057B42E">
      <w:pPr>
        <w:rPr>
          <w:rFonts w:hint="default" w:ascii="Times New Roman" w:hAnsi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</w:rPr>
        <w:t>➣</w:t>
      </w: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t>Data Export &amp; Backup</w:t>
      </w:r>
    </w:p>
    <w:p w14:paraId="2647CC77">
      <w:pPr>
        <w:rPr>
          <w:rFonts w:hint="default" w:ascii="Times New Roman" w:hAnsi="Times New Roman"/>
          <w:b/>
          <w:bCs/>
          <w:sz w:val="18"/>
          <w:szCs w:val="18"/>
          <w:lang w:val="en-US"/>
        </w:rPr>
      </w:pPr>
    </w:p>
    <w:p w14:paraId="1FBF9442">
      <w:pPr>
        <w:ind w:firstLine="703" w:firstLineChars="250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Weekly scheduled export to backup critical Waste &amp; Recycling data.</w:t>
      </w:r>
    </w:p>
    <w:p w14:paraId="3E6B53F9">
      <w:pPr>
        <w:ind w:firstLine="700" w:firstLineChars="250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2EB548EB">
      <w:r>
        <w:drawing>
          <wp:inline distT="0" distB="0" distL="114300" distR="114300">
            <wp:extent cx="6645910" cy="2152015"/>
            <wp:effectExtent l="0" t="0" r="889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DCEC0">
      <w:pPr>
        <w:rPr>
          <w:rFonts w:hint="default"/>
          <w:lang w:val="en-US"/>
        </w:rPr>
      </w:pPr>
      <w:r>
        <w:drawing>
          <wp:inline distT="0" distB="0" distL="114300" distR="114300">
            <wp:extent cx="6640830" cy="1517650"/>
            <wp:effectExtent l="0" t="0" r="127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6B0E">
      <w:pPr>
        <w:rPr>
          <w:rFonts w:hint="default" w:ascii="Times New Roman" w:hAnsi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</w:rPr>
        <w:t>➣</w:t>
      </w: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t>Change Sets</w:t>
      </w:r>
    </w:p>
    <w:p w14:paraId="7916D159">
      <w:pPr>
        <w:rPr>
          <w:rFonts w:hint="default" w:ascii="Times New Roman" w:hAnsi="Times New Roman"/>
          <w:b/>
          <w:bCs/>
          <w:sz w:val="22"/>
          <w:szCs w:val="22"/>
          <w:lang w:val="en-US"/>
        </w:rPr>
      </w:pPr>
    </w:p>
    <w:p w14:paraId="15DF3ACE">
      <w:pPr>
        <w:ind w:firstLine="843" w:firstLineChars="300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Used to move configuration (objects, fields, flows, Apex) from Sandbox → Developer Org.</w:t>
      </w:r>
    </w:p>
    <w:p w14:paraId="18E3B1BB">
      <w:pPr>
        <w:ind w:firstLine="843" w:firstLineChars="300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Recommended for structured deployments.</w:t>
      </w:r>
    </w:p>
    <w:p w14:paraId="46BAE934">
      <w:p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0A01A497">
      <w:pPr>
        <w:rPr>
          <w:rFonts w:hint="default" w:ascii="Times New Roman" w:hAnsi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</w:rPr>
        <w:t>➣</w:t>
      </w: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t>VS Code &amp; SFDX</w:t>
      </w:r>
    </w:p>
    <w:p w14:paraId="4F6A2937">
      <w:pPr>
        <w:rPr>
          <w:rFonts w:hint="default" w:ascii="Times New Roman" w:hAnsi="Times New Roman"/>
          <w:b/>
          <w:bCs/>
          <w:sz w:val="22"/>
          <w:szCs w:val="22"/>
          <w:lang w:val="en-US"/>
        </w:rPr>
      </w:pPr>
    </w:p>
    <w:p w14:paraId="134B9E61">
      <w:pPr>
        <w:ind w:firstLine="843" w:firstLineChars="300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Used for developing and deploying LWCs + Apex classes.</w:t>
      </w:r>
    </w:p>
    <w:p w14:paraId="6DCA5EC1">
      <w:pPr>
        <w:ind w:firstLine="843" w:firstLineChars="30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Example: LWC BinMap deployed via VS Code SFDX.</w:t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B30943"/>
    <w:rsid w:val="058916A3"/>
    <w:rsid w:val="437D1491"/>
    <w:rsid w:val="60B30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359</TotalTime>
  <ScaleCrop>false</ScaleCrop>
  <LinksUpToDate>false</LinksUpToDate>
  <CharactersWithSpaces>0</CharactersWithSpaces>
  <Application>WPS Office_12.2.0.22530_F1E327BC-269C-435d-A152-05C5408002CA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2025-09-24T16:52:00Z</dcterms:created>
  <dc:creator>Sharmiya</dc:creator>
  <cp:lastModifiedBy>Sharmiya</cp:lastModifiedBy>
  <dcterms:modified xsi:type="dcterms:W3CDTF">2025-09-25T09:42:13Z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1033-12.2.0.22530</vt:lpwstr>
  </property>
  <property fmtid="{D5CDD505-2E9C-101B-9397-08002B2CF9AE}" pid="3" name="ICV">
    <vt:lpwstr>DF02BE81115840D09BA03043744DE784_11</vt:lpwstr>
  </property>
</Properties>
</file>