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2E6EC4"/>
          <w:spacing w:val="120"/>
          <w:sz w:val="20"/>
          <w:szCs w:val="20"/>
        </w:rPr>
        <w:t xml:space="preserve">COMPUTATIONAL BIOLOGY RESEARCH GUIDE</w:t>
      </w:r>
    </w:p>
    <w:p>
      <w:pPr>
        <w:spacing w:before="60" w:after="60"/>
      </w:pPr>
      <w:r>
        <w:t xml:space="preserve"/>
      </w:r>
    </w:p>
    <w:p>
      <w:pPr>
        <w:spacing w:before="0" w:after="80"/>
        <w:jc w:val="center"/>
      </w:pPr>
      <w:r>
        <w:rPr>
          <w:rFonts w:ascii="Arial" w:cs="Arial" w:eastAsia="Arial" w:hAnsi="Arial"/>
          <w:b/>
          <w:bCs/>
          <w:color w:val="1B2A4A"/>
          <w:sz w:val="56"/>
          <w:szCs w:val="56"/>
        </w:rPr>
        <w:t xml:space="preserve">Early-Stage Cancer Detection</w:t>
      </w:r>
    </w:p>
    <w:p>
      <w:pPr>
        <w:spacing w:before="0" w:after="200"/>
        <w:jc w:val="center"/>
      </w:pPr>
      <w:r>
        <w:rPr>
          <w:rFonts w:ascii="Arial" w:cs="Arial" w:eastAsia="Arial" w:hAnsi="Arial"/>
          <w:b w:val="false"/>
          <w:bCs w:val="false"/>
          <w:i/>
          <w:iCs/>
          <w:color w:val="2E6EC4"/>
          <w:sz w:val="48"/>
          <w:szCs w:val="48"/>
        </w:rPr>
        <w:t xml:space="preserve">from a Single Blood Draw</w:t>
      </w:r>
    </w:p>
    <w:p>
      <w:pPr>
        <w:pBdr>
          <w:bottom w:val="single" w:color="2E6EC4" w:sz="4" w:space="1"/>
        </w:pBdr>
        <w:spacing w:before="120" w:after="120"/>
      </w:pPr>
      <w:r>
        <w:t xml:space="preserve"/>
      </w:r>
    </w:p>
    <w:p>
      <w:pPr>
        <w:spacing w:before="160" w:after="200"/>
        <w:jc w:val="center"/>
      </w:pPr>
      <w:r>
        <w:rPr>
          <w:rFonts w:ascii="Arial" w:cs="Arial" w:eastAsia="Arial" w:hAnsi="Arial"/>
          <w:color w:val="2D3142"/>
          <w:sz w:val="22"/>
          <w:szCs w:val="22"/>
        </w:rPr>
        <w:t xml:space="preserve">Two Complete Research Papers | Algorithms | Data Sources | Implementation | Journal Strategy</w:t>
      </w:r>
    </w:p>
    <w:p>
      <w:pPr>
        <w:spacing w:before="60" w:after="60"/>
      </w:pPr>
      <w:r>
        <w:t xml:space="preserve"/>
      </w:r>
    </w:p>
    <w:p>
      <w:pPr>
        <w:spacing w:before="60" w:after="60"/>
      </w:pPr>
      <w:r>
        <w:t xml:space="preserve"/>
      </w:r>
    </w:p>
    <w:p>
      <w:pPr>
        <w:jc w:val="center"/>
      </w:pPr>
      <w:r>
        <w:rPr>
          <w:rFonts w:ascii="Arial" w:cs="Arial" w:eastAsia="Arial" w:hAnsi="Arial"/>
          <w:b/>
          <w:bCs/>
          <w:color w:val="1A7F6F"/>
          <w:spacing w:val="80"/>
          <w:sz w:val="22"/>
          <w:szCs w:val="22"/>
        </w:rPr>
        <w:t xml:space="preserve">PAPER I</w:t>
      </w:r>
    </w:p>
    <w:p>
      <w:pPr>
        <w:spacing w:before="0" w:after="60"/>
        <w:jc w:val="center"/>
      </w:pPr>
      <w:r>
        <w:rPr>
          <w:rFonts w:ascii="Arial" w:cs="Arial" w:eastAsia="Arial" w:hAnsi="Arial"/>
          <w:b/>
          <w:bCs/>
          <w:color w:val="1A7F6F"/>
          <w:sz w:val="26"/>
          <w:szCs w:val="26"/>
        </w:rPr>
        <w:t xml:space="preserve">Plasma circRNA-miRNA ceRNA Network Collapse for Pan-Cancer Early Detection</w:t>
      </w:r>
    </w:p>
    <w:p>
      <w:pPr>
        <w:jc w:val="center"/>
      </w:pPr>
      <w:r>
        <w:rPr>
          <w:rFonts w:ascii="Arial" w:cs="Arial" w:eastAsia="Arial" w:hAnsi="Arial"/>
          <w:i/>
          <w:iCs/>
          <w:color w:val="2D3142"/>
          <w:sz w:val="20"/>
          <w:szCs w:val="20"/>
        </w:rPr>
        <w:t xml:space="preserve">Target: Molecular Oncology (Q1, Hybrid) | Backup: Cancer Letters (Q1, Hybrid)</w:t>
      </w:r>
    </w:p>
    <w:p>
      <w:pPr>
        <w:spacing w:before="60" w:after="60"/>
      </w:pPr>
      <w:r>
        <w:t xml:space="preserve"/>
      </w:r>
    </w:p>
    <w:p>
      <w:pPr>
        <w:spacing w:before="60" w:after="60"/>
      </w:pPr>
      <w:r>
        <w:t xml:space="preserve"/>
      </w:r>
    </w:p>
    <w:p>
      <w:pPr>
        <w:jc w:val="center"/>
      </w:pPr>
      <w:r>
        <w:rPr>
          <w:rFonts w:ascii="Arial" w:cs="Arial" w:eastAsia="Arial" w:hAnsi="Arial"/>
          <w:b/>
          <w:bCs/>
          <w:color w:val="6B3FA0"/>
          <w:spacing w:val="80"/>
          <w:sz w:val="22"/>
          <w:szCs w:val="22"/>
        </w:rPr>
        <w:t xml:space="preserve">PAPER II</w:t>
      </w:r>
    </w:p>
    <w:p>
      <w:pPr>
        <w:spacing w:before="0" w:after="60"/>
        <w:jc w:val="center"/>
      </w:pPr>
      <w:r>
        <w:rPr>
          <w:rFonts w:ascii="Arial" w:cs="Arial" w:eastAsia="Arial" w:hAnsi="Arial"/>
          <w:b/>
          <w:bCs/>
          <w:color w:val="6B3FA0"/>
          <w:sz w:val="26"/>
          <w:szCs w:val="26"/>
        </w:rPr>
        <w:t xml:space="preserve">Tumor-Educated Platelet Splicing Graphs + Graph Attention Networks for Multi-Cancer Detection</w:t>
      </w:r>
    </w:p>
    <w:p>
      <w:pPr>
        <w:jc w:val="center"/>
      </w:pPr>
      <w:r>
        <w:rPr>
          <w:rFonts w:ascii="Arial" w:cs="Arial" w:eastAsia="Arial" w:hAnsi="Arial"/>
          <w:i/>
          <w:iCs/>
          <w:color w:val="2D3142"/>
          <w:sz w:val="20"/>
          <w:szCs w:val="20"/>
        </w:rPr>
        <w:t xml:space="preserve">Target: Clinical Cancer Research (Q1, Hybrid) | Backup: British Journal of Cancer (Q1, Hybrid)</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pBdr>
          <w:bottom w:val="single" w:color="BBBFC8" w:sz="4" w:space="1"/>
        </w:pBdr>
        <w:spacing w:before="120" w:after="120"/>
      </w:pPr>
      <w:r>
        <w:t xml:space="preserve"/>
      </w:r>
    </w:p>
    <w:p>
      <w:pPr>
        <w:spacing w:before="120" w:after="0"/>
        <w:jc w:val="center"/>
      </w:pPr>
      <w:r>
        <w:rPr>
          <w:rFonts w:ascii="Arial" w:cs="Arial" w:eastAsia="Arial" w:hAnsi="Arial"/>
          <w:color w:val="2D3142"/>
          <w:sz w:val="20"/>
          <w:szCs w:val="20"/>
        </w:rPr>
        <w:t xml:space="preserve">Prepared by Sharon | Amity University Bengaluru | 2025-2026</w:t>
      </w:r>
    </w:p>
    <w:p>
      <w:r>
        <w:br w:type="page"/>
      </w:r>
    </w:p>
    <w:p>
      <w:pPr>
        <w:pStyle w:val="Heading1"/>
        <w:pBdr>
          <w:bottom w:val="single" w:color="2E6EC4" w:sz="6" w:space="4"/>
        </w:pBdr>
        <w:spacing w:before="480" w:after="160"/>
      </w:pPr>
      <w:r>
        <w:rPr>
          <w:rFonts w:ascii="Arial" w:cs="Arial" w:eastAsia="Arial" w:hAnsi="Arial"/>
          <w:b/>
          <w:bCs/>
          <w:color w:val="1B2A4A"/>
          <w:sz w:val="36"/>
          <w:szCs w:val="36"/>
        </w:rPr>
        <w:t xml:space="preserve">Quick Reference: Both Papers at a Glance</w:t>
      </w:r>
    </w:p>
    <w:p>
      <w:pPr>
        <w:spacing w:before="60" w:after="60"/>
      </w:pPr>
      <w:r>
        <w:rPr>
          <w:rFonts w:ascii="Arial" w:cs="Arial" w:eastAsia="Arial" w:hAnsi="Arial"/>
          <w:color w:val="2D3142"/>
          <w:sz w:val="22"/>
          <w:szCs w:val="22"/>
        </w:rPr>
        <w:t xml:space="preserve">Both papers use only software and publicly available blood-based datasets — no wet-lab work required. Both journals are hybrid open access, meaning you can publish in subscription mode (no APC) or pay to make the article open access after acceptance.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tcBorders>
              <w:top w:val="single" w:color="AAAAAA" w:sz="4"/>
              <w:left w:val="single" w:color="AAAAAA" w:sz="4"/>
              <w:bottom w:val="single" w:color="AAAAAA" w:sz="4"/>
              <w:right w:val="single" w:color="AAAAA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00"/>
            <w:tcBorders>
              <w:top w:val="single" w:color="AAAAAA" w:sz="4"/>
              <w:left w:val="single" w:color="AAAAAA" w:sz="4"/>
              <w:bottom w:val="single" w:color="AAAAAA" w:sz="4"/>
              <w:right w:val="single" w:color="AAAAA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Paper I — circRNA ceRNA</w:t>
            </w:r>
          </w:p>
        </w:tc>
        <w:tc>
          <w:tcPr>
            <w:tcW w:type="dxa" w:w="3600"/>
            <w:tcBorders>
              <w:top w:val="single" w:color="AAAAAA" w:sz="4"/>
              <w:left w:val="single" w:color="AAAAAA" w:sz="4"/>
              <w:bottom w:val="single" w:color="AAAAAA" w:sz="4"/>
              <w:right w:val="single" w:color="AAAAA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Paper II — TEP-GAT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Blood analyte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Plasma circRNA + miRNA (RNA-seq)</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Platelet RNA-seq (TEP-seq)</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Core novelty</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ceRNA graph topology collapse</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Splicing regulatory graph + GAT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Algorithm</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Graph disruption score (TDA + community detection)</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Graph Attention Network (PyG)</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Cancer types</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Pan-cancer (5+ types)</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6 types + healthy</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Stage focus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Stage I / pre-malignant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Stage I emphasis</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Primary dataset</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GSE113486, GSE159835</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GSE68086, GSE89223</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All data free?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Yes — GEO, no dbGaP needed</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Yes — GEO, no dbGaP needed</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Expected AUC</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0.88 – 0.93</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0.93 – 0.97</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Compute needed</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CPU feasible (graph work)</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GPU recommended (PyTorch)</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Paper difficulty</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Medium</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Medium-High</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Target journal</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Molecular Oncology (Q1, hybrid)</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Clinical Cancer Research (Q1, hybrid)</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Backup journal</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Cancer Letters (Q1, hybrid)</w:t>
            </w:r>
          </w:p>
        </w:tc>
        <w:tc>
          <w:tcPr>
            <w:tcW w:type="dxa" w:w="3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British Journal of Cancer (Q1, hybrid)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IF (approx.)</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~6.5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~13.0</w:t>
            </w:r>
          </w:p>
        </w:tc>
      </w:tr>
    </w:tbl>
    <w:p>
      <w:pPr>
        <w:spacing w:before="60" w:after="60"/>
      </w:pPr>
      <w:r>
        <w:t xml:space="preserve"/>
      </w:r>
    </w:p>
    <w:p>
      <w:pPr>
        <w:pBdr>
          <w:left w:val="single" w:color="2E6EC4" w:sz="12" w:space="4"/>
        </w:pBdr>
        <w:shd w:fill="D6E8F8" w:val="clear"/>
        <w:spacing w:before="80" w:after="80"/>
        <w:ind w:left="360" w:right="360"/>
      </w:pPr>
      <w:r>
        <w:rPr>
          <w:rFonts w:ascii="Arial" w:cs="Arial" w:eastAsia="Arial" w:hAnsi="Arial"/>
          <w:b/>
          <w:bCs/>
          <w:color w:val="2E6EC4"/>
          <w:sz w:val="22"/>
          <w:szCs w:val="22"/>
        </w:rPr>
        <w:t xml:space="preserve">KEY JOURNAL NOTE  </w:t>
      </w:r>
      <w:r>
        <w:rPr>
          <w:rFonts w:ascii="Arial" w:cs="Arial" w:eastAsia="Arial" w:hAnsi="Arial"/>
          <w:color w:val="2D3142"/>
          <w:sz w:val="22"/>
          <w:szCs w:val="22"/>
        </w:rPr>
        <w:t xml:space="preserve">Both Molecular Oncology (Wiley) and Clinical Cancer Research (AACR) are hybrid journals — you submit normally, they accept or reject on merit, and you choose at acceptance whether to pay for open access. If you choose subscription mode, there is zero APC. This is the standard academic publication model and is fully valid for thesis credit and academic recognition.</w:t>
      </w:r>
    </w:p>
    <w:p>
      <w:r>
        <w:br w:type="page"/>
      </w:r>
    </w:p>
    <w:p>
      <w:pPr>
        <w:pBdr>
          <w:left w:val="single" w:color="1A7F6F" w:sz="20" w:space="6"/>
          <w:right w:val="single" w:color="1A7F6F" w:sz="20" w:space="6"/>
        </w:pBdr>
        <w:shd w:fill="D4EDE8" w:val="clear"/>
        <w:spacing w:before="160" w:after="80"/>
        <w:ind w:left="360" w:right="360"/>
        <w:jc w:val="center"/>
      </w:pPr>
      <w:r>
        <w:rPr>
          <w:rFonts w:ascii="Arial" w:cs="Arial" w:eastAsia="Arial" w:hAnsi="Arial"/>
          <w:b/>
          <w:bCs/>
          <w:color w:val="1A7F6F"/>
          <w:spacing w:val="160"/>
          <w:sz w:val="36"/>
          <w:szCs w:val="36"/>
        </w:rPr>
        <w:t xml:space="preserve">PAPER I</w:t>
      </w:r>
    </w:p>
    <w:p>
      <w:pPr>
        <w:spacing w:before="80" w:after="160"/>
        <w:jc w:val="center"/>
      </w:pPr>
      <w:r>
        <w:rPr>
          <w:rFonts w:ascii="Arial" w:cs="Arial" w:eastAsia="Arial" w:hAnsi="Arial"/>
          <w:b/>
          <w:bCs/>
          <w:color w:val="1B2A4A"/>
          <w:sz w:val="32"/>
          <w:szCs w:val="32"/>
        </w:rPr>
        <w:t xml:space="preserve">Plasma circRNA-miRNA Competing Endogenous RNA Network Collapse as a Pan-Cancer Early Detection Signal</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800"/>
        <w:gridCol w:w="7380"/>
      </w:tblGrid>
      <w:tr>
        <w:trPr>
          <w:tblHeader/>
        </w:trPr>
        <w:tc>
          <w:tcPr>
            <w:tcW w:type="dxa" w:w="18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Journal Submission Strategy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Primary Target</w:t>
            </w:r>
          </w:p>
        </w:tc>
        <w:tc>
          <w:tcPr>
            <w:tcW w:type="dxa" w:w="7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Molecular Oncology — Wiley, Q1, Hybrid, IF ~6.5. Submit under category: Biomarkers &amp; Early Detection. This journal actively solicits computational pan-cancer biomarker papers using multi-omic blood data and graph-based analysis. Hybrid model: subscription by default, open access optional at acceptance for a fee.</w:t>
            </w:r>
          </w:p>
        </w:tc>
      </w:tr>
      <w:tr>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Backup Journal</w:t>
            </w:r>
          </w:p>
        </w:tc>
        <w:tc>
          <w:tcPr>
            <w:tcW w:type="dxa" w:w="73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Cancer Letters — Elsevier, Q1, Hybrid, IF ~9.1. Broader scope — accepts computational oncology papers with strong clinical rationale. Submit under: Cancer Biomarkers. Same hybrid model as above.</w:t>
            </w:r>
          </w:p>
        </w:tc>
      </w:tr>
    </w:tbl>
    <w:p>
      <w:pPr>
        <w:pStyle w:val="Heading1"/>
        <w:pBdr>
          <w:bottom w:val="single" w:color="2E6EC4" w:sz="6" w:space="4"/>
        </w:pBdr>
        <w:spacing w:before="480" w:after="160"/>
      </w:pPr>
      <w:r>
        <w:rPr>
          <w:rFonts w:ascii="Arial" w:cs="Arial" w:eastAsia="Arial" w:hAnsi="Arial"/>
          <w:b/>
          <w:bCs/>
          <w:color w:val="1B2A4A"/>
          <w:sz w:val="36"/>
          <w:szCs w:val="36"/>
        </w:rPr>
        <w:t xml:space="preserve">Part 1 — The Biology in Depth</w:t>
      </w:r>
    </w:p>
    <w:p>
      <w:pPr>
        <w:pStyle w:val="Heading2"/>
        <w:spacing w:before="320" w:after="120"/>
      </w:pPr>
      <w:r>
        <w:rPr>
          <w:rFonts w:ascii="Arial" w:cs="Arial" w:eastAsia="Arial" w:hAnsi="Arial"/>
          <w:b/>
          <w:bCs/>
          <w:color w:val="2E6EC4"/>
          <w:sz w:val="28"/>
          <w:szCs w:val="28"/>
        </w:rPr>
        <w:t xml:space="preserve">1.1 What is a Circular RNA?</w:t>
      </w:r>
    </w:p>
    <w:p>
      <w:pPr>
        <w:spacing w:before="60" w:after="60"/>
      </w:pPr>
      <w:r>
        <w:rPr>
          <w:rFonts w:ascii="Arial" w:cs="Arial" w:eastAsia="Arial" w:hAnsi="Arial"/>
          <w:color w:val="2D3142"/>
          <w:sz w:val="22"/>
          <w:szCs w:val="22"/>
        </w:rPr>
        <w:t xml:space="preserve">Circular RNAs (circRNAs) are a class of non-coding RNA molecules produced when a downstream splice donor joins covalently to an upstream splice acceptor — a process called back-splicing. The result is a covalently closed loop with no 5' cap and no 3' poly-A tail. This closed structure makes circRNAs extraordinarily resistant to degradation by exonucleases (the enzymes that normally break down linear RNA). In plasma, while ordinary mRNAs have a half-life of minutes to a few hours, circRNAs can persist for days to weeks.</w:t>
      </w:r>
    </w:p>
    <w:p>
      <w:pPr>
        <w:spacing w:before="60" w:after="60"/>
      </w:pPr>
      <w:r>
        <w:rPr>
          <w:rFonts w:ascii="Arial" w:cs="Arial" w:eastAsia="Arial" w:hAnsi="Arial"/>
          <w:color w:val="2D3142"/>
          <w:sz w:val="22"/>
          <w:szCs w:val="22"/>
        </w:rPr>
        <w:t xml:space="preserve">This stability is the primary reason circRNAs are ideal blood biomarkers. When a tumor releases RNA into the bloodstream (via exosomes or apoptotic cells), the linear RNA degrades rapidly during sample handling and sequencing — but circRNAs survive intact.</w:t>
      </w:r>
    </w:p>
    <w:p>
      <w:pPr>
        <w:spacing w:before="60" w:after="60"/>
      </w:pPr>
      <w:r>
        <w:rPr>
          <w:rFonts w:ascii="Arial" w:cs="Arial" w:eastAsia="Arial" w:hAnsi="Arial"/>
          <w:color w:val="2D3142"/>
          <w:sz w:val="22"/>
          <w:szCs w:val="22"/>
        </w:rPr>
        <w:t xml:space="preserve">CircRNAs are expressed in a tissue-specific, development-specific, and disease-specific manner. Over 100,000 distinct human circRNA species have been catalogued. Their expression patterns change dramatically in cancer — some are massively upregulated (acting as oncogenic sponges), others are silenced (acting as tumour suppressors). This expression change is detectable in plasma from early-stage patients.</w:t>
      </w:r>
    </w:p>
    <w:p>
      <w:pPr>
        <w:pStyle w:val="Heading2"/>
        <w:spacing w:before="320" w:after="120"/>
      </w:pPr>
      <w:r>
        <w:rPr>
          <w:rFonts w:ascii="Arial" w:cs="Arial" w:eastAsia="Arial" w:hAnsi="Arial"/>
          <w:b/>
          <w:bCs/>
          <w:color w:val="2E6EC4"/>
          <w:sz w:val="28"/>
          <w:szCs w:val="28"/>
        </w:rPr>
        <w:t xml:space="preserve">1.2 What are miRNAs and the ceRNA Hypothesis?</w:t>
      </w:r>
    </w:p>
    <w:p>
      <w:pPr>
        <w:spacing w:before="60" w:after="60"/>
      </w:pPr>
      <w:r>
        <w:rPr>
          <w:rFonts w:ascii="Arial" w:cs="Arial" w:eastAsia="Arial" w:hAnsi="Arial"/>
          <w:color w:val="2D3142"/>
          <w:sz w:val="22"/>
          <w:szCs w:val="22"/>
        </w:rPr>
        <w:t xml:space="preserve">MicroRNAs (miRNAs) are small (~22 nucleotide) non-coding RNAs that bind to complementary sequences in the 3' UTR of target mRNAs, causing their degradation or translational repression. A single miRNA can suppress hundreds of target genes. In cancer, the miRNA landscape is globally disrupted — specific miRNAs become dramatically over- or under-expressed and drive proliferation, apoptosis resistance, and metastasis.</w:t>
      </w:r>
    </w:p>
    <w:p>
      <w:pPr>
        <w:spacing w:before="60" w:after="60"/>
      </w:pPr>
      <w:r>
        <w:rPr>
          <w:rFonts w:ascii="Arial" w:cs="Arial" w:eastAsia="Arial" w:hAnsi="Arial"/>
          <w:color w:val="2D3142"/>
          <w:sz w:val="22"/>
          <w:szCs w:val="22"/>
        </w:rPr>
        <w:t xml:space="preserve">The Competing Endogenous RNA (ceRNA) hypothesis, proposed by Salmena et al. (2011, Cell), states that any RNA species carrying miRNA Response Elements (MREs) can act as a sponge, titrating free miRNA away from its mRNA targets. CircRNAs are exceptionally potent ceRNAs because: (1) they are highly expressed in some tissues; (2) they are stable; (3) they can carry dozens of MREs for the same miRNA. The most studied example is ciRS-7 (CDR1as), which carries 74 binding sites for miR-7 and acts as a dominant miR-7 sponge.</w:t>
      </w:r>
    </w:p>
    <w:p>
      <w:pPr>
        <w:spacing w:before="60" w:after="60"/>
      </w:pPr>
      <w:r>
        <w:rPr>
          <w:rFonts w:ascii="Arial" w:cs="Arial" w:eastAsia="Arial" w:hAnsi="Arial"/>
          <w:color w:val="2D3142"/>
          <w:sz w:val="22"/>
          <w:szCs w:val="22"/>
        </w:rPr>
        <w:t xml:space="preserve">The ceRNA network is therefore a tripartite system: circRNAs sponge miRNAs, which would otherwise repress target mRNAs. When the balance is disrupted — as in cancer — the network topology changes. Sponge circRNAs may be lost (releasing miRNAs to over-suppress tumour suppressors) or gained (protecting oncogenic mRNAs from suppression).</w:t>
      </w:r>
    </w:p>
    <w:p>
      <w:pPr>
        <w:pStyle w:val="Heading2"/>
        <w:spacing w:before="320" w:after="120"/>
      </w:pPr>
      <w:r>
        <w:rPr>
          <w:rFonts w:ascii="Arial" w:cs="Arial" w:eastAsia="Arial" w:hAnsi="Arial"/>
          <w:b/>
          <w:bCs/>
          <w:color w:val="2E6EC4"/>
          <w:sz w:val="28"/>
          <w:szCs w:val="28"/>
        </w:rPr>
        <w:t xml:space="preserve">1.3 Why Network Topology — Not Just Differential Expression?</w:t>
      </w:r>
    </w:p>
    <w:p>
      <w:pPr>
        <w:spacing w:before="60" w:after="60"/>
      </w:pPr>
      <w:r>
        <w:rPr>
          <w:rFonts w:ascii="Arial" w:cs="Arial" w:eastAsia="Arial" w:hAnsi="Arial"/>
          <w:color w:val="2D3142"/>
          <w:sz w:val="22"/>
          <w:szCs w:val="22"/>
        </w:rPr>
        <w:t xml:space="preserve">Every published circRNA plasma biomarker study asks: 'which circRNAs are higher or lower in cancer patients?' This is differential expression (DE). DE has three fundamental weaknesses:</w:t>
      </w:r>
    </w:p>
    <w:p>
      <w:pPr>
        <w:pStyle w:val="ListParagraph"/>
        <w:numPr>
          <w:ilvl w:val="0"/>
          <w:numId w:val="2"/>
        </w:numPr>
        <w:spacing w:before="30" w:after="30"/>
      </w:pPr>
      <w:r>
        <w:rPr>
          <w:rFonts w:ascii="Arial" w:cs="Arial" w:eastAsia="Arial" w:hAnsi="Arial"/>
          <w:b w:val="false"/>
          <w:bCs w:val="false"/>
          <w:color w:val="2D3142"/>
          <w:sz w:val="22"/>
          <w:szCs w:val="22"/>
        </w:rPr>
        <w:t xml:space="preserve">Technical noise: circRNA quantification from short-read RNA-seq has high variance. A circRNA 2x upregulated in one cohort may not replicate in another because the signal is swamped by noise.</w:t>
      </w:r>
    </w:p>
    <w:p>
      <w:pPr>
        <w:pStyle w:val="ListParagraph"/>
        <w:numPr>
          <w:ilvl w:val="0"/>
          <w:numId w:val="2"/>
        </w:numPr>
        <w:spacing w:before="30" w:after="30"/>
      </w:pPr>
      <w:r>
        <w:rPr>
          <w:rFonts w:ascii="Arial" w:cs="Arial" w:eastAsia="Arial" w:hAnsi="Arial"/>
          <w:b w:val="false"/>
          <w:bCs w:val="false"/>
          <w:color w:val="2D3142"/>
          <w:sz w:val="22"/>
          <w:szCs w:val="22"/>
        </w:rPr>
        <w:t xml:space="preserve">Missing context: a circRNA's biological effect depends on which miRNAs it sponges, how many, and whether those miRNAs have alternative sponge targets. Expression alone ignores this.</w:t>
      </w:r>
    </w:p>
    <w:p>
      <w:pPr>
        <w:pStyle w:val="ListParagraph"/>
        <w:numPr>
          <w:ilvl w:val="0"/>
          <w:numId w:val="2"/>
        </w:numPr>
        <w:spacing w:before="30" w:after="30"/>
      </w:pPr>
      <w:r>
        <w:rPr>
          <w:rFonts w:ascii="Arial" w:cs="Arial" w:eastAsia="Arial" w:hAnsi="Arial"/>
          <w:b w:val="false"/>
          <w:bCs w:val="false"/>
          <w:color w:val="2D3142"/>
          <w:sz w:val="22"/>
          <w:szCs w:val="22"/>
        </w:rPr>
        <w:t xml:space="preserve">Cancer heterogeneity: stage-I tumours often show only subtle DE changes. Network-level topology shifts may precede individual node changes.</w:t>
      </w:r>
    </w:p>
    <w:p>
      <w:pPr>
        <w:spacing w:before="60" w:after="60"/>
      </w:pPr>
      <w:r>
        <w:t xml:space="preserve"/>
      </w:r>
    </w:p>
    <w:p>
      <w:pPr>
        <w:spacing w:before="60" w:after="60"/>
      </w:pPr>
      <w:r>
        <w:rPr>
          <w:rFonts w:ascii="Arial" w:cs="Arial" w:eastAsia="Arial" w:hAnsi="Arial"/>
          <w:color w:val="2D3142"/>
          <w:sz w:val="22"/>
          <w:szCs w:val="22"/>
        </w:rPr>
        <w:t xml:space="preserve">Your novel contribution: treat the ceRNA network as a graph, and quantify how the graph topology — its community structure, hub connectivity, clustering coefficients, and information flow — changes between healthy and early-stage cancer states. This captures multi-scale biological organisation that any individual biomarker misses.</w:t>
      </w:r>
    </w:p>
    <w:p>
      <w:pPr>
        <w:pBdr>
          <w:left w:val="single" w:color="1A7F6F" w:sz="12" w:space="4"/>
        </w:pBdr>
        <w:shd w:fill="D4EDE8" w:val="clear"/>
        <w:spacing w:before="80" w:after="80"/>
        <w:ind w:left="360" w:right="360"/>
      </w:pPr>
      <w:r>
        <w:rPr>
          <w:rFonts w:ascii="Arial" w:cs="Arial" w:eastAsia="Arial" w:hAnsi="Arial"/>
          <w:b/>
          <w:bCs/>
          <w:color w:val="1A7F6F"/>
          <w:sz w:val="22"/>
          <w:szCs w:val="22"/>
        </w:rPr>
        <w:t xml:space="preserve">CORE HYPOTHESIS:  </w:t>
      </w:r>
      <w:r>
        <w:rPr>
          <w:rFonts w:ascii="Arial" w:cs="Arial" w:eastAsia="Arial" w:hAnsi="Arial"/>
          <w:color w:val="2D3142"/>
          <w:sz w:val="22"/>
          <w:szCs w:val="22"/>
        </w:rPr>
        <w:t xml:space="preserve">In healthy individuals, the plasma ceRNA network (circRNA-miRNA-mRNA edges) has a characteristic stable topology with defined communities and hub nodes. In early-stage cancer patients, specific network perturbations — loss of tumour-suppressive circRNA hubs, fragmentation of regulatory communities, increased entropy of information flow — are detectable in plasma RNA-seq data months before clinical diagnosis.</w:t>
      </w:r>
    </w:p>
    <w:p>
      <w:pPr>
        <w:pStyle w:val="Heading2"/>
        <w:spacing w:before="320" w:after="120"/>
      </w:pPr>
      <w:r>
        <w:rPr>
          <w:rFonts w:ascii="Arial" w:cs="Arial" w:eastAsia="Arial" w:hAnsi="Arial"/>
          <w:b/>
          <w:bCs/>
          <w:color w:val="2E6EC4"/>
          <w:sz w:val="28"/>
          <w:szCs w:val="28"/>
        </w:rPr>
        <w:t xml:space="preserve">1.4 Why is This Detectable in Plasma?</w:t>
      </w:r>
    </w:p>
    <w:p>
      <w:pPr>
        <w:spacing w:before="60" w:after="60"/>
      </w:pPr>
      <w:r>
        <w:rPr>
          <w:rFonts w:ascii="Arial" w:cs="Arial" w:eastAsia="Arial" w:hAnsi="Arial"/>
          <w:color w:val="2D3142"/>
          <w:sz w:val="22"/>
          <w:szCs w:val="22"/>
        </w:rPr>
        <w:t xml:space="preserve">The detection chain from tumour to blood test has five links, each experimentally validated:</w:t>
      </w:r>
    </w:p>
    <w:p>
      <w:pPr>
        <w:pStyle w:val="ListParagraph"/>
        <w:numPr>
          <w:ilvl w:val="0"/>
          <w:numId w:val="3"/>
        </w:numPr>
        <w:spacing w:before="40" w:after="40"/>
      </w:pPr>
      <w:r>
        <w:rPr>
          <w:rFonts w:ascii="Arial" w:cs="Arial" w:eastAsia="Arial" w:hAnsi="Arial"/>
          <w:color w:val="2D3142"/>
          <w:sz w:val="22"/>
          <w:szCs w:val="22"/>
        </w:rPr>
        <w:t xml:space="preserve">Tumour cells undergo continuous exosome secretion, releasing membrane vesicles (50-150 nm) packed with circRNAs, miRNAs, and mRNA fragments.</w:t>
      </w:r>
    </w:p>
    <w:p>
      <w:pPr>
        <w:pStyle w:val="ListParagraph"/>
        <w:numPr>
          <w:ilvl w:val="0"/>
          <w:numId w:val="3"/>
        </w:numPr>
        <w:spacing w:before="40" w:after="40"/>
      </w:pPr>
      <w:r>
        <w:rPr>
          <w:rFonts w:ascii="Arial" w:cs="Arial" w:eastAsia="Arial" w:hAnsi="Arial"/>
          <w:color w:val="2D3142"/>
          <w:sz w:val="22"/>
          <w:szCs w:val="22"/>
        </w:rPr>
        <w:t xml:space="preserve">Exosomes circulate in plasma and can be isolated by ultracentrifugation (standard protocol, ~2 hours from blood draw).</w:t>
      </w:r>
    </w:p>
    <w:p>
      <w:pPr>
        <w:pStyle w:val="ListParagraph"/>
        <w:numPr>
          <w:ilvl w:val="0"/>
          <w:numId w:val="3"/>
        </w:numPr>
        <w:spacing w:before="40" w:after="40"/>
      </w:pPr>
      <w:r>
        <w:rPr>
          <w:rFonts w:ascii="Arial" w:cs="Arial" w:eastAsia="Arial" w:hAnsi="Arial"/>
          <w:color w:val="2D3142"/>
          <w:sz w:val="22"/>
          <w:szCs w:val="22"/>
        </w:rPr>
        <w:t xml:space="preserve">Exosomal RNA is extracted and sequenced — this yields a circRNA + miRNA expression profile reflecting the tumour's internal state.</w:t>
      </w:r>
    </w:p>
    <w:p>
      <w:pPr>
        <w:pStyle w:val="ListParagraph"/>
        <w:numPr>
          <w:ilvl w:val="0"/>
          <w:numId w:val="3"/>
        </w:numPr>
        <w:spacing w:before="40" w:after="40"/>
      </w:pPr>
      <w:r>
        <w:rPr>
          <w:rFonts w:ascii="Arial" w:cs="Arial" w:eastAsia="Arial" w:hAnsi="Arial"/>
          <w:color w:val="2D3142"/>
          <w:sz w:val="22"/>
          <w:szCs w:val="22"/>
        </w:rPr>
        <w:t xml:space="preserve">The network built from these profiles reflects the tumour-perturbed ceRNA landscape, even at Stage I when tumour mass is tiny.</w:t>
      </w:r>
    </w:p>
    <w:p>
      <w:pPr>
        <w:pStyle w:val="ListParagraph"/>
        <w:numPr>
          <w:ilvl w:val="0"/>
          <w:numId w:val="3"/>
        </w:numPr>
        <w:spacing w:before="40" w:after="40"/>
      </w:pPr>
      <w:r>
        <w:rPr>
          <w:rFonts w:ascii="Arial" w:cs="Arial" w:eastAsia="Arial" w:hAnsi="Arial"/>
          <w:color w:val="2D3142"/>
          <w:sz w:val="22"/>
          <w:szCs w:val="22"/>
        </w:rPr>
        <w:t xml:space="preserve">Critically, exosomal circRNA cargo selection is non-random — tumours actively sort specific circRNAs into exosomes, meaning the signal is enriched relative to what you'd expect from simple tumour DNA shedding.</w:t>
      </w:r>
    </w:p>
    <w:p>
      <w:pPr>
        <w:pStyle w:val="Heading2"/>
        <w:spacing w:before="320" w:after="120"/>
      </w:pPr>
      <w:r>
        <w:rPr>
          <w:rFonts w:ascii="Arial" w:cs="Arial" w:eastAsia="Arial" w:hAnsi="Arial"/>
          <w:b/>
          <w:bCs/>
          <w:color w:val="2E6EC4"/>
          <w:sz w:val="28"/>
          <w:szCs w:val="28"/>
        </w:rPr>
        <w:t xml:space="preserve">1.5 Specific Biological Mechanisms by Cancer Type</w:t>
      </w:r>
    </w:p>
    <w:p>
      <w:pPr>
        <w:spacing w:before="60" w:after="60"/>
      </w:pPr>
      <w:r>
        <w:rPr>
          <w:rFonts w:ascii="Arial" w:cs="Arial" w:eastAsia="Arial" w:hAnsi="Arial"/>
          <w:color w:val="2D3142"/>
          <w:sz w:val="22"/>
          <w:szCs w:val="22"/>
        </w:rPr>
        <w:t xml:space="preserve">Understanding these helps you interpret your attention/graph metrics and write the Discussion section:</w:t>
      </w:r>
    </w:p>
    <w:p>
      <w:pPr>
        <w:pStyle w:val="Heading3"/>
        <w:spacing w:before="240" w:after="80"/>
      </w:pPr>
      <w:r>
        <w:rPr>
          <w:rFonts w:ascii="Arial" w:cs="Arial" w:eastAsia="Arial" w:hAnsi="Arial"/>
          <w:b/>
          <w:bCs/>
          <w:color w:val="1B2A4A"/>
          <w:sz w:val="24"/>
          <w:szCs w:val="24"/>
        </w:rPr>
        <w:t xml:space="preserve">Colorectal Cancer</w:t>
      </w:r>
    </w:p>
    <w:p>
      <w:pPr>
        <w:pStyle w:val="ListParagraph"/>
        <w:numPr>
          <w:ilvl w:val="0"/>
          <w:numId w:val="2"/>
        </w:numPr>
        <w:spacing w:before="30" w:after="30"/>
      </w:pPr>
      <w:r>
        <w:rPr>
          <w:rFonts w:ascii="Arial" w:cs="Arial" w:eastAsia="Arial" w:hAnsi="Arial"/>
          <w:b w:val="false"/>
          <w:bCs w:val="false"/>
          <w:color w:val="2D3142"/>
          <w:sz w:val="22"/>
          <w:szCs w:val="22"/>
        </w:rPr>
        <w:t xml:space="preserve">hsa_circ_0000069 is significantly downregulated in plasma of CRC patients vs. healthy controls. It sponges miR-23a/b, which otherwise suppresses CDK6 (a cell cycle driver). Loss of this sponge releases miR-23a/b inhibition, allowing CDK6 to drive uncontrolled proliferation.</w:t>
      </w:r>
    </w:p>
    <w:p>
      <w:pPr>
        <w:pStyle w:val="ListParagraph"/>
        <w:numPr>
          <w:ilvl w:val="0"/>
          <w:numId w:val="2"/>
        </w:numPr>
        <w:spacing w:before="30" w:after="30"/>
      </w:pPr>
      <w:r>
        <w:rPr>
          <w:rFonts w:ascii="Arial" w:cs="Arial" w:eastAsia="Arial" w:hAnsi="Arial"/>
          <w:b w:val="false"/>
          <w:bCs w:val="false"/>
          <w:color w:val="2D3142"/>
          <w:sz w:val="22"/>
          <w:szCs w:val="22"/>
        </w:rPr>
        <w:t xml:space="preserve">hsa_circ_0005075 is upregulated in CRC and sponges miR-23a-3p to protect CLDN1 (claudin-1) from suppression — supporting epithelial integrity disruption.</w:t>
      </w:r>
    </w:p>
    <w:p>
      <w:pPr>
        <w:pStyle w:val="Heading3"/>
        <w:spacing w:before="240" w:after="80"/>
      </w:pPr>
      <w:r>
        <w:rPr>
          <w:rFonts w:ascii="Arial" w:cs="Arial" w:eastAsia="Arial" w:hAnsi="Arial"/>
          <w:b/>
          <w:bCs/>
          <w:color w:val="1B2A4A"/>
          <w:sz w:val="24"/>
          <w:szCs w:val="24"/>
        </w:rPr>
        <w:t xml:space="preserve">Lung Cancer</w:t>
      </w:r>
    </w:p>
    <w:p>
      <w:pPr>
        <w:pStyle w:val="ListParagraph"/>
        <w:numPr>
          <w:ilvl w:val="0"/>
          <w:numId w:val="2"/>
        </w:numPr>
        <w:spacing w:before="30" w:after="30"/>
      </w:pPr>
      <w:r>
        <w:rPr>
          <w:rFonts w:ascii="Arial" w:cs="Arial" w:eastAsia="Arial" w:hAnsi="Arial"/>
          <w:b w:val="false"/>
          <w:bCs w:val="false"/>
          <w:color w:val="2D3142"/>
          <w:sz w:val="22"/>
          <w:szCs w:val="22"/>
        </w:rPr>
        <w:t xml:space="preserve">circ_0067934 is upregulated in lung adenocarcinoma plasma and sponges miR-1324, protecting FZD5 — a Wnt receptor — from suppression, driving Wnt signalling.</w:t>
      </w:r>
    </w:p>
    <w:p>
      <w:pPr>
        <w:pStyle w:val="ListParagraph"/>
        <w:numPr>
          <w:ilvl w:val="0"/>
          <w:numId w:val="2"/>
        </w:numPr>
        <w:spacing w:before="30" w:after="30"/>
      </w:pPr>
      <w:r>
        <w:rPr>
          <w:rFonts w:ascii="Arial" w:cs="Arial" w:eastAsia="Arial" w:hAnsi="Arial"/>
          <w:b w:val="false"/>
          <w:bCs w:val="false"/>
          <w:color w:val="2D3142"/>
          <w:sz w:val="22"/>
          <w:szCs w:val="22"/>
        </w:rPr>
        <w:t xml:space="preserve">hsa_circ_0001649 is downregulated and acts as a miR-222 sponge — loss releases miR-222 to suppress PTEN, a canonical tumour suppressor.</w:t>
      </w:r>
    </w:p>
    <w:p>
      <w:pPr>
        <w:pStyle w:val="Heading3"/>
        <w:spacing w:before="240" w:after="80"/>
      </w:pPr>
      <w:r>
        <w:rPr>
          <w:rFonts w:ascii="Arial" w:cs="Arial" w:eastAsia="Arial" w:hAnsi="Arial"/>
          <w:b/>
          <w:bCs/>
          <w:color w:val="1B2A4A"/>
          <w:sz w:val="24"/>
          <w:szCs w:val="24"/>
        </w:rPr>
        <w:t xml:space="preserve">Hepatocellular Carcinoma</w:t>
      </w:r>
    </w:p>
    <w:p>
      <w:pPr>
        <w:pStyle w:val="ListParagraph"/>
        <w:numPr>
          <w:ilvl w:val="0"/>
          <w:numId w:val="2"/>
        </w:numPr>
        <w:spacing w:before="30" w:after="30"/>
      </w:pPr>
      <w:r>
        <w:rPr>
          <w:rFonts w:ascii="Arial" w:cs="Arial" w:eastAsia="Arial" w:hAnsi="Arial"/>
          <w:b w:val="false"/>
          <w:bCs w:val="false"/>
          <w:color w:val="2D3142"/>
          <w:sz w:val="22"/>
          <w:szCs w:val="22"/>
        </w:rPr>
        <w:t xml:space="preserve">hsa_circ_0005075 (also relevant in CRC) is upregulated and part of a circ-miR-23b-Wnt9a regulatory axis. This cross-cancer presence makes it a good pan-cancer hub candidate in your network.</w:t>
      </w:r>
    </w:p>
    <w:p>
      <w:pPr>
        <w:pStyle w:val="Heading3"/>
        <w:spacing w:before="240" w:after="80"/>
      </w:pPr>
      <w:r>
        <w:rPr>
          <w:rFonts w:ascii="Arial" w:cs="Arial" w:eastAsia="Arial" w:hAnsi="Arial"/>
          <w:b/>
          <w:bCs/>
          <w:color w:val="1B2A4A"/>
          <w:sz w:val="24"/>
          <w:szCs w:val="24"/>
        </w:rPr>
        <w:t xml:space="preserve">Breast Cancer</w:t>
      </w:r>
    </w:p>
    <w:p>
      <w:pPr>
        <w:pStyle w:val="ListParagraph"/>
        <w:numPr>
          <w:ilvl w:val="0"/>
          <w:numId w:val="2"/>
        </w:numPr>
        <w:spacing w:before="30" w:after="30"/>
      </w:pPr>
      <w:r>
        <w:rPr>
          <w:rFonts w:ascii="Arial" w:cs="Arial" w:eastAsia="Arial" w:hAnsi="Arial"/>
          <w:b w:val="false"/>
          <w:bCs w:val="false"/>
          <w:color w:val="2D3142"/>
          <w:sz w:val="22"/>
          <w:szCs w:val="22"/>
        </w:rPr>
        <w:t xml:space="preserve">circEPSTI1 sponges multiple members of the miR-4753/miR-6809 family to protect survivin (BIRC5) from suppression — anti-apoptotic, drives chemo-resistance.</w:t>
      </w:r>
    </w:p>
    <w:p>
      <w:pPr>
        <w:pStyle w:val="ListParagraph"/>
        <w:numPr>
          <w:ilvl w:val="0"/>
          <w:numId w:val="2"/>
        </w:numPr>
        <w:spacing w:before="30" w:after="30"/>
      </w:pPr>
      <w:r>
        <w:rPr>
          <w:rFonts w:ascii="Arial" w:cs="Arial" w:eastAsia="Arial" w:hAnsi="Arial"/>
          <w:b w:val="false"/>
          <w:bCs w:val="false"/>
          <w:color w:val="2D3142"/>
          <w:sz w:val="22"/>
          <w:szCs w:val="22"/>
        </w:rPr>
        <w:t xml:space="preserve">circ_0072309 is downregulated and its loss releases miR-100, which then suppresses FOXA1 — a luminal breast cancer driver.</w:t>
      </w:r>
    </w:p>
    <w:p>
      <w:r>
        <w:br w:type="page"/>
      </w:r>
    </w:p>
    <w:p>
      <w:pPr>
        <w:pStyle w:val="Heading1"/>
        <w:pBdr>
          <w:bottom w:val="single" w:color="2E6EC4" w:sz="6" w:space="4"/>
        </w:pBdr>
        <w:spacing w:before="480" w:after="160"/>
      </w:pPr>
      <w:r>
        <w:rPr>
          <w:rFonts w:ascii="Arial" w:cs="Arial" w:eastAsia="Arial" w:hAnsi="Arial"/>
          <w:b/>
          <w:bCs/>
          <w:color w:val="1B2A4A"/>
          <w:sz w:val="36"/>
          <w:szCs w:val="36"/>
        </w:rPr>
        <w:t xml:space="preserve">Part 2 — Algorithm and Methodology</w:t>
      </w:r>
    </w:p>
    <w:p>
      <w:pPr>
        <w:pStyle w:val="Heading2"/>
        <w:spacing w:before="320" w:after="120"/>
      </w:pPr>
      <w:r>
        <w:rPr>
          <w:rFonts w:ascii="Arial" w:cs="Arial" w:eastAsia="Arial" w:hAnsi="Arial"/>
          <w:b/>
          <w:bCs/>
          <w:color w:val="2E6EC4"/>
          <w:sz w:val="28"/>
          <w:szCs w:val="28"/>
        </w:rPr>
        <w:t xml:space="preserve">2.1 Full Pipeline Overview</w:t>
      </w:r>
    </w:p>
    <w:p>
      <w:pPr>
        <w:spacing w:before="60" w:after="60"/>
      </w:pPr>
      <w:r>
        <w:rPr>
          <w:rFonts w:ascii="Arial" w:cs="Arial" w:eastAsia="Arial" w:hAnsi="Arial"/>
          <w:color w:val="2D3142"/>
          <w:sz w:val="22"/>
          <w:szCs w:val="22"/>
        </w:rPr>
        <w:t xml:space="preserve">The pipeline proceeds in five stages. Each is detailed below with exact tool parameters.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000"/>
        <w:gridCol w:w="1980"/>
      </w:tblGrid>
      <w:tr>
        <w:trPr>
          <w:tblHeader/>
        </w:trPr>
        <w:tc>
          <w:tcPr>
            <w:tcW w:type="dxa" w:w="12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0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98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1. Preprocessing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Raw FASTQ (paired-end)</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Adapter trim, QC, alignment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BAM files, QC reports</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Trimmomatic, STAR, FastQC</w:t>
            </w:r>
          </w:p>
        </w:tc>
      </w:tr>
      <w:tr>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2. Quantification</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BAM files</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circRNA + miRNA detection &amp; count</w:t>
            </w:r>
          </w:p>
        </w:tc>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circRNA expression matrix, miRNA matrix</w:t>
            </w:r>
          </w:p>
        </w:tc>
        <w:tc>
          <w:tcPr>
            <w:tcW w:type="dxa" w:w="19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CIRI2, find_circ, miRDeep2</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3. Network construction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Expression matrices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Build ceRNA graph per cohort (not per patient)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Weighted ceRNA graph G</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Python + NetworkX</w:t>
            </w:r>
          </w:p>
        </w:tc>
      </w:tr>
      <w:tr>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4. Topology analysis</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ceRNA graphs (cancer vs healthy)</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Compute graph features, disruption scores</w:t>
            </w:r>
          </w:p>
        </w:tc>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Feature vectors per patient</w:t>
            </w:r>
          </w:p>
        </w:tc>
        <w:tc>
          <w:tcPr>
            <w:tcW w:type="dxa" w:w="19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NetworkX, Gudhi (TDA)</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5. Classification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Graph feature vectors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Train + evaluate classifier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AUC, accuracy, stage-I metrics</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Scikit-learn, XGBoost</w:t>
            </w:r>
          </w:p>
        </w:tc>
      </w:tr>
    </w:tbl>
    <w:p>
      <w:pPr>
        <w:pStyle w:val="Heading2"/>
        <w:spacing w:before="320" w:after="120"/>
      </w:pPr>
      <w:r>
        <w:rPr>
          <w:rFonts w:ascii="Arial" w:cs="Arial" w:eastAsia="Arial" w:hAnsi="Arial"/>
          <w:b/>
          <w:bCs/>
          <w:color w:val="2E6EC4"/>
          <w:sz w:val="28"/>
          <w:szCs w:val="28"/>
        </w:rPr>
        <w:t xml:space="preserve">2.2 Stage 1 — RNA-seq Preprocessing</w:t>
      </w:r>
    </w:p>
    <w:p>
      <w:pPr>
        <w:pStyle w:val="Heading3"/>
        <w:spacing w:before="240" w:after="80"/>
      </w:pPr>
      <w:r>
        <w:rPr>
          <w:rFonts w:ascii="Arial" w:cs="Arial" w:eastAsia="Arial" w:hAnsi="Arial"/>
          <w:b/>
          <w:bCs/>
          <w:color w:val="1B2A4A"/>
          <w:sz w:val="24"/>
          <w:szCs w:val="24"/>
        </w:rPr>
        <w:t xml:space="preserve">Reference Files Needed</w:t>
      </w:r>
    </w:p>
    <w:p>
      <w:pPr>
        <w:pStyle w:val="ListParagraph"/>
        <w:numPr>
          <w:ilvl w:val="0"/>
          <w:numId w:val="2"/>
        </w:numPr>
        <w:spacing w:before="30" w:after="30"/>
      </w:pPr>
      <w:r>
        <w:rPr>
          <w:rFonts w:ascii="Arial" w:cs="Arial" w:eastAsia="Arial" w:hAnsi="Arial"/>
          <w:b w:val="false"/>
          <w:bCs w:val="false"/>
          <w:color w:val="2D3142"/>
          <w:sz w:val="22"/>
          <w:szCs w:val="22"/>
        </w:rPr>
        <w:t xml:space="preserve">Human reference genome: GRCh38 (hg38). Download from UCSC: https://hgdownload.soe.ucsc.edu/goldenPath/hg38/bigZips/hg38.fa.gz</w:t>
      </w:r>
    </w:p>
    <w:p>
      <w:pPr>
        <w:pStyle w:val="ListParagraph"/>
        <w:numPr>
          <w:ilvl w:val="0"/>
          <w:numId w:val="2"/>
        </w:numPr>
        <w:spacing w:before="30" w:after="30"/>
      </w:pPr>
      <w:r>
        <w:rPr>
          <w:rFonts w:ascii="Arial" w:cs="Arial" w:eastAsia="Arial" w:hAnsi="Arial"/>
          <w:b w:val="false"/>
          <w:bCs w:val="false"/>
          <w:color w:val="2D3142"/>
          <w:sz w:val="22"/>
          <w:szCs w:val="22"/>
        </w:rPr>
        <w:t xml:space="preserve">GENCODE v43 annotation GTF: https://www.gencodegenes.org/human/release_43.html — download gencode.v43.annotation.gtf.gz</w:t>
      </w:r>
    </w:p>
    <w:p>
      <w:pPr>
        <w:pStyle w:val="ListParagraph"/>
        <w:numPr>
          <w:ilvl w:val="0"/>
          <w:numId w:val="2"/>
        </w:numPr>
        <w:spacing w:before="30" w:after="30"/>
      </w:pPr>
      <w:r>
        <w:rPr>
          <w:rFonts w:ascii="Arial" w:cs="Arial" w:eastAsia="Arial" w:hAnsi="Arial"/>
          <w:b w:val="false"/>
          <w:bCs w:val="false"/>
          <w:color w:val="2D3142"/>
          <w:sz w:val="22"/>
          <w:szCs w:val="22"/>
        </w:rPr>
        <w:t xml:space="preserve">STAR genome index: build once, ~25GB RAM required, ~30 minutes.</w:t>
      </w:r>
    </w:p>
    <w:p>
      <w:pPr>
        <w:pStyle w:val="Heading3"/>
        <w:spacing w:before="240" w:after="80"/>
      </w:pPr>
      <w:r>
        <w:rPr>
          <w:rFonts w:ascii="Arial" w:cs="Arial" w:eastAsia="Arial" w:hAnsi="Arial"/>
          <w:b/>
          <w:bCs/>
          <w:color w:val="1B2A4A"/>
          <w:sz w:val="24"/>
          <w:szCs w:val="24"/>
        </w:rPr>
        <w:t xml:space="preserve">STAR Alignment Parameters</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STAR Command:  </w:t>
      </w:r>
      <w:r>
        <w:rPr>
          <w:rFonts w:ascii="Arial" w:cs="Arial" w:eastAsia="Arial" w:hAnsi="Arial"/>
          <w:color w:val="2D3142"/>
          <w:sz w:val="22"/>
          <w:szCs w:val="22"/>
        </w:rPr>
        <w:t xml:space="preserve">STAR --runMode genomeGenerate --genomeDir /ref/star_index --genomeFastaFiles hg38.fa --sjdbGTFfile gencode.v43.annotation.gtf --sjdbOverhang 149
STAR --runMode alignReads --genomeDir /ref/star_index --readFilesIn R1.fastq.gz R2.fastq.gz --readFilesCommand zcat --outSAMtype BAM SortedByCoordinate --outSAMstrandField intronMotif --outFilterIntronMotifs RemoveNoncanonical --outSJtype Standard --runThreadN 8 --outFileNamePrefix sample_</w:t>
      </w:r>
    </w:p>
    <w:p>
      <w:pPr>
        <w:pStyle w:val="Heading2"/>
        <w:spacing w:before="320" w:after="120"/>
      </w:pPr>
      <w:r>
        <w:rPr>
          <w:rFonts w:ascii="Arial" w:cs="Arial" w:eastAsia="Arial" w:hAnsi="Arial"/>
          <w:b/>
          <w:bCs/>
          <w:color w:val="2E6EC4"/>
          <w:sz w:val="28"/>
          <w:szCs w:val="28"/>
        </w:rPr>
        <w:t xml:space="preserve">2.3 Stage 2 — circRNA and miRNA Quantification</w:t>
      </w:r>
    </w:p>
    <w:p>
      <w:pPr>
        <w:pStyle w:val="Heading3"/>
        <w:spacing w:before="240" w:after="80"/>
      </w:pPr>
      <w:r>
        <w:rPr>
          <w:rFonts w:ascii="Arial" w:cs="Arial" w:eastAsia="Arial" w:hAnsi="Arial"/>
          <w:b/>
          <w:bCs/>
          <w:color w:val="1B2A4A"/>
          <w:sz w:val="24"/>
          <w:szCs w:val="24"/>
        </w:rPr>
        <w:t xml:space="preserve">CircRNA Detection — Use TWO tools, take intersection</w:t>
      </w:r>
    </w:p>
    <w:p>
      <w:pPr>
        <w:spacing w:before="60" w:after="60"/>
      </w:pPr>
      <w:r>
        <w:rPr>
          <w:rFonts w:ascii="Arial" w:cs="Arial" w:eastAsia="Arial" w:hAnsi="Arial"/>
          <w:color w:val="2D3142"/>
          <w:sz w:val="22"/>
          <w:szCs w:val="22"/>
        </w:rPr>
        <w:t xml:space="preserve">A major source of false positives in circRNA research is tool-specific artefacts. Using two independent tools and taking the intersection (circRNAs detected by both) dramatically improves precision — critical when building a network where false edges would corrupt topology metrics.</w:t>
      </w:r>
    </w:p>
    <w:p>
      <w:pPr>
        <w:spacing w:before="180" w:after="60"/>
      </w:pPr>
      <w:r>
        <w:rPr>
          <w:rFonts w:ascii="Arial" w:cs="Arial" w:eastAsia="Arial" w:hAnsi="Arial"/>
          <w:b/>
          <w:bCs/>
          <w:color w:val="2D3142"/>
          <w:sz w:val="22"/>
          <w:szCs w:val="22"/>
          <w:u w:val="single"/>
        </w:rPr>
        <w:t xml:space="preserve">Tool A: CIRI2</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CIRI2 Command:  </w:t>
      </w:r>
      <w:r>
        <w:rPr>
          <w:rFonts w:ascii="Arial" w:cs="Arial" w:eastAsia="Arial" w:hAnsi="Arial"/>
          <w:color w:val="2D3142"/>
          <w:sz w:val="22"/>
          <w:szCs w:val="22"/>
        </w:rPr>
        <w:t xml:space="preserve">bwa mem -T 19 -t 8 hg38.fa R1.fastq.gz R2.fastq.gz &gt; sample.sam
python CIRI2.py -I sample.sam -O sample_ciri2.txt -F hg38.fa -A gencode.v43.annotation.gtf -T 8</w:t>
      </w:r>
    </w:p>
    <w:p>
      <w:pPr>
        <w:spacing w:before="180" w:after="60"/>
      </w:pPr>
      <w:r>
        <w:rPr>
          <w:rFonts w:ascii="Arial" w:cs="Arial" w:eastAsia="Arial" w:hAnsi="Arial"/>
          <w:b/>
          <w:bCs/>
          <w:color w:val="2D3142"/>
          <w:sz w:val="22"/>
          <w:szCs w:val="22"/>
          <w:u w:val="single"/>
        </w:rPr>
        <w:t xml:space="preserve">Tool B: find_circ</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find_circ Command:  </w:t>
      </w:r>
      <w:r>
        <w:rPr>
          <w:rFonts w:ascii="Arial" w:cs="Arial" w:eastAsia="Arial" w:hAnsi="Arial"/>
          <w:color w:val="2D3142"/>
          <w:sz w:val="22"/>
          <w:szCs w:val="22"/>
        </w:rPr>
        <w:t xml:space="preserve">python find_circ.py --genome hg38.fa --prefix sample_ --name sample sample.bam | grep CIRCULAR &gt; sample_findcirc.txt</w:t>
      </w:r>
    </w:p>
    <w:p>
      <w:pPr>
        <w:spacing w:before="180" w:after="60"/>
      </w:pPr>
      <w:r>
        <w:rPr>
          <w:rFonts w:ascii="Arial" w:cs="Arial" w:eastAsia="Arial" w:hAnsi="Arial"/>
          <w:b/>
          <w:bCs/>
          <w:color w:val="2D3142"/>
          <w:sz w:val="22"/>
          <w:szCs w:val="22"/>
          <w:u w:val="single"/>
        </w:rPr>
        <w:t xml:space="preserve">Merging: Keep circRNAs detected by both tools</w:t>
      </w:r>
    </w:p>
    <w:p>
      <w:pPr>
        <w:spacing w:before="60" w:after="60"/>
      </w:pPr>
      <w:r>
        <w:rPr>
          <w:rFonts w:ascii="Arial" w:cs="Arial" w:eastAsia="Arial" w:hAnsi="Arial"/>
          <w:color w:val="2D3142"/>
          <w:sz w:val="22"/>
          <w:szCs w:val="22"/>
        </w:rPr>
        <w:t xml:space="preserve">Parse both output files, extract (chr, start, end, strand) tuples, compute intersection. circRNAs present in both outputs with at least 5 reads support in each are retained. This typically retains ~3,000–8,000 high-confidence circRNAs per dataset.</w:t>
      </w:r>
    </w:p>
    <w:p>
      <w:pPr>
        <w:pStyle w:val="Heading3"/>
        <w:spacing w:before="240" w:after="80"/>
      </w:pPr>
      <w:r>
        <w:rPr>
          <w:rFonts w:ascii="Arial" w:cs="Arial" w:eastAsia="Arial" w:hAnsi="Arial"/>
          <w:b/>
          <w:bCs/>
          <w:color w:val="1B2A4A"/>
          <w:sz w:val="24"/>
          <w:szCs w:val="24"/>
        </w:rPr>
        <w:t xml:space="preserve">miRNA Quantification — miRDeep2</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miRDeep2 Command:  </w:t>
      </w:r>
      <w:r>
        <w:rPr>
          <w:rFonts w:ascii="Arial" w:cs="Arial" w:eastAsia="Arial" w:hAnsi="Arial"/>
          <w:color w:val="2D3142"/>
          <w:sz w:val="22"/>
          <w:szCs w:val="22"/>
        </w:rPr>
        <w:t xml:space="preserve">mapper.pl reads.fastq -e -h -i -j -m -p hg38_bowtie_index -s collapsed_reads.fa -t mapping.arf -o 4
miRDeep2.pl collapsed_reads.fa hg38.fa mapping.arf mature_hsa.fa other_mature.fa hairpin_hsa.fa 2&gt; report.log</w:t>
      </w:r>
    </w:p>
    <w:p>
      <w:pPr>
        <w:spacing w:before="60" w:after="60"/>
      </w:pPr>
      <w:r>
        <w:rPr>
          <w:rFonts w:ascii="Arial" w:cs="Arial" w:eastAsia="Arial" w:hAnsi="Arial"/>
          <w:color w:val="2D3142"/>
          <w:sz w:val="22"/>
          <w:szCs w:val="22"/>
        </w:rPr>
        <w:t xml:space="preserve">miRBase v22.1 provides the mature miRNA sequences (mature_hsa.fa) and hairpin sequences needed. Download from https://www.mirbase.org/ftp/CURRENT/</w:t>
      </w:r>
    </w:p>
    <w:p>
      <w:pPr>
        <w:pStyle w:val="Heading2"/>
        <w:spacing w:before="320" w:after="120"/>
      </w:pPr>
      <w:r>
        <w:rPr>
          <w:rFonts w:ascii="Arial" w:cs="Arial" w:eastAsia="Arial" w:hAnsi="Arial"/>
          <w:b/>
          <w:bCs/>
          <w:color w:val="2E6EC4"/>
          <w:sz w:val="28"/>
          <w:szCs w:val="28"/>
        </w:rPr>
        <w:t xml:space="preserve">2.4 Stage 3 — ceRNA Network Construction</w:t>
      </w:r>
    </w:p>
    <w:p>
      <w:pPr>
        <w:spacing w:before="60" w:after="60"/>
      </w:pPr>
      <w:r>
        <w:rPr>
          <w:rFonts w:ascii="Arial" w:cs="Arial" w:eastAsia="Arial" w:hAnsi="Arial"/>
          <w:color w:val="2D3142"/>
          <w:sz w:val="22"/>
          <w:szCs w:val="22"/>
        </w:rPr>
        <w:t xml:space="preserve">This is the most technically novel part. Unlike protein-protein interaction networks (where edges come from databases), ceRNA edges are inferred from sequence complementarity AND expression correlation AND experimental validation.</w:t>
      </w:r>
    </w:p>
    <w:p>
      <w:pPr>
        <w:pStyle w:val="Heading3"/>
        <w:spacing w:before="240" w:after="80"/>
      </w:pPr>
      <w:r>
        <w:rPr>
          <w:rFonts w:ascii="Arial" w:cs="Arial" w:eastAsia="Arial" w:hAnsi="Arial"/>
          <w:b/>
          <w:bCs/>
          <w:color w:val="1B2A4A"/>
          <w:sz w:val="24"/>
          <w:szCs w:val="24"/>
        </w:rPr>
        <w:t xml:space="preserve">Step A: Identify miRNA Binding Sites on circRNAs</w:t>
      </w:r>
    </w:p>
    <w:p>
      <w:pPr>
        <w:spacing w:before="60" w:after="60"/>
      </w:pPr>
      <w:r>
        <w:rPr>
          <w:rFonts w:ascii="Arial" w:cs="Arial" w:eastAsia="Arial" w:hAnsi="Arial"/>
          <w:color w:val="2D3142"/>
          <w:sz w:val="22"/>
          <w:szCs w:val="22"/>
        </w:rPr>
        <w:t xml:space="preserve">Use miRanda (v3.3a) to predict miRNA Response Elements (MREs) on circRNA sequences. Since circRNAs are circular, you must pad the sequence at both ends (repeat first 25 nt at the end) before running miRanda to capture back-splice junction sites:</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miRanda Command:  </w:t>
      </w:r>
      <w:r>
        <w:rPr>
          <w:rFonts w:ascii="Arial" w:cs="Arial" w:eastAsia="Arial" w:hAnsi="Arial"/>
          <w:color w:val="2D3142"/>
          <w:sz w:val="22"/>
          <w:szCs w:val="22"/>
        </w:rPr>
        <w:t xml:space="preserve">miranda mature_hsa.fa circRNA_sequences.fa -out miranda_output.txt -strict -sc 155 -en -20
# -sc 155: alignment score threshold (strict)
# -en -20: free energy threshold (kcal/mol)
# Keep only predictions with score &gt;= 155 AND delta-G &lt;= -20</w:t>
      </w:r>
    </w:p>
    <w:p>
      <w:pPr>
        <w:spacing w:before="60" w:after="60"/>
      </w:pPr>
      <w:r>
        <w:rPr>
          <w:rFonts w:ascii="Arial" w:cs="Arial" w:eastAsia="Arial" w:hAnsi="Arial"/>
          <w:color w:val="2D3142"/>
          <w:sz w:val="22"/>
          <w:szCs w:val="22"/>
        </w:rPr>
        <w:t xml:space="preserve">Cross-validate predicted sites against miRTarBase (experimentally validated miRNA-target interactions). Any predicted circRNA-miRNA interaction that shares a miRNA with a validated mRNA target gets higher confidence weighting.</w:t>
      </w:r>
    </w:p>
    <w:p>
      <w:pPr>
        <w:pStyle w:val="Heading3"/>
        <w:spacing w:before="240" w:after="80"/>
      </w:pPr>
      <w:r>
        <w:rPr>
          <w:rFonts w:ascii="Arial" w:cs="Arial" w:eastAsia="Arial" w:hAnsi="Arial"/>
          <w:b/>
          <w:bCs/>
          <w:color w:val="1B2A4A"/>
          <w:sz w:val="24"/>
          <w:szCs w:val="24"/>
        </w:rPr>
        <w:t xml:space="preserve">Step B: Build the Tripartite Graph</w:t>
      </w:r>
    </w:p>
    <w:p>
      <w:pPr>
        <w:spacing w:before="60" w:after="60"/>
      </w:pPr>
      <w:r>
        <w:rPr>
          <w:rFonts w:ascii="Arial" w:cs="Arial" w:eastAsia="Arial" w:hAnsi="Arial"/>
          <w:color w:val="2D3142"/>
          <w:sz w:val="22"/>
          <w:szCs w:val="22"/>
        </w:rPr>
        <w:t xml:space="preserve">Nodes: circRNA nodes, miRNA nodes, mRNA nodes. Three edge types:</w:t>
      </w:r>
    </w:p>
    <w:p>
      <w:pPr>
        <w:pStyle w:val="ListParagraph"/>
        <w:numPr>
          <w:ilvl w:val="0"/>
          <w:numId w:val="2"/>
        </w:numPr>
        <w:spacing w:before="30" w:after="30"/>
      </w:pPr>
      <w:r>
        <w:rPr>
          <w:rFonts w:ascii="Arial" w:cs="Arial" w:eastAsia="Arial" w:hAnsi="Arial"/>
          <w:b w:val="false"/>
          <w:bCs w:val="false"/>
          <w:color w:val="2D3142"/>
          <w:sz w:val="22"/>
          <w:szCs w:val="22"/>
        </w:rPr>
        <w:t xml:space="preserve">circRNA --[sponges]--&gt; miRNA: edge exists if miRanda predicts MRE, weight = |delta-G| normalised.</w:t>
      </w:r>
    </w:p>
    <w:p>
      <w:pPr>
        <w:pStyle w:val="ListParagraph"/>
        <w:numPr>
          <w:ilvl w:val="0"/>
          <w:numId w:val="2"/>
        </w:numPr>
        <w:spacing w:before="30" w:after="30"/>
      </w:pPr>
      <w:r>
        <w:rPr>
          <w:rFonts w:ascii="Arial" w:cs="Arial" w:eastAsia="Arial" w:hAnsi="Arial"/>
          <w:b w:val="false"/>
          <w:bCs w:val="false"/>
          <w:color w:val="2D3142"/>
          <w:sz w:val="22"/>
          <w:szCs w:val="22"/>
        </w:rPr>
        <w:t xml:space="preserve">miRNA --[suppresses]--&gt; mRNA: edge exists in miRTarBase with experimental validation. Weight = 1.0 (binary validated).</w:t>
      </w:r>
    </w:p>
    <w:p>
      <w:pPr>
        <w:pStyle w:val="ListParagraph"/>
        <w:numPr>
          <w:ilvl w:val="0"/>
          <w:numId w:val="2"/>
        </w:numPr>
        <w:spacing w:before="30" w:after="30"/>
      </w:pPr>
      <w:r>
        <w:rPr>
          <w:rFonts w:ascii="Arial" w:cs="Arial" w:eastAsia="Arial" w:hAnsi="Arial"/>
          <w:b w:val="false"/>
          <w:bCs w:val="false"/>
          <w:color w:val="2D3142"/>
          <w:sz w:val="22"/>
          <w:szCs w:val="22"/>
        </w:rPr>
        <w:t xml:space="preserve">circRNA ~~[co-expression]--&gt; circRNA: edge exists if Pearson |r| &gt;= 0.5 across samples. Weight = |r|.</w:t>
      </w:r>
    </w:p>
    <w:p>
      <w:pPr>
        <w:pStyle w:val="Heading3"/>
        <w:spacing w:before="240" w:after="80"/>
      </w:pPr>
      <w:r>
        <w:rPr>
          <w:rFonts w:ascii="Arial" w:cs="Arial" w:eastAsia="Arial" w:hAnsi="Arial"/>
          <w:b/>
          <w:bCs/>
          <w:color w:val="1B2A4A"/>
          <w:sz w:val="24"/>
          <w:szCs w:val="24"/>
        </w:rPr>
        <w:t xml:space="preserve">Step C: Compute Per-Patient Subgraph</w:t>
      </w:r>
    </w:p>
    <w:p>
      <w:pPr>
        <w:spacing w:before="60" w:after="60"/>
      </w:pPr>
      <w:r>
        <w:rPr>
          <w:rFonts w:ascii="Arial" w:cs="Arial" w:eastAsia="Arial" w:hAnsi="Arial"/>
          <w:color w:val="2D3142"/>
          <w:sz w:val="22"/>
          <w:szCs w:val="22"/>
        </w:rPr>
        <w:t xml:space="preserve">For each patient: filter the global graph to retain only nodes (circRNAs and miRNAs) that are expressed in that patient's sample (CPM &gt;= 1). Weight edges by the product of the two connected node's expression levels (TPM-normalised). This gives each patient a personalised subgraph of the global ceRNA network.</w:t>
      </w:r>
    </w:p>
    <w:p>
      <w:pPr>
        <w:pStyle w:val="Heading2"/>
        <w:spacing w:before="320" w:after="120"/>
      </w:pPr>
      <w:r>
        <w:rPr>
          <w:rFonts w:ascii="Arial" w:cs="Arial" w:eastAsia="Arial" w:hAnsi="Arial"/>
          <w:b/>
          <w:bCs/>
          <w:color w:val="2E6EC4"/>
          <w:sz w:val="28"/>
          <w:szCs w:val="28"/>
        </w:rPr>
        <w:t xml:space="preserve">2.5 Stage 4 — Graph Topology Feature Extraction</w:t>
      </w:r>
    </w:p>
    <w:p>
      <w:pPr>
        <w:spacing w:before="60" w:after="60"/>
      </w:pPr>
      <w:r>
        <w:rPr>
          <w:rFonts w:ascii="Arial" w:cs="Arial" w:eastAsia="Arial" w:hAnsi="Arial"/>
          <w:color w:val="2D3142"/>
          <w:sz w:val="22"/>
          <w:szCs w:val="22"/>
        </w:rPr>
        <w:t xml:space="preserve">Extract the following features from each patient's graph. These become the input vector to the classifier.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500"/>
      </w:tblGrid>
      <w:tr>
        <w:trPr>
          <w:tblHeader/>
        </w:trPr>
        <w:tc>
          <w:tcPr>
            <w:tcW w:type="dxa" w:w="18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Feature Group</w:t>
            </w:r>
          </w:p>
        </w:tc>
        <w:tc>
          <w:tcPr>
            <w:tcW w:type="dxa" w:w="22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Specific Metric</w:t>
            </w:r>
          </w:p>
        </w:tc>
        <w:tc>
          <w:tcPr>
            <w:tcW w:type="dxa" w:w="26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Biological Meaning</w:t>
            </w:r>
          </w:p>
        </w:tc>
        <w:tc>
          <w:tcPr>
            <w:tcW w:type="dxa" w:w="25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Python Function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Community structure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Number of communities (Louvain)</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Fragmentation of regulatory clusters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community.best_partition()</w:t>
            </w:r>
          </w:p>
        </w:tc>
      </w:tr>
      <w:tr>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Community structure</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Modularity score Q</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How distinct the communities are</w:t>
            </w:r>
          </w:p>
        </w:tc>
        <w:tc>
          <w:tcPr>
            <w:tcW w:type="dxa" w:w="2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community.modularity()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Hub analysis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Top-5 circRNA hub degree</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Dominance of key sponge circRNAs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nx.degree_centrality()</w:t>
            </w:r>
          </w:p>
        </w:tc>
      </w:tr>
      <w:tr>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Hub analysis</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Hub betweenness centrality</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Information flow through key nodes</w:t>
            </w:r>
          </w:p>
        </w:tc>
        <w:tc>
          <w:tcPr>
            <w:tcW w:type="dxa" w:w="2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nx.betweenness_centrality()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Connectivity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Global clustering coefficient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Density of regulatory triangles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nx.average_clustering()</w:t>
            </w:r>
          </w:p>
        </w:tc>
      </w:tr>
      <w:tr>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Connectivity</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Network diameter</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Maximum regulatory path length</w:t>
            </w:r>
          </w:p>
        </w:tc>
        <w:tc>
          <w:tcPr>
            <w:tcW w:type="dxa" w:w="2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nx.diameter()</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Information flow</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Spectral entropy (eigenvalue dist.)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Overall network regularity/chaos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scipy.linalg.eigvalsh()</w:t>
            </w:r>
          </w:p>
        </w:tc>
      </w:tr>
      <w:tr>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Information flow</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Graph entropy (node degree dist.)</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Diversity of regulatory connections</w:t>
            </w:r>
          </w:p>
        </w:tc>
        <w:tc>
          <w:tcPr>
            <w:tcW w:type="dxa" w:w="2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scipy entropy of degree_dist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Resilience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Percolation threshold (simulated)</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Network fragility to node removal</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custom simulation</w:t>
            </w:r>
          </w:p>
        </w:tc>
      </w:tr>
      <w:tr>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TDA</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Betti-0 (connected components)</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Network fragmentation count</w:t>
            </w:r>
          </w:p>
        </w:tc>
        <w:tc>
          <w:tcPr>
            <w:tcW w:type="dxa" w:w="2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gudhi PersistentHomology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TDA</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Betti-1 (cycles)</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Regulatory feedback loops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gudhi PersistentHomology</w:t>
            </w:r>
          </w:p>
        </w:tc>
      </w:tr>
      <w:tr>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TDA</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Persistence entropy</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Stability of topological features</w:t>
            </w:r>
          </w:p>
        </w:tc>
        <w:tc>
          <w:tcPr>
            <w:tcW w:type="dxa" w:w="2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gudhi PersistentEntropy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Expression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Mean circRNA expression (top 50)</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Global circRNA sponge capacity</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numpy.mean()</w:t>
            </w:r>
          </w:p>
        </w:tc>
      </w:tr>
      <w:tr>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Expression</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miRNA diversity index (Shannon)</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Breadth of miRNA regulation</w:t>
            </w:r>
          </w:p>
        </w:tc>
        <w:tc>
          <w:tcPr>
            <w:tcW w:type="dxa" w:w="2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scipy.stats.entropy()</w:t>
            </w:r>
          </w:p>
        </w:tc>
      </w:tr>
    </w:tbl>
    <w:p>
      <w:pPr>
        <w:spacing w:before="60" w:after="60"/>
      </w:pPr>
      <w:r>
        <w:rPr>
          <w:rFonts w:ascii="Arial" w:cs="Arial" w:eastAsia="Arial" w:hAnsi="Arial"/>
          <w:color w:val="2D3142"/>
          <w:sz w:val="22"/>
          <w:szCs w:val="22"/>
        </w:rPr>
        <w:t xml:space="preserve">Total feature vector: ~30 features per patient. This is intentionally compact — interpretable and avoids overfitting on small cohorts.</w:t>
      </w:r>
    </w:p>
    <w:p>
      <w:pPr>
        <w:pStyle w:val="Heading2"/>
        <w:spacing w:before="320" w:after="120"/>
      </w:pPr>
      <w:r>
        <w:rPr>
          <w:rFonts w:ascii="Arial" w:cs="Arial" w:eastAsia="Arial" w:hAnsi="Arial"/>
          <w:b/>
          <w:bCs/>
          <w:color w:val="2E6EC4"/>
          <w:sz w:val="28"/>
          <w:szCs w:val="28"/>
        </w:rPr>
        <w:t xml:space="preserve">2.6 Stage 5 — Classification Model</w:t>
      </w:r>
    </w:p>
    <w:p>
      <w:pPr>
        <w:pStyle w:val="Heading3"/>
        <w:spacing w:before="240" w:after="80"/>
      </w:pPr>
      <w:r>
        <w:rPr>
          <w:rFonts w:ascii="Arial" w:cs="Arial" w:eastAsia="Arial" w:hAnsi="Arial"/>
          <w:b/>
          <w:bCs/>
          <w:color w:val="1B2A4A"/>
          <w:sz w:val="24"/>
          <w:szCs w:val="24"/>
        </w:rPr>
        <w:t xml:space="preserve">Why XGBoost (Not Deep Learning)?</w:t>
      </w:r>
    </w:p>
    <w:p>
      <w:pPr>
        <w:spacing w:before="60" w:after="60"/>
      </w:pPr>
      <w:r>
        <w:rPr>
          <w:rFonts w:ascii="Arial" w:cs="Arial" w:eastAsia="Arial" w:hAnsi="Arial"/>
          <w:color w:val="2D3142"/>
          <w:sz w:val="22"/>
          <w:szCs w:val="22"/>
        </w:rPr>
        <w:t xml:space="preserve">With ~400-600 patients total across your datasets, a deep learning model would overfit severely. XGBoost with proper regularisation is the right choice because: (a) it handles tabular feature vectors excellently; (b) it provides SHAP-based feature importances out of the box; (c) it is the standard benchmark in clinical biomarker papers; (d) reviewers will not question it — they will question a neural network on a 400-patient cohort.</w:t>
      </w:r>
    </w:p>
    <w:p>
      <w:pPr>
        <w:pStyle w:val="Heading3"/>
        <w:spacing w:before="240" w:after="80"/>
      </w:pPr>
      <w:r>
        <w:rPr>
          <w:rFonts w:ascii="Arial" w:cs="Arial" w:eastAsia="Arial" w:hAnsi="Arial"/>
          <w:b/>
          <w:bCs/>
          <w:color w:val="1B2A4A"/>
          <w:sz w:val="24"/>
          <w:szCs w:val="24"/>
        </w:rPr>
        <w:t xml:space="preserve">Model Configuration</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XGBoost Config:  </w:t>
      </w:r>
      <w:r>
        <w:rPr>
          <w:rFonts w:ascii="Arial" w:cs="Arial" w:eastAsia="Arial" w:hAnsi="Arial"/>
          <w:color w:val="2D3142"/>
          <w:sz w:val="22"/>
          <w:szCs w:val="22"/>
        </w:rPr>
        <w:t xml:space="preserve">xgb.XGBClassifier(
    n_estimators=300,
    max_depth=4,           # shallow trees — reduces overfitting
    learning_rate=0.05,
    subsample=0.8,
    colsample_bytree=0.7,
    min_child_weight=5,    # regularisation for small classes
    scale_pos_weight=computed_from_class_imbalance,
    eval_metric='auc',
    use_label_encoder=False,
    random_state=42
)</w:t>
      </w:r>
    </w:p>
    <w:p>
      <w:pPr>
        <w:pStyle w:val="Heading3"/>
        <w:spacing w:before="240" w:after="80"/>
      </w:pPr>
      <w:r>
        <w:rPr>
          <w:rFonts w:ascii="Arial" w:cs="Arial" w:eastAsia="Arial" w:hAnsi="Arial"/>
          <w:b/>
          <w:bCs/>
          <w:color w:val="1B2A4A"/>
          <w:sz w:val="24"/>
          <w:szCs w:val="24"/>
        </w:rPr>
        <w:t xml:space="preserve">Training Strategy</w:t>
      </w:r>
    </w:p>
    <w:p>
      <w:pPr>
        <w:pStyle w:val="ListParagraph"/>
        <w:numPr>
          <w:ilvl w:val="0"/>
          <w:numId w:val="2"/>
        </w:numPr>
        <w:spacing w:before="30" w:after="30"/>
      </w:pPr>
      <w:r>
        <w:rPr>
          <w:rFonts w:ascii="Arial" w:cs="Arial" w:eastAsia="Arial" w:hAnsi="Arial"/>
          <w:b w:val="false"/>
          <w:bCs w:val="false"/>
          <w:color w:val="2D3142"/>
          <w:sz w:val="22"/>
          <w:szCs w:val="22"/>
        </w:rPr>
        <w:t xml:space="preserve">5-fold stratified cross-validation, stratified by cancer type AND stage simultaneously.</w:t>
      </w:r>
    </w:p>
    <w:p>
      <w:pPr>
        <w:pStyle w:val="ListParagraph"/>
        <w:numPr>
          <w:ilvl w:val="0"/>
          <w:numId w:val="2"/>
        </w:numPr>
        <w:spacing w:before="30" w:after="30"/>
      </w:pPr>
      <w:r>
        <w:rPr>
          <w:rFonts w:ascii="Arial" w:cs="Arial" w:eastAsia="Arial" w:hAnsi="Arial"/>
          <w:b w:val="false"/>
          <w:bCs w:val="false"/>
          <w:color w:val="2D3142"/>
          <w:sz w:val="22"/>
          <w:szCs w:val="22"/>
        </w:rPr>
        <w:t xml:space="preserve">Tune hyperparameters with Optuna (Bayesian optimisation, 100 trials) on the inner fold.</w:t>
      </w:r>
    </w:p>
    <w:p>
      <w:pPr>
        <w:pStyle w:val="ListParagraph"/>
        <w:numPr>
          <w:ilvl w:val="0"/>
          <w:numId w:val="2"/>
        </w:numPr>
        <w:spacing w:before="30" w:after="30"/>
      </w:pPr>
      <w:r>
        <w:rPr>
          <w:rFonts w:ascii="Arial" w:cs="Arial" w:eastAsia="Arial" w:hAnsi="Arial"/>
          <w:b w:val="false"/>
          <w:bCs w:val="false"/>
          <w:color w:val="2D3142"/>
          <w:sz w:val="22"/>
          <w:szCs w:val="22"/>
        </w:rPr>
        <w:t xml:space="preserve">Report: mean AUC ± std, sensitivity at 95% specificity (clinically standard threshold), per-cancer AUC breakdown.</w:t>
      </w:r>
    </w:p>
    <w:p>
      <w:pPr>
        <w:pStyle w:val="ListParagraph"/>
        <w:numPr>
          <w:ilvl w:val="0"/>
          <w:numId w:val="2"/>
        </w:numPr>
        <w:spacing w:before="30" w:after="30"/>
      </w:pPr>
      <w:r>
        <w:rPr>
          <w:rFonts w:ascii="Arial" w:cs="Arial" w:eastAsia="Arial" w:hAnsi="Arial"/>
          <w:b w:val="false"/>
          <w:bCs w:val="false"/>
          <w:color w:val="2D3142"/>
          <w:sz w:val="22"/>
          <w:szCs w:val="22"/>
        </w:rPr>
        <w:t xml:space="preserve">SHAP analysis: run shap.TreeExplainer on the best model. Plot beeswarm plot — this becomes Figure 4 of your paper.</w:t>
      </w:r>
    </w:p>
    <w:p>
      <w:r>
        <w:br w:type="page"/>
      </w:r>
    </w:p>
    <w:p>
      <w:pPr>
        <w:pStyle w:val="Heading1"/>
        <w:pBdr>
          <w:bottom w:val="single" w:color="2E6EC4" w:sz="6" w:space="4"/>
        </w:pBdr>
        <w:spacing w:before="480" w:after="160"/>
      </w:pPr>
      <w:r>
        <w:rPr>
          <w:rFonts w:ascii="Arial" w:cs="Arial" w:eastAsia="Arial" w:hAnsi="Arial"/>
          <w:b/>
          <w:bCs/>
          <w:color w:val="1B2A4A"/>
          <w:sz w:val="36"/>
          <w:szCs w:val="36"/>
        </w:rPr>
        <w:t xml:space="preserve">Part 3 — Data Sources for Paper I</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1200"/>
        <w:gridCol w:w="2180"/>
      </w:tblGrid>
      <w:tr>
        <w:trPr>
          <w:tblHeader/>
        </w:trPr>
        <w:tc>
          <w:tcPr>
            <w:tcW w:type="dxa" w:w="20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2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GEO ID</w:t>
            </w:r>
          </w:p>
        </w:tc>
        <w:tc>
          <w:tcPr>
            <w:tcW w:type="dxa" w:w="26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12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Patients</w:t>
            </w:r>
          </w:p>
        </w:tc>
        <w:tc>
          <w:tcPr>
            <w:tcW w:type="dxa" w:w="218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How to access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Primary circRNA cohort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GSE113486</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Plasma circRNA-seq, CRC vs healthy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188 (100 CRC, 88 ctrl)</w:t>
            </w:r>
          </w:p>
        </w:tc>
        <w:tc>
          <w:tcPr>
            <w:tcW w:type="dxa" w:w="2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GEO direct download, no application</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Validation circRNA cohort</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GSE159835</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Plasma circRNA, lung cancer vs healthy</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120 (60 lung, 60 ctrl)</w:t>
            </w:r>
          </w:p>
        </w:tc>
        <w:tc>
          <w:tcPr>
            <w:tcW w:type="dxa" w:w="21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GEO direct download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miRNA plasma (CRC)</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GSE115513</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Plasma miRNA-seq, CRC stages I-IV</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344</w:t>
            </w:r>
          </w:p>
        </w:tc>
        <w:tc>
          <w:tcPr>
            <w:tcW w:type="dxa" w:w="2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GEO direct download</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miRNA plasma (multi-cancer)</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GSE73002</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Plasma miRNA, 7 cancer types</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1,420</w:t>
            </w:r>
          </w:p>
        </w:tc>
        <w:tc>
          <w:tcPr>
            <w:tcW w:type="dxa" w:w="21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GEO direct download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circRNA atlas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GSE100063</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Normal tissue circRNA reference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Various tissues</w:t>
            </w:r>
          </w:p>
        </w:tc>
        <w:tc>
          <w:tcPr>
            <w:tcW w:type="dxa" w:w="2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GEO direct download</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miRTarBase v9</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External DB</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Validated miRNA-mRNA interactions</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~800,000 pairs</w:t>
            </w:r>
          </w:p>
        </w:tc>
        <w:tc>
          <w:tcPr>
            <w:tcW w:type="dxa" w:w="21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https://mirtarbase.cuhk.edu.cn — free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miRBase v22.1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External DB</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miRNA sequences for miRDeep2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All human miRNAs</w:t>
            </w:r>
          </w:p>
        </w:tc>
        <w:tc>
          <w:tcPr>
            <w:tcW w:type="dxa" w:w="2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https://mirbase.org/ftp — free</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CircInteractome</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External DB</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circRNA-miRNA interaction predictions</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Precomputed</w:t>
            </w:r>
          </w:p>
        </w:tc>
        <w:tc>
          <w:tcPr>
            <w:tcW w:type="dxa" w:w="21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https://circinteractome.nia.nih.gov — free</w:t>
            </w:r>
          </w:p>
        </w:tc>
      </w:tr>
    </w:tbl>
    <w:p>
      <w:pPr>
        <w:pStyle w:val="Heading2"/>
        <w:spacing w:before="320" w:after="120"/>
      </w:pPr>
      <w:r>
        <w:rPr>
          <w:rFonts w:ascii="Arial" w:cs="Arial" w:eastAsia="Arial" w:hAnsi="Arial"/>
          <w:b/>
          <w:bCs/>
          <w:color w:val="2E6EC4"/>
          <w:sz w:val="28"/>
          <w:szCs w:val="28"/>
        </w:rPr>
        <w:t xml:space="preserve">3.1 How to Download GEO Data</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Download Script:  </w:t>
      </w:r>
      <w:r>
        <w:rPr>
          <w:rFonts w:ascii="Arial" w:cs="Arial" w:eastAsia="Arial" w:hAnsi="Arial"/>
          <w:color w:val="2D3142"/>
          <w:sz w:val="22"/>
          <w:szCs w:val="22"/>
        </w:rPr>
        <w:t xml:space="preserve"># Install SRA toolkit
conda install -c bioconda sra-tools
# Option 1: Download processed data (faster, good for starting)
# Go to: https://www.ncbi.nlm.nih.gov/geo/query/acc.cgi?acc=GSE113486
# Click 'Download' -&gt; download the GSE113486_RAW.tar file
# Contains pre-processed count matrices
# Option 2: Download raw FASTQ (for full pipeline)
prefetch --option-file SRR_Acc_List.txt
fastq-dump --split-files --gzip SRR[accession_number]
# Get the SRR accession list from:
# https://www.ncbi.nlm.nih.gov/Traces/study/?acc=GSE113486</w:t>
      </w:r>
    </w:p>
    <w:p>
      <w:pPr>
        <w:spacing w:before="60" w:after="60"/>
      </w:pPr>
      <w:r>
        <w:rPr>
          <w:rFonts w:ascii="Arial" w:cs="Arial" w:eastAsia="Arial" w:hAnsi="Arial"/>
          <w:color w:val="2D3142"/>
          <w:sz w:val="22"/>
          <w:szCs w:val="22"/>
        </w:rPr>
        <w:t xml:space="preserve">IMPORTANT: For initial development, use the processed count matrices. These are already normalised and take minutes to download instead of days. Only run the full alignment pipeline once the graph construction is validated.</w:t>
      </w:r>
    </w:p>
    <w:p>
      <w:pPr>
        <w:pStyle w:val="Heading1"/>
        <w:pBdr>
          <w:bottom w:val="single" w:color="2E6EC4" w:sz="6" w:space="4"/>
        </w:pBdr>
        <w:spacing w:before="480" w:after="160"/>
      </w:pPr>
      <w:r>
        <w:rPr>
          <w:rFonts w:ascii="Arial" w:cs="Arial" w:eastAsia="Arial" w:hAnsi="Arial"/>
          <w:b/>
          <w:bCs/>
          <w:color w:val="1B2A4A"/>
          <w:sz w:val="36"/>
          <w:szCs w:val="36"/>
        </w:rPr>
        <w:t xml:space="preserve">Part 4 — Expected Outputs and Figures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880"/>
      </w:tblGrid>
      <w:tr>
        <w:trPr>
          <w:tblHeader/>
        </w:trPr>
        <w:tc>
          <w:tcPr>
            <w:tcW w:type="dxa" w:w="15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38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88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How to make it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Fig 1 — Schematic</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Full pipeline diagram: blood -&gt; RNA-seq -&gt; ceRNA graph -&gt; topology features -&gt; classification</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Draw in BioRender or Inkscape</w:t>
            </w:r>
          </w:p>
        </w:tc>
      </w:tr>
      <w:tr>
        <w:tc>
          <w:tcPr>
            <w:tcW w:type="dxa" w:w="1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Fig 2 — Network comparison</w:t>
            </w:r>
          </w:p>
        </w:tc>
        <w:tc>
          <w:tcPr>
            <w:tcW w:type="dxa" w:w="3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Side-by-side ceRNA graphs: healthy (dense, modular) vs Stage-I cancer (fragmented)</w:t>
            </w:r>
          </w:p>
        </w:tc>
        <w:tc>
          <w:tcPr>
            <w:tcW w:type="dxa" w:w="38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NetworkX + matplotlib, spring layout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Fig 3 — ROC curves</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Pan-cancer + per-type AUC curves with 95% CI bootstrapped bands</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sklearn + matplotlib</w:t>
            </w:r>
          </w:p>
        </w:tc>
      </w:tr>
      <w:tr>
        <w:tc>
          <w:tcPr>
            <w:tcW w:type="dxa" w:w="1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Fig 4 — SHAP beeswarm</w:t>
            </w:r>
          </w:p>
        </w:tc>
        <w:tc>
          <w:tcPr>
            <w:tcW w:type="dxa" w:w="3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Which topology features drive each cancer type classification</w:t>
            </w:r>
          </w:p>
        </w:tc>
        <w:tc>
          <w:tcPr>
            <w:tcW w:type="dxa" w:w="38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shap library, shap.plots.beeswarm()</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Fig 5 — Stage stratification</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AUC by stage (I, II, III, IV) — showing early detection capability is real</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seaborn boxplot</w:t>
            </w:r>
          </w:p>
        </w:tc>
      </w:tr>
      <w:tr>
        <w:tc>
          <w:tcPr>
            <w:tcW w:type="dxa" w:w="1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Supp 1 — TDA persistence</w:t>
            </w:r>
          </w:p>
        </w:tc>
        <w:tc>
          <w:tcPr>
            <w:tcW w:type="dxa" w:w="3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Persistence diagrams for healthy vs cancer topological features</w:t>
            </w:r>
          </w:p>
        </w:tc>
        <w:tc>
          <w:tcPr>
            <w:tcW w:type="dxa" w:w="38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gudhi + matplotlib</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Supp 2 — Feature correlation</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Heatmap of feature-feature correlation (confirm no severe multicollinearity)</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seaborn.heatmap()</w:t>
            </w:r>
          </w:p>
        </w:tc>
      </w:tr>
    </w:tbl>
    <w:p>
      <w:pPr>
        <w:pStyle w:val="Heading2"/>
        <w:spacing w:before="320" w:after="120"/>
      </w:pPr>
      <w:r>
        <w:rPr>
          <w:rFonts w:ascii="Arial" w:cs="Arial" w:eastAsia="Arial" w:hAnsi="Arial"/>
          <w:b/>
          <w:bCs/>
          <w:color w:val="2E6EC4"/>
          <w:sz w:val="28"/>
          <w:szCs w:val="28"/>
        </w:rPr>
        <w:t xml:space="preserve">4.1 Expected Performance Metrics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780"/>
      </w:tblGrid>
      <w:tr>
        <w:trPr>
          <w:tblHeader/>
        </w:trPr>
        <w:tc>
          <w:tcPr>
            <w:tcW w:type="dxa" w:w="24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c>
          <w:tcPr>
            <w:tcW w:type="dxa" w:w="20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Clinical Threshold</w:t>
            </w:r>
          </w:p>
        </w:tc>
        <w:tc>
          <w:tcPr>
            <w:tcW w:type="dxa" w:w="278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Comparison (DE baseline)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Pan-cancer AUC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0.88 – 0.93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&gt; 0.80 for clinical utility</w:t>
            </w:r>
          </w:p>
        </w:tc>
        <w:tc>
          <w:tcPr>
            <w:tcW w:type="dxa" w:w="2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~0.78 (DE alone)</w:t>
            </w:r>
          </w:p>
        </w:tc>
      </w:tr>
      <w:tr>
        <w:tc>
          <w:tcPr>
            <w:tcW w:type="dxa" w:w="2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Stage-I AUC</w:t>
            </w:r>
          </w:p>
        </w:tc>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0.82 – 0.88</w:t>
            </w:r>
          </w:p>
        </w:tc>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&gt; 0.75 acceptable</w:t>
            </w:r>
          </w:p>
        </w:tc>
        <w:tc>
          <w:tcPr>
            <w:tcW w:type="dxa" w:w="27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~0.68</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Sensitivity @ 95% spec.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65 – 75%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&gt; 60% is publishable</w:t>
            </w:r>
          </w:p>
        </w:tc>
        <w:tc>
          <w:tcPr>
            <w:tcW w:type="dxa" w:w="2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~50%</w:t>
            </w:r>
          </w:p>
        </w:tc>
      </w:tr>
      <w:tr>
        <w:tc>
          <w:tcPr>
            <w:tcW w:type="dxa" w:w="2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Multi-class accuracy</w:t>
            </w:r>
          </w:p>
        </w:tc>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75 – 83%</w:t>
            </w:r>
          </w:p>
        </w:tc>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&gt; 70% for 5+ classes</w:t>
            </w:r>
          </w:p>
        </w:tc>
        <w:tc>
          <w:tcPr>
            <w:tcW w:type="dxa" w:w="27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~65%</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Stage-I sensitivity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60 – 70%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&gt; 55% is clinically useful</w:t>
            </w:r>
          </w:p>
        </w:tc>
        <w:tc>
          <w:tcPr>
            <w:tcW w:type="dxa" w:w="2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~45%</w:t>
            </w:r>
          </w:p>
        </w:tc>
      </w:tr>
    </w:tbl>
    <w:p>
      <w:r>
        <w:br w:type="page"/>
      </w:r>
    </w:p>
    <w:p>
      <w:pPr>
        <w:pStyle w:val="Heading1"/>
        <w:pBdr>
          <w:bottom w:val="single" w:color="2E6EC4" w:sz="6" w:space="4"/>
        </w:pBdr>
        <w:spacing w:before="480" w:after="160"/>
      </w:pPr>
      <w:r>
        <w:rPr>
          <w:rFonts w:ascii="Arial" w:cs="Arial" w:eastAsia="Arial" w:hAnsi="Arial"/>
          <w:b/>
          <w:bCs/>
          <w:color w:val="1B2A4A"/>
          <w:sz w:val="36"/>
          <w:szCs w:val="36"/>
        </w:rPr>
        <w:t xml:space="preserve">Part 5 — Cursor / Codex Implementation Prompt</w:t>
      </w:r>
    </w:p>
    <w:p>
      <w:pPr>
        <w:spacing w:before="60" w:after="60"/>
      </w:pPr>
      <w:r>
        <w:rPr>
          <w:rFonts w:ascii="Arial" w:cs="Arial" w:eastAsia="Arial" w:hAnsi="Arial"/>
          <w:color w:val="2D3142"/>
          <w:sz w:val="22"/>
          <w:szCs w:val="22"/>
        </w:rPr>
        <w:t xml:space="preserve">Copy the entire block below into Cursor, Claude Code, or Codex. This is a complete, actionable implementation prompt.</w:t>
      </w:r>
    </w:p>
    <w:p>
      <w:pPr>
        <w:pBdr>
          <w:left w:val="single" w:color="C47A1A" w:sz="12" w:space="4"/>
        </w:pBdr>
        <w:shd w:fill="FBF0D8" w:val="clear"/>
        <w:spacing w:before="80" w:after="80"/>
        <w:ind w:left="360" w:right="360"/>
      </w:pPr>
      <w:r>
        <w:rPr>
          <w:rFonts w:ascii="Arial" w:cs="Arial" w:eastAsia="Arial" w:hAnsi="Arial"/>
          <w:b/>
          <w:bCs/>
          <w:color w:val="C47A1A"/>
          <w:sz w:val="22"/>
          <w:szCs w:val="22"/>
        </w:rPr>
        <w:t xml:space="preserve">IMPLEMENTATION PROMPT — PAPER I:  </w:t>
      </w:r>
      <w:r>
        <w:rPr>
          <w:rFonts w:ascii="Arial" w:cs="Arial" w:eastAsia="Arial" w:hAnsi="Arial"/>
          <w:color w:val="2D3142"/>
          <w:sz w:val="22"/>
          <w:szCs w:val="22"/>
        </w:rPr>
        <w:t xml:space="preserve">You are an expert computational biologist building a research pipeline for early-stage cancer detection from plasma circRNA and miRNA data.
Project: ceRNA-network-cancer-detection/
TASK 1: DATA LOADING (data/load_geo.py)
- Load processed count matrices from GSE113486 (circRNA) and GSE115513 (miRNA)
- Merge by patient ID, align sample names
- Output: circRNA_counts.csv (rows=circRNAs, cols=patients), miRNA_counts.csv, metadata.csv (patient_id, cancer_type, stage, age, sex)
- Normalise: CPM normalisation for circRNAs, RPM for miRNAs
- Filter: keep circRNAs with CPM &gt;= 1 in &gt;= 30% samples
TASK 2: ceRNA NETWORK BUILDER (network/build_cerna.py)
- Load precomputed circRNA-miRNA interactions from CircInteractome (downloaded as TSV)
- Load miRNA-mRNA validated interactions from miRTarBase (downloaded as TSV)
- Build global NetworkX DiGraph: add_edge(circRNA, miRNA, weight=miranda_score) and add_edge(miRNA, mRNA, weight=1.0)
- For each patient, build personal subgraph: filter to expressed nodes (CPM &gt;= 1), weight edges by sqrt(expr_nodeA * expr_nodeB)
- Return: dict mapping patient_id -&gt; nx.DiGraph
- Save all graphs as graphs.pkl with pickle
TASK 3: TOPOLOGY FEATURE EXTRACTION (features/extract_topology.py)
- For each patient graph, compute:
  community_count, modularity, top5_hub_degree, top5_hub_betweenness, avg_clustering, diameter (use approximation for large graphs), spectral_entropy (from numpy.linalg.eigvalsh of adjacency matrix), graph_entropy (scipy.stats.entropy of degree distribution), betti_0 (connected components count), betti_1 (cycle count approximation: edges - nodes + components), persistence_entropy (use gudhi SimplexTree)
- Return: pandas DataFrame, rows=patients, cols=features (30 columns total)
- Include patient metadata columns: age, sex, cancer_type, stage
- Save as feature_matrix.csv
TASK 4: CLASSIFICATION (models/classify.py)
- Load feature_matrix.csv
- Binary classification: healthy=0, any_cancer=1
- Also 6-class: healthy, lung, CRC, HCC, breast, gastric
- XGBoost with 5-fold stratified CV, Optuna hyperparameter tuning (50 trials)
- Metrics: AUC (macro OVR), sensitivity at 95% specificity, per-stage AUC (separate analysis for stage_I only rows)
- SHAP: run shap.TreeExplainer, save shap_values.npy and shap_base_values.npy
- Baseline comparison: repeat with only expression features (no topology) and with Random Forest
- Save: best_model.pkl, cv_results.csv, roc_curves.png, shap_beeswarm.png
TASK 5: FIGURES (figures/plot_all.py)
- Fig2: draw two NetworkX graphs (healthy mean vs cancer mean graph) using spring_layout, node color = node type (circRNA=teal, miRNA=orange, mRNA=grey), node size = betweenness centrality * 3000
- Fig3: matplotlib ROC curves for each cancer type OVR, legend with AUC values, fill between bootstrapped 95% CI
- Fig4: shap.plots.beeswarm() from saved SHAP values
- Fig5: seaborn boxplot, x=stage (I,II,III,IV), y=model_probability_score, hue=true_label
Coding standards: type hints, docstrings, set seed=42 everywhere, log to file not print, config via dataclass.</w:t>
      </w:r>
    </w:p>
    <w:p>
      <w:r>
        <w:br w:type="page"/>
      </w:r>
    </w:p>
    <w:p>
      <w:pPr>
        <w:pBdr>
          <w:left w:val="single" w:color="6B3FA0" w:sz="20" w:space="6"/>
          <w:right w:val="single" w:color="6B3FA0" w:sz="20" w:space="6"/>
        </w:pBdr>
        <w:shd w:fill="EAE0F4" w:val="clear"/>
        <w:spacing w:before="160" w:after="80"/>
        <w:ind w:left="360" w:right="360"/>
        <w:jc w:val="center"/>
      </w:pPr>
      <w:r>
        <w:rPr>
          <w:rFonts w:ascii="Arial" w:cs="Arial" w:eastAsia="Arial" w:hAnsi="Arial"/>
          <w:b/>
          <w:bCs/>
          <w:color w:val="6B3FA0"/>
          <w:spacing w:val="160"/>
          <w:sz w:val="36"/>
          <w:szCs w:val="36"/>
        </w:rPr>
        <w:t xml:space="preserve">PAPER II</w:t>
      </w:r>
    </w:p>
    <w:p>
      <w:pPr>
        <w:spacing w:before="80" w:after="160"/>
        <w:jc w:val="center"/>
      </w:pPr>
      <w:r>
        <w:rPr>
          <w:rFonts w:ascii="Arial" w:cs="Arial" w:eastAsia="Arial" w:hAnsi="Arial"/>
          <w:b/>
          <w:bCs/>
          <w:color w:val="1B2A4A"/>
          <w:sz w:val="30"/>
          <w:szCs w:val="30"/>
        </w:rPr>
        <w:t xml:space="preserve">Graph Attention Networks on Tumor-Educated Platelet Splicing Regulatory Graphs for Multi-Cancer Early Detection from Blood</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800"/>
        <w:gridCol w:w="7380"/>
      </w:tblGrid>
      <w:tr>
        <w:trPr>
          <w:tblHeader/>
        </w:trPr>
        <w:tc>
          <w:tcPr>
            <w:tcW w:type="dxa" w:w="18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Journal Submission Strategy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Primary Target</w:t>
            </w:r>
          </w:p>
        </w:tc>
        <w:tc>
          <w:tcPr>
            <w:tcW w:type="dxa" w:w="7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Clinical Cancer Research — AACR, Q1, Hybrid Open Access, IF ~13.0. This is the AACR's translational research journal. It has published multiple liquid biopsy and computational diagnostic papers. Submit under: Precision Medicine and Imaging. Hybrid: subscription by default, pay-to-OA optional.</w:t>
            </w:r>
          </w:p>
        </w:tc>
      </w:tr>
      <w:tr>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Backup Journal</w:t>
            </w:r>
          </w:p>
        </w:tc>
        <w:tc>
          <w:tcPr>
            <w:tcW w:type="dxa" w:w="73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British Journal of Cancer — Nature Portfolio / Springer, Q1, Hybrid, IF ~9.1. Excellent reputation for molecular diagnostics and blood-based early detection. Submit under: Translational Therapeutics. Same hybrid model.</w:t>
            </w:r>
          </w:p>
        </w:tc>
      </w:tr>
    </w:tbl>
    <w:p>
      <w:pPr>
        <w:pStyle w:val="Heading1"/>
        <w:pBdr>
          <w:bottom w:val="single" w:color="2E6EC4" w:sz="6" w:space="4"/>
        </w:pBdr>
        <w:spacing w:before="480" w:after="160"/>
      </w:pPr>
      <w:r>
        <w:rPr>
          <w:rFonts w:ascii="Arial" w:cs="Arial" w:eastAsia="Arial" w:hAnsi="Arial"/>
          <w:b/>
          <w:bCs/>
          <w:color w:val="1B2A4A"/>
          <w:sz w:val="36"/>
          <w:szCs w:val="36"/>
        </w:rPr>
        <w:t xml:space="preserve">Part 6 — The Biology of TEP-seq in Depth</w:t>
      </w:r>
    </w:p>
    <w:p>
      <w:pPr>
        <w:pStyle w:val="Heading2"/>
        <w:spacing w:before="320" w:after="120"/>
      </w:pPr>
      <w:r>
        <w:rPr>
          <w:rFonts w:ascii="Arial" w:cs="Arial" w:eastAsia="Arial" w:hAnsi="Arial"/>
          <w:b/>
          <w:bCs/>
          <w:color w:val="2E6EC4"/>
          <w:sz w:val="28"/>
          <w:szCs w:val="28"/>
        </w:rPr>
        <w:t xml:space="preserve">6.1 What are Tumor-Educated Platelets?</w:t>
      </w:r>
    </w:p>
    <w:p>
      <w:pPr>
        <w:spacing w:before="60" w:after="60"/>
      </w:pPr>
      <w:r>
        <w:rPr>
          <w:rFonts w:ascii="Arial" w:cs="Arial" w:eastAsia="Arial" w:hAnsi="Arial"/>
          <w:color w:val="2D3142"/>
          <w:sz w:val="22"/>
          <w:szCs w:val="22"/>
        </w:rPr>
        <w:t xml:space="preserve">Platelets (thrombocytes) are 2-3 micrometre anucleate cell fragments produced by megakaryocytes in bone marrow. They have no nucleus and were historically thought to carry only a minimal, constitutive mRNA cargo. This view changed fundamentally between 2011 and 2015.</w:t>
      </w:r>
    </w:p>
    <w:p>
      <w:pPr>
        <w:spacing w:before="60" w:after="60"/>
      </w:pPr>
      <w:r>
        <w:rPr>
          <w:rFonts w:ascii="Arial" w:cs="Arial" w:eastAsia="Arial" w:hAnsi="Arial"/>
          <w:color w:val="2D3142"/>
          <w:sz w:val="22"/>
          <w:szCs w:val="22"/>
        </w:rPr>
        <w:t xml:space="preserve">Three independent discoveries established the TEP concept. First, it was shown that platelets can internalise mRNA from the local environment during their 7-10 day circulation half-life. Second, megakaryocytes in the bone marrow respond to systemic tumour-derived signals (growth factors, cytokines) and produce platelets with altered RNA cargo even before those platelets encounter the tumour directly. Third, Best et al. (Cell 2015) demonstrated that the platelet transcriptome in cancer patients is sufficiently perturbed to enable pan-cancer diagnosis with 96% accuracy from 1 mL of blood.</w:t>
      </w:r>
    </w:p>
    <w:p>
      <w:pPr>
        <w:spacing w:before="60" w:after="60"/>
      </w:pPr>
      <w:r>
        <w:rPr>
          <w:rFonts w:ascii="Arial" w:cs="Arial" w:eastAsia="Arial" w:hAnsi="Arial"/>
          <w:color w:val="2D3142"/>
          <w:sz w:val="22"/>
          <w:szCs w:val="22"/>
        </w:rPr>
        <w:t xml:space="preserve">The education mechanism operates on two timescales: (1) Fast education — direct uptake of tumour-secreted exosomes and shed RNA vesicles during platelet circulation; (2) Slow education — epigenetic and transcriptional reprogramming of bone marrow megakaryocytes in response to systemic tumour-derived factors (particularly PDGF-BB, VEGF, TGF-beta), causing stably altered platelet RNA production that persists across the platelet's entire lifespan.</w:t>
      </w:r>
    </w:p>
    <w:p>
      <w:pPr>
        <w:pStyle w:val="Heading2"/>
        <w:spacing w:before="320" w:after="120"/>
      </w:pPr>
      <w:r>
        <w:rPr>
          <w:rFonts w:ascii="Arial" w:cs="Arial" w:eastAsia="Arial" w:hAnsi="Arial"/>
          <w:b/>
          <w:bCs/>
          <w:color w:val="2E6EC4"/>
          <w:sz w:val="28"/>
          <w:szCs w:val="28"/>
        </w:rPr>
        <w:t xml:space="preserve">6.2 Alternative Splicing in Cancer — Why It Matters</w:t>
      </w:r>
    </w:p>
    <w:p>
      <w:pPr>
        <w:spacing w:before="60" w:after="60"/>
      </w:pPr>
      <w:r>
        <w:rPr>
          <w:rFonts w:ascii="Arial" w:cs="Arial" w:eastAsia="Arial" w:hAnsi="Arial"/>
          <w:color w:val="2D3142"/>
          <w:sz w:val="22"/>
          <w:szCs w:val="22"/>
        </w:rPr>
        <w:t xml:space="preserve">Pre-mRNA splicing is the process of removing introns and joining exons to produce a mature mRNA. Alternative splicing (AS) produces multiple distinct mRNA isoforms from a single gene by selecting different combinations of exons. Approximately 95% of human multi-exon genes undergo AS, generating extraordinary proteomic diversity.</w:t>
      </w:r>
    </w:p>
    <w:p>
      <w:pPr>
        <w:spacing w:before="60" w:after="60"/>
      </w:pPr>
      <w:r>
        <w:rPr>
          <w:rFonts w:ascii="Arial" w:cs="Arial" w:eastAsia="Arial" w:hAnsi="Arial"/>
          <w:color w:val="2D3142"/>
          <w:sz w:val="22"/>
          <w:szCs w:val="22"/>
        </w:rPr>
        <w:t xml:space="preserve">Cancer drives systematic, genome-wide splicing reprogramming through several mechanisms:</w:t>
      </w:r>
    </w:p>
    <w:p>
      <w:pPr>
        <w:pStyle w:val="ListParagraph"/>
        <w:numPr>
          <w:ilvl w:val="0"/>
          <w:numId w:val="3"/>
        </w:numPr>
        <w:spacing w:before="40" w:after="40"/>
      </w:pPr>
      <w:r>
        <w:rPr>
          <w:rFonts w:ascii="Arial" w:cs="Arial" w:eastAsia="Arial" w:hAnsi="Arial"/>
          <w:color w:val="2D3142"/>
          <w:sz w:val="22"/>
          <w:szCs w:val="22"/>
        </w:rPr>
        <w:t xml:space="preserve">Splicing factor mutations: SF3B1, SRSF2, U2AF1, and ZRSR2 are among the most commonly mutated genes in haematological malignancies and solid tumours. These mutations alter spliceosome recognition of branch points and splice sites, causing aberrant exon inclusion/skipping events genome-wide.</w:t>
      </w:r>
    </w:p>
    <w:p>
      <w:pPr>
        <w:pStyle w:val="ListParagraph"/>
        <w:numPr>
          <w:ilvl w:val="0"/>
          <w:numId w:val="3"/>
        </w:numPr>
        <w:spacing w:before="40" w:after="40"/>
      </w:pPr>
      <w:r>
        <w:rPr>
          <w:rFonts w:ascii="Arial" w:cs="Arial" w:eastAsia="Arial" w:hAnsi="Arial"/>
          <w:color w:val="2D3142"/>
          <w:sz w:val="22"/>
          <w:szCs w:val="22"/>
        </w:rPr>
        <w:t xml:space="preserve">Splicing factor expression changes: Even without mutation, cancer cells massively alter the expression levels of regulatory splicing factors (RBPs). SRSF1 is overexpressed in many solid tumours and is itself considered an oncoprotein. HNRNP family proteins shift dramatically in expression.</w:t>
      </w:r>
    </w:p>
    <w:p>
      <w:pPr>
        <w:pStyle w:val="ListParagraph"/>
        <w:numPr>
          <w:ilvl w:val="0"/>
          <w:numId w:val="3"/>
        </w:numPr>
        <w:spacing w:before="40" w:after="40"/>
      </w:pPr>
      <w:r>
        <w:rPr>
          <w:rFonts w:ascii="Arial" w:cs="Arial" w:eastAsia="Arial" w:hAnsi="Arial"/>
          <w:color w:val="2D3142"/>
          <w:sz w:val="22"/>
          <w:szCs w:val="22"/>
        </w:rPr>
        <w:t xml:space="preserve">Exon-level oncogenic switches: Cancer-specific splice isoforms of key genes confer oncogenic properties. The PKM1-to-PKM2 switch drives the Warburg effect. The VEGF-a to VEGF-b switch promotes angiogenesis. The FAS/CD95 exon-6 inclusion promotes apoptosis resistance. All of these create cancer-specific splicing signatures.</w:t>
      </w:r>
    </w:p>
    <w:p>
      <w:pPr>
        <w:spacing w:before="60" w:after="60"/>
      </w:pPr>
      <w:r>
        <w:rPr>
          <w:rFonts w:ascii="Arial" w:cs="Arial" w:eastAsia="Arial" w:hAnsi="Arial"/>
          <w:color w:val="2D3142"/>
          <w:sz w:val="22"/>
          <w:szCs w:val="22"/>
        </w:rPr>
        <w:t xml:space="preserve">When platelets are educated by a tumour, they internalise mRNAs carrying these cancer-specific splice isoforms. The platelet's own splicing machinery is also reprogrammed. The result: a platelet splicing landscape that is a composite map of the tumour's splicing state — readable from a standard blood draw.</w:t>
      </w:r>
    </w:p>
    <w:p>
      <w:pPr>
        <w:pStyle w:val="Heading2"/>
        <w:spacing w:before="320" w:after="120"/>
      </w:pPr>
      <w:r>
        <w:rPr>
          <w:rFonts w:ascii="Arial" w:cs="Arial" w:eastAsia="Arial" w:hAnsi="Arial"/>
          <w:b/>
          <w:bCs/>
          <w:color w:val="2E6EC4"/>
          <w:sz w:val="28"/>
          <w:szCs w:val="28"/>
        </w:rPr>
        <w:t xml:space="preserve">6.3 The Splicing Regulatory Network</w:t>
      </w:r>
    </w:p>
    <w:p>
      <w:pPr>
        <w:spacing w:before="60" w:after="60"/>
      </w:pPr>
      <w:r>
        <w:rPr>
          <w:rFonts w:ascii="Arial" w:cs="Arial" w:eastAsia="Arial" w:hAnsi="Arial"/>
          <w:color w:val="2D3142"/>
          <w:sz w:val="22"/>
          <w:szCs w:val="22"/>
        </w:rPr>
        <w:t xml:space="preserve">Alternative splicing is not random. It is coordinated by a regulatory network of approximately 356 known RNA-binding proteins (RBPs) — also called splicing factors (SFs). Each SF binds specific sequence motifs (often in intronic or exonic splicing enhancers/silencers) and modulates exon inclusion. Key SFs and their cancer roles: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800"/>
        <w:gridCol w:w="1700"/>
      </w:tblGrid>
      <w:tr>
        <w:trPr>
          <w:tblHeader/>
        </w:trPr>
        <w:tc>
          <w:tcPr>
            <w:tcW w:type="dxa" w:w="15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Splicing Factor</w:t>
            </w:r>
          </w:p>
        </w:tc>
        <w:tc>
          <w:tcPr>
            <w:tcW w:type="dxa" w:w="26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Cancer Role</w:t>
            </w:r>
          </w:p>
        </w:tc>
        <w:tc>
          <w:tcPr>
            <w:tcW w:type="dxa" w:w="18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Key Cancer Type</w:t>
            </w:r>
          </w:p>
        </w:tc>
        <w:tc>
          <w:tcPr>
            <w:tcW w:type="dxa" w:w="17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Mutation Frequency</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SF3B1</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U2 snRNP component; branch point recognition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MDS, CLL, Uveal Melanoma</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25% MDS, 15% CLL</w:t>
            </w:r>
          </w:p>
        </w:tc>
      </w:tr>
      <w:tr>
        <w:tc>
          <w:tcPr>
            <w:tcW w:type="dxa" w:w="1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SRSF1</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Exon inclusion enhancer; proto-oncoprotein</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Lung, Colon, Breast</w:t>
            </w:r>
          </w:p>
        </w:tc>
        <w:tc>
          <w:tcPr>
            <w:tcW w:type="dxa" w:w="17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Overexpressed, rarely mutated</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SRSF2</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Exon inclusion; interacts with P300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MDS, AML, CMML</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15% MDS</w:t>
            </w:r>
          </w:p>
        </w:tc>
      </w:tr>
      <w:tr>
        <w:tc>
          <w:tcPr>
            <w:tcW w:type="dxa" w:w="1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U2AF1</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3-prime splice site recognition</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MDS, Lung</w:t>
            </w:r>
          </w:p>
        </w:tc>
        <w:tc>
          <w:tcPr>
            <w:tcW w:type="dxa" w:w="17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11% MDS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HNRNPA1</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Exon skipping promoter; competes with SRSFs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Multiple solid tumours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Overexpressed</w:t>
            </w:r>
          </w:p>
        </w:tc>
      </w:tr>
      <w:tr>
        <w:tc>
          <w:tcPr>
            <w:tcW w:type="dxa" w:w="1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PTBP1</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Represses neural/epithelial splicing</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Glioblastoma, CRC</w:t>
            </w:r>
          </w:p>
        </w:tc>
        <w:tc>
          <w:tcPr>
            <w:tcW w:type="dxa" w:w="17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Overexpressed in GBM</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RBFOX2</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EMT-associated splicing switch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Breast, Ovarian</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Loss = EMT</w:t>
            </w:r>
          </w:p>
        </w:tc>
      </w:tr>
      <w:tr>
        <w:tc>
          <w:tcPr>
            <w:tcW w:type="dxa" w:w="1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ESRP1/2</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Epithelial splicing regulator</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Multiple carcinomas</w:t>
            </w:r>
          </w:p>
        </w:tc>
        <w:tc>
          <w:tcPr>
            <w:tcW w:type="dxa" w:w="17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Loss = metastasis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ZRSR2</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U12 intron splicing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MDS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5-10% MDS</w:t>
            </w:r>
          </w:p>
        </w:tc>
      </w:tr>
    </w:tbl>
    <w:p>
      <w:pPr>
        <w:spacing w:before="60" w:after="60"/>
      </w:pPr>
      <w:r>
        <w:rPr>
          <w:rFonts w:ascii="Arial" w:cs="Arial" w:eastAsia="Arial" w:hAnsi="Arial"/>
          <w:color w:val="2D3142"/>
          <w:sz w:val="22"/>
          <w:szCs w:val="22"/>
        </w:rPr>
        <w:t xml:space="preserve">The SFs form a regulatory network: SF_A activates exon X in gene G1, SF_B represses the same exon, SF_A and SF_B are themselves alternatively spliced, and so on. This mutual regulation constitutes a graph: SFs are nodes, regulatory relationships are edges, and edge weights encode the strength of co-regulation (measured by Percent Spliced In correlation across samples).</w:t>
      </w:r>
    </w:p>
    <w:p>
      <w:pPr>
        <w:pBdr>
          <w:left w:val="single" w:color="6B3FA0" w:sz="12" w:space="4"/>
        </w:pBdr>
        <w:shd w:fill="EAE0F4" w:val="clear"/>
        <w:spacing w:before="80" w:after="80"/>
        <w:ind w:left="360" w:right="360"/>
      </w:pPr>
      <w:r>
        <w:rPr>
          <w:rFonts w:ascii="Arial" w:cs="Arial" w:eastAsia="Arial" w:hAnsi="Arial"/>
          <w:b/>
          <w:bCs/>
          <w:color w:val="6B3FA0"/>
          <w:sz w:val="22"/>
          <w:szCs w:val="22"/>
        </w:rPr>
        <w:t xml:space="preserve">CORE NOVEL CLAIM:  </w:t>
      </w:r>
      <w:r>
        <w:rPr>
          <w:rFonts w:ascii="Arial" w:cs="Arial" w:eastAsia="Arial" w:hAnsi="Arial"/>
          <w:color w:val="2D3142"/>
          <w:sz w:val="22"/>
          <w:szCs w:val="22"/>
        </w:rPr>
        <w:t xml:space="preserve">All existing TEP work treats splicing events as independent features in a flat vector and applies classical ML (SVM, Random Forest, ANN). No published study has modelled the splicing regulatory relationships between RNA-binding proteins as a graph and applied graph neural networks. The graph structure captures higher-order regulatory dependencies that flat vectors provably cannot — and the attention weights on the graph edges produce a direct, biologically interpretable readout of which splicing factor interactions are dysregulated in each cancer type.</w:t>
      </w:r>
    </w:p>
    <w:p>
      <w:pPr>
        <w:pStyle w:val="Heading2"/>
        <w:spacing w:before="320" w:after="120"/>
      </w:pPr>
      <w:r>
        <w:rPr>
          <w:rFonts w:ascii="Arial" w:cs="Arial" w:eastAsia="Arial" w:hAnsi="Arial"/>
          <w:b/>
          <w:bCs/>
          <w:color w:val="2E6EC4"/>
          <w:sz w:val="28"/>
          <w:szCs w:val="28"/>
        </w:rPr>
        <w:t xml:space="preserve">6.4 Why a Graph Attention Network Specifically?</w:t>
      </w:r>
    </w:p>
    <w:p>
      <w:pPr>
        <w:spacing w:before="60" w:after="60"/>
      </w:pPr>
      <w:r>
        <w:rPr>
          <w:rFonts w:ascii="Arial" w:cs="Arial" w:eastAsia="Arial" w:hAnsi="Arial"/>
          <w:color w:val="2D3142"/>
          <w:sz w:val="22"/>
          <w:szCs w:val="22"/>
        </w:rPr>
        <w:t xml:space="preserve">The choice of GAT over other GNN architectures is deliberate and defensible to reviewers: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180"/>
      </w:tblGrid>
      <w:tr>
        <w:trPr>
          <w:tblHeader/>
        </w:trPr>
        <w:tc>
          <w:tcPr>
            <w:tcW w:type="dxa" w:w="22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8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How it aggregates neighbours</w:t>
            </w:r>
          </w:p>
        </w:tc>
        <w:tc>
          <w:tcPr>
            <w:tcW w:type="dxa" w:w="418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Why inadequate for this problem</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GCN (Kipf &amp; Welling, 2017)</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Symmetric normalised sum of all neighbours</w:t>
            </w:r>
          </w:p>
        </w:tc>
        <w:tc>
          <w:tcPr>
            <w:tcW w:type="dxa" w:w="4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All splicing factor relationships given equal weight — biologically incorrect</w:t>
            </w:r>
          </w:p>
        </w:tc>
      </w:tr>
      <w:tr>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GraphSAGE (Hamilton et al., 2017)</w:t>
            </w:r>
          </w:p>
        </w:tc>
        <w:tc>
          <w:tcPr>
            <w:tcW w:type="dxa" w:w="2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Samples a fixed-size neighbourhood randomly</w:t>
            </w:r>
          </w:p>
        </w:tc>
        <w:tc>
          <w:tcPr>
            <w:tcW w:type="dxa" w:w="41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Random sampling may miss rare but critical regulatory interactions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GIN (Xu et al., 2019)</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Sum aggregation, maximally expressive</w:t>
            </w:r>
          </w:p>
        </w:tc>
        <w:tc>
          <w:tcPr>
            <w:tcW w:type="dxa" w:w="4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No edge weights — cannot use PSI correlation values as edge features</w:t>
            </w:r>
          </w:p>
        </w:tc>
      </w:tr>
      <w:tr>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GAT (Velickovic et al., 2018)</w:t>
            </w:r>
          </w:p>
        </w:tc>
        <w:tc>
          <w:tcPr>
            <w:tcW w:type="dxa" w:w="2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Learned attention coefficients per neighbour</w:t>
            </w:r>
          </w:p>
        </w:tc>
        <w:tc>
          <w:tcPr>
            <w:tcW w:type="dxa" w:w="41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CORRECT: learns which SF-SF interactions matter, per graph, per layer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GAT v2 (Brody et al., 2022)</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Dynamic attention (depends on both nodes)</w:t>
            </w:r>
          </w:p>
        </w:tc>
        <w:tc>
          <w:tcPr>
            <w:tcW w:type="dxa" w:w="4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IDEAL: more expressive than GAT v1 for node-pair interactions</w:t>
            </w:r>
          </w:p>
        </w:tc>
      </w:tr>
    </w:tbl>
    <w:p>
      <w:pPr>
        <w:spacing w:before="60" w:after="60"/>
      </w:pPr>
      <w:r>
        <w:rPr>
          <w:rFonts w:ascii="Arial" w:cs="Arial" w:eastAsia="Arial" w:hAnsi="Arial"/>
          <w:color w:val="2D3142"/>
          <w:sz w:val="22"/>
          <w:szCs w:val="22"/>
        </w:rPr>
        <w:t xml:space="preserve">The attention weights alpha_ij learned by the GAT directly answer the question: 'How much does the splicing state of SF_j affect the inferred cancer risk signal from SF_i?' These weights, averaged across cancer-type patients, become biologically interpretable biomarkers that reviewers find compelling.</w:t>
      </w:r>
    </w:p>
    <w:p>
      <w:r>
        <w:br w:type="page"/>
      </w:r>
    </w:p>
    <w:p>
      <w:pPr>
        <w:pStyle w:val="Heading1"/>
        <w:pBdr>
          <w:bottom w:val="single" w:color="2E6EC4" w:sz="6" w:space="4"/>
        </w:pBdr>
        <w:spacing w:before="480" w:after="160"/>
      </w:pPr>
      <w:r>
        <w:rPr>
          <w:rFonts w:ascii="Arial" w:cs="Arial" w:eastAsia="Arial" w:hAnsi="Arial"/>
          <w:b/>
          <w:bCs/>
          <w:color w:val="1B2A4A"/>
          <w:sz w:val="36"/>
          <w:szCs w:val="36"/>
        </w:rPr>
        <w:t xml:space="preserve">Part 7 — Algorithm and Methodology for Paper II</w:t>
      </w:r>
    </w:p>
    <w:p>
      <w:pPr>
        <w:pStyle w:val="Heading2"/>
        <w:spacing w:before="320" w:after="120"/>
      </w:pPr>
      <w:r>
        <w:rPr>
          <w:rFonts w:ascii="Arial" w:cs="Arial" w:eastAsia="Arial" w:hAnsi="Arial"/>
          <w:b/>
          <w:bCs/>
          <w:color w:val="2E6EC4"/>
          <w:sz w:val="28"/>
          <w:szCs w:val="28"/>
        </w:rPr>
        <w:t xml:space="preserve">7.1 Full Pipeline</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200"/>
        <w:gridCol w:w="1580"/>
      </w:tblGrid>
      <w:tr>
        <w:trPr>
          <w:tblHeader/>
        </w:trPr>
        <w:tc>
          <w:tcPr>
            <w:tcW w:type="dxa" w:w="14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2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58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Tool/Library</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1. Preprocessing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Platelet RNA-seq FASTQ</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Trim, QC, alignment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BAM, QC reports</w:t>
            </w:r>
          </w:p>
        </w:tc>
        <w:tc>
          <w:tcPr>
            <w:tcW w:type="dxa" w:w="1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Trimmomatic, STAR, FastQC</w:t>
            </w:r>
          </w:p>
        </w:tc>
      </w:tr>
      <w:tr>
        <w:tc>
          <w:tcPr>
            <w:tcW w:type="dxa" w:w="1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2. Splicing quant.</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BAM + GTF</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Detect AS events, compute PSI</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PSI matrix (events x samples)</w:t>
            </w:r>
          </w:p>
        </w:tc>
        <w:tc>
          <w:tcPr>
            <w:tcW w:type="dxa" w:w="15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rMATS v4.1.2</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3. Expression quant.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BAM + GTF</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Gene-level TPM for RBPs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Expression matrix</w:t>
            </w:r>
          </w:p>
        </w:tc>
        <w:tc>
          <w:tcPr>
            <w:tcW w:type="dxa" w:w="1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featureCounts / Salmon</w:t>
            </w:r>
          </w:p>
        </w:tc>
      </w:tr>
      <w:tr>
        <w:tc>
          <w:tcPr>
            <w:tcW w:type="dxa" w:w="1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4. Graph construction</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PSI matrix + expression + databases</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Build RBP graph per patient</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torch_geometric Data objects</w:t>
            </w:r>
          </w:p>
        </w:tc>
        <w:tc>
          <w:tcPr>
            <w:tcW w:type="dxa" w:w="15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Python + PyG</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5. GAT training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Patient graphs + labels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Train + cross-validate GAT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Model weights, CV metrics</w:t>
            </w:r>
          </w:p>
        </w:tc>
        <w:tc>
          <w:tcPr>
            <w:tcW w:type="dxa" w:w="1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PyTorch Geometric</w:t>
            </w:r>
          </w:p>
        </w:tc>
      </w:tr>
      <w:tr>
        <w:tc>
          <w:tcPr>
            <w:tcW w:type="dxa" w:w="1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6. Interpretability</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Trained GAT + test graphs</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Extract attention weights, SHAP</w:t>
            </w:r>
          </w:p>
        </w:tc>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Attention heatmap, SHAP values</w:t>
            </w:r>
          </w:p>
        </w:tc>
        <w:tc>
          <w:tcPr>
            <w:tcW w:type="dxa" w:w="15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PyG Explainer, SHAP</w:t>
            </w:r>
          </w:p>
        </w:tc>
      </w:tr>
    </w:tbl>
    <w:p>
      <w:pPr>
        <w:pStyle w:val="Heading2"/>
        <w:spacing w:before="320" w:after="120"/>
      </w:pPr>
      <w:r>
        <w:rPr>
          <w:rFonts w:ascii="Arial" w:cs="Arial" w:eastAsia="Arial" w:hAnsi="Arial"/>
          <w:b/>
          <w:bCs/>
          <w:color w:val="2E6EC4"/>
          <w:sz w:val="28"/>
          <w:szCs w:val="28"/>
        </w:rPr>
        <w:t xml:space="preserve">7.2 Splicing Quantification with rMATS</w:t>
      </w:r>
    </w:p>
    <w:p>
      <w:pPr>
        <w:spacing w:before="60" w:after="60"/>
      </w:pPr>
      <w:r>
        <w:rPr>
          <w:rFonts w:ascii="Arial" w:cs="Arial" w:eastAsia="Arial" w:hAnsi="Arial"/>
          <w:color w:val="2D3142"/>
          <w:sz w:val="22"/>
          <w:szCs w:val="22"/>
        </w:rPr>
        <w:t xml:space="preserve">rMATS (replicate Multivariate Analysis of Transcript Splicing) is the gold standard for detecting and quantifying alternative splicing events from RNA-seq. It detects five event types: Skipped Exon (SE), Alternative 5' Splice Site (A5SS), Alternative 3' Splice Site (A3SS), Mutually Exclusive Exons (MXE), Retained Intron (RI).</w:t>
      </w:r>
    </w:p>
    <w:p>
      <w:pPr>
        <w:spacing w:before="60" w:after="60"/>
      </w:pPr>
      <w:r>
        <w:rPr>
          <w:rFonts w:ascii="Arial" w:cs="Arial" w:eastAsia="Arial" w:hAnsi="Arial"/>
          <w:color w:val="2D3142"/>
          <w:sz w:val="22"/>
          <w:szCs w:val="22"/>
        </w:rPr>
        <w:t xml:space="preserve">For this project, focus primarily on SE events — they are the most common, best characterised, and most directly linked to splicing factor activity. Expand to A5SS and A3SS if needed to boost feature count.</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rMATS Command:  </w:t>
      </w:r>
      <w:r>
        <w:rPr>
          <w:rFonts w:ascii="Arial" w:cs="Arial" w:eastAsia="Arial" w:hAnsi="Arial"/>
          <w:color w:val="2D3142"/>
          <w:sz w:val="22"/>
          <w:szCs w:val="22"/>
        </w:rPr>
        <w:t xml:space="preserve"># Create sample file listing BAM paths
echo '/data/bam/patient001.bam' &gt; b1.txt
echo '/data/bam/healthy001.bam' &gt; b2.txt
# Run rMATS
python rmats.py \
  --b1 b1.txt --b2 b2.txt \
  --gtf gencode.v43.annotation.gtf \
  --od /output/rmats_out \
  -t paired \
  --readLength 150 \
  --variable-read-length \
  --allow-clipping \
  --nthread 8 \
  --statoff   # no stats at this stage — compute per cohort later
# Key output file: SE.MATS.JC.txt
# Columns: IncLevel1 (PSI per sample), IncLevel2, FDR, IncLevelDifference</w:t>
      </w:r>
    </w:p>
    <w:p>
      <w:pPr>
        <w:pStyle w:val="Heading3"/>
        <w:spacing w:before="240" w:after="80"/>
      </w:pPr>
      <w:r>
        <w:rPr>
          <w:rFonts w:ascii="Arial" w:cs="Arial" w:eastAsia="Arial" w:hAnsi="Arial"/>
          <w:b/>
          <w:bCs/>
          <w:color w:val="1B2A4A"/>
          <w:sz w:val="24"/>
          <w:szCs w:val="24"/>
        </w:rPr>
        <w:t xml:space="preserve">PSI Matrix Construction</w:t>
      </w:r>
    </w:p>
    <w:p>
      <w:pPr>
        <w:spacing w:before="60" w:after="60"/>
      </w:pPr>
      <w:r>
        <w:rPr>
          <w:rFonts w:ascii="Arial" w:cs="Arial" w:eastAsia="Arial" w:hAnsi="Arial"/>
          <w:color w:val="2D3142"/>
          <w:sz w:val="22"/>
          <w:szCs w:val="22"/>
        </w:rPr>
        <w:t xml:space="preserve">Parse SE.MATS.JC.txt for all samples. For each event: PSI = InclusionCount / (InclusionCount + SkippingCount). Apply filters: (1) minimum 10 junction-spanning reads; (2) event present (non-NaN PSI) in at least 50% of all samples. This yields approximately 8,000-12,000 high-confidence SE events as your feature space.</w:t>
      </w:r>
    </w:p>
    <w:p>
      <w:pPr>
        <w:pStyle w:val="Heading2"/>
        <w:spacing w:before="320" w:after="120"/>
      </w:pPr>
      <w:r>
        <w:rPr>
          <w:rFonts w:ascii="Arial" w:cs="Arial" w:eastAsia="Arial" w:hAnsi="Arial"/>
          <w:b/>
          <w:bCs/>
          <w:color w:val="2E6EC4"/>
          <w:sz w:val="28"/>
          <w:szCs w:val="28"/>
        </w:rPr>
        <w:t xml:space="preserve">7.3 Graph Construction — Detailed</w:t>
      </w:r>
    </w:p>
    <w:p>
      <w:pPr>
        <w:pStyle w:val="Heading3"/>
        <w:spacing w:before="240" w:after="80"/>
      </w:pPr>
      <w:r>
        <w:rPr>
          <w:rFonts w:ascii="Arial" w:cs="Arial" w:eastAsia="Arial" w:hAnsi="Arial"/>
          <w:b/>
          <w:bCs/>
          <w:color w:val="1B2A4A"/>
          <w:sz w:val="24"/>
          <w:szCs w:val="24"/>
        </w:rPr>
        <w:t xml:space="preserve">Node Feature Vector (64 dimensions per RBP node)</w:t>
      </w:r>
    </w:p>
    <w:tbl>
      <w:tblPr>
        <w:tblW w:type="dxa" w:w="87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140"/>
      </w:tblGrid>
      <w:tr>
        <w:trPr>
          <w:tblHeader/>
        </w:trPr>
        <w:tc>
          <w:tcPr>
            <w:tcW w:type="dxa" w:w="16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24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14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Normalisation</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0 – 19 (20 dims)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Mean PSI of all SE events regulated by this RBP, per patient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SpliceAid-F regulatory table + patient PSI matrix</w:t>
            </w:r>
          </w:p>
        </w:tc>
        <w:tc>
          <w:tcPr>
            <w:tcW w:type="dxa" w:w="21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Z-score per feature across training set</w:t>
            </w:r>
          </w:p>
        </w:tc>
      </w:tr>
      <w:tr>
        <w:tc>
          <w:tcPr>
            <w:tcW w:type="dxa" w:w="1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20 – 39 (20 dims)</w:t>
            </w:r>
          </w:p>
        </w:tc>
        <w:tc>
          <w:tcPr>
            <w:tcW w:type="dxa" w:w="2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Normalised TPM expression of this RBP gene in this patient</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featureCounts output + DESeq2 size factors</w:t>
            </w:r>
          </w:p>
        </w:tc>
        <w:tc>
          <w:tcPr>
            <w:tcW w:type="dxa" w:w="214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Log2(TPM+1) then Z-score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40 – 55 (16 dims)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Top-16 k-mer (4-mer) enrichment scores from the RBP's binding motif (ATtRACT)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ATtRACT database motif PWMs</w:t>
            </w:r>
          </w:p>
        </w:tc>
        <w:tc>
          <w:tcPr>
            <w:tcW w:type="dxa" w:w="21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Normalised by max PWM score</w:t>
            </w:r>
          </w:p>
        </w:tc>
      </w:tr>
      <w:tr>
        <w:tc>
          <w:tcPr>
            <w:tcW w:type="dxa" w:w="1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56 – 57 (2 dims)</w:t>
            </w:r>
          </w:p>
        </w:tc>
        <w:tc>
          <w:tcPr>
            <w:tcW w:type="dxa" w:w="2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Patient age (normalised 0-1) and sex (0/1)</w:t>
            </w:r>
          </w:p>
        </w:tc>
        <w:tc>
          <w:tcPr>
            <w:tcW w:type="dxa" w:w="26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GEO sample metadata</w:t>
            </w:r>
          </w:p>
        </w:tc>
        <w:tc>
          <w:tcPr>
            <w:tcW w:type="dxa" w:w="214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MinMax scaling</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58 – 63 (6 dims)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Padding zeros (reserved for future molecular features)</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w:t>
            </w:r>
          </w:p>
        </w:tc>
        <w:tc>
          <w:tcPr>
            <w:tcW w:type="dxa" w:w="21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w:t>
            </w:r>
          </w:p>
        </w:tc>
      </w:tr>
    </w:tbl>
    <w:p>
      <w:pPr>
        <w:pStyle w:val="Heading3"/>
        <w:spacing w:before="240" w:after="80"/>
      </w:pPr>
      <w:r>
        <w:rPr>
          <w:rFonts w:ascii="Arial" w:cs="Arial" w:eastAsia="Arial" w:hAnsi="Arial"/>
          <w:b/>
          <w:bCs/>
          <w:color w:val="1B2A4A"/>
          <w:sz w:val="24"/>
          <w:szCs w:val="24"/>
        </w:rPr>
        <w:t xml:space="preserve">Edge Construction Rules</w:t>
      </w:r>
    </w:p>
    <w:p>
      <w:pPr>
        <w:spacing w:before="60" w:after="60"/>
      </w:pPr>
      <w:r>
        <w:rPr>
          <w:rFonts w:ascii="Arial" w:cs="Arial" w:eastAsia="Arial" w:hAnsi="Arial"/>
          <w:color w:val="2D3142"/>
          <w:sz w:val="22"/>
          <w:szCs w:val="22"/>
        </w:rPr>
        <w:t xml:space="preserve">Two RBPs (nodes i and j) receive an edge if they satisfy AT LEAST ONE of:</w:t>
      </w:r>
    </w:p>
    <w:p>
      <w:pPr>
        <w:pStyle w:val="ListParagraph"/>
        <w:numPr>
          <w:ilvl w:val="0"/>
          <w:numId w:val="2"/>
        </w:numPr>
        <w:spacing w:before="30" w:after="30"/>
      </w:pPr>
      <w:r>
        <w:rPr>
          <w:rFonts w:ascii="Arial" w:cs="Arial" w:eastAsia="Arial" w:hAnsi="Arial"/>
          <w:b w:val="false"/>
          <w:bCs w:val="false"/>
          <w:color w:val="2D3142"/>
          <w:sz w:val="22"/>
          <w:szCs w:val="22"/>
        </w:rPr>
        <w:t xml:space="preserve">Co-regulation criterion: They are annotated as co-regulating at least 3 common splicing events in SpliceAid-F. Edge weight = number of co-regulated events / 10 (normalised).</w:t>
      </w:r>
    </w:p>
    <w:p>
      <w:pPr>
        <w:pStyle w:val="ListParagraph"/>
        <w:numPr>
          <w:ilvl w:val="0"/>
          <w:numId w:val="2"/>
        </w:numPr>
        <w:spacing w:before="30" w:after="30"/>
      </w:pPr>
      <w:r>
        <w:rPr>
          <w:rFonts w:ascii="Arial" w:cs="Arial" w:eastAsia="Arial" w:hAnsi="Arial"/>
          <w:b w:val="false"/>
          <w:bCs w:val="false"/>
          <w:color w:val="2D3142"/>
          <w:sz w:val="22"/>
          <w:szCs w:val="22"/>
        </w:rPr>
        <w:t xml:space="preserve">Co-expression criterion: Their mean PSI profiles across all co-regulated events have Pearson |r| &gt;= 0.4 in the training cohort healthy samples. Edge weight = |r|.</w:t>
      </w:r>
    </w:p>
    <w:p>
      <w:pPr>
        <w:spacing w:before="60" w:after="60"/>
      </w:pPr>
      <w:r>
        <w:rPr>
          <w:rFonts w:ascii="Arial" w:cs="Arial" w:eastAsia="Arial" w:hAnsi="Arial"/>
          <w:color w:val="2D3142"/>
          <w:sz w:val="22"/>
          <w:szCs w:val="22"/>
        </w:rPr>
        <w:t xml:space="preserve">Edge directionality: For co-regulation edges, if SpliceAid-F specifies that SF_A activates and SF_B represses the same exon, the edge is directed A -&gt; B with a sign attribute (+1 cooperative, -1 antagonistic). For co-expression edges, the graph is undirected. Store both in edge_attr as a 2-dimensional edge feature: [edge_weight, edge_sign].</w:t>
      </w:r>
    </w:p>
    <w:p>
      <w:pPr>
        <w:pStyle w:val="Heading2"/>
        <w:spacing w:before="320" w:after="120"/>
      </w:pPr>
      <w:r>
        <w:rPr>
          <w:rFonts w:ascii="Arial" w:cs="Arial" w:eastAsia="Arial" w:hAnsi="Arial"/>
          <w:b/>
          <w:bCs/>
          <w:color w:val="2E6EC4"/>
          <w:sz w:val="28"/>
          <w:szCs w:val="28"/>
        </w:rPr>
        <w:t xml:space="preserve">7.4 GAT Architecture (Full Specification)</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PyTorch Geometric Model Code:  </w:t>
      </w:r>
      <w:r>
        <w:rPr>
          <w:rFonts w:ascii="Arial" w:cs="Arial" w:eastAsia="Arial" w:hAnsi="Arial"/>
          <w:color w:val="2D3142"/>
          <w:sz w:val="22"/>
          <w:szCs w:val="22"/>
        </w:rPr>
        <w:t xml:space="preserve">import torch
import torch.nn.functional as F
from torch_geometric.nn import GATv2Conv, global_mean_pool, global_max_pool
from torch_geometric.nn import BatchNorm
class SplicingGAT(torch.nn.Module):
    def __init__(self, in_ch=64, hidden=16, heads=8, n_classes=7, dropout=0.3):
        super().__init__()
        self.conv1 = GATv2Conv(in_ch, hidden, heads=heads, dropout=dropout,
                               edge_dim=2, concat=True)
        self.bn1 = BatchNorm(hidden * heads)
        self.conv2 = GATv2Conv(hidden*heads, hidden, heads=heads, dropout=dropout,
                               edge_dim=2, concat=True)
        self.bn2 = BatchNorm(hidden * heads)
        self.conv3 = GATv2Conv(hidden*heads, 64, heads=1, dropout=dropout,
                               edge_dim=2, concat=False)
        self.fc1 = torch.nn.Linear(128, 256)  # 64 mean + 64 max
        self.fc2 = torch.nn.Linear(256, 128)
        self.fc3 = torch.nn.Linear(128, n_classes)
        self.dropout = torch.nn.Dropout(dropout)
        self._attn_weights = None  # for extraction
    def forward(self, x, edge_index, edge_attr, batch):
        # Layer 1
        x, (ei, attn1) = self.conv1(x, edge_index, edge_attr,
                                    return_attention_weights=True)
        x = F.elu(self.bn1(x))
        # Layer 2
        x, (ei, attn2) = self.conv2(x, edge_index, edge_attr,
                                    return_attention_weights=True)
        x = F.elu(self.bn2(x))
        # Layer 3
        x, (ei, attn3) = self.conv3(x, edge_index, edge_attr,
                                    return_attention_weights=True)
        self._attn_weights = attn3  # save for interpretability
        x = F.elu(x)
        # Global pooling
        x = torch.cat([global_mean_pool(x, batch),
                        global_max_pool(x, batch)], dim=1)
        # Classifier head
        x = F.relu(self.fc1(x))
        x = self.dropout(x)
        x = F.relu(self.fc2(x))
        x = self.dropout(x)
        return self.fc3(x)
    def get_attention_weights(self):
        return self._attn_weights</w:t>
      </w:r>
    </w:p>
    <w:p>
      <w:pPr>
        <w:pStyle w:val="Heading3"/>
        <w:spacing w:before="240" w:after="80"/>
      </w:pPr>
      <w:r>
        <w:rPr>
          <w:rFonts w:ascii="Arial" w:cs="Arial" w:eastAsia="Arial" w:hAnsi="Arial"/>
          <w:b/>
          <w:bCs/>
          <w:color w:val="1B2A4A"/>
          <w:sz w:val="24"/>
          <w:szCs w:val="24"/>
        </w:rPr>
        <w:t xml:space="preserve">Loss Function: Focal Loss</w:t>
      </w:r>
    </w:p>
    <w:p>
      <w:pPr>
        <w:spacing w:before="60" w:after="60"/>
      </w:pPr>
      <w:r>
        <w:rPr>
          <w:rFonts w:ascii="Arial" w:cs="Arial" w:eastAsia="Arial" w:hAnsi="Arial"/>
          <w:color w:val="2D3142"/>
          <w:sz w:val="22"/>
          <w:szCs w:val="22"/>
        </w:rPr>
        <w:t xml:space="preserve">Class imbalance is a serious problem — healthy controls typically outnumber some cancer types 3:1 or more. Standard cross-entropy undertrains on minority classes. Focal Loss (Lin et al., 2017, originally from object detection) addresses this by down-weighting easy (well-classified) examples and focusing training on hard ones:</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Focal Loss:  </w:t>
      </w:r>
      <w:r>
        <w:rPr>
          <w:rFonts w:ascii="Arial" w:cs="Arial" w:eastAsia="Arial" w:hAnsi="Arial"/>
          <w:color w:val="2D3142"/>
          <w:sz w:val="22"/>
          <w:szCs w:val="22"/>
        </w:rPr>
        <w:t xml:space="preserve">FL(p_t) = -alpha_t * (1 - p_t)^gamma * log(p_t)
where:
  p_t = model probability for the true class
  gamma = 2.0  (focusing parameter — reduces weight on easy examples)
  alpha_t = inverse class frequency weight (computed from training set)
Implementation:
class FocalLoss(nn.Module):
    def __init__(self, gamma=2.0, alpha=None):
        super().__init__()
        self.gamma = gamma
        self.alpha = alpha  # tensor of class weights
    def forward(self, logits, targets):
        ce = F.cross_entropy(logits, targets, weight=self.alpha, reduction='none')
        pt = torch.exp(-ce)
        return ((1 - pt) ** self.gamma * ce).mean()</w:t>
      </w:r>
    </w:p>
    <w:p>
      <w:pPr>
        <w:pStyle w:val="Heading2"/>
        <w:spacing w:before="320" w:after="120"/>
      </w:pPr>
      <w:r>
        <w:rPr>
          <w:rFonts w:ascii="Arial" w:cs="Arial" w:eastAsia="Arial" w:hAnsi="Arial"/>
          <w:b/>
          <w:bCs/>
          <w:color w:val="2E6EC4"/>
          <w:sz w:val="28"/>
          <w:szCs w:val="28"/>
        </w:rPr>
        <w:t xml:space="preserve">7.5 Training Procedure</w:t>
      </w:r>
    </w:p>
    <w:p>
      <w:pPr>
        <w:pBdr>
          <w:left w:val="single" w:color="1B2A4A" w:sz="12" w:space="4"/>
        </w:pBdr>
        <w:shd w:fill="F2F4F7" w:val="clear"/>
        <w:spacing w:before="80" w:after="80"/>
        <w:ind w:left="360" w:right="360"/>
      </w:pPr>
      <w:r>
        <w:rPr>
          <w:rFonts w:ascii="Arial" w:cs="Arial" w:eastAsia="Arial" w:hAnsi="Arial"/>
          <w:b/>
          <w:bCs/>
          <w:color w:val="1B2A4A"/>
          <w:sz w:val="22"/>
          <w:szCs w:val="22"/>
        </w:rPr>
        <w:t xml:space="preserve">Training Config:  </w:t>
      </w:r>
      <w:r>
        <w:rPr>
          <w:rFonts w:ascii="Arial" w:cs="Arial" w:eastAsia="Arial" w:hAnsi="Arial"/>
          <w:color w:val="2D3142"/>
          <w:sz w:val="22"/>
          <w:szCs w:val="22"/>
        </w:rPr>
        <w:t xml:space="preserve">Optimizer:      Adam(lr=0.001, weight_decay=1e-4)
Scheduler:      CosineAnnealingLR(T_max=100, eta_min=1e-5)
Batch size:     32 graphs
Max epochs:     200
Early stopping: patience=20 on validation macro-AUC
CV:             5-fold StratifiedShuffleSplit on (cancer_type, stage)
Augmentation:   RandomEdgeMask(p=0.10) — randomly drop 10% edges per training step
                FeatureNoise(sigma=0.05) — Gaussian noise on node features
Seed:           42 (torch, numpy, random, cuda all set)
Checkpointing:  Save best model per fold (best val AUC)</w:t>
      </w:r>
    </w:p>
    <w:p>
      <w:r>
        <w:br w:type="page"/>
      </w:r>
    </w:p>
    <w:p>
      <w:pPr>
        <w:pStyle w:val="Heading1"/>
        <w:pBdr>
          <w:bottom w:val="single" w:color="2E6EC4" w:sz="6" w:space="4"/>
        </w:pBdr>
        <w:spacing w:before="480" w:after="160"/>
      </w:pPr>
      <w:r>
        <w:rPr>
          <w:rFonts w:ascii="Arial" w:cs="Arial" w:eastAsia="Arial" w:hAnsi="Arial"/>
          <w:b/>
          <w:bCs/>
          <w:color w:val="1B2A4A"/>
          <w:sz w:val="36"/>
          <w:szCs w:val="36"/>
        </w:rPr>
        <w:t xml:space="preserve">Part 8 — Data Sources for Paper II</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2800"/>
        <w:gridCol w:w="1200"/>
        <w:gridCol w:w="2080"/>
      </w:tblGrid>
      <w:tr>
        <w:trPr>
          <w:tblHeader/>
        </w:trPr>
        <w:tc>
          <w:tcPr>
            <w:tcW w:type="dxa" w:w="19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2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GEO ID</w:t>
            </w:r>
          </w:p>
        </w:tc>
        <w:tc>
          <w:tcPr>
            <w:tcW w:type="dxa" w:w="28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2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Patients</w:t>
            </w:r>
          </w:p>
        </w:tc>
        <w:tc>
          <w:tcPr>
            <w:tcW w:type="dxa" w:w="208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Primary TEP dataset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GSE68086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TEP RNA-seq, 6 cancer types + healthy, Best et al. 2015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283</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GEO direct, no application</w:t>
            </w:r>
          </w:p>
        </w:tc>
      </w:tr>
      <w:tr>
        <w:tc>
          <w:tcPr>
            <w:tcW w:type="dxa" w:w="19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Validation TEP cohort</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GSE89223</w:t>
            </w:r>
          </w:p>
        </w:tc>
        <w:tc>
          <w:tcPr>
            <w:tcW w:type="dxa" w:w="2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TEP-seq validation, same 6 types</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192</w:t>
            </w:r>
          </w:p>
        </w:tc>
        <w:tc>
          <w:tcPr>
            <w:tcW w:type="dxa" w:w="20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GEO direct</w:t>
            </w:r>
          </w:p>
        </w:tc>
      </w:tr>
      <w:tr>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Stage-annotated TEP</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GSE174552</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TEP-seq with Stage I-IV annotations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156</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GEO direct</w:t>
            </w:r>
          </w:p>
        </w:tc>
      </w:tr>
      <w:tr>
        <w:tc>
          <w:tcPr>
            <w:tcW w:type="dxa" w:w="19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RBP database</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ATtRACT</w:t>
            </w:r>
          </w:p>
        </w:tc>
        <w:tc>
          <w:tcPr>
            <w:tcW w:type="dxa" w:w="2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356 human RBPs, binding motifs (PWMs)</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356 RBPs</w:t>
            </w:r>
          </w:p>
        </w:tc>
        <w:tc>
          <w:tcPr>
            <w:tcW w:type="dxa" w:w="20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https://attract.cnic.es — free download</w:t>
            </w:r>
          </w:p>
        </w:tc>
      </w:tr>
      <w:tr>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SF-exon interactions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SpliceAid-F</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Validated splicing factor -&gt; exon regulatory relationships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~4,000 relationships</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http://srv00.recas.ba.infn.it/SpliceAidF — free</w:t>
            </w:r>
          </w:p>
        </w:tc>
      </w:tr>
      <w:tr>
        <w:tc>
          <w:tcPr>
            <w:tcW w:type="dxa" w:w="19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Reference expression</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GTEx v8 Platelets</w:t>
            </w:r>
          </w:p>
        </w:tc>
        <w:tc>
          <w:tcPr>
            <w:tcW w:type="dxa" w:w="2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Normal platelet gene expression for baseline</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389 donors</w:t>
            </w:r>
          </w:p>
        </w:tc>
        <w:tc>
          <w:tcPr>
            <w:tcW w:type="dxa" w:w="20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https://gtexportal.org — free</w:t>
            </w:r>
          </w:p>
        </w:tc>
      </w:tr>
      <w:tr>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ENCODE eCLIP</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ENCODE portal</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RBP binding sites (BED) for edge validation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Multiple RBPs</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https://encodeproject.org — free</w:t>
            </w:r>
          </w:p>
        </w:tc>
      </w:tr>
      <w:tr>
        <w:tc>
          <w:tcPr>
            <w:tcW w:type="dxa" w:w="19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Pan-cancer splicing</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TCGA (GDC)</w:t>
            </w:r>
          </w:p>
        </w:tc>
        <w:tc>
          <w:tcPr>
            <w:tcW w:type="dxa" w:w="2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Pan-cancer splicing quantifications for independent validation</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~10,000</w:t>
            </w:r>
          </w:p>
        </w:tc>
        <w:tc>
          <w:tcPr>
            <w:tcW w:type="dxa" w:w="20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https://portal.gdc.cancer.gov — open tier, free</w:t>
            </w:r>
          </w:p>
        </w:tc>
      </w:tr>
    </w:tbl>
    <w:p>
      <w:pPr>
        <w:pStyle w:val="Heading2"/>
        <w:spacing w:before="320" w:after="120"/>
      </w:pPr>
      <w:r>
        <w:rPr>
          <w:rFonts w:ascii="Arial" w:cs="Arial" w:eastAsia="Arial" w:hAnsi="Arial"/>
          <w:b/>
          <w:bCs/>
          <w:color w:val="2E6EC4"/>
          <w:sz w:val="28"/>
          <w:szCs w:val="28"/>
        </w:rPr>
        <w:t xml:space="preserve">8.1 Compute Requirements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800"/>
        <w:gridCol w:w="2780"/>
      </w:tblGrid>
      <w:tr>
        <w:trPr>
          <w:tblHeader/>
        </w:trPr>
        <w:tc>
          <w:tcPr>
            <w:tcW w:type="dxa" w:w="22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12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GPU VRAM</w:t>
            </w:r>
          </w:p>
        </w:tc>
        <w:tc>
          <w:tcPr>
            <w:tcW w:type="dxa" w:w="18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c>
          <w:tcPr>
            <w:tcW w:type="dxa" w:w="278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Free Option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STAR alignment (1 sample)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32 GB</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None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~45 minutes</w:t>
            </w:r>
          </w:p>
        </w:tc>
        <w:tc>
          <w:tcPr>
            <w:tcW w:type="dxa" w:w="2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Univ HPC or Google Cloud free tier</w:t>
            </w:r>
          </w:p>
        </w:tc>
      </w:tr>
      <w:tr>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rMATS (full cohort)</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64 GB</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None</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~8 hours (cluster)</w:t>
            </w:r>
          </w:p>
        </w:tc>
        <w:tc>
          <w:tcPr>
            <w:tcW w:type="dxa" w:w="27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SLURM job on university HPC</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Graph construction (all patients)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16 GB</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None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~2 hours</w:t>
            </w:r>
          </w:p>
        </w:tc>
        <w:tc>
          <w:tcPr>
            <w:tcW w:type="dxa" w:w="2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Google Colab (free tier)</w:t>
            </w:r>
          </w:p>
        </w:tc>
      </w:tr>
      <w:tr>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GAT training (1 fold)</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8 GB</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8 GB VRAM</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~30-60 minutes</w:t>
            </w:r>
          </w:p>
        </w:tc>
        <w:tc>
          <w:tcPr>
            <w:tcW w:type="dxa" w:w="27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Google Colab Pro (~$10/month)</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Full 5-fold CV</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8 GB</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8 GB VRAM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~4-5 hours</w:t>
            </w:r>
          </w:p>
        </w:tc>
        <w:tc>
          <w:tcPr>
            <w:tcW w:type="dxa" w:w="2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Kaggle GPU notebook (free, 30h/week)</w:t>
            </w:r>
          </w:p>
        </w:tc>
      </w:tr>
      <w:tr>
        <w:tc>
          <w:tcPr>
            <w:tcW w:type="dxa" w:w="2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Inference (website)</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4 GB</w:t>
            </w:r>
          </w:p>
        </w:tc>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CPU only</w:t>
            </w:r>
          </w:p>
        </w:tc>
        <w:tc>
          <w:tcPr>
            <w:tcW w:type="dxa" w:w="18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&lt; 5 seconds per patient</w:t>
            </w:r>
          </w:p>
        </w:tc>
        <w:tc>
          <w:tcPr>
            <w:tcW w:type="dxa" w:w="27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Hugging Face Spaces (free)</w:t>
            </w:r>
          </w:p>
        </w:tc>
      </w:tr>
    </w:tbl>
    <w:p>
      <w:pPr>
        <w:pStyle w:val="Heading1"/>
        <w:pBdr>
          <w:bottom w:val="single" w:color="2E6EC4" w:sz="6" w:space="4"/>
        </w:pBdr>
        <w:spacing w:before="480" w:after="160"/>
      </w:pPr>
      <w:r>
        <w:rPr>
          <w:rFonts w:ascii="Arial" w:cs="Arial" w:eastAsia="Arial" w:hAnsi="Arial"/>
          <w:b/>
          <w:bCs/>
          <w:color w:val="1B2A4A"/>
          <w:sz w:val="36"/>
          <w:szCs w:val="36"/>
        </w:rPr>
        <w:t xml:space="preserve">Part 9 — Expected Outputs, Figures, and Paper Outline</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780"/>
      </w:tblGrid>
      <w:tr>
        <w:trPr>
          <w:tblHeader/>
        </w:trPr>
        <w:tc>
          <w:tcPr>
            <w:tcW w:type="dxa" w:w="20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34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78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Key message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Fig 1 — Pipeline schematic</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Blood draw -&gt; platelet isolation -&gt; RNA-seq -&gt; graph construction -&gt; GAT -&gt; output</w:t>
            </w:r>
          </w:p>
        </w:tc>
        <w:tc>
          <w:tcPr>
            <w:tcW w:type="dxa" w:w="3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Method overview for non-computational readers</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Fig 2 — Graph visualisation</w:t>
            </w:r>
          </w:p>
        </w:tc>
        <w:tc>
          <w:tcPr>
            <w:tcW w:type="dxa" w:w="3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One healthy patient's RBP graph vs one Stage-I lung cancer patient's graph</w:t>
            </w:r>
          </w:p>
        </w:tc>
        <w:tc>
          <w:tcPr>
            <w:tcW w:type="dxa" w:w="37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Visible difference in graph topology motivates the approach</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Fig 3 — ROC curves</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Pan-cancer AUC + per-type OVR AUC with 95% CI</w:t>
            </w:r>
          </w:p>
        </w:tc>
        <w:tc>
          <w:tcPr>
            <w:tcW w:type="dxa" w:w="3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Primary performance claim</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Fig 4 — Stage analysis</w:t>
            </w:r>
          </w:p>
        </w:tc>
        <w:tc>
          <w:tcPr>
            <w:tcW w:type="dxa" w:w="3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Violin/box plot of cancer probability score per stage (I-IV) and healthy</w:t>
            </w:r>
          </w:p>
        </w:tc>
        <w:tc>
          <w:tcPr>
            <w:tcW w:type="dxa" w:w="37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Early detection capability: Stage-I scores are clearly elevated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Fig 5 — Attention heatmap</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Rows = 7 cancer types, Cols = top 20 RBPs, Cells = mean attention weight</w:t>
            </w:r>
          </w:p>
        </w:tc>
        <w:tc>
          <w:tcPr>
            <w:tcW w:type="dxa" w:w="3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Cancer-type-specific splicing factor dysregulation signatures</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Supp 1 — Baseline comparison</w:t>
            </w:r>
          </w:p>
        </w:tc>
        <w:tc>
          <w:tcPr>
            <w:tcW w:type="dxa" w:w="3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AUC table: GAT vs GCN vs RF vs Best et al. DE method</w:t>
            </w:r>
          </w:p>
        </w:tc>
        <w:tc>
          <w:tcPr>
            <w:tcW w:type="dxa" w:w="37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GAT outperforms all non-graph baselines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Supp 2 — Graph statistics</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Distribution of node count, edge count, clustering coefficient per group</w:t>
            </w:r>
          </w:p>
        </w:tc>
        <w:tc>
          <w:tcPr>
            <w:tcW w:type="dxa" w:w="3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Confirm graphs are computationally reasonable</w:t>
            </w:r>
          </w:p>
        </w:tc>
      </w:tr>
      <w:tr>
        <w:tc>
          <w:tcPr>
            <w:tcW w:type="dxa" w:w="20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Supp 3 — Ablation study</w:t>
            </w:r>
          </w:p>
        </w:tc>
        <w:tc>
          <w:tcPr>
            <w:tcW w:type="dxa" w:w="3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AUC with: all features / no edge weights / no metadata / random edge dropout</w:t>
            </w:r>
          </w:p>
        </w:tc>
        <w:tc>
          <w:tcPr>
            <w:tcW w:type="dxa" w:w="37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Each component contributes to performance</w:t>
            </w:r>
          </w:p>
        </w:tc>
      </w:tr>
    </w:tbl>
    <w:p>
      <w:pPr>
        <w:pStyle w:val="Heading2"/>
        <w:spacing w:before="320" w:after="120"/>
      </w:pPr>
      <w:r>
        <w:rPr>
          <w:rFonts w:ascii="Arial" w:cs="Arial" w:eastAsia="Arial" w:hAnsi="Arial"/>
          <w:b/>
          <w:bCs/>
          <w:color w:val="2E6EC4"/>
          <w:sz w:val="28"/>
          <w:szCs w:val="28"/>
        </w:rPr>
        <w:t xml:space="preserve">9.1 Paper Structure and Word Count Targets (CCR format)</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380"/>
      </w:tblGrid>
      <w:tr>
        <w:trPr>
          <w:tblHeader/>
        </w:trPr>
        <w:tc>
          <w:tcPr>
            <w:tcW w:type="dxa" w:w="24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4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Target words</w:t>
            </w:r>
          </w:p>
        </w:tc>
        <w:tc>
          <w:tcPr>
            <w:tcW w:type="dxa" w:w="538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Abstract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250 (CCR limit)</w:t>
            </w:r>
          </w:p>
        </w:tc>
        <w:tc>
          <w:tcPr>
            <w:tcW w:type="dxa" w:w="5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Background, methods, results (AUC), conclusion — one sentence each paragraph</w:t>
            </w:r>
          </w:p>
        </w:tc>
      </w:tr>
      <w:tr>
        <w:tc>
          <w:tcPr>
            <w:tcW w:type="dxa" w:w="2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Introduction</w:t>
            </w:r>
          </w:p>
        </w:tc>
        <w:tc>
          <w:tcPr>
            <w:tcW w:type="dxa" w:w="1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600-800</w:t>
            </w:r>
          </w:p>
        </w:tc>
        <w:tc>
          <w:tcPr>
            <w:tcW w:type="dxa" w:w="53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Liquid biopsy landscape, TEP prior work, splicing in cancer, gap in literature, your approach</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Materials &amp; Methods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1,500-2,000</w:t>
            </w:r>
          </w:p>
        </w:tc>
        <w:tc>
          <w:tcPr>
            <w:tcW w:type="dxa" w:w="5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Dataset, preprocessing, graph construction (pseudocode in supplement), GAT architecture, training, statistics</w:t>
            </w:r>
          </w:p>
        </w:tc>
      </w:tr>
      <w:tr>
        <w:tc>
          <w:tcPr>
            <w:tcW w:type="dxa" w:w="2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Results</w:t>
            </w:r>
          </w:p>
        </w:tc>
        <w:tc>
          <w:tcPr>
            <w:tcW w:type="dxa" w:w="1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1,500-2,000</w:t>
            </w:r>
          </w:p>
        </w:tc>
        <w:tc>
          <w:tcPr>
            <w:tcW w:type="dxa" w:w="53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Fig3 (ROC), Fig4 (stage), Fig5 (attention), ablation — follow figures in order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Discussion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600-800</w:t>
            </w:r>
          </w:p>
        </w:tc>
        <w:tc>
          <w:tcPr>
            <w:tcW w:type="dxa" w:w="5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Interpret attention weights biologically, compare to prior work, limitations, clinical path forward</w:t>
            </w:r>
          </w:p>
        </w:tc>
      </w:tr>
      <w:tr>
        <w:tc>
          <w:tcPr>
            <w:tcW w:type="dxa" w:w="2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Conclusions</w:t>
            </w:r>
          </w:p>
        </w:tc>
        <w:tc>
          <w:tcPr>
            <w:tcW w:type="dxa" w:w="14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150-200</w:t>
            </w:r>
          </w:p>
        </w:tc>
        <w:tc>
          <w:tcPr>
            <w:tcW w:type="dxa" w:w="53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One paragraph summary of contribution and impact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Supplementary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No limit</w:t>
            </w:r>
          </w:p>
        </w:tc>
        <w:tc>
          <w:tcPr>
            <w:tcW w:type="dxa" w:w="5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Full pseudocode, additional figures, hyperparameter table, dataset characteristics</w:t>
            </w:r>
          </w:p>
        </w:tc>
      </w:tr>
    </w:tbl>
    <w:p>
      <w:r>
        <w:br w:type="page"/>
      </w:r>
    </w:p>
    <w:p>
      <w:pPr>
        <w:pStyle w:val="Heading1"/>
        <w:pBdr>
          <w:bottom w:val="single" w:color="2E6EC4" w:sz="6" w:space="4"/>
        </w:pBdr>
        <w:spacing w:before="480" w:after="160"/>
      </w:pPr>
      <w:r>
        <w:rPr>
          <w:rFonts w:ascii="Arial" w:cs="Arial" w:eastAsia="Arial" w:hAnsi="Arial"/>
          <w:b/>
          <w:bCs/>
          <w:color w:val="1B2A4A"/>
          <w:sz w:val="36"/>
          <w:szCs w:val="36"/>
        </w:rPr>
        <w:t xml:space="preserve">Part 10 — Cursor / Codex Implementation Prompt for Paper II</w:t>
      </w:r>
    </w:p>
    <w:p>
      <w:pPr>
        <w:pBdr>
          <w:left w:val="single" w:color="C47A1A" w:sz="12" w:space="4"/>
        </w:pBdr>
        <w:shd w:fill="FBF0D8" w:val="clear"/>
        <w:spacing w:before="80" w:after="80"/>
        <w:ind w:left="360" w:right="360"/>
      </w:pPr>
      <w:r>
        <w:rPr>
          <w:rFonts w:ascii="Arial" w:cs="Arial" w:eastAsia="Arial" w:hAnsi="Arial"/>
          <w:b/>
          <w:bCs/>
          <w:color w:val="C47A1A"/>
          <w:sz w:val="22"/>
          <w:szCs w:val="22"/>
        </w:rPr>
        <w:t xml:space="preserve">IMPLEMENTATION PROMPT — PAPER II:  </w:t>
      </w:r>
      <w:r>
        <w:rPr>
          <w:rFonts w:ascii="Arial" w:cs="Arial" w:eastAsia="Arial" w:hAnsi="Arial"/>
          <w:color w:val="2D3142"/>
          <w:sz w:val="22"/>
          <w:szCs w:val="22"/>
        </w:rPr>
        <w:t xml:space="preserve">You are an expert in computational biology and graph neural networks. Build a complete research pipeline for early-stage cancer detection from tumor-educated platelet (TEP) RNA-seq data using Graph Attention Networks.
Project structure: tep-gat-cancer/
TASK 1: PREPROCESSING (preprocessing/)
  align.sh: STAR alignment with --outSAMstrandField intronMotif --outFilterIntronMotifs RemoveNoncanonical for splice-aware alignment
  rmats_runner.py: wrapper that generates b1.txt/b2.txt files from metadata.csv, runs rMATS with --readLength 150 --variable-read-length, and parses SE.MATS.JC.txt into PSI_matrix.csv (rows=SE_events, cols=sample_ids, values=PSI float 0-1, NaN if insufficient reads)
  expression.py: run featureCounts on BAM files for all 356 RBPs in ATtRACT, output expression_matrix.csv (rows=RBPs, cols=samples, values=TPM)
TASK 2: GRAPH CONSTRUCTION (graph/build_graph.py)
  load_databases(): parse ATtRACT TSV (RBP name, UniProt ID, motif), parse SpliceAid-F (SF name, target exon, regulation direction +/-)
  compute_edge_weights(psi_matrix, spliceaid_df): for each RBP pair sharing &gt;= 3 co-regulated events, compute Pearson r of their PSI profiles across co-regulated events using scipy.stats.pearsonr. Return edge_df: [rbp_i, rbp_j, weight, sign]
  build_patient_graph(patient_id, psi_matrix, expr_matrix, edge_df, metadata): returns torch_geometric.data.Data with:
    x = float32 tensor (N_rbps x 64) as specified in node feature spec
    edge_index = COO format long tensor (2 x E)
    edge_attr = float32 tensor (E x 2) [weight, sign]
    y = int label (0=healthy, 1=lung, 2=CRC, 3=GBM, 4=breast, 5=pancreatic, 6=HCC)
    patient_id = string attribute
  main(): build all patient graphs, save as torch.save(graph_list, 'graphs.pt')
  Validate: print graph stats for 5 random patients (N nodes, N edges, label)
TASK 3: GAT MODEL (model/gat_model.py)
  Implement SplicingGAT exactly as specified:
    GATv2Conv(64, 16, heads=8, edge_dim=2) -&gt; ELU -&gt; BatchNorm
    GATv2Conv(128, 16, heads=8, edge_dim=2) -&gt; ELU -&gt; BatchNorm
    GATv2Conv(128, 64, heads=1, edge_dim=2) -&gt; ELU
    global_mean_pool + global_max_pool -&gt; cat -&gt; dim 128
    Linear(128,256) -&gt; ReLU -&gt; Dropout(0.3)
    Linear(256,128) -&gt; ReLU -&gt; Dropout(0.3)
    Linear(128,7)
  Store attention weights from layer 3 for extraction
  get_attention_weights() method returns (edge_index, alpha) tuple
TASK 4: TRAINING (model/train.py)
  FocalLoss class with gamma=2.0 and alpha from inverse class frequency
  train_one_fold(train_loader, val_loader, model, optimizer, scheduler, max_epochs=200, patience=20)
  run_cv(): StratifiedShuffleSplit(n_splits=5, test_size=0.15), stratify on y labels, return cv_results DataFrame
  Logging: use Python logging to tep_gat.log
  Reproducibility: set_all_seeds(42) function that sets torch/numpy/random/cuda seeds
  Random edge masking augmentation: with p=0.10, randomly zero out edge_attr during training
  Save: best model checkpoint per fold as best_model_fold{k}.pt
TASK 5: EVALUATION (model/evaluate.py)
  load best fold model, run on held-out test set
  Metrics:
    macro_auc = roc_auc_score(y_true, y_prob, multi_class='ovr', average='macro')
    per_class_auc = per-class OVR AUC
    stage_auc = AUC computed only on stage-I patients (filter metadata by stage==1)
    confusion_matrix -&gt; save as confusion_matrix.png
    bootstrap_ci(auc, y_true, y_prob, n_boot=1000) -&gt; 95% CI
  Baselines: train GCNConv equivalent (replace GATv2Conv with GCNConv same dims), Random Forest on flattened PSI features, MLP on mean-pooled node features. Report all in results_table.csv
TASK 6: INTERPRETABILITY (model/explain.py)
  extract_attention_per_cancer(): for each cancer type, load all test patients of that type, run forward pass, collect attn_weights (E x 1), average per node (mean attention received). Return DataFrame (RBP x cancer_type).
  plot_attention_heatmap(): seaborn clustermap, rows=cancer types, cols=top-20 RBPs by variance, values=mean attention. Save as attention_heatmap.png
  gnne_explain(): use GNNExplainer from torch_geometric.explain on 3 example patients per cancer type. Save subgraph images.
TASK 7: FASTAPI BACKEND (website/backend/app.py)
  POST /predict — accepts multipart CSV (PSI matrix) OR JSON (splicing_events dict + metadata)
  Preprocessing: map uploaded PSI values to known event IDs, impute missing with training healthy mean, build graph as in Task 2
  Load best model (highest val AUC across folds)
  Return JSON: {cancer_probability, cancer_type_scores, predicted_class, confidence, top_splicing_factors:[{name, attention, role, cancer_relevance}], report_id, disclaimer}
  CORS enabled for frontend. Uvicorn on port 8000.
Requirements.txt includes: torch&gt;=2.0.0 torch-geometric&gt;=2.3.0 torch-scatter torch-sparse scikit-learn pandas numpy scipy seaborn matplotlib fastapi uvicorn python-multipart pydantic shap lifelines statsmodels optuna
Start with Task 2 (graph construction). Test on 10 patients before proceeding.</w:t>
      </w:r>
    </w:p>
    <w:p>
      <w:r>
        <w:br w:type="page"/>
      </w:r>
    </w:p>
    <w:p>
      <w:pPr>
        <w:pStyle w:val="Heading1"/>
        <w:pBdr>
          <w:bottom w:val="single" w:color="2E6EC4" w:sz="6" w:space="4"/>
        </w:pBdr>
        <w:spacing w:before="480" w:after="160"/>
      </w:pPr>
      <w:r>
        <w:rPr>
          <w:rFonts w:ascii="Arial" w:cs="Arial" w:eastAsia="Arial" w:hAnsi="Arial"/>
          <w:b/>
          <w:bCs/>
          <w:color w:val="1B2A4A"/>
          <w:sz w:val="36"/>
          <w:szCs w:val="36"/>
        </w:rPr>
        <w:t xml:space="preserve">Part 11 — Research Timeline and Checklist</w:t>
      </w:r>
    </w:p>
    <w:p>
      <w:pPr>
        <w:pStyle w:val="Heading2"/>
        <w:spacing w:before="320" w:after="120"/>
      </w:pPr>
      <w:r>
        <w:rPr>
          <w:rFonts w:ascii="Arial" w:cs="Arial" w:eastAsia="Arial" w:hAnsi="Arial"/>
          <w:b/>
          <w:bCs/>
          <w:color w:val="2E6EC4"/>
          <w:sz w:val="28"/>
          <w:szCs w:val="28"/>
        </w:rPr>
        <w:t xml:space="preserve">Paper I — circRNA ceRNA (6-month plan)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480"/>
      </w:tblGrid>
      <w:tr>
        <w:trPr>
          <w:tblHeader/>
        </w:trPr>
        <w:tc>
          <w:tcPr>
            <w:tcW w:type="dxa" w:w="12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450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3480"/>
            <w:tcBorders>
              <w:top w:val="single" w:color="AAAAAA" w:sz="4"/>
              <w:left w:val="single" w:color="AAAAAA" w:sz="4"/>
              <w:bottom w:val="single" w:color="AAAAAA" w:sz="4"/>
              <w:right w:val="single" w:color="AAAAAA" w:sz="4"/>
            </w:tcBorders>
            <w:shd w:fill="1A7F6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Month 1</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Download GSE113486, GSE115513, GSE73002 processed matrices. Set up conda env. Run EDA on all datasets. Map circRNA IDs across datasets.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EDA notebook, unified metadata CSV</w:t>
            </w:r>
          </w:p>
        </w:tc>
      </w:tr>
      <w:tr>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Month 2</w:t>
            </w:r>
          </w:p>
        </w:tc>
        <w:tc>
          <w:tcPr>
            <w:tcW w:type="dxa" w:w="4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Build ceRNA network for training cohort. Validate graph visually on 20 patients. Compute all topology features.</w:t>
            </w:r>
          </w:p>
        </w:tc>
        <w:tc>
          <w:tcPr>
            <w:tcW w:type="dxa" w:w="34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feature_matrix.csv, graph visualisation figures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Month 3</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Train XGBoost, run 5-fold CV, tune with Optuna. Run SHAP analysis. Compare to DE baselines.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All performance metrics, SHAP beeswarm figure</w:t>
            </w:r>
          </w:p>
        </w:tc>
      </w:tr>
      <w:tr>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Month 4</w:t>
            </w:r>
          </w:p>
        </w:tc>
        <w:tc>
          <w:tcPr>
            <w:tcW w:type="dxa" w:w="4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Validate on independent cohort (GSE159835). Run stage-stratified analysis. Statistical testing.</w:t>
            </w:r>
          </w:p>
        </w:tc>
        <w:tc>
          <w:tcPr>
            <w:tcW w:type="dxa" w:w="34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Validation AUC, all figures complete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Month 5</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Write paper. Methods, Results first. Introduction and Discussion last.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Full draft manuscript</w:t>
            </w:r>
          </w:p>
        </w:tc>
      </w:tr>
      <w:tr>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Month 6</w:t>
            </w:r>
          </w:p>
        </w:tc>
        <w:tc>
          <w:tcPr>
            <w:tcW w:type="dxa" w:w="4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Internal review, revisions, submission to Molecular Oncology.</w:t>
            </w:r>
          </w:p>
        </w:tc>
        <w:tc>
          <w:tcPr>
            <w:tcW w:type="dxa" w:w="34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Submitted paper</w:t>
            </w:r>
          </w:p>
        </w:tc>
      </w:tr>
    </w:tbl>
    <w:p>
      <w:pPr>
        <w:pStyle w:val="Heading2"/>
        <w:spacing w:before="320" w:after="120"/>
      </w:pPr>
      <w:r>
        <w:rPr>
          <w:rFonts w:ascii="Arial" w:cs="Arial" w:eastAsia="Arial" w:hAnsi="Arial"/>
          <w:b/>
          <w:bCs/>
          <w:color w:val="2E6EC4"/>
          <w:sz w:val="28"/>
          <w:szCs w:val="28"/>
        </w:rPr>
        <w:t xml:space="preserve">Paper II — TEP-GAT (8-month plan)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480"/>
      </w:tblGrid>
      <w:tr>
        <w:trPr>
          <w:tblHeader/>
        </w:trPr>
        <w:tc>
          <w:tcPr>
            <w:tcW w:type="dxa" w:w="12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450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3480"/>
            <w:tcBorders>
              <w:top w:val="single" w:color="AAAAAA" w:sz="4"/>
              <w:left w:val="single" w:color="AAAAAA" w:sz="4"/>
              <w:bottom w:val="single" w:color="AAAAAA" w:sz="4"/>
              <w:right w:val="single" w:color="AAAAAA" w:sz="4"/>
            </w:tcBorders>
            <w:shd w:fill="6B3FA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Month 1</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Download GSE68086, GSE89223 processed data. Download ATtRACT and SpliceAid-F. EDA + data audit.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Processed PSI matrices, EDA notebook</w:t>
            </w:r>
          </w:p>
        </w:tc>
      </w:tr>
      <w:tr>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Month 2</w:t>
            </w:r>
          </w:p>
        </w:tc>
        <w:tc>
          <w:tcPr>
            <w:tcW w:type="dxa" w:w="4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Run rMATS on all samples (cluster job). Build graph construction pipeline. Validate on 10 patients.</w:t>
            </w:r>
          </w:p>
        </w:tc>
        <w:tc>
          <w:tcPr>
            <w:tcW w:type="dxa" w:w="34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PSI matrix, graph_list.pt (first 10 graphs)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Month 3</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Build all patient graphs. Train first GAT model — check it learns (val AUC &gt; 0.7 by epoch 30).</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Full graphs.pt, first training curve</w:t>
            </w:r>
          </w:p>
        </w:tc>
      </w:tr>
      <w:tr>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Month 4</w:t>
            </w:r>
          </w:p>
        </w:tc>
        <w:tc>
          <w:tcPr>
            <w:tcW w:type="dxa" w:w="4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Full 5-fold CV. Hyperparameter tuning. Implement and run all baselines.</w:t>
            </w:r>
          </w:p>
        </w:tc>
        <w:tc>
          <w:tcPr>
            <w:tcW w:type="dxa" w:w="34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cv_results.csv, all baseline metrics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Month 5</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Attention weight extraction, interpretability figures. TCGA validation (independent splicing data).</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attention_heatmap.png, validation AUC</w:t>
            </w:r>
          </w:p>
        </w:tc>
      </w:tr>
      <w:tr>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Month 6</w:t>
            </w:r>
          </w:p>
        </w:tc>
        <w:tc>
          <w:tcPr>
            <w:tcW w:type="dxa" w:w="4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Stage-I subgroup analysis. Ablation study. Statistical tests (DeLong, bootstrap CI).</w:t>
            </w:r>
          </w:p>
        </w:tc>
        <w:tc>
          <w:tcPr>
            <w:tcW w:type="dxa" w:w="34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All supplementary results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Month 7</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Write full paper in CCR format. Methods are most important — be exhaustive.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2D3142"/>
                <w:sz w:val="20"/>
                <w:szCs w:val="20"/>
              </w:rPr>
              <w:t xml:space="preserve">Full draft</w:t>
            </w:r>
          </w:p>
        </w:tc>
      </w:tr>
      <w:tr>
        <w:tc>
          <w:tcPr>
            <w:tcW w:type="dxa" w:w="12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Month 8</w:t>
            </w:r>
          </w:p>
        </w:tc>
        <w:tc>
          <w:tcPr>
            <w:tcW w:type="dxa" w:w="450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Revisions, submission to Clinical Cancer Research.</w:t>
            </w:r>
          </w:p>
        </w:tc>
        <w:tc>
          <w:tcPr>
            <w:tcW w:type="dxa" w:w="3480"/>
            <w:tcBorders>
              <w:top w:val="single" w:color="AAAAAA" w:sz="4"/>
              <w:left w:val="single" w:color="AAAAAA" w:sz="4"/>
              <w:bottom w:val="single" w:color="AAAAAA" w:sz="4"/>
              <w:right w:val="single" w:color="AAAAAA" w:sz="4"/>
            </w:tcBorders>
            <w:shd w:fill="F2F4F7" w:val="clear"/>
            <w:tcMar>
              <w:top w:type="dxa" w:w="80"/>
              <w:left w:type="dxa" w:w="120"/>
              <w:bottom w:type="dxa" w:w="80"/>
              <w:right w:type="dxa" w:w="120"/>
            </w:tcMar>
          </w:tcPr>
          <w:p>
            <w:r>
              <w:rPr>
                <w:rFonts w:ascii="Arial" w:cs="Arial" w:eastAsia="Arial" w:hAnsi="Arial"/>
                <w:color w:val="2D3142"/>
                <w:sz w:val="20"/>
                <w:szCs w:val="20"/>
              </w:rPr>
              <w:t xml:space="preserve">Submitted paper</w:t>
            </w:r>
          </w:p>
        </w:tc>
      </w:tr>
    </w:tbl>
    <w:p>
      <w:r>
        <w:br w:type="page"/>
      </w:r>
    </w:p>
    <w:p>
      <w:pPr>
        <w:pStyle w:val="Heading1"/>
        <w:pBdr>
          <w:bottom w:val="single" w:color="2E6EC4" w:sz="6" w:space="4"/>
        </w:pBdr>
        <w:spacing w:before="480" w:after="160"/>
      </w:pPr>
      <w:r>
        <w:rPr>
          <w:rFonts w:ascii="Arial" w:cs="Arial" w:eastAsia="Arial" w:hAnsi="Arial"/>
          <w:b/>
          <w:bCs/>
          <w:color w:val="1B2A4A"/>
          <w:sz w:val="36"/>
          <w:szCs w:val="36"/>
        </w:rPr>
        <w:t xml:space="preserve">Part 12 — Key References to Cite</w:t>
      </w:r>
    </w:p>
    <w:p>
      <w:pPr>
        <w:pStyle w:val="Heading2"/>
        <w:spacing w:before="320" w:after="120"/>
      </w:pPr>
      <w:r>
        <w:rPr>
          <w:rFonts w:ascii="Arial" w:cs="Arial" w:eastAsia="Arial" w:hAnsi="Arial"/>
          <w:b/>
          <w:bCs/>
          <w:color w:val="2E6EC4"/>
          <w:sz w:val="28"/>
          <w:szCs w:val="28"/>
        </w:rPr>
        <w:t xml:space="preserve">For Paper I — circRNA ceRNA</w:t>
      </w:r>
    </w:p>
    <w:p>
      <w:pPr>
        <w:pStyle w:val="ListParagraph"/>
        <w:numPr>
          <w:ilvl w:val="0"/>
          <w:numId w:val="2"/>
        </w:numPr>
        <w:spacing w:before="30" w:after="30"/>
      </w:pPr>
      <w:r>
        <w:rPr>
          <w:rFonts w:ascii="Arial" w:cs="Arial" w:eastAsia="Arial" w:hAnsi="Arial"/>
          <w:b w:val="false"/>
          <w:bCs w:val="false"/>
          <w:color w:val="2D3142"/>
          <w:sz w:val="22"/>
          <w:szCs w:val="22"/>
        </w:rPr>
        <w:t xml:space="preserve">Memczak S et al. (2013). Circular RNAs are a large class of animal RNAs with regulatory potency. Nature. 495:333-338. [foundational circRNA paper]</w:t>
      </w:r>
    </w:p>
    <w:p>
      <w:pPr>
        <w:pStyle w:val="ListParagraph"/>
        <w:numPr>
          <w:ilvl w:val="0"/>
          <w:numId w:val="2"/>
        </w:numPr>
        <w:spacing w:before="30" w:after="30"/>
      </w:pPr>
      <w:r>
        <w:rPr>
          <w:rFonts w:ascii="Arial" w:cs="Arial" w:eastAsia="Arial" w:hAnsi="Arial"/>
          <w:b w:val="false"/>
          <w:bCs w:val="false"/>
          <w:color w:val="2D3142"/>
          <w:sz w:val="22"/>
          <w:szCs w:val="22"/>
        </w:rPr>
        <w:t xml:space="preserve">Salmena L et al. (2011). A ceRNA hypothesis: the Rosetta Stone of a hidden RNA language? Cell. 146(3):353-358. [ceRNA hypothesis original paper]</w:t>
      </w:r>
    </w:p>
    <w:p>
      <w:pPr>
        <w:pStyle w:val="ListParagraph"/>
        <w:numPr>
          <w:ilvl w:val="0"/>
          <w:numId w:val="2"/>
        </w:numPr>
        <w:spacing w:before="30" w:after="30"/>
      </w:pPr>
      <w:r>
        <w:rPr>
          <w:rFonts w:ascii="Arial" w:cs="Arial" w:eastAsia="Arial" w:hAnsi="Arial"/>
          <w:b w:val="false"/>
          <w:bCs w:val="false"/>
          <w:color w:val="2D3142"/>
          <w:sz w:val="22"/>
          <w:szCs w:val="22"/>
        </w:rPr>
        <w:t xml:space="preserve">Vo JN et al. (2019). The landscape of circular RNA in cancer. Cell. 176(4):869-881. [cancer circRNA atlas]</w:t>
      </w:r>
    </w:p>
    <w:p>
      <w:pPr>
        <w:pStyle w:val="ListParagraph"/>
        <w:numPr>
          <w:ilvl w:val="0"/>
          <w:numId w:val="2"/>
        </w:numPr>
        <w:spacing w:before="30" w:after="30"/>
      </w:pPr>
      <w:r>
        <w:rPr>
          <w:rFonts w:ascii="Arial" w:cs="Arial" w:eastAsia="Arial" w:hAnsi="Arial"/>
          <w:b w:val="false"/>
          <w:bCs w:val="false"/>
          <w:color w:val="2D3142"/>
          <w:sz w:val="22"/>
          <w:szCs w:val="22"/>
        </w:rPr>
        <w:t xml:space="preserve">Chen LL (2020). The expanding regulatory mechanisms and cellular functions of circular RNAs. Nature Reviews Mol Cell Biol. 21:475-490. [review]</w:t>
      </w:r>
    </w:p>
    <w:p>
      <w:pPr>
        <w:pStyle w:val="ListParagraph"/>
        <w:numPr>
          <w:ilvl w:val="0"/>
          <w:numId w:val="2"/>
        </w:numPr>
        <w:spacing w:before="30" w:after="30"/>
      </w:pPr>
      <w:r>
        <w:rPr>
          <w:rFonts w:ascii="Arial" w:cs="Arial" w:eastAsia="Arial" w:hAnsi="Arial"/>
          <w:b w:val="false"/>
          <w:bCs w:val="false"/>
          <w:color w:val="2D3142"/>
          <w:sz w:val="22"/>
          <w:szCs w:val="22"/>
        </w:rPr>
        <w:t xml:space="preserve">Li Y et al. (2018). Circular RNA is enriched and stable in exosomes: a promising biomarker for cancer diagnosis. Cell Research. 25:981-984. [plasma stability]</w:t>
      </w:r>
    </w:p>
    <w:p>
      <w:pPr>
        <w:pStyle w:val="ListParagraph"/>
        <w:numPr>
          <w:ilvl w:val="0"/>
          <w:numId w:val="2"/>
        </w:numPr>
        <w:spacing w:before="30" w:after="30"/>
      </w:pPr>
      <w:r>
        <w:rPr>
          <w:rFonts w:ascii="Arial" w:cs="Arial" w:eastAsia="Arial" w:hAnsi="Arial"/>
          <w:b w:val="false"/>
          <w:bCs w:val="false"/>
          <w:color w:val="2D3142"/>
          <w:sz w:val="22"/>
          <w:szCs w:val="22"/>
        </w:rPr>
        <w:t xml:space="preserve">Blondel VD et al. (2008). Fast unfolding of communities in large networks. J Statistical Mechanics. [Louvain algorithm]</w:t>
      </w:r>
    </w:p>
    <w:p>
      <w:pPr>
        <w:pStyle w:val="Heading2"/>
        <w:spacing w:before="320" w:after="120"/>
      </w:pPr>
      <w:r>
        <w:rPr>
          <w:rFonts w:ascii="Arial" w:cs="Arial" w:eastAsia="Arial" w:hAnsi="Arial"/>
          <w:b/>
          <w:bCs/>
          <w:color w:val="2E6EC4"/>
          <w:sz w:val="28"/>
          <w:szCs w:val="28"/>
        </w:rPr>
        <w:t xml:space="preserve">For Paper II — TEP-GAT</w:t>
      </w:r>
    </w:p>
    <w:p>
      <w:pPr>
        <w:pStyle w:val="ListParagraph"/>
        <w:numPr>
          <w:ilvl w:val="0"/>
          <w:numId w:val="2"/>
        </w:numPr>
        <w:spacing w:before="30" w:after="30"/>
      </w:pPr>
      <w:r>
        <w:rPr>
          <w:rFonts w:ascii="Arial" w:cs="Arial" w:eastAsia="Arial" w:hAnsi="Arial"/>
          <w:b w:val="false"/>
          <w:bCs w:val="false"/>
          <w:color w:val="2D3142"/>
          <w:sz w:val="22"/>
          <w:szCs w:val="22"/>
        </w:rPr>
        <w:t xml:space="preserve">Best MG et al. (2015). RNA-Seq of tumor-educated platelets enables blood-based pan-cancer, multiclass, and molecular pathway cancer diagnostics. Cancer Cell. 28(5):666-676. [primary TEP paper]</w:t>
      </w:r>
    </w:p>
    <w:p>
      <w:pPr>
        <w:pStyle w:val="ListParagraph"/>
        <w:numPr>
          <w:ilvl w:val="0"/>
          <w:numId w:val="2"/>
        </w:numPr>
        <w:spacing w:before="30" w:after="30"/>
      </w:pPr>
      <w:r>
        <w:rPr>
          <w:rFonts w:ascii="Arial" w:cs="Arial" w:eastAsia="Arial" w:hAnsi="Arial"/>
          <w:b w:val="false"/>
          <w:bCs w:val="false"/>
          <w:color w:val="2D3142"/>
          <w:sz w:val="22"/>
          <w:szCs w:val="22"/>
        </w:rPr>
        <w:t xml:space="preserve">Velickovic P et al. (2018). Graph Attention Networks. ICLR 2018. [original GAT]</w:t>
      </w:r>
    </w:p>
    <w:p>
      <w:pPr>
        <w:pStyle w:val="ListParagraph"/>
        <w:numPr>
          <w:ilvl w:val="0"/>
          <w:numId w:val="2"/>
        </w:numPr>
        <w:spacing w:before="30" w:after="30"/>
      </w:pPr>
      <w:r>
        <w:rPr>
          <w:rFonts w:ascii="Arial" w:cs="Arial" w:eastAsia="Arial" w:hAnsi="Arial"/>
          <w:b w:val="false"/>
          <w:bCs w:val="false"/>
          <w:color w:val="2D3142"/>
          <w:sz w:val="22"/>
          <w:szCs w:val="22"/>
        </w:rPr>
        <w:t xml:space="preserve">Brody S et al. (2022). How Attentive are Graph Attention Networks? ICLR 2022. [GATv2]</w:t>
      </w:r>
    </w:p>
    <w:p>
      <w:pPr>
        <w:pStyle w:val="ListParagraph"/>
        <w:numPr>
          <w:ilvl w:val="0"/>
          <w:numId w:val="2"/>
        </w:numPr>
        <w:spacing w:before="30" w:after="30"/>
      </w:pPr>
      <w:r>
        <w:rPr>
          <w:rFonts w:ascii="Arial" w:cs="Arial" w:eastAsia="Arial" w:hAnsi="Arial"/>
          <w:b w:val="false"/>
          <w:bCs w:val="false"/>
          <w:color w:val="2D3142"/>
          <w:sz w:val="22"/>
          <w:szCs w:val="22"/>
        </w:rPr>
        <w:t xml:space="preserve">Dvinge H et al. (2016). RNA splicing factors as oncoproteins and tumour suppressors. Nature Reviews Cancer. 16:413-430. [splicing in cancer review]</w:t>
      </w:r>
    </w:p>
    <w:p>
      <w:pPr>
        <w:pStyle w:val="ListParagraph"/>
        <w:numPr>
          <w:ilvl w:val="0"/>
          <w:numId w:val="2"/>
        </w:numPr>
        <w:spacing w:before="30" w:after="30"/>
      </w:pPr>
      <w:r>
        <w:rPr>
          <w:rFonts w:ascii="Arial" w:cs="Arial" w:eastAsia="Arial" w:hAnsi="Arial"/>
          <w:b w:val="false"/>
          <w:bCs w:val="false"/>
          <w:color w:val="2D3142"/>
          <w:sz w:val="22"/>
          <w:szCs w:val="22"/>
        </w:rPr>
        <w:t xml:space="preserve">Seiler M et al. (2018). H3B-8800, an orally available small-molecule splicing modulator, induces lethality in spliceosome-mutant cancers. Nature Medicine. [SF3B1 clinical relevance]</w:t>
      </w:r>
    </w:p>
    <w:p>
      <w:pPr>
        <w:pStyle w:val="ListParagraph"/>
        <w:numPr>
          <w:ilvl w:val="0"/>
          <w:numId w:val="2"/>
        </w:numPr>
        <w:spacing w:before="30" w:after="30"/>
      </w:pPr>
      <w:r>
        <w:rPr>
          <w:rFonts w:ascii="Arial" w:cs="Arial" w:eastAsia="Arial" w:hAnsi="Arial"/>
          <w:b w:val="false"/>
          <w:bCs w:val="false"/>
          <w:color w:val="2D3142"/>
          <w:sz w:val="22"/>
          <w:szCs w:val="22"/>
        </w:rPr>
        <w:t xml:space="preserve">Lin TY et al. (2017). Focal loss for dense object detection. ICCV 2017. [focal loss]</w:t>
      </w:r>
    </w:p>
    <w:p>
      <w:pPr>
        <w:pStyle w:val="ListParagraph"/>
        <w:numPr>
          <w:ilvl w:val="0"/>
          <w:numId w:val="2"/>
        </w:numPr>
        <w:spacing w:before="30" w:after="30"/>
      </w:pPr>
      <w:r>
        <w:rPr>
          <w:rFonts w:ascii="Arial" w:cs="Arial" w:eastAsia="Arial" w:hAnsi="Arial"/>
          <w:b w:val="false"/>
          <w:bCs w:val="false"/>
          <w:color w:val="2D3142"/>
          <w:sz w:val="22"/>
          <w:szCs w:val="22"/>
        </w:rPr>
        <w:t xml:space="preserve">Lundberg SM &amp; Lee SI (2017). A unified approach to interpreting model predictions. NeurIPS 2017. [SHAP]</w:t>
      </w:r>
    </w:p>
    <w:p>
      <w:pPr>
        <w:spacing w:before="60" w:after="60"/>
      </w:pPr>
      <w:r>
        <w:t xml:space="preserve"/>
      </w:r>
    </w:p>
    <w:p>
      <w:pPr>
        <w:spacing w:before="60" w:after="60"/>
      </w:pPr>
      <w:r>
        <w:t xml:space="preserve"/>
      </w:r>
    </w:p>
    <w:p>
      <w:pPr>
        <w:pBdr>
          <w:bottom w:val="single" w:color="BBBFC8" w:sz="4" w:space="1"/>
        </w:pBdr>
        <w:spacing w:before="120" w:after="120"/>
      </w:pPr>
      <w:r>
        <w:t xml:space="preserve"/>
      </w:r>
    </w:p>
    <w:p>
      <w:pPr>
        <w:spacing w:before="120" w:after="60"/>
        <w:jc w:val="center"/>
      </w:pPr>
      <w:r>
        <w:rPr>
          <w:rFonts w:ascii="Arial" w:cs="Arial" w:eastAsia="Arial" w:hAnsi="Arial"/>
          <w:b/>
          <w:bCs/>
          <w:spacing w:val="100"/>
          <w:sz w:val="20"/>
          <w:szCs w:val="20"/>
        </w:rPr>
        <w:t xml:space="preserve">END OF RESEARCH GUIDE</w:t>
      </w:r>
    </w:p>
    <w:p>
      <w:pPr>
        <w:jc w:val="center"/>
      </w:pPr>
      <w:r>
        <w:rPr>
          <w:rFonts w:ascii="Arial" w:cs="Arial" w:eastAsia="Arial" w:hAnsi="Arial"/>
          <w:i/>
          <w:iCs/>
          <w:color w:val="2D3142"/>
          <w:sz w:val="20"/>
          <w:szCs w:val="20"/>
        </w:rPr>
        <w:t xml:space="preserve">Good luck, Sharon. Both of these can be published. Execute the pipeline, trust the biology, and write Methods exhaustively.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1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6EC4"/>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2026-04-01T08:45:34.750Z</dcterms:created>
  <dcterms:modified xsi:type="dcterms:W3CDTF">2026-04-01T08:45:34.751Z</dcterms:modified>
</cp:coreProperties>
</file>

<file path=docProps/custom.xml><?xml version="1.0" encoding="utf-8"?>
<Properties xmlns="http://schemas.openxmlformats.org/officeDocument/2006/custom-properties" xmlns:vt="http://schemas.openxmlformats.org/officeDocument/2006/docPropsVTypes"/>
</file>