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40AF" w:val="clear"/>
            <w:tcMar>
              <w:top w:type="dxa" w:w="600"/>
              <w:left w:type="dxa" w:w="480"/>
              <w:bottom w:type="dxa" w:w="500"/>
              <w:right w:type="dxa" w:w="480"/>
            </w:tcMar>
          </w:tcPr>
          <w:p>
            <w:pPr>
              <w:spacing w:after="160" w:before="0"/>
              <w:jc w:val="center"/>
            </w:pPr>
            <w:r>
              <w:rPr>
                <w:rFonts w:ascii="Calibri" w:cs="Calibri" w:eastAsia="Calibri" w:hAnsi="Calibri"/>
                <w:b/>
                <w:bCs/>
                <w:color w:val="FFFFFF"/>
                <w:sz w:val="52"/>
                <w:szCs w:val="52"/>
              </w:rPr>
              <w:t xml:space="preserve">AI-POWERED DATA INSIGHTS</w:t>
            </w:r>
          </w:p>
          <w:p>
            <w:pPr>
              <w:spacing w:after="200" w:before="0"/>
              <w:jc w:val="center"/>
            </w:pPr>
            <w:r>
              <w:rPr>
                <w:rFonts w:ascii="Calibri" w:cs="Calibri" w:eastAsia="Calibri" w:hAnsi="Calibri"/>
                <w:b/>
                <w:bCs/>
                <w:color w:val="93C5FD"/>
                <w:sz w:val="52"/>
                <w:szCs w:val="52"/>
              </w:rPr>
              <w:t xml:space="preserve">&amp; SENTIMENT ANALYSIS DASHBOARD</w:t>
            </w:r>
          </w:p>
          <w:p>
            <w:pPr>
              <w:spacing w:after="80" w:before="0"/>
              <w:jc w:val="center"/>
            </w:pPr>
            <w:r>
              <w:rPr>
                <w:rFonts w:ascii="Calibri" w:cs="Calibri" w:eastAsia="Calibri" w:hAnsi="Calibri"/>
                <w:color w:val="BFDBFE"/>
                <w:sz w:val="24"/>
                <w:szCs w:val="24"/>
              </w:rPr>
              <w:t xml:space="preserve">Week 3 Individual Project  |  AI Bootcamp 2026</w:t>
            </w:r>
          </w:p>
        </w:tc>
      </w:tr>
    </w:tbl>
    <w:p>
      <w:pPr>
        <w:spacing w:after="3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6FF" w:val="clear"/>
            <w:tcMar>
              <w:top w:type="dxa" w:w="240"/>
              <w:left w:type="dxa" w:w="320"/>
              <w:bottom w:type="dxa" w:w="240"/>
              <w:right w:type="dxa" w:w="320"/>
            </w:tcMar>
          </w:tcPr>
          <w:p>
            <w:pPr>
              <w:spacing w:after="80" w:before="0"/>
              <w:jc w:val="center"/>
            </w:pPr>
            <w:r>
              <w:rPr>
                <w:rFonts w:ascii="Calibri" w:cs="Calibri" w:eastAsia="Calibri" w:hAnsi="Calibri"/>
                <w:b/>
                <w:bCs/>
                <w:color w:val="3B82F6"/>
                <w:spacing w:val="100"/>
                <w:sz w:val="22"/>
                <w:szCs w:val="22"/>
              </w:rPr>
              <w:t xml:space="preserve">PROJECT OVERVIEW</w:t>
            </w:r>
          </w:p>
          <w:p>
            <w:pPr>
              <w:spacing w:after="0" w:before="0"/>
              <w:jc w:val="center"/>
            </w:pPr>
            <w:r>
              <w:rPr>
                <w:rFonts w:ascii="Calibri" w:cs="Calibri" w:eastAsia="Calibri" w:hAnsi="Calibri"/>
                <w:color w:val="1E293B"/>
                <w:sz w:val="20"/>
                <w:szCs w:val="20"/>
              </w:rPr>
              <w:t xml:space="preserve">An AI-powered platform that transforms raw structured and unstructured data into meaningful business intelligence — combining sentiment analysis, predictive analytics, and interactive dashboards as a lightweight alternative to Power BI or Tableau.</w:t>
            </w:r>
          </w:p>
        </w:tc>
      </w:tr>
    </w:tbl>
    <w:p>
      <w:pPr>
        <w:spacing w:after="320" w:before="0"/>
      </w:pPr>
    </w:p>
    <w:p>
      <w:pPr>
        <w:pStyle w:val="Heading1"/>
        <w:pBdr>
          <w:bottom w:val="single" w:color="3B82F6" w:sz="4" w:space="6"/>
        </w:pBdr>
        <w:spacing w:after="160" w:before="360"/>
      </w:pPr>
      <w:r>
        <w:rPr>
          <w:rFonts w:ascii="Calibri" w:cs="Calibri" w:eastAsia="Calibri" w:hAnsi="Calibri"/>
          <w:b/>
          <w:bCs/>
          <w:color w:val="1E40AF"/>
          <w:sz w:val="32"/>
          <w:szCs w:val="32"/>
        </w:rPr>
        <w:t xml:space="preserve">1. Core Objective</w:t>
      </w:r>
    </w:p>
    <w:p>
      <w:pPr>
        <w:spacing w:after="80" w:before="80" w:line="320"/>
      </w:pPr>
      <w:r>
        <w:rPr>
          <w:rFonts w:ascii="Calibri" w:cs="Calibri" w:eastAsia="Calibri" w:hAnsi="Calibri"/>
          <w:color w:val="1E293B"/>
          <w:sz w:val="22"/>
          <w:szCs w:val="22"/>
        </w:rPr>
        <w:t xml:space="preserve">To build a fully automated AI analytics platform that accepts user-uploaded datasets, automatically detects patterns, trends, and anomalies, and generates business insights in plain English alongside interactive dashboards and downloadable reports.</w:t>
      </w:r>
    </w:p>
    <w:p>
      <w:pPr>
        <w:spacing w:after="160" w:before="0"/>
      </w:pPr>
    </w:p>
    <w:p>
      <w:pPr>
        <w:pStyle w:val="ListParagraph"/>
        <w:numPr>
          <w:ilvl w:val="0"/>
          <w:numId w:val="2"/>
        </w:numPr>
        <w:spacing w:after="60" w:before="60"/>
      </w:pPr>
      <w:r>
        <w:rPr>
          <w:rFonts w:ascii="Calibri" w:cs="Calibri" w:eastAsia="Calibri" w:hAnsi="Calibri"/>
          <w:color w:val="1E293B"/>
          <w:sz w:val="22"/>
          <w:szCs w:val="22"/>
        </w:rPr>
        <w:t xml:space="preserve">Accepts user-uploaded datasets (CSV, Excel, and more)</w:t>
      </w:r>
    </w:p>
    <w:p>
      <w:pPr>
        <w:pStyle w:val="ListParagraph"/>
        <w:numPr>
          <w:ilvl w:val="0"/>
          <w:numId w:val="2"/>
        </w:numPr>
        <w:spacing w:after="60" w:before="60"/>
      </w:pPr>
      <w:r>
        <w:rPr>
          <w:rFonts w:ascii="Calibri" w:cs="Calibri" w:eastAsia="Calibri" w:hAnsi="Calibri"/>
          <w:color w:val="1E293B"/>
          <w:sz w:val="22"/>
          <w:szCs w:val="22"/>
        </w:rPr>
        <w:t xml:space="preserve">Automatically detects patterns, trends, and anomalies</w:t>
      </w:r>
    </w:p>
    <w:p>
      <w:pPr>
        <w:pStyle w:val="ListParagraph"/>
        <w:numPr>
          <w:ilvl w:val="0"/>
          <w:numId w:val="2"/>
        </w:numPr>
        <w:spacing w:after="60" w:before="60"/>
      </w:pPr>
      <w:r>
        <w:rPr>
          <w:rFonts w:ascii="Calibri" w:cs="Calibri" w:eastAsia="Calibri" w:hAnsi="Calibri"/>
          <w:color w:val="1E293B"/>
          <w:sz w:val="22"/>
          <w:szCs w:val="22"/>
        </w:rPr>
        <w:t xml:space="preserve">Generates business insights in plain English</w:t>
      </w:r>
    </w:p>
    <w:p>
      <w:pPr>
        <w:pStyle w:val="ListParagraph"/>
        <w:numPr>
          <w:ilvl w:val="0"/>
          <w:numId w:val="2"/>
        </w:numPr>
        <w:spacing w:after="60" w:before="60"/>
      </w:pPr>
      <w:r>
        <w:rPr>
          <w:rFonts w:ascii="Calibri" w:cs="Calibri" w:eastAsia="Calibri" w:hAnsi="Calibri"/>
          <w:color w:val="1E293B"/>
          <w:sz w:val="22"/>
          <w:szCs w:val="22"/>
        </w:rPr>
        <w:t xml:space="preserve">Produces interactive dashboards and downloadable reports</w:t>
      </w:r>
    </w:p>
    <w:p>
      <w:pPr>
        <w:spacing w:after="280" w:before="0"/>
      </w:pPr>
    </w:p>
    <w:p>
      <w:pPr>
        <w:pStyle w:val="Heading1"/>
        <w:pBdr>
          <w:bottom w:val="single" w:color="3B82F6" w:sz="4" w:space="6"/>
        </w:pBdr>
        <w:spacing w:after="160" w:before="360"/>
      </w:pPr>
      <w:r>
        <w:rPr>
          <w:rFonts w:ascii="Calibri" w:cs="Calibri" w:eastAsia="Calibri" w:hAnsi="Calibri"/>
          <w:b/>
          <w:bCs/>
          <w:color w:val="1E40AF"/>
          <w:sz w:val="32"/>
          <w:szCs w:val="32"/>
        </w:rPr>
        <w:t xml:space="preserve">2. Key Features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9360"/>
      </w:tblGrid>
      <w:tr>
        <w:tc>
          <w:tcPr>
            <w:tcW w:type="dxa" w:w="9360"/>
            <w:tcBorders>
              <w:top w:val="none" w:color="FFFFFF" w:sz="0"/>
              <w:left w:val="none" w:color="FFFFFF" w:sz="0"/>
              <w:bottom w:val="none" w:color="FFFFFF" w:sz="0"/>
              <w:right w:val="none" w:color="FFFFFF" w:sz="0"/>
            </w:tcBorders>
            <w:shd w:fill="1E40AF" w:val="clear"/>
            <w:tcMar>
              <w:top w:type="dxa" w:w="120"/>
              <w:left w:type="dxa" w:w="160"/>
              <w:bottom w:type="dxa" w:w="100"/>
              <w:right w:type="dxa" w:w="160"/>
            </w:tcMar>
          </w:tcPr>
          <w:p>
            <w:pPr>
              <w:spacing w:after="0" w:before="0"/>
            </w:pPr>
            <w:r>
              <w:rPr>
                <w:rFonts w:ascii="Calibri" w:cs="Calibri" w:eastAsia="Calibri" w:hAnsi="Calibri"/>
                <w:b/>
                <w:bCs/>
                <w:color w:val="FFFFFF"/>
                <w:sz w:val="24"/>
                <w:szCs w:val="24"/>
              </w:rPr>
              <w:t xml:space="preserve">📂  Data Upload &amp; Management</w:t>
            </w:r>
          </w:p>
        </w:tc>
      </w:tr>
      <w:tr>
        <w:tc>
          <w:tcPr>
            <w:tcW w:type="dxa" w:w="9360"/>
            <w:tcBorders>
              <w:top w:val="none" w:color="FFFFFF" w:sz="0"/>
              <w:left w:val="single" w:color="BFDBFE" w:sz="1"/>
              <w:bottom w:val="single" w:color="BFDBFE" w:sz="1"/>
              <w:right w:val="single" w:color="BFDBFE" w:sz="1"/>
            </w:tcBorders>
            <w:shd w:fill="EFF6FF" w:val="clear"/>
            <w:tcMar>
              <w:top w:type="dxa" w:w="80"/>
              <w:left w:type="dxa" w:w="200"/>
              <w:bottom w:type="dxa" w:w="80"/>
              <w:right w:type="dxa" w:w="160"/>
            </w:tcMar>
          </w:tcPr>
          <w:p>
            <w:pPr>
              <w:spacing w:after="0" w:before="0"/>
            </w:pPr>
            <w:r>
              <w:rPr>
                <w:rFonts w:ascii="Calibri" w:cs="Calibri" w:eastAsia="Calibri" w:hAnsi="Calibri"/>
                <w:b/>
                <w:bCs/>
                <w:color w:val="3B82F6"/>
                <w:sz w:val="20"/>
                <w:szCs w:val="20"/>
              </w:rPr>
              <w:t xml:space="preserve">▸  </w:t>
            </w:r>
            <w:r>
              <w:rPr>
                <w:rFonts w:ascii="Calibri" w:cs="Calibri" w:eastAsia="Calibri" w:hAnsi="Calibri"/>
                <w:color w:val="1E293B"/>
                <w:sz w:val="20"/>
                <w:szCs w:val="20"/>
              </w:rPr>
              <w:t xml:space="preserve">Upload CSV and Excel (.csv, .xlsx) files</w:t>
            </w:r>
          </w:p>
        </w:tc>
      </w:tr>
      <w:tr>
        <w:tc>
          <w:tcPr>
            <w:tcW w:type="dxa" w:w="9360"/>
            <w:tcBorders>
              <w:top w:val="none" w:color="FFFFFF" w:sz="0"/>
              <w:left w:val="single" w:color="BFDBFE" w:sz="1"/>
              <w:bottom w:val="single" w:color="BFDBFE" w:sz="1"/>
              <w:right w:val="single" w:color="BFDBFE" w:sz="1"/>
            </w:tcBorders>
            <w:shd w:fill="EFF6FF" w:val="clear"/>
            <w:tcMar>
              <w:top w:type="dxa" w:w="80"/>
              <w:left w:type="dxa" w:w="200"/>
              <w:bottom w:type="dxa" w:w="80"/>
              <w:right w:type="dxa" w:w="160"/>
            </w:tcMar>
          </w:tcPr>
          <w:p>
            <w:pPr>
              <w:spacing w:after="0" w:before="0"/>
            </w:pPr>
            <w:r>
              <w:rPr>
                <w:rFonts w:ascii="Calibri" w:cs="Calibri" w:eastAsia="Calibri" w:hAnsi="Calibri"/>
                <w:b/>
                <w:bCs/>
                <w:color w:val="3B82F6"/>
                <w:sz w:val="20"/>
                <w:szCs w:val="20"/>
              </w:rPr>
              <w:t xml:space="preserve">▸  </w:t>
            </w:r>
            <w:r>
              <w:rPr>
                <w:rFonts w:ascii="Calibri" w:cs="Calibri" w:eastAsia="Calibri" w:hAnsi="Calibri"/>
                <w:color w:val="1E293B"/>
                <w:sz w:val="20"/>
                <w:szCs w:val="20"/>
              </w:rPr>
              <w:t xml:space="preserve">Preview datasets in a structured table format</w:t>
            </w:r>
          </w:p>
        </w:tc>
      </w:tr>
      <w:tr>
        <w:tc>
          <w:tcPr>
            <w:tcW w:type="dxa" w:w="9360"/>
            <w:tcBorders>
              <w:top w:val="none" w:color="FFFFFF" w:sz="0"/>
              <w:left w:val="single" w:color="BFDBFE" w:sz="1"/>
              <w:bottom w:val="single" w:color="BFDBFE" w:sz="1"/>
              <w:right w:val="single" w:color="BFDBFE" w:sz="1"/>
            </w:tcBorders>
            <w:shd w:fill="EFF6FF" w:val="clear"/>
            <w:tcMar>
              <w:top w:type="dxa" w:w="80"/>
              <w:left w:type="dxa" w:w="200"/>
              <w:bottom w:type="dxa" w:w="80"/>
              <w:right w:type="dxa" w:w="160"/>
            </w:tcMar>
          </w:tcPr>
          <w:p>
            <w:pPr>
              <w:spacing w:after="0" w:before="0"/>
            </w:pPr>
            <w:r>
              <w:rPr>
                <w:rFonts w:ascii="Calibri" w:cs="Calibri" w:eastAsia="Calibri" w:hAnsi="Calibri"/>
                <w:b/>
                <w:bCs/>
                <w:color w:val="3B82F6"/>
                <w:sz w:val="20"/>
                <w:szCs w:val="20"/>
              </w:rPr>
              <w:t xml:space="preserve">▸  </w:t>
            </w:r>
            <w:r>
              <w:rPr>
                <w:rFonts w:ascii="Calibri" w:cs="Calibri" w:eastAsia="Calibri" w:hAnsi="Calibri"/>
                <w:color w:val="1E293B"/>
                <w:sz w:val="20"/>
                <w:szCs w:val="20"/>
              </w:rPr>
              <w:t xml:space="preserve">Handle large datasets efficiently</w:t>
            </w:r>
          </w:p>
        </w:tc>
      </w:tr>
      <w:tr>
        <w:tc>
          <w:tcPr>
            <w:tcW w:type="dxa" w:w="9360"/>
            <w:tcBorders>
              <w:top w:val="none" w:color="FFFFFF" w:sz="0"/>
              <w:left w:val="single" w:color="BFDBFE" w:sz="1"/>
              <w:bottom w:val="single" w:color="BFDBFE" w:sz="1"/>
              <w:right w:val="single" w:color="BFDBFE" w:sz="1"/>
            </w:tcBorders>
            <w:shd w:fill="EFF6FF" w:val="clear"/>
            <w:tcMar>
              <w:top w:type="dxa" w:w="80"/>
              <w:left w:type="dxa" w:w="200"/>
              <w:bottom w:type="dxa" w:w="80"/>
              <w:right w:type="dxa" w:w="160"/>
            </w:tcMar>
          </w:tcPr>
          <w:p>
            <w:pPr>
              <w:spacing w:after="0" w:before="0"/>
            </w:pPr>
            <w:r>
              <w:rPr>
                <w:rFonts w:ascii="Calibri" w:cs="Calibri" w:eastAsia="Calibri" w:hAnsi="Calibri"/>
                <w:b/>
                <w:bCs/>
                <w:color w:val="3B82F6"/>
                <w:sz w:val="20"/>
                <w:szCs w:val="20"/>
              </w:rPr>
              <w:t xml:space="preserve">▸  </w:t>
            </w:r>
            <w:r>
              <w:rPr>
                <w:rFonts w:ascii="Calibri" w:cs="Calibri" w:eastAsia="Calibri" w:hAnsi="Calibri"/>
                <w:color w:val="1E293B"/>
                <w:sz w:val="20"/>
                <w:szCs w:val="20"/>
              </w:rPr>
              <w:t xml:space="preserve">Support multiple file uploads per user session</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9360"/>
      </w:tblGrid>
      <w:tr>
        <w:tc>
          <w:tcPr>
            <w:tcW w:type="dxa" w:w="9360"/>
            <w:tcBorders>
              <w:top w:val="none" w:color="FFFFFF" w:sz="0"/>
              <w:left w:val="none" w:color="FFFFFF" w:sz="0"/>
              <w:bottom w:val="none" w:color="FFFFFF" w:sz="0"/>
              <w:right w:val="none" w:color="FFFFFF" w:sz="0"/>
            </w:tcBorders>
            <w:shd w:fill="1E40AF" w:val="clear"/>
            <w:tcMar>
              <w:top w:type="dxa" w:w="120"/>
              <w:left w:type="dxa" w:w="160"/>
              <w:bottom w:type="dxa" w:w="100"/>
              <w:right w:type="dxa" w:w="160"/>
            </w:tcMar>
          </w:tcPr>
          <w:p>
            <w:pPr>
              <w:spacing w:after="0" w:before="0"/>
            </w:pPr>
            <w:r>
              <w:rPr>
                <w:rFonts w:ascii="Calibri" w:cs="Calibri" w:eastAsia="Calibri" w:hAnsi="Calibri"/>
                <w:b/>
                <w:bCs/>
                <w:color w:val="FFFFFF"/>
                <w:sz w:val="24"/>
                <w:szCs w:val="24"/>
              </w:rPr>
              <w:t xml:space="preserve">🤖  AI-Powered Data Analysis (OpenAI API)</w:t>
            </w:r>
          </w:p>
        </w:tc>
      </w:tr>
      <w:tr>
        <w:tc>
          <w:tcPr>
            <w:tcW w:type="dxa" w:w="9360"/>
            <w:tcBorders>
              <w:top w:val="none" w:color="FFFFFF" w:sz="0"/>
              <w:left w:val="single" w:color="BFDBFE" w:sz="1"/>
              <w:bottom w:val="single" w:color="BFDBFE" w:sz="1"/>
              <w:right w:val="single" w:color="BFDBFE" w:sz="1"/>
            </w:tcBorders>
            <w:shd w:fill="EFF6FF" w:val="clear"/>
            <w:tcMar>
              <w:top w:type="dxa" w:w="80"/>
              <w:left w:type="dxa" w:w="200"/>
              <w:bottom w:type="dxa" w:w="80"/>
              <w:right w:type="dxa" w:w="160"/>
            </w:tcMar>
          </w:tcPr>
          <w:p>
            <w:pPr>
              <w:spacing w:after="0" w:before="0"/>
            </w:pPr>
            <w:r>
              <w:rPr>
                <w:rFonts w:ascii="Calibri" w:cs="Calibri" w:eastAsia="Calibri" w:hAnsi="Calibri"/>
                <w:b/>
                <w:bCs/>
                <w:color w:val="3B82F6"/>
                <w:sz w:val="20"/>
                <w:szCs w:val="20"/>
              </w:rPr>
              <w:t xml:space="preserve">▸  </w:t>
            </w:r>
            <w:r>
              <w:rPr>
                <w:rFonts w:ascii="Calibri" w:cs="Calibri" w:eastAsia="Calibri" w:hAnsi="Calibri"/>
                <w:color w:val="1E293B"/>
                <w:sz w:val="20"/>
                <w:szCs w:val="20"/>
              </w:rPr>
              <w:t xml:space="preserve">KPI extraction — Key Performance Indicators</w:t>
            </w:r>
          </w:p>
        </w:tc>
      </w:tr>
      <w:tr>
        <w:tc>
          <w:tcPr>
            <w:tcW w:type="dxa" w:w="9360"/>
            <w:tcBorders>
              <w:top w:val="none" w:color="FFFFFF" w:sz="0"/>
              <w:left w:val="single" w:color="BFDBFE" w:sz="1"/>
              <w:bottom w:val="single" w:color="BFDBFE" w:sz="1"/>
              <w:right w:val="single" w:color="BFDBFE" w:sz="1"/>
            </w:tcBorders>
            <w:shd w:fill="EFF6FF" w:val="clear"/>
            <w:tcMar>
              <w:top w:type="dxa" w:w="80"/>
              <w:left w:type="dxa" w:w="200"/>
              <w:bottom w:type="dxa" w:w="80"/>
              <w:right w:type="dxa" w:w="160"/>
            </w:tcMar>
          </w:tcPr>
          <w:p>
            <w:pPr>
              <w:spacing w:after="0" w:before="0"/>
            </w:pPr>
            <w:r>
              <w:rPr>
                <w:rFonts w:ascii="Calibri" w:cs="Calibri" w:eastAsia="Calibri" w:hAnsi="Calibri"/>
                <w:b/>
                <w:bCs/>
                <w:color w:val="3B82F6"/>
                <w:sz w:val="20"/>
                <w:szCs w:val="20"/>
              </w:rPr>
              <w:t xml:space="preserve">▸  </w:t>
            </w:r>
            <w:r>
              <w:rPr>
                <w:rFonts w:ascii="Calibri" w:cs="Calibri" w:eastAsia="Calibri" w:hAnsi="Calibri"/>
                <w:color w:val="1E293B"/>
                <w:sz w:val="20"/>
                <w:szCs w:val="20"/>
              </w:rPr>
              <w:t xml:space="preserve">Trend analysis over time</w:t>
            </w:r>
          </w:p>
        </w:tc>
      </w:tr>
      <w:tr>
        <w:tc>
          <w:tcPr>
            <w:tcW w:type="dxa" w:w="9360"/>
            <w:tcBorders>
              <w:top w:val="none" w:color="FFFFFF" w:sz="0"/>
              <w:left w:val="single" w:color="BFDBFE" w:sz="1"/>
              <w:bottom w:val="single" w:color="BFDBFE" w:sz="1"/>
              <w:right w:val="single" w:color="BFDBFE" w:sz="1"/>
            </w:tcBorders>
            <w:shd w:fill="EFF6FF" w:val="clear"/>
            <w:tcMar>
              <w:top w:type="dxa" w:w="80"/>
              <w:left w:type="dxa" w:w="200"/>
              <w:bottom w:type="dxa" w:w="80"/>
              <w:right w:type="dxa" w:w="160"/>
            </w:tcMar>
          </w:tcPr>
          <w:p>
            <w:pPr>
              <w:spacing w:after="0" w:before="0"/>
            </w:pPr>
            <w:r>
              <w:rPr>
                <w:rFonts w:ascii="Calibri" w:cs="Calibri" w:eastAsia="Calibri" w:hAnsi="Calibri"/>
                <w:b/>
                <w:bCs/>
                <w:color w:val="3B82F6"/>
                <w:sz w:val="20"/>
                <w:szCs w:val="20"/>
              </w:rPr>
              <w:t xml:space="preserve">▸  </w:t>
            </w:r>
            <w:r>
              <w:rPr>
                <w:rFonts w:ascii="Calibri" w:cs="Calibri" w:eastAsia="Calibri" w:hAnsi="Calibri"/>
                <w:color w:val="1E293B"/>
                <w:sz w:val="20"/>
                <w:szCs w:val="20"/>
              </w:rPr>
              <w:t xml:space="preserve">Correlation detection between variables</w:t>
            </w:r>
          </w:p>
        </w:tc>
      </w:tr>
      <w:tr>
        <w:tc>
          <w:tcPr>
            <w:tcW w:type="dxa" w:w="9360"/>
            <w:tcBorders>
              <w:top w:val="none" w:color="FFFFFF" w:sz="0"/>
              <w:left w:val="single" w:color="BFDBFE" w:sz="1"/>
              <w:bottom w:val="single" w:color="BFDBFE" w:sz="1"/>
              <w:right w:val="single" w:color="BFDBFE" w:sz="1"/>
            </w:tcBorders>
            <w:shd w:fill="EFF6FF" w:val="clear"/>
            <w:tcMar>
              <w:top w:type="dxa" w:w="80"/>
              <w:left w:type="dxa" w:w="200"/>
              <w:bottom w:type="dxa" w:w="80"/>
              <w:right w:type="dxa" w:w="160"/>
            </w:tcMar>
          </w:tcPr>
          <w:p>
            <w:pPr>
              <w:spacing w:after="0" w:before="0"/>
            </w:pPr>
            <w:r>
              <w:rPr>
                <w:rFonts w:ascii="Calibri" w:cs="Calibri" w:eastAsia="Calibri" w:hAnsi="Calibri"/>
                <w:b/>
                <w:bCs/>
                <w:color w:val="3B82F6"/>
                <w:sz w:val="20"/>
                <w:szCs w:val="20"/>
              </w:rPr>
              <w:t xml:space="preserve">▸  </w:t>
            </w:r>
            <w:r>
              <w:rPr>
                <w:rFonts w:ascii="Calibri" w:cs="Calibri" w:eastAsia="Calibri" w:hAnsi="Calibri"/>
                <w:color w:val="1E293B"/>
                <w:sz w:val="20"/>
                <w:szCs w:val="20"/>
              </w:rPr>
              <w:t xml:space="preserve">Detection of anomalies and outliers</w:t>
            </w:r>
          </w:p>
        </w:tc>
      </w:tr>
      <w:tr>
        <w:tc>
          <w:tcPr>
            <w:tcW w:type="dxa" w:w="9360"/>
            <w:tcBorders>
              <w:top w:val="none" w:color="FFFFFF" w:sz="0"/>
              <w:left w:val="single" w:color="BFDBFE" w:sz="1"/>
              <w:bottom w:val="single" w:color="BFDBFE" w:sz="1"/>
              <w:right w:val="single" w:color="BFDBFE" w:sz="1"/>
            </w:tcBorders>
            <w:shd w:fill="EFF6FF" w:val="clear"/>
            <w:tcMar>
              <w:top w:type="dxa" w:w="80"/>
              <w:left w:type="dxa" w:w="200"/>
              <w:bottom w:type="dxa" w:w="80"/>
              <w:right w:type="dxa" w:w="160"/>
            </w:tcMar>
          </w:tcPr>
          <w:p>
            <w:pPr>
              <w:spacing w:after="0" w:before="0"/>
            </w:pPr>
            <w:r>
              <w:rPr>
                <w:rFonts w:ascii="Calibri" w:cs="Calibri" w:eastAsia="Calibri" w:hAnsi="Calibri"/>
                <w:b/>
                <w:bCs/>
                <w:color w:val="3B82F6"/>
                <w:sz w:val="20"/>
                <w:szCs w:val="20"/>
              </w:rPr>
              <w:t xml:space="preserve">▸  </w:t>
            </w:r>
            <w:r>
              <w:rPr>
                <w:rFonts w:ascii="Calibri" w:cs="Calibri" w:eastAsia="Calibri" w:hAnsi="Calibri"/>
                <w:color w:val="1E293B"/>
                <w:sz w:val="20"/>
                <w:szCs w:val="20"/>
              </w:rPr>
              <w:t xml:space="preserve">Predictive insights for future trends</w:t>
            </w:r>
          </w:p>
        </w:tc>
      </w:tr>
      <w:tr>
        <w:tc>
          <w:tcPr>
            <w:tcW w:type="dxa" w:w="9360"/>
            <w:tcBorders>
              <w:top w:val="none" w:color="FFFFFF" w:sz="0"/>
              <w:left w:val="single" w:color="BFDBFE" w:sz="1"/>
              <w:bottom w:val="single" w:color="BFDBFE" w:sz="1"/>
              <w:right w:val="single" w:color="BFDBFE" w:sz="1"/>
            </w:tcBorders>
            <w:shd w:fill="EFF6FF" w:val="clear"/>
            <w:tcMar>
              <w:top w:type="dxa" w:w="80"/>
              <w:left w:type="dxa" w:w="200"/>
              <w:bottom w:type="dxa" w:w="80"/>
              <w:right w:type="dxa" w:w="160"/>
            </w:tcMar>
          </w:tcPr>
          <w:p>
            <w:pPr>
              <w:spacing w:after="0" w:before="0"/>
            </w:pPr>
            <w:r>
              <w:rPr>
                <w:rFonts w:ascii="Calibri" w:cs="Calibri" w:eastAsia="Calibri" w:hAnsi="Calibri"/>
                <w:b/>
                <w:bCs/>
                <w:color w:val="3B82F6"/>
                <w:sz w:val="20"/>
                <w:szCs w:val="20"/>
              </w:rPr>
              <w:t xml:space="preserve">▸  </w:t>
            </w:r>
            <w:r>
              <w:rPr>
                <w:rFonts w:ascii="Calibri" w:cs="Calibri" w:eastAsia="Calibri" w:hAnsi="Calibri"/>
                <w:color w:val="1E293B"/>
                <w:sz w:val="20"/>
                <w:szCs w:val="20"/>
              </w:rPr>
              <w:t xml:space="preserve">Natural language summary of dataset findings</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9360"/>
      </w:tblGrid>
      <w:tr>
        <w:tc>
          <w:tcPr>
            <w:tcW w:type="dxa" w:w="9360"/>
            <w:tcBorders>
              <w:top w:val="none" w:color="FFFFFF" w:sz="0"/>
              <w:left w:val="none" w:color="FFFFFF" w:sz="0"/>
              <w:bottom w:val="none" w:color="FFFFFF" w:sz="0"/>
              <w:right w:val="none" w:color="FFFFFF" w:sz="0"/>
            </w:tcBorders>
            <w:shd w:fill="1E40AF" w:val="clear"/>
            <w:tcMar>
              <w:top w:type="dxa" w:w="120"/>
              <w:left w:type="dxa" w:w="160"/>
              <w:bottom w:type="dxa" w:w="100"/>
              <w:right w:type="dxa" w:w="160"/>
            </w:tcMar>
          </w:tcPr>
          <w:p>
            <w:pPr>
              <w:spacing w:after="0" w:before="0"/>
            </w:pPr>
            <w:r>
              <w:rPr>
                <w:rFonts w:ascii="Calibri" w:cs="Calibri" w:eastAsia="Calibri" w:hAnsi="Calibri"/>
                <w:b/>
                <w:bCs/>
                <w:color w:val="FFFFFF"/>
                <w:sz w:val="24"/>
                <w:szCs w:val="24"/>
              </w:rPr>
              <w:t xml:space="preserve">📊  Executive Insights Report Generation</w:t>
            </w:r>
          </w:p>
        </w:tc>
      </w:tr>
      <w:tr>
        <w:tc>
          <w:tcPr>
            <w:tcW w:type="dxa" w:w="9360"/>
            <w:tcBorders>
              <w:top w:val="none" w:color="FFFFFF" w:sz="0"/>
              <w:left w:val="single" w:color="BFDBFE" w:sz="1"/>
              <w:bottom w:val="single" w:color="BFDBFE" w:sz="1"/>
              <w:right w:val="single" w:color="BFDBFE" w:sz="1"/>
            </w:tcBorders>
            <w:shd w:fill="EFF6FF" w:val="clear"/>
            <w:tcMar>
              <w:top w:type="dxa" w:w="80"/>
              <w:left w:type="dxa" w:w="200"/>
              <w:bottom w:type="dxa" w:w="80"/>
              <w:right w:type="dxa" w:w="160"/>
            </w:tcMar>
          </w:tcPr>
          <w:p>
            <w:pPr>
              <w:spacing w:after="0" w:before="0"/>
            </w:pPr>
            <w:r>
              <w:rPr>
                <w:rFonts w:ascii="Calibri" w:cs="Calibri" w:eastAsia="Calibri" w:hAnsi="Calibri"/>
                <w:b/>
                <w:bCs/>
                <w:color w:val="3B82F6"/>
                <w:sz w:val="20"/>
                <w:szCs w:val="20"/>
              </w:rPr>
              <w:t xml:space="preserve">▸  </w:t>
            </w:r>
            <w:r>
              <w:rPr>
                <w:rFonts w:ascii="Calibri" w:cs="Calibri" w:eastAsia="Calibri" w:hAnsi="Calibri"/>
                <w:color w:val="1E293B"/>
                <w:sz w:val="20"/>
                <w:szCs w:val="20"/>
              </w:rPr>
              <w:t xml:space="preserve">Executive Summary — high-level dataset overview</w:t>
            </w:r>
          </w:p>
        </w:tc>
      </w:tr>
      <w:tr>
        <w:tc>
          <w:tcPr>
            <w:tcW w:type="dxa" w:w="9360"/>
            <w:tcBorders>
              <w:top w:val="none" w:color="FFFFFF" w:sz="0"/>
              <w:left w:val="single" w:color="BFDBFE" w:sz="1"/>
              <w:bottom w:val="single" w:color="BFDBFE" w:sz="1"/>
              <w:right w:val="single" w:color="BFDBFE" w:sz="1"/>
            </w:tcBorders>
            <w:shd w:fill="EFF6FF" w:val="clear"/>
            <w:tcMar>
              <w:top w:type="dxa" w:w="80"/>
              <w:left w:type="dxa" w:w="200"/>
              <w:bottom w:type="dxa" w:w="80"/>
              <w:right w:type="dxa" w:w="160"/>
            </w:tcMar>
          </w:tcPr>
          <w:p>
            <w:pPr>
              <w:spacing w:after="0" w:before="0"/>
            </w:pPr>
            <w:r>
              <w:rPr>
                <w:rFonts w:ascii="Calibri" w:cs="Calibri" w:eastAsia="Calibri" w:hAnsi="Calibri"/>
                <w:b/>
                <w:bCs/>
                <w:color w:val="3B82F6"/>
                <w:sz w:val="20"/>
                <w:szCs w:val="20"/>
              </w:rPr>
              <w:t xml:space="preserve">▸  </w:t>
            </w:r>
            <w:r>
              <w:rPr>
                <w:rFonts w:ascii="Calibri" w:cs="Calibri" w:eastAsia="Calibri" w:hAnsi="Calibri"/>
                <w:color w:val="1E293B"/>
                <w:sz w:val="20"/>
                <w:szCs w:val="20"/>
              </w:rPr>
              <w:t xml:space="preserve">KPI Analysis — performance metrics explanation</w:t>
            </w:r>
          </w:p>
        </w:tc>
      </w:tr>
      <w:tr>
        <w:tc>
          <w:tcPr>
            <w:tcW w:type="dxa" w:w="9360"/>
            <w:tcBorders>
              <w:top w:val="none" w:color="FFFFFF" w:sz="0"/>
              <w:left w:val="single" w:color="BFDBFE" w:sz="1"/>
              <w:bottom w:val="single" w:color="BFDBFE" w:sz="1"/>
              <w:right w:val="single" w:color="BFDBFE" w:sz="1"/>
            </w:tcBorders>
            <w:shd w:fill="EFF6FF" w:val="clear"/>
            <w:tcMar>
              <w:top w:type="dxa" w:w="80"/>
              <w:left w:type="dxa" w:w="200"/>
              <w:bottom w:type="dxa" w:w="80"/>
              <w:right w:type="dxa" w:w="160"/>
            </w:tcMar>
          </w:tcPr>
          <w:p>
            <w:pPr>
              <w:spacing w:after="0" w:before="0"/>
            </w:pPr>
            <w:r>
              <w:rPr>
                <w:rFonts w:ascii="Calibri" w:cs="Calibri" w:eastAsia="Calibri" w:hAnsi="Calibri"/>
                <w:b/>
                <w:bCs/>
                <w:color w:val="3B82F6"/>
                <w:sz w:val="20"/>
                <w:szCs w:val="20"/>
              </w:rPr>
              <w:t xml:space="preserve">▸  </w:t>
            </w:r>
            <w:r>
              <w:rPr>
                <w:rFonts w:ascii="Calibri" w:cs="Calibri" w:eastAsia="Calibri" w:hAnsi="Calibri"/>
                <w:color w:val="1E293B"/>
                <w:sz w:val="20"/>
                <w:szCs w:val="20"/>
              </w:rPr>
              <w:t xml:space="preserve">Trend Analysis — patterns over time</w:t>
            </w:r>
          </w:p>
        </w:tc>
      </w:tr>
      <w:tr>
        <w:tc>
          <w:tcPr>
            <w:tcW w:type="dxa" w:w="9360"/>
            <w:tcBorders>
              <w:top w:val="none" w:color="FFFFFF" w:sz="0"/>
              <w:left w:val="single" w:color="BFDBFE" w:sz="1"/>
              <w:bottom w:val="single" w:color="BFDBFE" w:sz="1"/>
              <w:right w:val="single" w:color="BFDBFE" w:sz="1"/>
            </w:tcBorders>
            <w:shd w:fill="EFF6FF" w:val="clear"/>
            <w:tcMar>
              <w:top w:type="dxa" w:w="80"/>
              <w:left w:type="dxa" w:w="200"/>
              <w:bottom w:type="dxa" w:w="80"/>
              <w:right w:type="dxa" w:w="160"/>
            </w:tcMar>
          </w:tcPr>
          <w:p>
            <w:pPr>
              <w:spacing w:after="0" w:before="0"/>
            </w:pPr>
            <w:r>
              <w:rPr>
                <w:rFonts w:ascii="Calibri" w:cs="Calibri" w:eastAsia="Calibri" w:hAnsi="Calibri"/>
                <w:b/>
                <w:bCs/>
                <w:color w:val="3B82F6"/>
                <w:sz w:val="20"/>
                <w:szCs w:val="20"/>
              </w:rPr>
              <w:t xml:space="preserve">▸  </w:t>
            </w:r>
            <w:r>
              <w:rPr>
                <w:rFonts w:ascii="Calibri" w:cs="Calibri" w:eastAsia="Calibri" w:hAnsi="Calibri"/>
                <w:color w:val="1E293B"/>
                <w:sz w:val="20"/>
                <w:szCs w:val="20"/>
              </w:rPr>
              <w:t xml:space="preserve">Anomaly Detection — unusual data behavior</w:t>
            </w:r>
          </w:p>
        </w:tc>
      </w:tr>
      <w:tr>
        <w:tc>
          <w:tcPr>
            <w:tcW w:type="dxa" w:w="9360"/>
            <w:tcBorders>
              <w:top w:val="none" w:color="FFFFFF" w:sz="0"/>
              <w:left w:val="single" w:color="BFDBFE" w:sz="1"/>
              <w:bottom w:val="single" w:color="BFDBFE" w:sz="1"/>
              <w:right w:val="single" w:color="BFDBFE" w:sz="1"/>
            </w:tcBorders>
            <w:shd w:fill="EFF6FF" w:val="clear"/>
            <w:tcMar>
              <w:top w:type="dxa" w:w="80"/>
              <w:left w:type="dxa" w:w="200"/>
              <w:bottom w:type="dxa" w:w="80"/>
              <w:right w:type="dxa" w:w="160"/>
            </w:tcMar>
          </w:tcPr>
          <w:p>
            <w:pPr>
              <w:spacing w:after="0" w:before="0"/>
            </w:pPr>
            <w:r>
              <w:rPr>
                <w:rFonts w:ascii="Calibri" w:cs="Calibri" w:eastAsia="Calibri" w:hAnsi="Calibri"/>
                <w:b/>
                <w:bCs/>
                <w:color w:val="3B82F6"/>
                <w:sz w:val="20"/>
                <w:szCs w:val="20"/>
              </w:rPr>
              <w:t xml:space="preserve">▸  </w:t>
            </w:r>
            <w:r>
              <w:rPr>
                <w:rFonts w:ascii="Calibri" w:cs="Calibri" w:eastAsia="Calibri" w:hAnsi="Calibri"/>
                <w:color w:val="1E293B"/>
                <w:sz w:val="20"/>
                <w:szCs w:val="20"/>
              </w:rPr>
              <w:t xml:space="preserve">Key Insights — bullet-point findings</w:t>
            </w:r>
          </w:p>
        </w:tc>
      </w:tr>
      <w:tr>
        <w:tc>
          <w:tcPr>
            <w:tcW w:type="dxa" w:w="9360"/>
            <w:tcBorders>
              <w:top w:val="none" w:color="FFFFFF" w:sz="0"/>
              <w:left w:val="single" w:color="BFDBFE" w:sz="1"/>
              <w:bottom w:val="single" w:color="BFDBFE" w:sz="1"/>
              <w:right w:val="single" w:color="BFDBFE" w:sz="1"/>
            </w:tcBorders>
            <w:shd w:fill="EFF6FF" w:val="clear"/>
            <w:tcMar>
              <w:top w:type="dxa" w:w="80"/>
              <w:left w:type="dxa" w:w="200"/>
              <w:bottom w:type="dxa" w:w="80"/>
              <w:right w:type="dxa" w:w="160"/>
            </w:tcMar>
          </w:tcPr>
          <w:p>
            <w:pPr>
              <w:spacing w:after="0" w:before="0"/>
            </w:pPr>
            <w:r>
              <w:rPr>
                <w:rFonts w:ascii="Calibri" w:cs="Calibri" w:eastAsia="Calibri" w:hAnsi="Calibri"/>
                <w:b/>
                <w:bCs/>
                <w:color w:val="3B82F6"/>
                <w:sz w:val="20"/>
                <w:szCs w:val="20"/>
              </w:rPr>
              <w:t xml:space="preserve">▸  </w:t>
            </w:r>
            <w:r>
              <w:rPr>
                <w:rFonts w:ascii="Calibri" w:cs="Calibri" w:eastAsia="Calibri" w:hAnsi="Calibri"/>
                <w:color w:val="1E293B"/>
                <w:sz w:val="20"/>
                <w:szCs w:val="20"/>
              </w:rPr>
              <w:t xml:space="preserve">Actionable Recommendations — business improvement suggestions</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9360"/>
      </w:tblGrid>
      <w:tr>
        <w:tc>
          <w:tcPr>
            <w:tcW w:type="dxa" w:w="9360"/>
            <w:tcBorders>
              <w:top w:val="none" w:color="FFFFFF" w:sz="0"/>
              <w:left w:val="none" w:color="FFFFFF" w:sz="0"/>
              <w:bottom w:val="none" w:color="FFFFFF" w:sz="0"/>
              <w:right w:val="none" w:color="FFFFFF" w:sz="0"/>
            </w:tcBorders>
            <w:shd w:fill="1E40AF" w:val="clear"/>
            <w:tcMar>
              <w:top w:type="dxa" w:w="120"/>
              <w:left w:type="dxa" w:w="160"/>
              <w:bottom w:type="dxa" w:w="100"/>
              <w:right w:type="dxa" w:w="160"/>
            </w:tcMar>
          </w:tcPr>
          <w:p>
            <w:pPr>
              <w:spacing w:after="0" w:before="0"/>
            </w:pPr>
            <w:r>
              <w:rPr>
                <w:rFonts w:ascii="Calibri" w:cs="Calibri" w:eastAsia="Calibri" w:hAnsi="Calibri"/>
                <w:b/>
                <w:bCs/>
                <w:color w:val="FFFFFF"/>
                <w:sz w:val="24"/>
                <w:szCs w:val="24"/>
              </w:rPr>
              <w:t xml:space="preserve">📈  Interactive Dashboard Visualization</w:t>
            </w:r>
          </w:p>
        </w:tc>
      </w:tr>
      <w:tr>
        <w:tc>
          <w:tcPr>
            <w:tcW w:type="dxa" w:w="9360"/>
            <w:tcBorders>
              <w:top w:val="none" w:color="FFFFFF" w:sz="0"/>
              <w:left w:val="single" w:color="BFDBFE" w:sz="1"/>
              <w:bottom w:val="single" w:color="BFDBFE" w:sz="1"/>
              <w:right w:val="single" w:color="BFDBFE" w:sz="1"/>
            </w:tcBorders>
            <w:shd w:fill="EFF6FF" w:val="clear"/>
            <w:tcMar>
              <w:top w:type="dxa" w:w="80"/>
              <w:left w:type="dxa" w:w="200"/>
              <w:bottom w:type="dxa" w:w="80"/>
              <w:right w:type="dxa" w:w="160"/>
            </w:tcMar>
          </w:tcPr>
          <w:p>
            <w:pPr>
              <w:spacing w:after="0" w:before="0"/>
            </w:pPr>
            <w:r>
              <w:rPr>
                <w:rFonts w:ascii="Calibri" w:cs="Calibri" w:eastAsia="Calibri" w:hAnsi="Calibri"/>
                <w:b/>
                <w:bCs/>
                <w:color w:val="3B82F6"/>
                <w:sz w:val="20"/>
                <w:szCs w:val="20"/>
              </w:rPr>
              <w:t xml:space="preserve">▸  </w:t>
            </w:r>
            <w:r>
              <w:rPr>
                <w:rFonts w:ascii="Calibri" w:cs="Calibri" w:eastAsia="Calibri" w:hAnsi="Calibri"/>
                <w:color w:val="1E293B"/>
                <w:sz w:val="20"/>
                <w:szCs w:val="20"/>
              </w:rPr>
              <w:t xml:space="preserve">Line charts for time-series trends</w:t>
            </w:r>
          </w:p>
        </w:tc>
      </w:tr>
      <w:tr>
        <w:tc>
          <w:tcPr>
            <w:tcW w:type="dxa" w:w="9360"/>
            <w:tcBorders>
              <w:top w:val="none" w:color="FFFFFF" w:sz="0"/>
              <w:left w:val="single" w:color="BFDBFE" w:sz="1"/>
              <w:bottom w:val="single" w:color="BFDBFE" w:sz="1"/>
              <w:right w:val="single" w:color="BFDBFE" w:sz="1"/>
            </w:tcBorders>
            <w:shd w:fill="EFF6FF" w:val="clear"/>
            <w:tcMar>
              <w:top w:type="dxa" w:w="80"/>
              <w:left w:type="dxa" w:w="200"/>
              <w:bottom w:type="dxa" w:w="80"/>
              <w:right w:type="dxa" w:w="160"/>
            </w:tcMar>
          </w:tcPr>
          <w:p>
            <w:pPr>
              <w:spacing w:after="0" w:before="0"/>
            </w:pPr>
            <w:r>
              <w:rPr>
                <w:rFonts w:ascii="Calibri" w:cs="Calibri" w:eastAsia="Calibri" w:hAnsi="Calibri"/>
                <w:b/>
                <w:bCs/>
                <w:color w:val="3B82F6"/>
                <w:sz w:val="20"/>
                <w:szCs w:val="20"/>
              </w:rPr>
              <w:t xml:space="preserve">▸  </w:t>
            </w:r>
            <w:r>
              <w:rPr>
                <w:rFonts w:ascii="Calibri" w:cs="Calibri" w:eastAsia="Calibri" w:hAnsi="Calibri"/>
                <w:color w:val="1E293B"/>
                <w:sz w:val="20"/>
                <w:szCs w:val="20"/>
              </w:rPr>
              <w:t xml:space="preserve">Bar charts for category comparisons</w:t>
            </w:r>
          </w:p>
        </w:tc>
      </w:tr>
      <w:tr>
        <w:tc>
          <w:tcPr>
            <w:tcW w:type="dxa" w:w="9360"/>
            <w:tcBorders>
              <w:top w:val="none" w:color="FFFFFF" w:sz="0"/>
              <w:left w:val="single" w:color="BFDBFE" w:sz="1"/>
              <w:bottom w:val="single" w:color="BFDBFE" w:sz="1"/>
              <w:right w:val="single" w:color="BFDBFE" w:sz="1"/>
            </w:tcBorders>
            <w:shd w:fill="EFF6FF" w:val="clear"/>
            <w:tcMar>
              <w:top w:type="dxa" w:w="80"/>
              <w:left w:type="dxa" w:w="200"/>
              <w:bottom w:type="dxa" w:w="80"/>
              <w:right w:type="dxa" w:w="160"/>
            </w:tcMar>
          </w:tcPr>
          <w:p>
            <w:pPr>
              <w:spacing w:after="0" w:before="0"/>
            </w:pPr>
            <w:r>
              <w:rPr>
                <w:rFonts w:ascii="Calibri" w:cs="Calibri" w:eastAsia="Calibri" w:hAnsi="Calibri"/>
                <w:b/>
                <w:bCs/>
                <w:color w:val="3B82F6"/>
                <w:sz w:val="20"/>
                <w:szCs w:val="20"/>
              </w:rPr>
              <w:t xml:space="preserve">▸  </w:t>
            </w:r>
            <w:r>
              <w:rPr>
                <w:rFonts w:ascii="Calibri" w:cs="Calibri" w:eastAsia="Calibri" w:hAnsi="Calibri"/>
                <w:color w:val="1E293B"/>
                <w:sz w:val="20"/>
                <w:szCs w:val="20"/>
              </w:rPr>
              <w:t xml:space="preserve">Pie charts for proportional distribution</w:t>
            </w:r>
          </w:p>
        </w:tc>
      </w:tr>
      <w:tr>
        <w:tc>
          <w:tcPr>
            <w:tcW w:type="dxa" w:w="9360"/>
            <w:tcBorders>
              <w:top w:val="none" w:color="FFFFFF" w:sz="0"/>
              <w:left w:val="single" w:color="BFDBFE" w:sz="1"/>
              <w:bottom w:val="single" w:color="BFDBFE" w:sz="1"/>
              <w:right w:val="single" w:color="BFDBFE" w:sz="1"/>
            </w:tcBorders>
            <w:shd w:fill="EFF6FF" w:val="clear"/>
            <w:tcMar>
              <w:top w:type="dxa" w:w="80"/>
              <w:left w:type="dxa" w:w="200"/>
              <w:bottom w:type="dxa" w:w="80"/>
              <w:right w:type="dxa" w:w="160"/>
            </w:tcMar>
          </w:tcPr>
          <w:p>
            <w:pPr>
              <w:spacing w:after="0" w:before="0"/>
            </w:pPr>
            <w:r>
              <w:rPr>
                <w:rFonts w:ascii="Calibri" w:cs="Calibri" w:eastAsia="Calibri" w:hAnsi="Calibri"/>
                <w:b/>
                <w:bCs/>
                <w:color w:val="3B82F6"/>
                <w:sz w:val="20"/>
                <w:szCs w:val="20"/>
              </w:rPr>
              <w:t xml:space="preserve">▸  </w:t>
            </w:r>
            <w:r>
              <w:rPr>
                <w:rFonts w:ascii="Calibri" w:cs="Calibri" w:eastAsia="Calibri" w:hAnsi="Calibri"/>
                <w:color w:val="1E293B"/>
                <w:sz w:val="20"/>
                <w:szCs w:val="20"/>
              </w:rPr>
              <w:t xml:space="preserve">KPI metric cards for key indicators</w:t>
            </w:r>
          </w:p>
        </w:tc>
      </w:tr>
      <w:tr>
        <w:tc>
          <w:tcPr>
            <w:tcW w:type="dxa" w:w="9360"/>
            <w:tcBorders>
              <w:top w:val="none" w:color="FFFFFF" w:sz="0"/>
              <w:left w:val="single" w:color="BFDBFE" w:sz="1"/>
              <w:bottom w:val="single" w:color="BFDBFE" w:sz="1"/>
              <w:right w:val="single" w:color="BFDBFE" w:sz="1"/>
            </w:tcBorders>
            <w:shd w:fill="EFF6FF" w:val="clear"/>
            <w:tcMar>
              <w:top w:type="dxa" w:w="80"/>
              <w:left w:type="dxa" w:w="200"/>
              <w:bottom w:type="dxa" w:w="80"/>
              <w:right w:type="dxa" w:w="160"/>
            </w:tcMar>
          </w:tcPr>
          <w:p>
            <w:pPr>
              <w:spacing w:after="0" w:before="0"/>
            </w:pPr>
            <w:r>
              <w:rPr>
                <w:rFonts w:ascii="Calibri" w:cs="Calibri" w:eastAsia="Calibri" w:hAnsi="Calibri"/>
                <w:b/>
                <w:bCs/>
                <w:color w:val="3B82F6"/>
                <w:sz w:val="20"/>
                <w:szCs w:val="20"/>
              </w:rPr>
              <w:t xml:space="preserve">▸  </w:t>
            </w:r>
            <w:r>
              <w:rPr>
                <w:rFonts w:ascii="Calibri" w:cs="Calibri" w:eastAsia="Calibri" w:hAnsi="Calibri"/>
                <w:color w:val="1E293B"/>
                <w:sz w:val="20"/>
                <w:szCs w:val="20"/>
              </w:rPr>
              <w:t xml:space="preserve">Filters for date, category, and variable selection</w:t>
            </w:r>
          </w:p>
        </w:tc>
      </w:tr>
      <w:tr>
        <w:tc>
          <w:tcPr>
            <w:tcW w:type="dxa" w:w="9360"/>
            <w:tcBorders>
              <w:top w:val="none" w:color="FFFFFF" w:sz="0"/>
              <w:left w:val="single" w:color="BFDBFE" w:sz="1"/>
              <w:bottom w:val="single" w:color="BFDBFE" w:sz="1"/>
              <w:right w:val="single" w:color="BFDBFE" w:sz="1"/>
            </w:tcBorders>
            <w:shd w:fill="EFF6FF" w:val="clear"/>
            <w:tcMar>
              <w:top w:type="dxa" w:w="80"/>
              <w:left w:type="dxa" w:w="200"/>
              <w:bottom w:type="dxa" w:w="80"/>
              <w:right w:type="dxa" w:w="160"/>
            </w:tcMar>
          </w:tcPr>
          <w:p>
            <w:pPr>
              <w:spacing w:after="0" w:before="0"/>
            </w:pPr>
            <w:r>
              <w:rPr>
                <w:rFonts w:ascii="Calibri" w:cs="Calibri" w:eastAsia="Calibri" w:hAnsi="Calibri"/>
                <w:b/>
                <w:bCs/>
                <w:color w:val="3B82F6"/>
                <w:sz w:val="20"/>
                <w:szCs w:val="20"/>
              </w:rPr>
              <w:t xml:space="preserve">▸  </w:t>
            </w:r>
            <w:r>
              <w:rPr>
                <w:rFonts w:ascii="Calibri" w:cs="Calibri" w:eastAsia="Calibri" w:hAnsi="Calibri"/>
                <w:color w:val="1E293B"/>
                <w:sz w:val="20"/>
                <w:szCs w:val="20"/>
              </w:rPr>
              <w:t xml:space="preserve">Clean UI similar to Power BI / Tableau</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9360"/>
      </w:tblGrid>
      <w:tr>
        <w:tc>
          <w:tcPr>
            <w:tcW w:type="dxa" w:w="9360"/>
            <w:tcBorders>
              <w:top w:val="none" w:color="FFFFFF" w:sz="0"/>
              <w:left w:val="none" w:color="FFFFFF" w:sz="0"/>
              <w:bottom w:val="none" w:color="FFFFFF" w:sz="0"/>
              <w:right w:val="none" w:color="FFFFFF" w:sz="0"/>
            </w:tcBorders>
            <w:shd w:fill="1E40AF" w:val="clear"/>
            <w:tcMar>
              <w:top w:type="dxa" w:w="120"/>
              <w:left w:type="dxa" w:w="160"/>
              <w:bottom w:type="dxa" w:w="100"/>
              <w:right w:type="dxa" w:w="160"/>
            </w:tcMar>
          </w:tcPr>
          <w:p>
            <w:pPr>
              <w:spacing w:after="0" w:before="0"/>
            </w:pPr>
            <w:r>
              <w:rPr>
                <w:rFonts w:ascii="Calibri" w:cs="Calibri" w:eastAsia="Calibri" w:hAnsi="Calibri"/>
                <w:b/>
                <w:bCs/>
                <w:color w:val="FFFFFF"/>
                <w:sz w:val="24"/>
                <w:szCs w:val="24"/>
              </w:rPr>
              <w:t xml:space="preserve">💬  AI Chat Assistant — Data Q&amp;A</w:t>
            </w:r>
          </w:p>
        </w:tc>
      </w:tr>
      <w:tr>
        <w:tc>
          <w:tcPr>
            <w:tcW w:type="dxa" w:w="9360"/>
            <w:tcBorders>
              <w:top w:val="none" w:color="FFFFFF" w:sz="0"/>
              <w:left w:val="single" w:color="BFDBFE" w:sz="1"/>
              <w:bottom w:val="single" w:color="BFDBFE" w:sz="1"/>
              <w:right w:val="single" w:color="BFDBFE" w:sz="1"/>
            </w:tcBorders>
            <w:shd w:fill="EFF6FF" w:val="clear"/>
            <w:tcMar>
              <w:top w:type="dxa" w:w="80"/>
              <w:left w:type="dxa" w:w="200"/>
              <w:bottom w:type="dxa" w:w="80"/>
              <w:right w:type="dxa" w:w="160"/>
            </w:tcMar>
          </w:tcPr>
          <w:p>
            <w:pPr>
              <w:spacing w:after="0" w:before="0"/>
            </w:pPr>
            <w:r>
              <w:rPr>
                <w:rFonts w:ascii="Calibri" w:cs="Calibri" w:eastAsia="Calibri" w:hAnsi="Calibri"/>
                <w:b/>
                <w:bCs/>
                <w:color w:val="3B82F6"/>
                <w:sz w:val="20"/>
                <w:szCs w:val="20"/>
              </w:rPr>
              <w:t xml:space="preserve">▸  </w:t>
            </w:r>
            <w:r>
              <w:rPr>
                <w:rFonts w:ascii="Calibri" w:cs="Calibri" w:eastAsia="Calibri" w:hAnsi="Calibri"/>
                <w:color w:val="1E293B"/>
                <w:sz w:val="20"/>
                <w:szCs w:val="20"/>
              </w:rPr>
              <w:t xml:space="preserve">"Why did sales drop in March?"</w:t>
            </w:r>
          </w:p>
        </w:tc>
      </w:tr>
      <w:tr>
        <w:tc>
          <w:tcPr>
            <w:tcW w:type="dxa" w:w="9360"/>
            <w:tcBorders>
              <w:top w:val="none" w:color="FFFFFF" w:sz="0"/>
              <w:left w:val="single" w:color="BFDBFE" w:sz="1"/>
              <w:bottom w:val="single" w:color="BFDBFE" w:sz="1"/>
              <w:right w:val="single" w:color="BFDBFE" w:sz="1"/>
            </w:tcBorders>
            <w:shd w:fill="EFF6FF" w:val="clear"/>
            <w:tcMar>
              <w:top w:type="dxa" w:w="80"/>
              <w:left w:type="dxa" w:w="200"/>
              <w:bottom w:type="dxa" w:w="80"/>
              <w:right w:type="dxa" w:w="160"/>
            </w:tcMar>
          </w:tcPr>
          <w:p>
            <w:pPr>
              <w:spacing w:after="0" w:before="0"/>
            </w:pPr>
            <w:r>
              <w:rPr>
                <w:rFonts w:ascii="Calibri" w:cs="Calibri" w:eastAsia="Calibri" w:hAnsi="Calibri"/>
                <w:b/>
                <w:bCs/>
                <w:color w:val="3B82F6"/>
                <w:sz w:val="20"/>
                <w:szCs w:val="20"/>
              </w:rPr>
              <w:t xml:space="preserve">▸  </w:t>
            </w:r>
            <w:r>
              <w:rPr>
                <w:rFonts w:ascii="Calibri" w:cs="Calibri" w:eastAsia="Calibri" w:hAnsi="Calibri"/>
                <w:color w:val="1E293B"/>
                <w:sz w:val="20"/>
                <w:szCs w:val="20"/>
              </w:rPr>
              <w:t xml:space="preserve">"What is the best performing region?"</w:t>
            </w:r>
          </w:p>
        </w:tc>
      </w:tr>
      <w:tr>
        <w:tc>
          <w:tcPr>
            <w:tcW w:type="dxa" w:w="9360"/>
            <w:tcBorders>
              <w:top w:val="none" w:color="FFFFFF" w:sz="0"/>
              <w:left w:val="single" w:color="BFDBFE" w:sz="1"/>
              <w:bottom w:val="single" w:color="BFDBFE" w:sz="1"/>
              <w:right w:val="single" w:color="BFDBFE" w:sz="1"/>
            </w:tcBorders>
            <w:shd w:fill="EFF6FF" w:val="clear"/>
            <w:tcMar>
              <w:top w:type="dxa" w:w="80"/>
              <w:left w:type="dxa" w:w="200"/>
              <w:bottom w:type="dxa" w:w="80"/>
              <w:right w:type="dxa" w:w="160"/>
            </w:tcMar>
          </w:tcPr>
          <w:p>
            <w:pPr>
              <w:spacing w:after="0" w:before="0"/>
            </w:pPr>
            <w:r>
              <w:rPr>
                <w:rFonts w:ascii="Calibri" w:cs="Calibri" w:eastAsia="Calibri" w:hAnsi="Calibri"/>
                <w:b/>
                <w:bCs/>
                <w:color w:val="3B82F6"/>
                <w:sz w:val="20"/>
                <w:szCs w:val="20"/>
              </w:rPr>
              <w:t xml:space="preserve">▸  </w:t>
            </w:r>
            <w:r>
              <w:rPr>
                <w:rFonts w:ascii="Calibri" w:cs="Calibri" w:eastAsia="Calibri" w:hAnsi="Calibri"/>
                <w:color w:val="1E293B"/>
                <w:sz w:val="20"/>
                <w:szCs w:val="20"/>
              </w:rPr>
              <w:t xml:space="preserve">"Show anomalies in revenue data"</w:t>
            </w:r>
          </w:p>
        </w:tc>
      </w:tr>
      <w:tr>
        <w:tc>
          <w:tcPr>
            <w:tcW w:type="dxa" w:w="9360"/>
            <w:tcBorders>
              <w:top w:val="none" w:color="FFFFFF" w:sz="0"/>
              <w:left w:val="single" w:color="BFDBFE" w:sz="1"/>
              <w:bottom w:val="single" w:color="BFDBFE" w:sz="1"/>
              <w:right w:val="single" w:color="BFDBFE" w:sz="1"/>
            </w:tcBorders>
            <w:shd w:fill="EFF6FF" w:val="clear"/>
            <w:tcMar>
              <w:top w:type="dxa" w:w="80"/>
              <w:left w:type="dxa" w:w="200"/>
              <w:bottom w:type="dxa" w:w="80"/>
              <w:right w:type="dxa" w:w="160"/>
            </w:tcMar>
          </w:tcPr>
          <w:p>
            <w:pPr>
              <w:spacing w:after="0" w:before="0"/>
            </w:pPr>
            <w:r>
              <w:rPr>
                <w:rFonts w:ascii="Calibri" w:cs="Calibri" w:eastAsia="Calibri" w:hAnsi="Calibri"/>
                <w:b/>
                <w:bCs/>
                <w:color w:val="3B82F6"/>
                <w:sz w:val="20"/>
                <w:szCs w:val="20"/>
              </w:rPr>
              <w:t xml:space="preserve">▸  </w:t>
            </w:r>
            <w:r>
              <w:rPr>
                <w:rFonts w:ascii="Calibri" w:cs="Calibri" w:eastAsia="Calibri" w:hAnsi="Calibri"/>
                <w:color w:val="1E293B"/>
                <w:sz w:val="20"/>
                <w:szCs w:val="20"/>
              </w:rPr>
              <w:t xml:space="preserve">Responds using dataset context and extracted insights</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9360"/>
      </w:tblGrid>
      <w:tr>
        <w:tc>
          <w:tcPr>
            <w:tcW w:type="dxa" w:w="9360"/>
            <w:tcBorders>
              <w:top w:val="none" w:color="FFFFFF" w:sz="0"/>
              <w:left w:val="none" w:color="FFFFFF" w:sz="0"/>
              <w:bottom w:val="none" w:color="FFFFFF" w:sz="0"/>
              <w:right w:val="none" w:color="FFFFFF" w:sz="0"/>
            </w:tcBorders>
            <w:shd w:fill="1E40AF" w:val="clear"/>
            <w:tcMar>
              <w:top w:type="dxa" w:w="120"/>
              <w:left w:type="dxa" w:w="160"/>
              <w:bottom w:type="dxa" w:w="100"/>
              <w:right w:type="dxa" w:w="160"/>
            </w:tcMar>
          </w:tcPr>
          <w:p>
            <w:pPr>
              <w:spacing w:after="0" w:before="0"/>
            </w:pPr>
            <w:r>
              <w:rPr>
                <w:rFonts w:ascii="Calibri" w:cs="Calibri" w:eastAsia="Calibri" w:hAnsi="Calibri"/>
                <w:b/>
                <w:bCs/>
                <w:color w:val="FFFFFF"/>
                <w:sz w:val="24"/>
                <w:szCs w:val="24"/>
              </w:rPr>
              <w:t xml:space="preserve">📤  Export &amp; Reporting</w:t>
            </w:r>
          </w:p>
        </w:tc>
      </w:tr>
      <w:tr>
        <w:tc>
          <w:tcPr>
            <w:tcW w:type="dxa" w:w="9360"/>
            <w:tcBorders>
              <w:top w:val="none" w:color="FFFFFF" w:sz="0"/>
              <w:left w:val="single" w:color="BFDBFE" w:sz="1"/>
              <w:bottom w:val="single" w:color="BFDBFE" w:sz="1"/>
              <w:right w:val="single" w:color="BFDBFE" w:sz="1"/>
            </w:tcBorders>
            <w:shd w:fill="EFF6FF" w:val="clear"/>
            <w:tcMar>
              <w:top w:type="dxa" w:w="80"/>
              <w:left w:type="dxa" w:w="200"/>
              <w:bottom w:type="dxa" w:w="80"/>
              <w:right w:type="dxa" w:w="160"/>
            </w:tcMar>
          </w:tcPr>
          <w:p>
            <w:pPr>
              <w:spacing w:after="0" w:before="0"/>
            </w:pPr>
            <w:r>
              <w:rPr>
                <w:rFonts w:ascii="Calibri" w:cs="Calibri" w:eastAsia="Calibri" w:hAnsi="Calibri"/>
                <w:b/>
                <w:bCs/>
                <w:color w:val="3B82F6"/>
                <w:sz w:val="20"/>
                <w:szCs w:val="20"/>
              </w:rPr>
              <w:t xml:space="preserve">▸  </w:t>
            </w:r>
            <w:r>
              <w:rPr>
                <w:rFonts w:ascii="Calibri" w:cs="Calibri" w:eastAsia="Calibri" w:hAnsi="Calibri"/>
                <w:color w:val="1E293B"/>
                <w:sz w:val="20"/>
                <w:szCs w:val="20"/>
              </w:rPr>
              <w:t xml:space="preserve">Full AI-generated insights report (PDF)</w:t>
            </w:r>
          </w:p>
        </w:tc>
      </w:tr>
      <w:tr>
        <w:tc>
          <w:tcPr>
            <w:tcW w:type="dxa" w:w="9360"/>
            <w:tcBorders>
              <w:top w:val="none" w:color="FFFFFF" w:sz="0"/>
              <w:left w:val="single" w:color="BFDBFE" w:sz="1"/>
              <w:bottom w:val="single" w:color="BFDBFE" w:sz="1"/>
              <w:right w:val="single" w:color="BFDBFE" w:sz="1"/>
            </w:tcBorders>
            <w:shd w:fill="EFF6FF" w:val="clear"/>
            <w:tcMar>
              <w:top w:type="dxa" w:w="80"/>
              <w:left w:type="dxa" w:w="200"/>
              <w:bottom w:type="dxa" w:w="80"/>
              <w:right w:type="dxa" w:w="160"/>
            </w:tcMar>
          </w:tcPr>
          <w:p>
            <w:pPr>
              <w:spacing w:after="0" w:before="0"/>
            </w:pPr>
            <w:r>
              <w:rPr>
                <w:rFonts w:ascii="Calibri" w:cs="Calibri" w:eastAsia="Calibri" w:hAnsi="Calibri"/>
                <w:b/>
                <w:bCs/>
                <w:color w:val="3B82F6"/>
                <w:sz w:val="20"/>
                <w:szCs w:val="20"/>
              </w:rPr>
              <w:t xml:space="preserve">▸  </w:t>
            </w:r>
            <w:r>
              <w:rPr>
                <w:rFonts w:ascii="Calibri" w:cs="Calibri" w:eastAsia="Calibri" w:hAnsi="Calibri"/>
                <w:color w:val="1E293B"/>
                <w:sz w:val="20"/>
                <w:szCs w:val="20"/>
              </w:rPr>
              <w:t xml:space="preserve">Dashboard charts as images</w:t>
            </w:r>
          </w:p>
        </w:tc>
      </w:tr>
      <w:tr>
        <w:tc>
          <w:tcPr>
            <w:tcW w:type="dxa" w:w="9360"/>
            <w:tcBorders>
              <w:top w:val="none" w:color="FFFFFF" w:sz="0"/>
              <w:left w:val="single" w:color="BFDBFE" w:sz="1"/>
              <w:bottom w:val="single" w:color="BFDBFE" w:sz="1"/>
              <w:right w:val="single" w:color="BFDBFE" w:sz="1"/>
            </w:tcBorders>
            <w:shd w:fill="EFF6FF" w:val="clear"/>
            <w:tcMar>
              <w:top w:type="dxa" w:w="80"/>
              <w:left w:type="dxa" w:w="200"/>
              <w:bottom w:type="dxa" w:w="80"/>
              <w:right w:type="dxa" w:w="160"/>
            </w:tcMar>
          </w:tcPr>
          <w:p>
            <w:pPr>
              <w:spacing w:after="0" w:before="0"/>
            </w:pPr>
            <w:r>
              <w:rPr>
                <w:rFonts w:ascii="Calibri" w:cs="Calibri" w:eastAsia="Calibri" w:hAnsi="Calibri"/>
                <w:b/>
                <w:bCs/>
                <w:color w:val="3B82F6"/>
                <w:sz w:val="20"/>
                <w:szCs w:val="20"/>
              </w:rPr>
              <w:t xml:space="preserve">▸  </w:t>
            </w:r>
            <w:r>
              <w:rPr>
                <w:rFonts w:ascii="Calibri" w:cs="Calibri" w:eastAsia="Calibri" w:hAnsi="Calibri"/>
                <w:color w:val="1E293B"/>
                <w:sz w:val="20"/>
                <w:szCs w:val="20"/>
              </w:rPr>
              <w:t xml:space="preserve">Complete analytics summary report</w:t>
            </w:r>
          </w:p>
        </w:tc>
      </w:tr>
    </w:tbl>
    <w:p>
      <w:pPr>
        <w:spacing w:after="280" w:before="0"/>
      </w:pPr>
    </w:p>
    <w:p>
      <w:pPr>
        <w:pStyle w:val="Heading1"/>
        <w:pBdr>
          <w:bottom w:val="single" w:color="3B82F6" w:sz="4" w:space="6"/>
        </w:pBdr>
        <w:spacing w:after="160" w:before="360"/>
      </w:pPr>
      <w:r>
        <w:rPr>
          <w:rFonts w:ascii="Calibri" w:cs="Calibri" w:eastAsia="Calibri" w:hAnsi="Calibri"/>
          <w:b/>
          <w:bCs/>
          <w:color w:val="1E40AF"/>
          <w:sz w:val="32"/>
          <w:szCs w:val="32"/>
        </w:rPr>
        <w:t xml:space="preserve">3. Sentiment Analysis Module</w:t>
      </w:r>
    </w:p>
    <w:p>
      <w:pPr>
        <w:spacing w:after="80" w:before="80" w:line="320"/>
      </w:pPr>
      <w:r>
        <w:rPr>
          <w:rFonts w:ascii="Calibri" w:cs="Calibri" w:eastAsia="Calibri" w:hAnsi="Calibri"/>
          <w:color w:val="1E293B"/>
          <w:sz w:val="22"/>
          <w:szCs w:val="22"/>
        </w:rPr>
        <w:t xml:space="preserve">The integrated sentiment analysis engine processes text-based datasets through a complete NLP pipeline, delivering nuanced classifications and actionable text intelligence.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Borders>
              <w:top w:val="none" w:color="FFFFFF" w:sz="0"/>
              <w:left w:val="none" w:color="FFFFFF" w:sz="0"/>
              <w:bottom w:val="none" w:color="FFFFFF" w:sz="0"/>
              <w:right w:val="none" w:color="FFFFFF" w:sz="0"/>
            </w:tcBorders>
            <w:shd w:fill="3B82F6" w:val="clear"/>
            <w:tcMar>
              <w:top w:type="dxa" w:w="120"/>
              <w:left w:type="dxa" w:w="200"/>
              <w:bottom w:type="dxa" w:w="100"/>
              <w:right w:type="dxa" w:w="160"/>
            </w:tcMar>
          </w:tcPr>
          <w:p>
            <w:r>
              <w:rPr>
                <w:rFonts w:ascii="Calibri" w:cs="Calibri" w:eastAsia="Calibri" w:hAnsi="Calibri"/>
                <w:b/>
                <w:bCs/>
                <w:color w:val="FFFFFF"/>
                <w:sz w:val="22"/>
                <w:szCs w:val="22"/>
              </w:rPr>
              <w:t xml:space="preserve">Processing Pipeline</w:t>
            </w:r>
          </w:p>
        </w:tc>
        <w:tc>
          <w:tcPr>
            <w:tcBorders>
              <w:top w:val="none" w:color="FFFFFF" w:sz="0"/>
              <w:left w:val="none" w:color="FFFFFF" w:sz="0"/>
              <w:bottom w:val="none" w:color="FFFFFF" w:sz="0"/>
              <w:right w:val="none" w:color="FFFFFF" w:sz="0"/>
            </w:tcBorders>
            <w:shd w:fill="3B82F6" w:val="clear"/>
            <w:tcMar>
              <w:top w:type="dxa" w:w="120"/>
              <w:left w:type="dxa" w:w="200"/>
              <w:bottom w:type="dxa" w:w="100"/>
              <w:right w:type="dxa" w:w="160"/>
            </w:tcMar>
          </w:tcPr>
          <w:p>
            <w:r>
              <w:rPr>
                <w:rFonts w:ascii="Calibri" w:cs="Calibri" w:eastAsia="Calibri" w:hAnsi="Calibri"/>
                <w:b/>
                <w:bCs/>
                <w:color w:val="FFFFFF"/>
                <w:sz w:val="22"/>
                <w:szCs w:val="22"/>
              </w:rPr>
              <w:t xml:space="preserve">Insights Output</w:t>
            </w:r>
          </w:p>
        </w:tc>
      </w:tr>
      <w:tr>
        <w:tc>
          <w:tcPr>
            <w:tcBorders>
              <w:top w:val="none" w:color="FFFFFF" w:sz="0"/>
              <w:left w:val="single" w:color="BFDBFE" w:sz="1"/>
              <w:bottom w:val="single" w:color="BFDBFE" w:sz="1"/>
              <w:right w:val="single" w:color="BFDBFE" w:sz="1"/>
            </w:tcBorders>
            <w:shd w:fill="EFF6FF" w:val="clear"/>
            <w:tcMar>
              <w:top w:type="dxa" w:w="120"/>
              <w:left w:type="dxa" w:w="200"/>
              <w:bottom w:type="dxa" w:w="120"/>
              <w:right w:type="dxa" w:w="160"/>
            </w:tcMar>
          </w:tcPr>
          <w:p>
            <w:pPr>
              <w:spacing w:after="60" w:before="60"/>
            </w:pPr>
            <w:r>
              <w:rPr>
                <w:rFonts w:ascii="Calibri" w:cs="Calibri" w:eastAsia="Calibri" w:hAnsi="Calibri"/>
                <w:color w:val="1E293B"/>
                <w:sz w:val="20"/>
                <w:szCs w:val="20"/>
              </w:rPr>
              <w:t xml:space="preserve">▸  Text preprocessing (cleaning, tokenization)</w:t>
            </w:r>
          </w:p>
          <w:p>
            <w:pPr>
              <w:spacing w:after="60" w:before="60"/>
            </w:pPr>
            <w:r>
              <w:rPr>
                <w:rFonts w:ascii="Calibri" w:cs="Calibri" w:eastAsia="Calibri" w:hAnsi="Calibri"/>
                <w:color w:val="1E293B"/>
                <w:sz w:val="20"/>
                <w:szCs w:val="20"/>
              </w:rPr>
              <w:t xml:space="preserve">▸  Sentiment classification (Positive / Negative / Neutral)</w:t>
            </w:r>
          </w:p>
          <w:p>
            <w:pPr>
              <w:spacing w:after="60" w:before="60"/>
            </w:pPr>
            <w:r>
              <w:rPr>
                <w:rFonts w:ascii="Calibri" w:cs="Calibri" w:eastAsia="Calibri" w:hAnsi="Calibri"/>
                <w:color w:val="1E293B"/>
                <w:sz w:val="20"/>
                <w:szCs w:val="20"/>
              </w:rPr>
              <w:t xml:space="preserve">▸  Confidence scoring for predictions</w:t>
            </w:r>
          </w:p>
          <w:p>
            <w:pPr>
              <w:spacing w:after="60" w:before="60"/>
            </w:pPr>
            <w:r>
              <w:rPr>
                <w:rFonts w:ascii="Calibri" w:cs="Calibri" w:eastAsia="Calibri" w:hAnsi="Calibri"/>
                <w:color w:val="1E293B"/>
                <w:sz w:val="20"/>
                <w:szCs w:val="20"/>
              </w:rPr>
              <w:t xml:space="preserve">▸  Keyword extraction influencing sentiment</w:t>
            </w:r>
          </w:p>
        </w:tc>
        <w:tc>
          <w:tcPr>
            <w:tcBorders>
              <w:top w:val="none" w:color="FFFFFF" w:sz="0"/>
              <w:left w:val="single" w:color="BFDBFE" w:sz="1"/>
              <w:bottom w:val="single" w:color="BFDBFE" w:sz="1"/>
              <w:right w:val="single" w:color="BFDBFE" w:sz="1"/>
            </w:tcBorders>
            <w:shd w:fill="EFF6FF" w:val="clear"/>
            <w:tcMar>
              <w:top w:type="dxa" w:w="120"/>
              <w:left w:type="dxa" w:w="200"/>
              <w:bottom w:type="dxa" w:w="120"/>
              <w:right w:type="dxa" w:w="160"/>
            </w:tcMar>
          </w:tcPr>
          <w:p>
            <w:pPr>
              <w:spacing w:after="60" w:before="60"/>
            </w:pPr>
            <w:r>
              <w:rPr>
                <w:rFonts w:ascii="Calibri" w:cs="Calibri" w:eastAsia="Calibri" w:hAnsi="Calibri"/>
                <w:color w:val="1E293B"/>
                <w:sz w:val="20"/>
                <w:szCs w:val="20"/>
              </w:rPr>
              <w:t xml:space="preserve">▸  Overall sentiment distribution</w:t>
            </w:r>
          </w:p>
          <w:p>
            <w:pPr>
              <w:spacing w:after="60" w:before="60"/>
            </w:pPr>
            <w:r>
              <w:rPr>
                <w:rFonts w:ascii="Calibri" w:cs="Calibri" w:eastAsia="Calibri" w:hAnsi="Calibri"/>
                <w:color w:val="1E293B"/>
                <w:sz w:val="20"/>
                <w:szCs w:val="20"/>
              </w:rPr>
              <w:t xml:space="preserve">▸  Category-based sentiment breakdown</w:t>
            </w:r>
          </w:p>
          <w:p>
            <w:pPr>
              <w:spacing w:after="60" w:before="60"/>
            </w:pPr>
            <w:r>
              <w:rPr>
                <w:rFonts w:ascii="Calibri" w:cs="Calibri" w:eastAsia="Calibri" w:hAnsi="Calibri"/>
                <w:color w:val="1E293B"/>
                <w:sz w:val="20"/>
                <w:szCs w:val="20"/>
              </w:rPr>
              <w:t xml:space="preserve">▸  Trend analysis over time</w:t>
            </w:r>
          </w:p>
          <w:p>
            <w:pPr>
              <w:spacing w:after="60" w:before="60"/>
            </w:pPr>
            <w:r>
              <w:rPr>
                <w:rFonts w:ascii="Calibri" w:cs="Calibri" w:eastAsia="Calibri" w:hAnsi="Calibri"/>
                <w:color w:val="1E293B"/>
                <w:sz w:val="20"/>
                <w:szCs w:val="20"/>
              </w:rPr>
              <w:t xml:space="preserve">▸  Word frequency / keyword analysis</w:t>
            </w:r>
          </w:p>
        </w:tc>
      </w:tr>
    </w:tbl>
    <w:p>
      <w:pPr>
        <w:spacing w:after="280" w:before="0"/>
      </w:pPr>
    </w:p>
    <w:p>
      <w:pPr>
        <w:pStyle w:val="Heading1"/>
        <w:pBdr>
          <w:bottom w:val="single" w:color="3B82F6" w:sz="4" w:space="6"/>
        </w:pBdr>
        <w:spacing w:after="160" w:before="360"/>
      </w:pPr>
      <w:r>
        <w:rPr>
          <w:rFonts w:ascii="Calibri" w:cs="Calibri" w:eastAsia="Calibri" w:hAnsi="Calibri"/>
          <w:b/>
          <w:bCs/>
          <w:color w:val="1E40AF"/>
          <w:sz w:val="32"/>
          <w:szCs w:val="32"/>
        </w:rPr>
        <w:t xml:space="preserve">4. Insights Report Structure</w:t>
      </w:r>
    </w:p>
    <w:p>
      <w:pPr>
        <w:spacing w:after="80" w:before="80" w:line="320"/>
      </w:pPr>
      <w:r>
        <w:rPr>
          <w:rFonts w:ascii="Calibri" w:cs="Calibri" w:eastAsia="Calibri" w:hAnsi="Calibri"/>
          <w:color w:val="1E293B"/>
          <w:sz w:val="22"/>
          <w:szCs w:val="22"/>
        </w:rPr>
        <w:t xml:space="preserve">The AI-generated report covers six structured sections designed for executive-level audiences: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6760"/>
      </w:tblGrid>
      <w:tr>
        <w:tc>
          <w:tcPr>
            <w:tcW w:type="dxa" w:w="400"/>
            <w:tcBorders>
              <w:top w:val="none" w:color="FFFFFF" w:sz="0"/>
              <w:left w:val="none" w:color="FFFFFF" w:sz="0"/>
              <w:bottom w:val="none" w:color="FFFFFF" w:sz="0"/>
              <w:right w:val="none" w:color="FFFFFF" w:sz="0"/>
            </w:tcBorders>
            <w:shd w:fill="1E40AF" w:val="clear"/>
            <w:tcMar>
              <w:top w:type="dxa" w:w="100"/>
              <w:left w:type="dxa" w:w="120"/>
              <w:bottom w:type="dxa" w:w="100"/>
              <w:right w:type="dxa" w:w="80"/>
            </w:tcMar>
          </w:tcPr>
          <w:p>
            <w:pPr>
              <w:jc w:val="center"/>
            </w:pPr>
            <w:r>
              <w:rPr>
                <w:rFonts w:ascii="Calibri" w:cs="Calibri" w:eastAsia="Calibri" w:hAnsi="Calibri"/>
                <w:b/>
                <w:bCs/>
                <w:color w:val="FFFFFF"/>
                <w:sz w:val="20"/>
                <w:szCs w:val="20"/>
              </w:rPr>
              <w:t xml:space="preserve">#</w:t>
            </w:r>
          </w:p>
        </w:tc>
        <w:tc>
          <w:tcPr>
            <w:tcW w:type="dxa" w:w="2200"/>
            <w:tcBorders>
              <w:top w:val="none" w:color="FFFFFF" w:sz="0"/>
              <w:left w:val="none" w:color="FFFFFF" w:sz="0"/>
              <w:bottom w:val="none" w:color="FFFFFF" w:sz="0"/>
              <w:right w:val="none" w:color="FFFFFF" w:sz="0"/>
            </w:tcBorders>
            <w:shd w:fill="1E40AF" w:val="clear"/>
            <w:tcMar>
              <w:top w:type="dxa" w:w="100"/>
              <w:left w:type="dxa" w:w="120"/>
              <w:bottom w:type="dxa" w:w="100"/>
              <w:right w:type="dxa" w:w="80"/>
            </w:tcMar>
          </w:tcPr>
          <w:p>
            <w:r>
              <w:rPr>
                <w:rFonts w:ascii="Calibri" w:cs="Calibri" w:eastAsia="Calibri" w:hAnsi="Calibri"/>
                <w:b/>
                <w:bCs/>
                <w:color w:val="FFFFFF"/>
                <w:sz w:val="20"/>
                <w:szCs w:val="20"/>
              </w:rPr>
              <w:t xml:space="preserve">Section</w:t>
            </w:r>
          </w:p>
        </w:tc>
        <w:tc>
          <w:tcPr>
            <w:tcW w:type="dxa" w:w="6760"/>
            <w:tcBorders>
              <w:top w:val="none" w:color="FFFFFF" w:sz="0"/>
              <w:left w:val="none" w:color="FFFFFF" w:sz="0"/>
              <w:bottom w:val="none" w:color="FFFFFF" w:sz="0"/>
              <w:right w:val="none" w:color="FFFFFF" w:sz="0"/>
            </w:tcBorders>
            <w:shd w:fill="1E40AF" w:val="clear"/>
            <w:tcMar>
              <w:top w:type="dxa" w:w="100"/>
              <w:left w:type="dxa" w:w="120"/>
              <w:bottom w:type="dxa" w:w="100"/>
              <w:right w:type="dxa" w:w="120"/>
            </w:tcMar>
          </w:tcPr>
          <w:p>
            <w:r>
              <w:rPr>
                <w:rFonts w:ascii="Calibri" w:cs="Calibri" w:eastAsia="Calibri" w:hAnsi="Calibri"/>
                <w:b/>
                <w:bCs/>
                <w:color w:val="FFFFFF"/>
                <w:sz w:val="20"/>
                <w:szCs w:val="20"/>
              </w:rPr>
              <w:t xml:space="preserve">Description</w:t>
            </w:r>
          </w:p>
        </w:tc>
      </w:tr>
      <w:tr>
        <w:tc>
          <w:tcPr>
            <w:tcW w:type="dxa" w:w="400"/>
            <w:tcBorders>
              <w:top w:val="single" w:color="BFDBFE" w:sz="1"/>
              <w:left w:val="single" w:color="BFDBFE" w:sz="1"/>
              <w:bottom w:val="single" w:color="BFDBFE" w:sz="1"/>
              <w:right w:val="single" w:color="BFDBFE" w:sz="1"/>
            </w:tcBorders>
            <w:shd w:fill="DBEAFE" w:val="clear"/>
            <w:tcMar>
              <w:top w:type="dxa" w:w="100"/>
              <w:left w:type="dxa" w:w="120"/>
              <w:bottom w:type="dxa" w:w="100"/>
              <w:right w:type="dxa" w:w="80"/>
            </w:tcMar>
          </w:tcPr>
          <w:p>
            <w:pPr>
              <w:jc w:val="center"/>
            </w:pPr>
            <w:r>
              <w:rPr>
                <w:rFonts w:ascii="Calibri" w:cs="Calibri" w:eastAsia="Calibri" w:hAnsi="Calibri"/>
                <w:b/>
                <w:bCs/>
                <w:color w:val="1E40AF"/>
                <w:sz w:val="20"/>
                <w:szCs w:val="20"/>
              </w:rPr>
              <w:t xml:space="preserve">5.1</w:t>
            </w:r>
          </w:p>
        </w:tc>
        <w:tc>
          <w:tcPr>
            <w:tcW w:type="dxa" w:w="2200"/>
            <w:tcBorders>
              <w:top w:val="single" w:color="BFDBFE" w:sz="1"/>
              <w:left w:val="single" w:color="BFDBFE" w:sz="1"/>
              <w:bottom w:val="single" w:color="BFDBFE" w:sz="1"/>
              <w:right w:val="single" w:color="BFDBFE" w:sz="1"/>
            </w:tcBorders>
            <w:shd w:fill="DBEAFE" w:val="clear"/>
            <w:tcMar>
              <w:top w:type="dxa" w:w="100"/>
              <w:left w:type="dxa" w:w="120"/>
              <w:bottom w:type="dxa" w:w="100"/>
              <w:right w:type="dxa" w:w="80"/>
            </w:tcMar>
          </w:tcPr>
          <w:p>
            <w:r>
              <w:rPr>
                <w:rFonts w:ascii="Calibri" w:cs="Calibri" w:eastAsia="Calibri" w:hAnsi="Calibri"/>
                <w:b/>
                <w:bCs/>
                <w:color w:val="1E293B"/>
                <w:sz w:val="20"/>
                <w:szCs w:val="20"/>
              </w:rPr>
              <w:t xml:space="preserve">Executive Summary</w:t>
            </w:r>
          </w:p>
        </w:tc>
        <w:tc>
          <w:tcPr>
            <w:tcW w:type="dxa" w:w="6760"/>
            <w:tcBorders>
              <w:top w:val="single" w:color="BFDBFE" w:sz="1"/>
              <w:left w:val="single" w:color="BFDBFE" w:sz="1"/>
              <w:bottom w:val="single" w:color="BFDBFE" w:sz="1"/>
              <w:right w:val="single" w:color="BFDBFE" w:sz="1"/>
            </w:tcBorders>
            <w:shd w:fill="DBEAFE" w:val="clear"/>
            <w:tcMar>
              <w:top w:type="dxa" w:w="100"/>
              <w:left w:type="dxa" w:w="120"/>
              <w:bottom w:type="dxa" w:w="100"/>
              <w:right w:type="dxa" w:w="120"/>
            </w:tcMar>
          </w:tcPr>
          <w:p>
            <w:r>
              <w:rPr>
                <w:rFonts w:ascii="Calibri" w:cs="Calibri" w:eastAsia="Calibri" w:hAnsi="Calibri"/>
                <w:color w:val="1E293B"/>
                <w:sz w:val="20"/>
                <w:szCs w:val="20"/>
              </w:rPr>
              <w:t xml:space="preserve">Overview of dataset findings and overall performance</w:t>
            </w:r>
          </w:p>
        </w:tc>
      </w:tr>
      <w:tr>
        <w:tc>
          <w:tcPr>
            <w:tcW w:type="dxa" w:w="400"/>
            <w:tcBorders>
              <w:top w:val="single" w:color="BFDBFE" w:sz="1"/>
              <w:left w:val="single" w:color="BFDBFE" w:sz="1"/>
              <w:bottom w:val="single" w:color="BFDBFE" w:sz="1"/>
              <w:right w:val="single" w:color="BFDBFE" w:sz="1"/>
            </w:tcBorders>
            <w:shd w:fill="EFF6FF" w:val="clear"/>
            <w:tcMar>
              <w:top w:type="dxa" w:w="100"/>
              <w:left w:type="dxa" w:w="120"/>
              <w:bottom w:type="dxa" w:w="100"/>
              <w:right w:type="dxa" w:w="80"/>
            </w:tcMar>
          </w:tcPr>
          <w:p>
            <w:pPr>
              <w:jc w:val="center"/>
            </w:pPr>
            <w:r>
              <w:rPr>
                <w:rFonts w:ascii="Calibri" w:cs="Calibri" w:eastAsia="Calibri" w:hAnsi="Calibri"/>
                <w:b/>
                <w:bCs/>
                <w:color w:val="1E40AF"/>
                <w:sz w:val="20"/>
                <w:szCs w:val="20"/>
              </w:rPr>
              <w:t xml:space="preserve">5.2</w:t>
            </w:r>
          </w:p>
        </w:tc>
        <w:tc>
          <w:tcPr>
            <w:tcW w:type="dxa" w:w="2200"/>
            <w:tcBorders>
              <w:top w:val="single" w:color="BFDBFE" w:sz="1"/>
              <w:left w:val="single" w:color="BFDBFE" w:sz="1"/>
              <w:bottom w:val="single" w:color="BFDBFE" w:sz="1"/>
              <w:right w:val="single" w:color="BFDBFE" w:sz="1"/>
            </w:tcBorders>
            <w:shd w:fill="EFF6FF" w:val="clear"/>
            <w:tcMar>
              <w:top w:type="dxa" w:w="100"/>
              <w:left w:type="dxa" w:w="120"/>
              <w:bottom w:type="dxa" w:w="100"/>
              <w:right w:type="dxa" w:w="80"/>
            </w:tcMar>
          </w:tcPr>
          <w:p>
            <w:r>
              <w:rPr>
                <w:rFonts w:ascii="Calibri" w:cs="Calibri" w:eastAsia="Calibri" w:hAnsi="Calibri"/>
                <w:b/>
                <w:bCs/>
                <w:color w:val="1E293B"/>
                <w:sz w:val="20"/>
                <w:szCs w:val="20"/>
              </w:rPr>
              <w:t xml:space="preserve">KPI Analysis</w:t>
            </w:r>
          </w:p>
        </w:tc>
        <w:tc>
          <w:tcPr>
            <w:tcW w:type="dxa" w:w="6760"/>
            <w:tcBorders>
              <w:top w:val="single" w:color="BFDBFE" w:sz="1"/>
              <w:left w:val="single" w:color="BFDBFE" w:sz="1"/>
              <w:bottom w:val="single" w:color="BFDBFE" w:sz="1"/>
              <w:right w:val="single" w:color="BFDBFE" w:sz="1"/>
            </w:tcBorders>
            <w:shd w:fill="EFF6FF" w:val="clear"/>
            <w:tcMar>
              <w:top w:type="dxa" w:w="100"/>
              <w:left w:type="dxa" w:w="120"/>
              <w:bottom w:type="dxa" w:w="100"/>
              <w:right w:type="dxa" w:w="120"/>
            </w:tcMar>
          </w:tcPr>
          <w:p>
            <w:r>
              <w:rPr>
                <w:rFonts w:ascii="Calibri" w:cs="Calibri" w:eastAsia="Calibri" w:hAnsi="Calibri"/>
                <w:color w:val="1E293B"/>
                <w:sz w:val="20"/>
                <w:szCs w:val="20"/>
              </w:rPr>
              <w:t xml:space="preserve">Key performance indicators derived from dataset</w:t>
            </w:r>
          </w:p>
        </w:tc>
      </w:tr>
      <w:tr>
        <w:tc>
          <w:tcPr>
            <w:tcW w:type="dxa" w:w="400"/>
            <w:tcBorders>
              <w:top w:val="single" w:color="BFDBFE" w:sz="1"/>
              <w:left w:val="single" w:color="BFDBFE" w:sz="1"/>
              <w:bottom w:val="single" w:color="BFDBFE" w:sz="1"/>
              <w:right w:val="single" w:color="BFDBFE" w:sz="1"/>
            </w:tcBorders>
            <w:shd w:fill="DBEAFE" w:val="clear"/>
            <w:tcMar>
              <w:top w:type="dxa" w:w="100"/>
              <w:left w:type="dxa" w:w="120"/>
              <w:bottom w:type="dxa" w:w="100"/>
              <w:right w:type="dxa" w:w="80"/>
            </w:tcMar>
          </w:tcPr>
          <w:p>
            <w:pPr>
              <w:jc w:val="center"/>
            </w:pPr>
            <w:r>
              <w:rPr>
                <w:rFonts w:ascii="Calibri" w:cs="Calibri" w:eastAsia="Calibri" w:hAnsi="Calibri"/>
                <w:b/>
                <w:bCs/>
                <w:color w:val="1E40AF"/>
                <w:sz w:val="20"/>
                <w:szCs w:val="20"/>
              </w:rPr>
              <w:t xml:space="preserve">5.3</w:t>
            </w:r>
          </w:p>
        </w:tc>
        <w:tc>
          <w:tcPr>
            <w:tcW w:type="dxa" w:w="2200"/>
            <w:tcBorders>
              <w:top w:val="single" w:color="BFDBFE" w:sz="1"/>
              <w:left w:val="single" w:color="BFDBFE" w:sz="1"/>
              <w:bottom w:val="single" w:color="BFDBFE" w:sz="1"/>
              <w:right w:val="single" w:color="BFDBFE" w:sz="1"/>
            </w:tcBorders>
            <w:shd w:fill="DBEAFE" w:val="clear"/>
            <w:tcMar>
              <w:top w:type="dxa" w:w="100"/>
              <w:left w:type="dxa" w:w="120"/>
              <w:bottom w:type="dxa" w:w="100"/>
              <w:right w:type="dxa" w:w="80"/>
            </w:tcMar>
          </w:tcPr>
          <w:p>
            <w:r>
              <w:rPr>
                <w:rFonts w:ascii="Calibri" w:cs="Calibri" w:eastAsia="Calibri" w:hAnsi="Calibri"/>
                <w:b/>
                <w:bCs/>
                <w:color w:val="1E293B"/>
                <w:sz w:val="20"/>
                <w:szCs w:val="20"/>
              </w:rPr>
              <w:t xml:space="preserve">Trends &amp; Patterns</w:t>
            </w:r>
          </w:p>
        </w:tc>
        <w:tc>
          <w:tcPr>
            <w:tcW w:type="dxa" w:w="6760"/>
            <w:tcBorders>
              <w:top w:val="single" w:color="BFDBFE" w:sz="1"/>
              <w:left w:val="single" w:color="BFDBFE" w:sz="1"/>
              <w:bottom w:val="single" w:color="BFDBFE" w:sz="1"/>
              <w:right w:val="single" w:color="BFDBFE" w:sz="1"/>
            </w:tcBorders>
            <w:shd w:fill="DBEAFE" w:val="clear"/>
            <w:tcMar>
              <w:top w:type="dxa" w:w="100"/>
              <w:left w:type="dxa" w:w="120"/>
              <w:bottom w:type="dxa" w:w="100"/>
              <w:right w:type="dxa" w:w="120"/>
            </w:tcMar>
          </w:tcPr>
          <w:p>
            <w:r>
              <w:rPr>
                <w:rFonts w:ascii="Calibri" w:cs="Calibri" w:eastAsia="Calibri" w:hAnsi="Calibri"/>
                <w:color w:val="1E293B"/>
                <w:sz w:val="20"/>
                <w:szCs w:val="20"/>
              </w:rPr>
              <w:t xml:space="preserve">Observed changes and correlations in data</w:t>
            </w:r>
          </w:p>
        </w:tc>
      </w:tr>
      <w:tr>
        <w:tc>
          <w:tcPr>
            <w:tcW w:type="dxa" w:w="400"/>
            <w:tcBorders>
              <w:top w:val="single" w:color="BFDBFE" w:sz="1"/>
              <w:left w:val="single" w:color="BFDBFE" w:sz="1"/>
              <w:bottom w:val="single" w:color="BFDBFE" w:sz="1"/>
              <w:right w:val="single" w:color="BFDBFE" w:sz="1"/>
            </w:tcBorders>
            <w:shd w:fill="EFF6FF" w:val="clear"/>
            <w:tcMar>
              <w:top w:type="dxa" w:w="100"/>
              <w:left w:type="dxa" w:w="120"/>
              <w:bottom w:type="dxa" w:w="100"/>
              <w:right w:type="dxa" w:w="80"/>
            </w:tcMar>
          </w:tcPr>
          <w:p>
            <w:pPr>
              <w:jc w:val="center"/>
            </w:pPr>
            <w:r>
              <w:rPr>
                <w:rFonts w:ascii="Calibri" w:cs="Calibri" w:eastAsia="Calibri" w:hAnsi="Calibri"/>
                <w:b/>
                <w:bCs/>
                <w:color w:val="1E40AF"/>
                <w:sz w:val="20"/>
                <w:szCs w:val="20"/>
              </w:rPr>
              <w:t xml:space="preserve">5.4</w:t>
            </w:r>
          </w:p>
        </w:tc>
        <w:tc>
          <w:tcPr>
            <w:tcW w:type="dxa" w:w="2200"/>
            <w:tcBorders>
              <w:top w:val="single" w:color="BFDBFE" w:sz="1"/>
              <w:left w:val="single" w:color="BFDBFE" w:sz="1"/>
              <w:bottom w:val="single" w:color="BFDBFE" w:sz="1"/>
              <w:right w:val="single" w:color="BFDBFE" w:sz="1"/>
            </w:tcBorders>
            <w:shd w:fill="EFF6FF" w:val="clear"/>
            <w:tcMar>
              <w:top w:type="dxa" w:w="100"/>
              <w:left w:type="dxa" w:w="120"/>
              <w:bottom w:type="dxa" w:w="100"/>
              <w:right w:type="dxa" w:w="80"/>
            </w:tcMar>
          </w:tcPr>
          <w:p>
            <w:r>
              <w:rPr>
                <w:rFonts w:ascii="Calibri" w:cs="Calibri" w:eastAsia="Calibri" w:hAnsi="Calibri"/>
                <w:b/>
                <w:bCs/>
                <w:color w:val="1E293B"/>
                <w:sz w:val="20"/>
                <w:szCs w:val="20"/>
              </w:rPr>
              <w:t xml:space="preserve">Anomalies &amp; Issues</w:t>
            </w:r>
          </w:p>
        </w:tc>
        <w:tc>
          <w:tcPr>
            <w:tcW w:type="dxa" w:w="6760"/>
            <w:tcBorders>
              <w:top w:val="single" w:color="BFDBFE" w:sz="1"/>
              <w:left w:val="single" w:color="BFDBFE" w:sz="1"/>
              <w:bottom w:val="single" w:color="BFDBFE" w:sz="1"/>
              <w:right w:val="single" w:color="BFDBFE" w:sz="1"/>
            </w:tcBorders>
            <w:shd w:fill="EFF6FF" w:val="clear"/>
            <w:tcMar>
              <w:top w:type="dxa" w:w="100"/>
              <w:left w:type="dxa" w:w="120"/>
              <w:bottom w:type="dxa" w:w="100"/>
              <w:right w:type="dxa" w:w="120"/>
            </w:tcMar>
          </w:tcPr>
          <w:p>
            <w:r>
              <w:rPr>
                <w:rFonts w:ascii="Calibri" w:cs="Calibri" w:eastAsia="Calibri" w:hAnsi="Calibri"/>
                <w:color w:val="1E293B"/>
                <w:sz w:val="20"/>
                <w:szCs w:val="20"/>
              </w:rPr>
              <w:t xml:space="preserve">Unusual spikes, drops, or irregular behavior</w:t>
            </w:r>
          </w:p>
        </w:tc>
      </w:tr>
      <w:tr>
        <w:tc>
          <w:tcPr>
            <w:tcW w:type="dxa" w:w="400"/>
            <w:tcBorders>
              <w:top w:val="single" w:color="BFDBFE" w:sz="1"/>
              <w:left w:val="single" w:color="BFDBFE" w:sz="1"/>
              <w:bottom w:val="single" w:color="BFDBFE" w:sz="1"/>
              <w:right w:val="single" w:color="BFDBFE" w:sz="1"/>
            </w:tcBorders>
            <w:shd w:fill="DBEAFE" w:val="clear"/>
            <w:tcMar>
              <w:top w:type="dxa" w:w="100"/>
              <w:left w:type="dxa" w:w="120"/>
              <w:bottom w:type="dxa" w:w="100"/>
              <w:right w:type="dxa" w:w="80"/>
            </w:tcMar>
          </w:tcPr>
          <w:p>
            <w:pPr>
              <w:jc w:val="center"/>
            </w:pPr>
            <w:r>
              <w:rPr>
                <w:rFonts w:ascii="Calibri" w:cs="Calibri" w:eastAsia="Calibri" w:hAnsi="Calibri"/>
                <w:b/>
                <w:bCs/>
                <w:color w:val="1E40AF"/>
                <w:sz w:val="20"/>
                <w:szCs w:val="20"/>
              </w:rPr>
              <w:t xml:space="preserve">5.5</w:t>
            </w:r>
          </w:p>
        </w:tc>
        <w:tc>
          <w:tcPr>
            <w:tcW w:type="dxa" w:w="2200"/>
            <w:tcBorders>
              <w:top w:val="single" w:color="BFDBFE" w:sz="1"/>
              <w:left w:val="single" w:color="BFDBFE" w:sz="1"/>
              <w:bottom w:val="single" w:color="BFDBFE" w:sz="1"/>
              <w:right w:val="single" w:color="BFDBFE" w:sz="1"/>
            </w:tcBorders>
            <w:shd w:fill="DBEAFE" w:val="clear"/>
            <w:tcMar>
              <w:top w:type="dxa" w:w="100"/>
              <w:left w:type="dxa" w:w="120"/>
              <w:bottom w:type="dxa" w:w="100"/>
              <w:right w:type="dxa" w:w="80"/>
            </w:tcMar>
          </w:tcPr>
          <w:p>
            <w:r>
              <w:rPr>
                <w:rFonts w:ascii="Calibri" w:cs="Calibri" w:eastAsia="Calibri" w:hAnsi="Calibri"/>
                <w:b/>
                <w:bCs/>
                <w:color w:val="1E293B"/>
                <w:sz w:val="20"/>
                <w:szCs w:val="20"/>
              </w:rPr>
              <w:t xml:space="preserve">Key Insights</w:t>
            </w:r>
          </w:p>
        </w:tc>
        <w:tc>
          <w:tcPr>
            <w:tcW w:type="dxa" w:w="6760"/>
            <w:tcBorders>
              <w:top w:val="single" w:color="BFDBFE" w:sz="1"/>
              <w:left w:val="single" w:color="BFDBFE" w:sz="1"/>
              <w:bottom w:val="single" w:color="BFDBFE" w:sz="1"/>
              <w:right w:val="single" w:color="BFDBFE" w:sz="1"/>
            </w:tcBorders>
            <w:shd w:fill="DBEAFE" w:val="clear"/>
            <w:tcMar>
              <w:top w:type="dxa" w:w="100"/>
              <w:left w:type="dxa" w:w="120"/>
              <w:bottom w:type="dxa" w:w="100"/>
              <w:right w:type="dxa" w:w="120"/>
            </w:tcMar>
          </w:tcPr>
          <w:p>
            <w:r>
              <w:rPr>
                <w:rFonts w:ascii="Calibri" w:cs="Calibri" w:eastAsia="Calibri" w:hAnsi="Calibri"/>
                <w:color w:val="1E293B"/>
                <w:sz w:val="20"/>
                <w:szCs w:val="20"/>
              </w:rPr>
              <w:t xml:space="preserve">Important findings summarized into bullet points</w:t>
            </w:r>
          </w:p>
        </w:tc>
      </w:tr>
      <w:tr>
        <w:tc>
          <w:tcPr>
            <w:tcW w:type="dxa" w:w="400"/>
            <w:tcBorders>
              <w:top w:val="single" w:color="BFDBFE" w:sz="1"/>
              <w:left w:val="single" w:color="BFDBFE" w:sz="1"/>
              <w:bottom w:val="single" w:color="BFDBFE" w:sz="1"/>
              <w:right w:val="single" w:color="BFDBFE" w:sz="1"/>
            </w:tcBorders>
            <w:shd w:fill="EFF6FF" w:val="clear"/>
            <w:tcMar>
              <w:top w:type="dxa" w:w="100"/>
              <w:left w:type="dxa" w:w="120"/>
              <w:bottom w:type="dxa" w:w="100"/>
              <w:right w:type="dxa" w:w="80"/>
            </w:tcMar>
          </w:tcPr>
          <w:p>
            <w:pPr>
              <w:jc w:val="center"/>
            </w:pPr>
            <w:r>
              <w:rPr>
                <w:rFonts w:ascii="Calibri" w:cs="Calibri" w:eastAsia="Calibri" w:hAnsi="Calibri"/>
                <w:b/>
                <w:bCs/>
                <w:color w:val="1E40AF"/>
                <w:sz w:val="20"/>
                <w:szCs w:val="20"/>
              </w:rPr>
              <w:t xml:space="preserve">5.6</w:t>
            </w:r>
          </w:p>
        </w:tc>
        <w:tc>
          <w:tcPr>
            <w:tcW w:type="dxa" w:w="2200"/>
            <w:tcBorders>
              <w:top w:val="single" w:color="BFDBFE" w:sz="1"/>
              <w:left w:val="single" w:color="BFDBFE" w:sz="1"/>
              <w:bottom w:val="single" w:color="BFDBFE" w:sz="1"/>
              <w:right w:val="single" w:color="BFDBFE" w:sz="1"/>
            </w:tcBorders>
            <w:shd w:fill="EFF6FF" w:val="clear"/>
            <w:tcMar>
              <w:top w:type="dxa" w:w="100"/>
              <w:left w:type="dxa" w:w="120"/>
              <w:bottom w:type="dxa" w:w="100"/>
              <w:right w:type="dxa" w:w="80"/>
            </w:tcMar>
          </w:tcPr>
          <w:p>
            <w:r>
              <w:rPr>
                <w:rFonts w:ascii="Calibri" w:cs="Calibri" w:eastAsia="Calibri" w:hAnsi="Calibri"/>
                <w:b/>
                <w:bCs/>
                <w:color w:val="1E293B"/>
                <w:sz w:val="20"/>
                <w:szCs w:val="20"/>
              </w:rPr>
              <w:t xml:space="preserve">Recommendations</w:t>
            </w:r>
          </w:p>
        </w:tc>
        <w:tc>
          <w:tcPr>
            <w:tcW w:type="dxa" w:w="6760"/>
            <w:tcBorders>
              <w:top w:val="single" w:color="BFDBFE" w:sz="1"/>
              <w:left w:val="single" w:color="BFDBFE" w:sz="1"/>
              <w:bottom w:val="single" w:color="BFDBFE" w:sz="1"/>
              <w:right w:val="single" w:color="BFDBFE" w:sz="1"/>
            </w:tcBorders>
            <w:shd w:fill="EFF6FF" w:val="clear"/>
            <w:tcMar>
              <w:top w:type="dxa" w:w="100"/>
              <w:left w:type="dxa" w:w="120"/>
              <w:bottom w:type="dxa" w:w="100"/>
              <w:right w:type="dxa" w:w="120"/>
            </w:tcMar>
          </w:tcPr>
          <w:p>
            <w:r>
              <w:rPr>
                <w:rFonts w:ascii="Calibri" w:cs="Calibri" w:eastAsia="Calibri" w:hAnsi="Calibri"/>
                <w:color w:val="1E293B"/>
                <w:sz w:val="20"/>
                <w:szCs w:val="20"/>
              </w:rPr>
              <w:t xml:space="preserve">Actionable business strategies based on AI analysis</w:t>
            </w:r>
          </w:p>
        </w:tc>
      </w:tr>
    </w:tbl>
    <w:p>
      <w:pPr>
        <w:spacing w:after="280" w:before="0"/>
      </w:pPr>
    </w:p>
    <w:p>
      <w:pPr>
        <w:pStyle w:val="Heading1"/>
        <w:pBdr>
          <w:bottom w:val="single" w:color="3B82F6" w:sz="4" w:space="6"/>
        </w:pBdr>
        <w:spacing w:after="160" w:before="360"/>
      </w:pPr>
      <w:r>
        <w:rPr>
          <w:rFonts w:ascii="Calibri" w:cs="Calibri" w:eastAsia="Calibri" w:hAnsi="Calibri"/>
          <w:b/>
          <w:bCs/>
          <w:color w:val="1E40AF"/>
          <w:sz w:val="32"/>
          <w:szCs w:val="32"/>
        </w:rPr>
        <w:t xml:space="preserve">5. Technology Stack</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1E40AF" w:val="clear"/>
            <w:tcMar>
              <w:top w:type="dxa" w:w="100"/>
              <w:left w:type="dxa" w:w="160"/>
              <w:bottom w:type="dxa" w:w="100"/>
              <w:right w:type="dxa" w:w="120"/>
            </w:tcMar>
          </w:tcPr>
          <w:p>
            <w:r>
              <w:rPr>
                <w:rFonts w:ascii="Calibri" w:cs="Calibri" w:eastAsia="Calibri" w:hAnsi="Calibri"/>
                <w:b/>
                <w:bCs/>
                <w:color w:val="FFFFFF"/>
                <w:sz w:val="20"/>
                <w:szCs w:val="20"/>
              </w:rPr>
              <w:t xml:space="preserve">Layer</w:t>
            </w:r>
          </w:p>
        </w:tc>
        <w:tc>
          <w:tcPr>
            <w:tcW w:type="dxa" w:w="6560"/>
            <w:tcBorders>
              <w:top w:val="none" w:color="FFFFFF" w:sz="0"/>
              <w:left w:val="none" w:color="FFFFFF" w:sz="0"/>
              <w:bottom w:val="none" w:color="FFFFFF" w:sz="0"/>
              <w:right w:val="none" w:color="FFFFFF" w:sz="0"/>
            </w:tcBorders>
            <w:shd w:fill="1E40AF" w:val="clear"/>
            <w:tcMar>
              <w:top w:type="dxa" w:w="100"/>
              <w:left w:type="dxa" w:w="160"/>
              <w:bottom w:type="dxa" w:w="100"/>
              <w:right w:type="dxa" w:w="160"/>
            </w:tcMar>
          </w:tcPr>
          <w:p>
            <w:r>
              <w:rPr>
                <w:rFonts w:ascii="Calibri" w:cs="Calibri" w:eastAsia="Calibri" w:hAnsi="Calibri"/>
                <w:b/>
                <w:bCs/>
                <w:color w:val="FFFFFF"/>
                <w:sz w:val="20"/>
                <w:szCs w:val="20"/>
              </w:rPr>
              <w:t xml:space="preserve">Technology</w:t>
            </w:r>
          </w:p>
        </w:tc>
      </w:tr>
      <w:tr>
        <w:tc>
          <w:tcPr>
            <w:tcW w:type="dxa" w:w="2800"/>
            <w:tcBorders>
              <w:top w:val="single" w:color="BFDBFE" w:sz="1"/>
              <w:left w:val="single" w:color="BFDBFE" w:sz="1"/>
              <w:bottom w:val="single" w:color="BFDBFE" w:sz="1"/>
              <w:right w:val="single" w:color="BFDBFE" w:sz="1"/>
            </w:tcBorders>
            <w:shd w:fill="DBEAFE" w:val="clear"/>
            <w:tcMar>
              <w:top w:type="dxa" w:w="100"/>
              <w:left w:type="dxa" w:w="160"/>
              <w:bottom w:type="dxa" w:w="100"/>
              <w:right w:type="dxa" w:w="120"/>
            </w:tcMar>
          </w:tcPr>
          <w:p>
            <w:r>
              <w:rPr>
                <w:rFonts w:ascii="Calibri" w:cs="Calibri" w:eastAsia="Calibri" w:hAnsi="Calibri"/>
                <w:b/>
                <w:bCs/>
                <w:color w:val="1E40AF"/>
                <w:sz w:val="20"/>
                <w:szCs w:val="20"/>
              </w:rPr>
              <w:t xml:space="preserve">Frontend</w:t>
            </w:r>
          </w:p>
        </w:tc>
        <w:tc>
          <w:tcPr>
            <w:tcW w:type="dxa" w:w="6560"/>
            <w:tcBorders>
              <w:top w:val="single" w:color="BFDBFE" w:sz="1"/>
              <w:left w:val="single" w:color="BFDBFE" w:sz="1"/>
              <w:bottom w:val="single" w:color="BFDBFE" w:sz="1"/>
              <w:right w:val="single" w:color="BFDBFE" w:sz="1"/>
            </w:tcBorders>
            <w:shd w:fill="EFF6FF" w:val="clear"/>
            <w:tcMar>
              <w:top w:type="dxa" w:w="100"/>
              <w:left w:type="dxa" w:w="160"/>
              <w:bottom w:type="dxa" w:w="100"/>
              <w:right w:type="dxa" w:w="160"/>
            </w:tcMar>
          </w:tcPr>
          <w:p>
            <w:r>
              <w:rPr>
                <w:rFonts w:ascii="Calibri" w:cs="Calibri" w:eastAsia="Calibri" w:hAnsi="Calibri"/>
                <w:color w:val="1E293B"/>
                <w:sz w:val="20"/>
                <w:szCs w:val="20"/>
              </w:rPr>
              <w:t xml:space="preserve">React.js + Tailwind CSS</w:t>
            </w:r>
          </w:p>
        </w:tc>
      </w:tr>
      <w:tr>
        <w:tc>
          <w:tcPr>
            <w:tcW w:type="dxa" w:w="2800"/>
            <w:tcBorders>
              <w:top w:val="single" w:color="BFDBFE" w:sz="1"/>
              <w:left w:val="single" w:color="BFDBFE" w:sz="1"/>
              <w:bottom w:val="single" w:color="BFDBFE" w:sz="1"/>
              <w:right w:val="single" w:color="BFDBFE" w:sz="1"/>
            </w:tcBorders>
            <w:shd w:fill="DBEAFE" w:val="clear"/>
            <w:tcMar>
              <w:top w:type="dxa" w:w="100"/>
              <w:left w:type="dxa" w:w="160"/>
              <w:bottom w:type="dxa" w:w="100"/>
              <w:right w:type="dxa" w:w="120"/>
            </w:tcMar>
          </w:tcPr>
          <w:p>
            <w:r>
              <w:rPr>
                <w:rFonts w:ascii="Calibri" w:cs="Calibri" w:eastAsia="Calibri" w:hAnsi="Calibri"/>
                <w:b/>
                <w:bCs/>
                <w:color w:val="1E40AF"/>
                <w:sz w:val="20"/>
                <w:szCs w:val="20"/>
              </w:rPr>
              <w:t xml:space="preserve">Backend</w:t>
            </w:r>
          </w:p>
        </w:tc>
        <w:tc>
          <w:tcPr>
            <w:tcW w:type="dxa" w:w="6560"/>
            <w:tcBorders>
              <w:top w:val="single" w:color="BFDBFE" w:sz="1"/>
              <w:left w:val="single" w:color="BFDBFE" w:sz="1"/>
              <w:bottom w:val="single" w:color="BFDBFE" w:sz="1"/>
              <w:right w:val="single" w:color="BFDBFE" w:sz="1"/>
            </w:tcBorders>
            <w:shd w:fill="EFF6FF" w:val="clear"/>
            <w:tcMar>
              <w:top w:type="dxa" w:w="100"/>
              <w:left w:type="dxa" w:w="160"/>
              <w:bottom w:type="dxa" w:w="100"/>
              <w:right w:type="dxa" w:w="160"/>
            </w:tcMar>
          </w:tcPr>
          <w:p>
            <w:r>
              <w:rPr>
                <w:rFonts w:ascii="Calibri" w:cs="Calibri" w:eastAsia="Calibri" w:hAnsi="Calibri"/>
                <w:color w:val="1E293B"/>
                <w:sz w:val="20"/>
                <w:szCs w:val="20"/>
              </w:rPr>
              <w:t xml:space="preserve">Flask / FastAPI</w:t>
            </w:r>
          </w:p>
        </w:tc>
      </w:tr>
      <w:tr>
        <w:tc>
          <w:tcPr>
            <w:tcW w:type="dxa" w:w="2800"/>
            <w:tcBorders>
              <w:top w:val="single" w:color="BFDBFE" w:sz="1"/>
              <w:left w:val="single" w:color="BFDBFE" w:sz="1"/>
              <w:bottom w:val="single" w:color="BFDBFE" w:sz="1"/>
              <w:right w:val="single" w:color="BFDBFE" w:sz="1"/>
            </w:tcBorders>
            <w:shd w:fill="DBEAFE" w:val="clear"/>
            <w:tcMar>
              <w:top w:type="dxa" w:w="100"/>
              <w:left w:type="dxa" w:w="160"/>
              <w:bottom w:type="dxa" w:w="100"/>
              <w:right w:type="dxa" w:w="120"/>
            </w:tcMar>
          </w:tcPr>
          <w:p>
            <w:r>
              <w:rPr>
                <w:rFonts w:ascii="Calibri" w:cs="Calibri" w:eastAsia="Calibri" w:hAnsi="Calibri"/>
                <w:b/>
                <w:bCs/>
                <w:color w:val="1E40AF"/>
                <w:sz w:val="20"/>
                <w:szCs w:val="20"/>
              </w:rPr>
              <w:t xml:space="preserve">AI Engine</w:t>
            </w:r>
          </w:p>
        </w:tc>
        <w:tc>
          <w:tcPr>
            <w:tcW w:type="dxa" w:w="6560"/>
            <w:tcBorders>
              <w:top w:val="single" w:color="BFDBFE" w:sz="1"/>
              <w:left w:val="single" w:color="BFDBFE" w:sz="1"/>
              <w:bottom w:val="single" w:color="BFDBFE" w:sz="1"/>
              <w:right w:val="single" w:color="BFDBFE" w:sz="1"/>
            </w:tcBorders>
            <w:shd w:fill="EFF6FF" w:val="clear"/>
            <w:tcMar>
              <w:top w:type="dxa" w:w="100"/>
              <w:left w:type="dxa" w:w="160"/>
              <w:bottom w:type="dxa" w:w="100"/>
              <w:right w:type="dxa" w:w="160"/>
            </w:tcMar>
          </w:tcPr>
          <w:p>
            <w:r>
              <w:rPr>
                <w:rFonts w:ascii="Calibri" w:cs="Calibri" w:eastAsia="Calibri" w:hAnsi="Calibri"/>
                <w:color w:val="1E293B"/>
                <w:sz w:val="20"/>
                <w:szCs w:val="20"/>
              </w:rPr>
              <w:t xml:space="preserve">OpenAI API (GPT-based analysis)</w:t>
            </w:r>
          </w:p>
        </w:tc>
      </w:tr>
      <w:tr>
        <w:tc>
          <w:tcPr>
            <w:tcW w:type="dxa" w:w="2800"/>
            <w:tcBorders>
              <w:top w:val="single" w:color="BFDBFE" w:sz="1"/>
              <w:left w:val="single" w:color="BFDBFE" w:sz="1"/>
              <w:bottom w:val="single" w:color="BFDBFE" w:sz="1"/>
              <w:right w:val="single" w:color="BFDBFE" w:sz="1"/>
            </w:tcBorders>
            <w:shd w:fill="DBEAFE" w:val="clear"/>
            <w:tcMar>
              <w:top w:type="dxa" w:w="100"/>
              <w:left w:type="dxa" w:w="160"/>
              <w:bottom w:type="dxa" w:w="100"/>
              <w:right w:type="dxa" w:w="120"/>
            </w:tcMar>
          </w:tcPr>
          <w:p>
            <w:r>
              <w:rPr>
                <w:rFonts w:ascii="Calibri" w:cs="Calibri" w:eastAsia="Calibri" w:hAnsi="Calibri"/>
                <w:b/>
                <w:bCs/>
                <w:color w:val="1E40AF"/>
                <w:sz w:val="20"/>
                <w:szCs w:val="20"/>
              </w:rPr>
              <w:t xml:space="preserve">Data Processing</w:t>
            </w:r>
          </w:p>
        </w:tc>
        <w:tc>
          <w:tcPr>
            <w:tcW w:type="dxa" w:w="6560"/>
            <w:tcBorders>
              <w:top w:val="single" w:color="BFDBFE" w:sz="1"/>
              <w:left w:val="single" w:color="BFDBFE" w:sz="1"/>
              <w:bottom w:val="single" w:color="BFDBFE" w:sz="1"/>
              <w:right w:val="single" w:color="BFDBFE" w:sz="1"/>
            </w:tcBorders>
            <w:shd w:fill="EFF6FF" w:val="clear"/>
            <w:tcMar>
              <w:top w:type="dxa" w:w="100"/>
              <w:left w:type="dxa" w:w="160"/>
              <w:bottom w:type="dxa" w:w="100"/>
              <w:right w:type="dxa" w:w="160"/>
            </w:tcMar>
          </w:tcPr>
          <w:p>
            <w:r>
              <w:rPr>
                <w:rFonts w:ascii="Calibri" w:cs="Calibri" w:eastAsia="Calibri" w:hAnsi="Calibri"/>
                <w:color w:val="1E293B"/>
                <w:sz w:val="20"/>
                <w:szCs w:val="20"/>
              </w:rPr>
              <w:t xml:space="preserve">Python — Pandas, NumPy</w:t>
            </w:r>
          </w:p>
        </w:tc>
      </w:tr>
      <w:tr>
        <w:tc>
          <w:tcPr>
            <w:tcW w:type="dxa" w:w="2800"/>
            <w:tcBorders>
              <w:top w:val="single" w:color="BFDBFE" w:sz="1"/>
              <w:left w:val="single" w:color="BFDBFE" w:sz="1"/>
              <w:bottom w:val="single" w:color="BFDBFE" w:sz="1"/>
              <w:right w:val="single" w:color="BFDBFE" w:sz="1"/>
            </w:tcBorders>
            <w:shd w:fill="DBEAFE" w:val="clear"/>
            <w:tcMar>
              <w:top w:type="dxa" w:w="100"/>
              <w:left w:type="dxa" w:w="160"/>
              <w:bottom w:type="dxa" w:w="100"/>
              <w:right w:type="dxa" w:w="120"/>
            </w:tcMar>
          </w:tcPr>
          <w:p>
            <w:r>
              <w:rPr>
                <w:rFonts w:ascii="Calibri" w:cs="Calibri" w:eastAsia="Calibri" w:hAnsi="Calibri"/>
                <w:b/>
                <w:bCs/>
                <w:color w:val="1E40AF"/>
                <w:sz w:val="20"/>
                <w:szCs w:val="20"/>
              </w:rPr>
              <w:t xml:space="preserve">Visualization</w:t>
            </w:r>
          </w:p>
        </w:tc>
        <w:tc>
          <w:tcPr>
            <w:tcW w:type="dxa" w:w="6560"/>
            <w:tcBorders>
              <w:top w:val="single" w:color="BFDBFE" w:sz="1"/>
              <w:left w:val="single" w:color="BFDBFE" w:sz="1"/>
              <w:bottom w:val="single" w:color="BFDBFE" w:sz="1"/>
              <w:right w:val="single" w:color="BFDBFE" w:sz="1"/>
            </w:tcBorders>
            <w:shd w:fill="EFF6FF" w:val="clear"/>
            <w:tcMar>
              <w:top w:type="dxa" w:w="100"/>
              <w:left w:type="dxa" w:w="160"/>
              <w:bottom w:type="dxa" w:w="100"/>
              <w:right w:type="dxa" w:w="160"/>
            </w:tcMar>
          </w:tcPr>
          <w:p>
            <w:r>
              <w:rPr>
                <w:rFonts w:ascii="Calibri" w:cs="Calibri" w:eastAsia="Calibri" w:hAnsi="Calibri"/>
                <w:color w:val="1E293B"/>
                <w:sz w:val="20"/>
                <w:szCs w:val="20"/>
              </w:rPr>
              <w:t xml:space="preserve">Chart.js / Recharts</w:t>
            </w:r>
          </w:p>
        </w:tc>
      </w:tr>
      <w:tr>
        <w:tc>
          <w:tcPr>
            <w:tcW w:type="dxa" w:w="2800"/>
            <w:tcBorders>
              <w:top w:val="single" w:color="BFDBFE" w:sz="1"/>
              <w:left w:val="single" w:color="BFDBFE" w:sz="1"/>
              <w:bottom w:val="single" w:color="BFDBFE" w:sz="1"/>
              <w:right w:val="single" w:color="BFDBFE" w:sz="1"/>
            </w:tcBorders>
            <w:shd w:fill="DBEAFE" w:val="clear"/>
            <w:tcMar>
              <w:top w:type="dxa" w:w="100"/>
              <w:left w:type="dxa" w:w="160"/>
              <w:bottom w:type="dxa" w:w="100"/>
              <w:right w:type="dxa" w:w="120"/>
            </w:tcMar>
          </w:tcPr>
          <w:p>
            <w:r>
              <w:rPr>
                <w:rFonts w:ascii="Calibri" w:cs="Calibri" w:eastAsia="Calibri" w:hAnsi="Calibri"/>
                <w:b/>
                <w:bCs/>
                <w:color w:val="1E40AF"/>
                <w:sz w:val="20"/>
                <w:szCs w:val="20"/>
              </w:rPr>
              <w:t xml:space="preserve">Database</w:t>
            </w:r>
          </w:p>
        </w:tc>
        <w:tc>
          <w:tcPr>
            <w:tcW w:type="dxa" w:w="6560"/>
            <w:tcBorders>
              <w:top w:val="single" w:color="BFDBFE" w:sz="1"/>
              <w:left w:val="single" w:color="BFDBFE" w:sz="1"/>
              <w:bottom w:val="single" w:color="BFDBFE" w:sz="1"/>
              <w:right w:val="single" w:color="BFDBFE" w:sz="1"/>
            </w:tcBorders>
            <w:shd w:fill="EFF6FF" w:val="clear"/>
            <w:tcMar>
              <w:top w:type="dxa" w:w="100"/>
              <w:left w:type="dxa" w:w="160"/>
              <w:bottom w:type="dxa" w:w="100"/>
              <w:right w:type="dxa" w:w="160"/>
            </w:tcMar>
          </w:tcPr>
          <w:p>
            <w:r>
              <w:rPr>
                <w:rFonts w:ascii="Calibri" w:cs="Calibri" w:eastAsia="Calibri" w:hAnsi="Calibri"/>
                <w:color w:val="1E293B"/>
                <w:sz w:val="20"/>
                <w:szCs w:val="20"/>
              </w:rPr>
              <w:t xml:space="preserve">PostgreSQL / MongoDB</w:t>
            </w:r>
          </w:p>
        </w:tc>
      </w:tr>
      <w:tr>
        <w:tc>
          <w:tcPr>
            <w:tcW w:type="dxa" w:w="2800"/>
            <w:tcBorders>
              <w:top w:val="single" w:color="BFDBFE" w:sz="1"/>
              <w:left w:val="single" w:color="BFDBFE" w:sz="1"/>
              <w:bottom w:val="single" w:color="BFDBFE" w:sz="1"/>
              <w:right w:val="single" w:color="BFDBFE" w:sz="1"/>
            </w:tcBorders>
            <w:shd w:fill="DBEAFE" w:val="clear"/>
            <w:tcMar>
              <w:top w:type="dxa" w:w="100"/>
              <w:left w:type="dxa" w:w="160"/>
              <w:bottom w:type="dxa" w:w="100"/>
              <w:right w:type="dxa" w:w="120"/>
            </w:tcMar>
          </w:tcPr>
          <w:p>
            <w:r>
              <w:rPr>
                <w:rFonts w:ascii="Calibri" w:cs="Calibri" w:eastAsia="Calibri" w:hAnsi="Calibri"/>
                <w:b/>
                <w:bCs/>
                <w:color w:val="1E40AF"/>
                <w:sz w:val="20"/>
                <w:szCs w:val="20"/>
              </w:rPr>
              <w:t xml:space="preserve">Reporting</w:t>
            </w:r>
          </w:p>
        </w:tc>
        <w:tc>
          <w:tcPr>
            <w:tcW w:type="dxa" w:w="6560"/>
            <w:tcBorders>
              <w:top w:val="single" w:color="BFDBFE" w:sz="1"/>
              <w:left w:val="single" w:color="BFDBFE" w:sz="1"/>
              <w:bottom w:val="single" w:color="BFDBFE" w:sz="1"/>
              <w:right w:val="single" w:color="BFDBFE" w:sz="1"/>
            </w:tcBorders>
            <w:shd w:fill="EFF6FF" w:val="clear"/>
            <w:tcMar>
              <w:top w:type="dxa" w:w="100"/>
              <w:left w:type="dxa" w:w="160"/>
              <w:bottom w:type="dxa" w:w="100"/>
              <w:right w:type="dxa" w:w="160"/>
            </w:tcMar>
          </w:tcPr>
          <w:p>
            <w:r>
              <w:rPr>
                <w:rFonts w:ascii="Calibri" w:cs="Calibri" w:eastAsia="Calibri" w:hAnsi="Calibri"/>
                <w:color w:val="1E293B"/>
                <w:sz w:val="20"/>
                <w:szCs w:val="20"/>
              </w:rPr>
              <w:t xml:space="preserve">Python-docx / ReportLab</w:t>
            </w:r>
          </w:p>
        </w:tc>
      </w:tr>
    </w:tbl>
    <w:p>
      <w:pPr>
        <w:spacing w:after="280" w:before="0"/>
      </w:pPr>
    </w:p>
    <w:p>
      <w:pPr>
        <w:pStyle w:val="Heading1"/>
        <w:pBdr>
          <w:bottom w:val="single" w:color="3B82F6" w:sz="4" w:space="6"/>
        </w:pBdr>
        <w:spacing w:after="160" w:before="360"/>
      </w:pPr>
      <w:r>
        <w:rPr>
          <w:rFonts w:ascii="Calibri" w:cs="Calibri" w:eastAsia="Calibri" w:hAnsi="Calibri"/>
          <w:b/>
          <w:bCs/>
          <w:color w:val="1E40AF"/>
          <w:sz w:val="32"/>
          <w:szCs w:val="32"/>
        </w:rPr>
        <w:t xml:space="preserve">6. User Experience Design</w:t>
      </w:r>
    </w:p>
    <w:p>
      <w:pPr>
        <w:spacing w:after="80" w:before="80" w:line="320"/>
      </w:pPr>
      <w:r>
        <w:rPr>
          <w:rFonts w:ascii="Calibri" w:cs="Calibri" w:eastAsia="Calibri" w:hAnsi="Calibri"/>
          <w:color w:val="1E293B"/>
          <w:sz w:val="22"/>
          <w:szCs w:val="22"/>
        </w:rPr>
        <w:t xml:space="preserve">The platform delivers a clean, modern analytics dashboard experience following a simple four-step workflow:</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none" w:color="FFFFFF" w:sz="0"/>
              <w:left w:val="none" w:color="FFFFFF" w:sz="0"/>
              <w:bottom w:val="none" w:color="FFFFFF" w:sz="0"/>
              <w:right w:val="none" w:color="FFFFFF" w:sz="0"/>
            </w:tcBorders>
            <w:shd w:fill="1E40AF" w:val="clear"/>
            <w:tcMar>
              <w:top w:type="dxa" w:w="200"/>
              <w:left w:type="dxa" w:w="120"/>
              <w:bottom w:type="dxa" w:w="200"/>
              <w:right w:type="dxa" w:w="120"/>
            </w:tcMar>
          </w:tcPr>
          <w:p>
            <w:pPr>
              <w:jc w:val="center"/>
            </w:pPr>
            <w:r>
              <w:rPr>
                <w:rFonts w:ascii="Calibri" w:cs="Calibri" w:eastAsia="Calibri" w:hAnsi="Calibri"/>
                <w:b/>
                <w:bCs/>
                <w:color w:val="FFFFFF"/>
                <w:sz w:val="24"/>
                <w:szCs w:val="24"/>
              </w:rPr>
              <w:t xml:space="preserve">📤  Upload</w:t>
            </w:r>
          </w:p>
        </w:tc>
        <w:tc>
          <w:tcPr>
            <w:tcBorders>
              <w:top w:val="none" w:color="FFFFFF" w:sz="0"/>
              <w:left w:val="none" w:color="FFFFFF" w:sz="0"/>
              <w:bottom w:val="none" w:color="FFFFFF" w:sz="0"/>
              <w:right w:val="none" w:color="FFFFFF" w:sz="0"/>
            </w:tcBorders>
            <w:shd w:fill="3B82F6" w:val="clear"/>
            <w:tcMar>
              <w:top w:type="dxa" w:w="200"/>
              <w:left w:type="dxa" w:w="120"/>
              <w:bottom w:type="dxa" w:w="200"/>
              <w:right w:type="dxa" w:w="120"/>
            </w:tcMar>
          </w:tcPr>
          <w:p>
            <w:pPr>
              <w:jc w:val="center"/>
            </w:pPr>
            <w:r>
              <w:rPr>
                <w:rFonts w:ascii="Calibri" w:cs="Calibri" w:eastAsia="Calibri" w:hAnsi="Calibri"/>
                <w:b/>
                <w:bCs/>
                <w:color w:val="FFFFFF"/>
                <w:sz w:val="24"/>
                <w:szCs w:val="24"/>
              </w:rPr>
              <w:t xml:space="preserve">⚙️  Analyze</w:t>
            </w:r>
          </w:p>
        </w:tc>
        <w:tc>
          <w:tcPr>
            <w:tcBorders>
              <w:top w:val="none" w:color="FFFFFF" w:sz="0"/>
              <w:left w:val="none" w:color="FFFFFF" w:sz="0"/>
              <w:bottom w:val="none" w:color="FFFFFF" w:sz="0"/>
              <w:right w:val="none" w:color="FFFFFF" w:sz="0"/>
            </w:tcBorders>
            <w:shd w:fill="1E40AF" w:val="clear"/>
            <w:tcMar>
              <w:top w:type="dxa" w:w="200"/>
              <w:left w:type="dxa" w:w="120"/>
              <w:bottom w:type="dxa" w:w="200"/>
              <w:right w:type="dxa" w:w="120"/>
            </w:tcMar>
          </w:tcPr>
          <w:p>
            <w:pPr>
              <w:jc w:val="center"/>
            </w:pPr>
            <w:r>
              <w:rPr>
                <w:rFonts w:ascii="Calibri" w:cs="Calibri" w:eastAsia="Calibri" w:hAnsi="Calibri"/>
                <w:b/>
                <w:bCs/>
                <w:color w:val="FFFFFF"/>
                <w:sz w:val="24"/>
                <w:szCs w:val="24"/>
              </w:rPr>
              <w:t xml:space="preserve">📊  Dashboard</w:t>
            </w:r>
          </w:p>
        </w:tc>
        <w:tc>
          <w:tcPr>
            <w:tcBorders>
              <w:top w:val="none" w:color="FFFFFF" w:sz="0"/>
              <w:left w:val="none" w:color="FFFFFF" w:sz="0"/>
              <w:bottom w:val="none" w:color="FFFFFF" w:sz="0"/>
              <w:right w:val="none" w:color="FFFFFF" w:sz="0"/>
            </w:tcBorders>
            <w:shd w:fill="3B82F6" w:val="clear"/>
            <w:tcMar>
              <w:top w:type="dxa" w:w="200"/>
              <w:left w:type="dxa" w:w="120"/>
              <w:bottom w:type="dxa" w:w="200"/>
              <w:right w:type="dxa" w:w="120"/>
            </w:tcMar>
          </w:tcPr>
          <w:p>
            <w:pPr>
              <w:jc w:val="center"/>
            </w:pPr>
            <w:r>
              <w:rPr>
                <w:rFonts w:ascii="Calibri" w:cs="Calibri" w:eastAsia="Calibri" w:hAnsi="Calibri"/>
                <w:b/>
                <w:bCs/>
                <w:color w:val="FFFFFF"/>
                <w:sz w:val="24"/>
                <w:szCs w:val="24"/>
              </w:rPr>
              <w:t xml:space="preserve">📄  Report</w:t>
            </w:r>
          </w:p>
        </w:tc>
      </w:tr>
    </w:tbl>
    <w:p>
      <w:pPr>
        <w:spacing w:after="200" w:before="0"/>
      </w:pPr>
    </w:p>
    <w:p>
      <w:pPr>
        <w:pStyle w:val="ListParagraph"/>
        <w:numPr>
          <w:ilvl w:val="0"/>
          <w:numId w:val="2"/>
        </w:numPr>
        <w:spacing w:after="60" w:before="60"/>
      </w:pPr>
      <w:r>
        <w:rPr>
          <w:rFonts w:ascii="Calibri" w:cs="Calibri" w:eastAsia="Calibri" w:hAnsi="Calibri"/>
          <w:color w:val="1E293B"/>
          <w:sz w:val="22"/>
          <w:szCs w:val="22"/>
        </w:rPr>
        <w:t xml:space="preserve">Professional enterprise-style layout similar to Power BI — but fully AI-automated</w:t>
      </w:r>
    </w:p>
    <w:p>
      <w:pPr>
        <w:pStyle w:val="ListParagraph"/>
        <w:numPr>
          <w:ilvl w:val="0"/>
          <w:numId w:val="2"/>
        </w:numPr>
        <w:spacing w:after="60" w:before="60"/>
      </w:pPr>
      <w:r>
        <w:rPr>
          <w:rFonts w:ascii="Calibri" w:cs="Calibri" w:eastAsia="Calibri" w:hAnsi="Calibri"/>
          <w:color w:val="1E293B"/>
          <w:sz w:val="22"/>
          <w:szCs w:val="22"/>
        </w:rPr>
        <w:t xml:space="preserve">Fast processing and responsive UI for non-technical users</w:t>
      </w:r>
    </w:p>
    <w:p>
      <w:pPr>
        <w:pStyle w:val="ListParagraph"/>
        <w:numPr>
          <w:ilvl w:val="0"/>
          <w:numId w:val="2"/>
        </w:numPr>
        <w:spacing w:after="60" w:before="60"/>
      </w:pPr>
      <w:r>
        <w:rPr>
          <w:rFonts w:ascii="Calibri" w:cs="Calibri" w:eastAsia="Calibri" w:hAnsi="Calibri"/>
          <w:color w:val="1E293B"/>
          <w:sz w:val="22"/>
          <w:szCs w:val="22"/>
        </w:rPr>
        <w:t xml:space="preserve">Natural language AI explanations accessible to all skill levels</w:t>
      </w:r>
    </w:p>
    <w:p>
      <w:pPr>
        <w:spacing w:after="280" w:before="0"/>
      </w:pPr>
    </w:p>
    <w:p>
      <w:pPr>
        <w:pStyle w:val="Heading1"/>
        <w:pBdr>
          <w:bottom w:val="single" w:color="3B82F6" w:sz="4" w:space="6"/>
        </w:pBdr>
        <w:spacing w:after="160" w:before="360"/>
      </w:pPr>
      <w:r>
        <w:rPr>
          <w:rFonts w:ascii="Calibri" w:cs="Calibri" w:eastAsia="Calibri" w:hAnsi="Calibri"/>
          <w:b/>
          <w:bCs/>
          <w:color w:val="1E40AF"/>
          <w:sz w:val="32"/>
          <w:szCs w:val="32"/>
        </w:rPr>
        <w:t xml:space="preserve">7. Measurable Outcomes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Borders>
              <w:top w:val="none" w:color="FFFFFF" w:sz="0"/>
              <w:left w:val="single" w:color="BFDBFE" w:sz="1"/>
              <w:bottom w:val="single" w:color="BFDBFE" w:sz="1"/>
              <w:right w:val="single" w:color="BFDBFE" w:sz="1"/>
            </w:tcBorders>
            <w:shd w:fill="EFF6FF" w:val="clear"/>
            <w:tcMar>
              <w:top w:type="dxa" w:w="140"/>
              <w:left w:type="dxa" w:w="200"/>
              <w:bottom w:type="dxa" w:w="140"/>
              <w:right w:type="dxa" w:w="160"/>
            </w:tcMar>
          </w:tcPr>
          <w:p>
            <w:r>
              <w:rPr>
                <w:rFonts w:ascii="Calibri" w:cs="Calibri" w:eastAsia="Calibri" w:hAnsi="Calibri"/>
                <w:color w:val="1E293B"/>
                <w:sz w:val="20"/>
                <w:szCs w:val="20"/>
              </w:rPr>
              <w:t xml:space="preserve">✅  Fully functional AI data analytics system</w:t>
            </w:r>
          </w:p>
        </w:tc>
        <w:tc>
          <w:tcPr>
            <w:tcBorders>
              <w:top w:val="none" w:color="FFFFFF" w:sz="0"/>
              <w:left w:val="single" w:color="BFDBFE" w:sz="1"/>
              <w:bottom w:val="single" w:color="BFDBFE" w:sz="1"/>
              <w:right w:val="single" w:color="BFDBFE" w:sz="1"/>
            </w:tcBorders>
            <w:shd w:fill="EFF6FF" w:val="clear"/>
            <w:tcMar>
              <w:top w:type="dxa" w:w="140"/>
              <w:left w:type="dxa" w:w="200"/>
              <w:bottom w:type="dxa" w:w="140"/>
              <w:right w:type="dxa" w:w="160"/>
            </w:tcMar>
          </w:tcPr>
          <w:p>
            <w:r>
              <w:rPr>
                <w:rFonts w:ascii="Calibri" w:cs="Calibri" w:eastAsia="Calibri" w:hAnsi="Calibri"/>
                <w:color w:val="1E293B"/>
                <w:sz w:val="20"/>
                <w:szCs w:val="20"/>
              </w:rPr>
              <w:t xml:space="preserve">✅  Automated insight generation from raw datasets</w:t>
            </w:r>
          </w:p>
        </w:tc>
        <w:tc>
          <w:tcPr>
            <w:tcBorders>
              <w:top w:val="none" w:color="FFFFFF" w:sz="0"/>
              <w:left w:val="single" w:color="BFDBFE" w:sz="1"/>
              <w:bottom w:val="single" w:color="BFDBFE" w:sz="1"/>
              <w:right w:val="single" w:color="BFDBFE" w:sz="1"/>
            </w:tcBorders>
            <w:shd w:fill="EFF6FF" w:val="clear"/>
            <w:tcMar>
              <w:top w:type="dxa" w:w="140"/>
              <w:left w:type="dxa" w:w="200"/>
              <w:bottom w:type="dxa" w:w="140"/>
              <w:right w:type="dxa" w:w="160"/>
            </w:tcMar>
          </w:tcPr>
          <w:p>
            <w:r>
              <w:rPr>
                <w:rFonts w:ascii="Calibri" w:cs="Calibri" w:eastAsia="Calibri" w:hAnsi="Calibri"/>
                <w:color w:val="1E293B"/>
                <w:sz w:val="20"/>
                <w:szCs w:val="20"/>
              </w:rPr>
              <w:t xml:space="preserve">✅  Interactive dashboard with visual analytics</w:t>
            </w:r>
          </w:p>
        </w:tc>
        <w:tc>
          <w:tcPr>
            <w:tcBorders>
              <w:top w:val="none" w:color="FFFFFF" w:sz="0"/>
              <w:left w:val="single" w:color="BFDBFE" w:sz="1"/>
              <w:bottom w:val="single" w:color="BFDBFE" w:sz="1"/>
              <w:right w:val="single" w:color="BFDBFE" w:sz="1"/>
            </w:tcBorders>
            <w:shd w:fill="EFF6FF" w:val="clear"/>
            <w:tcMar>
              <w:top w:type="dxa" w:w="140"/>
              <w:left w:type="dxa" w:w="200"/>
              <w:bottom w:type="dxa" w:w="140"/>
              <w:right w:type="dxa" w:w="160"/>
            </w:tcMar>
          </w:tcPr>
          <w:p>
            <w:r>
              <w:rPr>
                <w:rFonts w:ascii="Calibri" w:cs="Calibri" w:eastAsia="Calibri" w:hAnsi="Calibri"/>
                <w:color w:val="1E293B"/>
                <w:sz w:val="20"/>
                <w:szCs w:val="20"/>
              </w:rPr>
              <w:t xml:space="preserve">✅  Professional executive report generation</w:t>
            </w:r>
          </w:p>
        </w:tc>
        <w:tc>
          <w:tcPr>
            <w:tcBorders>
              <w:top w:val="none" w:color="FFFFFF" w:sz="0"/>
              <w:left w:val="single" w:color="BFDBFE" w:sz="1"/>
              <w:bottom w:val="single" w:color="BFDBFE" w:sz="1"/>
              <w:right w:val="single" w:color="BFDBFE" w:sz="1"/>
            </w:tcBorders>
            <w:shd w:fill="EFF6FF" w:val="clear"/>
            <w:tcMar>
              <w:top w:type="dxa" w:w="140"/>
              <w:left w:type="dxa" w:w="200"/>
              <w:bottom w:type="dxa" w:w="140"/>
              <w:right w:type="dxa" w:w="160"/>
            </w:tcMar>
          </w:tcPr>
          <w:p>
            <w:r>
              <w:rPr>
                <w:rFonts w:ascii="Calibri" w:cs="Calibri" w:eastAsia="Calibri" w:hAnsi="Calibri"/>
                <w:color w:val="1E293B"/>
                <w:sz w:val="20"/>
                <w:szCs w:val="20"/>
              </w:rPr>
              <w:t xml:space="preserve">✅  Sentiment analysis capability</w:t>
            </w:r>
          </w:p>
        </w:tc>
        <w:tc>
          <w:tcPr>
            <w:tcBorders>
              <w:top w:val="none" w:color="FFFFFF" w:sz="0"/>
              <w:left w:val="single" w:color="BFDBFE" w:sz="1"/>
              <w:bottom w:val="single" w:color="BFDBFE" w:sz="1"/>
              <w:right w:val="single" w:color="BFDBFE" w:sz="1"/>
            </w:tcBorders>
            <w:shd w:fill="EFF6FF" w:val="clear"/>
            <w:tcMar>
              <w:top w:type="dxa" w:w="140"/>
              <w:left w:type="dxa" w:w="200"/>
              <w:bottom w:type="dxa" w:w="140"/>
              <w:right w:type="dxa" w:w="160"/>
            </w:tcMar>
          </w:tcPr>
          <w:p>
            <w:r>
              <w:rPr>
                <w:rFonts w:ascii="Calibri" w:cs="Calibri" w:eastAsia="Calibri" w:hAnsi="Calibri"/>
                <w:color w:val="1E293B"/>
                <w:sz w:val="20"/>
                <w:szCs w:val="20"/>
              </w:rPr>
              <w:t xml:space="preserve">✅  Predictive insights functionality</w:t>
            </w:r>
          </w:p>
        </w:tc>
      </w:tr>
    </w:tbl>
    <w:p>
      <w:pPr>
        <w:spacing w:after="2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40AF" w:val="clear"/>
            <w:tcMar>
              <w:top w:type="dxa" w:w="300"/>
              <w:left w:type="dxa" w:w="480"/>
              <w:bottom w:type="dxa" w:w="300"/>
              <w:right w:type="dxa" w:w="480"/>
            </w:tcMar>
          </w:tcPr>
          <w:p>
            <w:pPr>
              <w:spacing w:after="100" w:before="0"/>
              <w:jc w:val="center"/>
            </w:pPr>
            <w:r>
              <w:rPr>
                <w:rFonts w:ascii="Calibri" w:cs="Calibri" w:eastAsia="Calibri" w:hAnsi="Calibri"/>
                <w:b/>
                <w:bCs/>
                <w:color w:val="FFFFFF"/>
                <w:spacing w:val="150"/>
                <w:sz w:val="26"/>
                <w:szCs w:val="26"/>
              </w:rPr>
              <w:t xml:space="preserve">CONCLUSION</w:t>
            </w:r>
          </w:p>
          <w:p>
            <w:pPr>
              <w:spacing w:after="0" w:before="0"/>
              <w:jc w:val="center"/>
            </w:pPr>
            <w:r>
              <w:rPr>
                <w:rFonts w:ascii="Calibri" w:cs="Calibri" w:eastAsia="Calibri" w:hAnsi="Calibri"/>
                <w:color w:val="BFDBFE"/>
                <w:sz w:val="20"/>
                <w:szCs w:val="20"/>
              </w:rPr>
              <w:t xml:space="preserve">This project demonstrates the practical application of Artificial Intelligence in data analytics and business intelligence. It transforms raw data into actionable insights without requiring manual analysis, making advanced analytics accessible to non-technical users.</w:t>
            </w:r>
          </w:p>
        </w:tc>
      </w:tr>
    </w:tbl>
    <w:p>
      <w:pPr>
        <w:spacing w:after="120" w:before="0"/>
      </w:pPr>
    </w:p>
    <w:sectPr>
      <w:headerReference w:type="default" r:id="rId7"/>
      <w:footerReference w:type="default" r:id="rId8"/>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B82F6" w:sz="4" w:space="4"/>
      </w:pBdr>
      <w:tabs>
        <w:tab w:val="right" w:pos="9360"/>
      </w:tabs>
      <w:spacing w:after="0" w:before="80"/>
    </w:pPr>
    <w:r>
      <w:rPr>
        <w:rFonts w:ascii="Calibri" w:cs="Calibri" w:eastAsia="Calibri" w:hAnsi="Calibri"/>
        <w:color w:val="64748B"/>
        <w:sz w:val="16"/>
        <w:szCs w:val="16"/>
      </w:rPr>
      <w:t xml:space="preserve">Confidential — AI Bootcamp 2026</w:t>
    </w:r>
    <w:r>
      <w:rPr>
        <w:rFonts w:ascii="Calibri" w:cs="Calibri" w:eastAsia="Calibri" w:hAnsi="Calibri"/>
        <w:color w:val="64748B"/>
        <w:sz w:val="16"/>
        <w:szCs w:val="16"/>
      </w:rPr>
      <w:t xml:space="preserve">	Page </w:t>
    </w:r>
    <w:r>
      <w:rPr>
        <w:rFonts w:ascii="Calibri" w:cs="Calibri" w:eastAsia="Calibri" w:hAnsi="Calibri"/>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0AF" w:sz="4" w:space="4"/>
      </w:pBdr>
      <w:spacing w:after="80" w:before="0"/>
    </w:pPr>
    <w:r>
      <w:rPr>
        <w:rFonts w:ascii="Calibri" w:cs="Calibri" w:eastAsia="Calibri" w:hAnsi="Calibri"/>
        <w:b/>
        <w:bCs/>
        <w:color w:val="1E40AF"/>
        <w:sz w:val="18"/>
        <w:szCs w:val="18"/>
      </w:rPr>
      <w:t xml:space="preserve">AI-POWERED DATA INSIGHTS &amp; SENTIMENT ANALYSIS DASHBOARD</w:t>
    </w:r>
    <w:r>
      <w:rPr>
        <w:rFonts w:ascii="Calibri" w:cs="Calibri" w:eastAsia="Calibri" w:hAnsi="Calibri"/>
        <w:color w:val="64748B"/>
        <w:sz w:val="18"/>
        <w:szCs w:val="18"/>
      </w:rPr>
      <w:t xml:space="preserve">   |   AI Bootcamp 2026 — Week 3 Individual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E40AF"/>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3B82F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2026-05-14T06:43:39.879Z</dcterms:created>
  <dcterms:modified xsi:type="dcterms:W3CDTF">2026-05-14T06:43:39.879Z</dcterms:modified>
</cp:coreProperties>
</file>

<file path=docProps/custom.xml><?xml version="1.0" encoding="utf-8"?>
<Properties xmlns="http://schemas.openxmlformats.org/officeDocument/2006/custom-properties" xmlns:vt="http://schemas.openxmlformats.org/officeDocument/2006/docPropsVTypes"/>
</file>