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C46BC" w14:textId="77777777" w:rsidR="00CF7687" w:rsidRPr="00715F1A" w:rsidRDefault="002F6A7E">
      <w:pPr>
        <w:pStyle w:val="Heading1"/>
        <w:spacing w:before="240"/>
        <w:rPr>
          <w:rFonts w:asciiTheme="majorHAnsi" w:hAnsiTheme="majorHAnsi" w:cstheme="majorHAnsi"/>
        </w:rPr>
      </w:pPr>
      <w:r w:rsidRPr="00715F1A">
        <w:rPr>
          <w:rFonts w:asciiTheme="majorHAnsi" w:hAnsiTheme="majorHAnsi" w:cstheme="majorHAnsi"/>
        </w:rPr>
        <w:t>Amazon Web Services Professional Services – Fixed Price Statement of Work</w:t>
      </w:r>
    </w:p>
    <w:p w14:paraId="794688D0" w14:textId="77777777" w:rsidR="00CF7687" w:rsidRPr="00715F1A" w:rsidRDefault="00CF7687">
      <w:pPr>
        <w:tabs>
          <w:tab w:val="left" w:pos="6660"/>
        </w:tabs>
        <w:rPr>
          <w:rFonts w:asciiTheme="majorHAnsi" w:hAnsiTheme="majorHAnsi" w:cstheme="majorHAnsi"/>
        </w:rPr>
      </w:pPr>
    </w:p>
    <w:tbl>
      <w:tblPr>
        <w:tblStyle w:val="TableGrid"/>
        <w:tblW w:w="0" w:type="auto"/>
        <w:tblInd w:w="-5" w:type="dxa"/>
        <w:tblBorders>
          <w:insideV w:val="dashSmallGap" w:sz="4" w:space="0" w:color="auto"/>
        </w:tblBorders>
        <w:tblLook w:val="04A0" w:firstRow="1" w:lastRow="0" w:firstColumn="1" w:lastColumn="0" w:noHBand="0" w:noVBand="1"/>
      </w:tblPr>
      <w:tblGrid>
        <w:gridCol w:w="3198"/>
        <w:gridCol w:w="5437"/>
      </w:tblGrid>
      <w:tr w:rsidR="00170108" w:rsidRPr="00715F1A" w14:paraId="36E48CC1" w14:textId="77777777">
        <w:trPr>
          <w:trHeight w:val="323"/>
        </w:trPr>
        <w:tc>
          <w:tcPr>
            <w:tcW w:w="3198" w:type="dxa"/>
            <w:shd w:val="clear" w:color="auto" w:fill="666666"/>
          </w:tcPr>
          <w:p w14:paraId="18221E6A" w14:textId="77777777" w:rsidR="00170108" w:rsidRPr="00715F1A" w:rsidRDefault="00170108" w:rsidP="00170108">
            <w:pPr>
              <w:pStyle w:val="TblHeader"/>
              <w:jc w:val="left"/>
              <w:rPr>
                <w:rFonts w:asciiTheme="majorHAnsi" w:hAnsiTheme="majorHAnsi" w:cstheme="majorHAnsi"/>
                <w:sz w:val="22"/>
                <w:szCs w:val="22"/>
              </w:rPr>
            </w:pPr>
            <w:r w:rsidRPr="00715F1A">
              <w:rPr>
                <w:rFonts w:asciiTheme="majorHAnsi" w:hAnsiTheme="majorHAnsi" w:cstheme="majorHAnsi"/>
                <w:sz w:val="22"/>
                <w:szCs w:val="22"/>
              </w:rPr>
              <w:t>“Customer”</w:t>
            </w:r>
          </w:p>
        </w:tc>
        <w:tc>
          <w:tcPr>
            <w:tcW w:w="5437" w:type="dxa"/>
            <w:vAlign w:val="center"/>
          </w:tcPr>
          <w:p w14:paraId="6FF57709" w14:textId="16960A15" w:rsidR="00170108" w:rsidRPr="00D756AA" w:rsidRDefault="00221E68" w:rsidP="00170108">
            <w:pPr>
              <w:jc w:val="right"/>
              <w:rPr>
                <w:rFonts w:asciiTheme="majorHAnsi" w:hAnsiTheme="majorHAnsi" w:cstheme="majorHAnsi"/>
                <w:sz w:val="22"/>
                <w:szCs w:val="22"/>
                <w:lang w:val="en-US"/>
              </w:rPr>
            </w:pPr>
            <w:proofErr w:type="spellStart"/>
            <w:r>
              <w:rPr>
                <w:rFonts w:asciiTheme="majorHAnsi" w:hAnsiTheme="majorHAnsi" w:cstheme="majorHAnsi"/>
                <w:sz w:val="22"/>
                <w:szCs w:val="22"/>
                <w:lang w:val="en-US"/>
              </w:rPr>
              <w:t>F</w:t>
            </w:r>
            <w:r>
              <w:rPr>
                <w:rFonts w:ascii="宋体" w:eastAsia="宋体" w:hAnsi="宋体" w:cstheme="majorHAnsi"/>
                <w:sz w:val="22"/>
                <w:szCs w:val="22"/>
                <w:lang w:val="en-US"/>
              </w:rPr>
              <w:t>ru</w:t>
            </w:r>
            <w:r>
              <w:rPr>
                <w:rFonts w:asciiTheme="majorHAnsi" w:hAnsiTheme="majorHAnsi" w:cstheme="majorHAnsi"/>
                <w:sz w:val="22"/>
                <w:szCs w:val="22"/>
                <w:lang w:val="en-US"/>
              </w:rPr>
              <w:t>itStand</w:t>
            </w:r>
            <w:proofErr w:type="spellEnd"/>
            <w:r>
              <w:rPr>
                <w:rFonts w:asciiTheme="majorHAnsi" w:hAnsiTheme="majorHAnsi" w:cstheme="majorHAnsi"/>
                <w:sz w:val="22"/>
                <w:szCs w:val="22"/>
                <w:lang w:val="en-US"/>
              </w:rPr>
              <w:t xml:space="preserve"> </w:t>
            </w:r>
          </w:p>
        </w:tc>
      </w:tr>
      <w:tr w:rsidR="00170108" w:rsidRPr="00715F1A" w14:paraId="04B2CFC2" w14:textId="77777777">
        <w:trPr>
          <w:trHeight w:val="323"/>
        </w:trPr>
        <w:tc>
          <w:tcPr>
            <w:tcW w:w="3198" w:type="dxa"/>
            <w:shd w:val="clear" w:color="auto" w:fill="666666"/>
            <w:vAlign w:val="center"/>
          </w:tcPr>
          <w:p w14:paraId="78634A6E" w14:textId="77777777" w:rsidR="00170108" w:rsidRPr="00715F1A" w:rsidRDefault="00170108" w:rsidP="00170108">
            <w:pPr>
              <w:pStyle w:val="TblHeader"/>
              <w:jc w:val="left"/>
              <w:rPr>
                <w:rFonts w:asciiTheme="majorHAnsi" w:hAnsiTheme="majorHAnsi" w:cstheme="majorHAnsi"/>
                <w:sz w:val="22"/>
                <w:szCs w:val="22"/>
              </w:rPr>
            </w:pPr>
            <w:r w:rsidRPr="00715F1A">
              <w:rPr>
                <w:rFonts w:asciiTheme="majorHAnsi" w:hAnsiTheme="majorHAnsi" w:cstheme="majorHAnsi"/>
                <w:sz w:val="22"/>
                <w:szCs w:val="22"/>
              </w:rPr>
              <w:t>“Amazon Web Services”</w:t>
            </w:r>
          </w:p>
        </w:tc>
        <w:tc>
          <w:tcPr>
            <w:tcW w:w="5437" w:type="dxa"/>
            <w:vAlign w:val="center"/>
          </w:tcPr>
          <w:p w14:paraId="2562A5A7" w14:textId="77777777" w:rsidR="00170108" w:rsidRPr="00715F1A" w:rsidRDefault="00170108" w:rsidP="00170108">
            <w:pPr>
              <w:jc w:val="right"/>
              <w:rPr>
                <w:rFonts w:asciiTheme="majorHAnsi" w:hAnsiTheme="majorHAnsi" w:cstheme="majorHAnsi"/>
                <w:sz w:val="22"/>
                <w:szCs w:val="22"/>
              </w:rPr>
            </w:pPr>
            <w:r w:rsidRPr="00715F1A">
              <w:rPr>
                <w:rFonts w:asciiTheme="majorHAnsi" w:hAnsiTheme="majorHAnsi" w:cstheme="majorHAnsi"/>
                <w:sz w:val="22"/>
                <w:szCs w:val="22"/>
              </w:rPr>
              <w:t>Amazon Connect Technology Services (Beijing) Co., Ltd.</w:t>
            </w:r>
          </w:p>
          <w:p w14:paraId="5EFC00AD" w14:textId="77777777" w:rsidR="00170108" w:rsidRPr="00715F1A" w:rsidRDefault="00170108" w:rsidP="00170108">
            <w:pPr>
              <w:jc w:val="right"/>
              <w:rPr>
                <w:rFonts w:asciiTheme="majorHAnsi" w:hAnsiTheme="majorHAnsi" w:cstheme="majorHAnsi"/>
                <w:sz w:val="22"/>
                <w:szCs w:val="22"/>
              </w:rPr>
            </w:pPr>
            <w:r w:rsidRPr="00715F1A">
              <w:rPr>
                <w:rFonts w:asciiTheme="majorHAnsi" w:eastAsia="微软雅黑" w:hAnsiTheme="majorHAnsi" w:cstheme="majorHAnsi"/>
                <w:sz w:val="22"/>
                <w:szCs w:val="22"/>
              </w:rPr>
              <w:t>（亚马逊通技术服务（北京）有限公司</w:t>
            </w:r>
            <w:r w:rsidRPr="00715F1A">
              <w:rPr>
                <w:rFonts w:asciiTheme="majorHAnsi" w:hAnsiTheme="majorHAnsi" w:cstheme="majorHAnsi"/>
                <w:sz w:val="22"/>
                <w:szCs w:val="22"/>
              </w:rPr>
              <w:t>)</w:t>
            </w:r>
          </w:p>
        </w:tc>
      </w:tr>
      <w:tr w:rsidR="002128A3" w:rsidRPr="00715F1A" w14:paraId="34A9653B" w14:textId="77777777">
        <w:trPr>
          <w:trHeight w:val="288"/>
        </w:trPr>
        <w:tc>
          <w:tcPr>
            <w:tcW w:w="3198" w:type="dxa"/>
            <w:shd w:val="clear" w:color="auto" w:fill="666666"/>
          </w:tcPr>
          <w:p w14:paraId="78F8A4F2" w14:textId="77777777" w:rsidR="002128A3" w:rsidRPr="00715F1A" w:rsidRDefault="002128A3" w:rsidP="002128A3">
            <w:pPr>
              <w:pStyle w:val="TblHeader"/>
              <w:jc w:val="left"/>
              <w:rPr>
                <w:rFonts w:asciiTheme="majorHAnsi" w:hAnsiTheme="majorHAnsi" w:cstheme="majorHAnsi"/>
                <w:sz w:val="22"/>
                <w:szCs w:val="22"/>
              </w:rPr>
            </w:pPr>
            <w:r w:rsidRPr="00715F1A">
              <w:rPr>
                <w:rFonts w:asciiTheme="majorHAnsi" w:hAnsiTheme="majorHAnsi" w:cstheme="majorHAnsi"/>
                <w:sz w:val="22"/>
                <w:szCs w:val="22"/>
              </w:rPr>
              <w:t>Project Name</w:t>
            </w:r>
          </w:p>
        </w:tc>
        <w:tc>
          <w:tcPr>
            <w:tcW w:w="5437" w:type="dxa"/>
            <w:vAlign w:val="center"/>
          </w:tcPr>
          <w:p w14:paraId="75DCDA23" w14:textId="45BA492C" w:rsidR="002128A3" w:rsidRPr="00715F1A" w:rsidRDefault="002128A3" w:rsidP="002128A3">
            <w:pPr>
              <w:jc w:val="right"/>
              <w:rPr>
                <w:rFonts w:asciiTheme="majorHAnsi" w:hAnsiTheme="majorHAnsi" w:cstheme="majorHAnsi"/>
                <w:sz w:val="22"/>
                <w:szCs w:val="22"/>
              </w:rPr>
            </w:pPr>
            <w:proofErr w:type="spellStart"/>
            <w:r>
              <w:rPr>
                <w:rFonts w:asciiTheme="majorHAnsi" w:hAnsiTheme="majorHAnsi" w:cstheme="majorHAnsi"/>
                <w:sz w:val="22"/>
                <w:szCs w:val="22"/>
                <w:lang w:val="en-US"/>
              </w:rPr>
              <w:t>F</w:t>
            </w:r>
            <w:r>
              <w:rPr>
                <w:rFonts w:ascii="宋体" w:eastAsia="宋体" w:hAnsi="宋体" w:cstheme="majorHAnsi"/>
                <w:sz w:val="22"/>
                <w:szCs w:val="22"/>
                <w:lang w:val="en-US"/>
              </w:rPr>
              <w:t>ru</w:t>
            </w:r>
            <w:r>
              <w:rPr>
                <w:rFonts w:asciiTheme="majorHAnsi" w:hAnsiTheme="majorHAnsi" w:cstheme="majorHAnsi"/>
                <w:sz w:val="22"/>
                <w:szCs w:val="22"/>
                <w:lang w:val="en-US"/>
              </w:rPr>
              <w:t>itStand</w:t>
            </w:r>
            <w:proofErr w:type="spellEnd"/>
            <w:r>
              <w:rPr>
                <w:rFonts w:asciiTheme="majorHAnsi" w:hAnsiTheme="majorHAnsi" w:cstheme="majorHAnsi"/>
                <w:sz w:val="22"/>
                <w:szCs w:val="22"/>
                <w:lang w:val="en-US"/>
              </w:rPr>
              <w:t xml:space="preserve"> AOS </w:t>
            </w:r>
            <w:proofErr w:type="spellStart"/>
            <w:r>
              <w:rPr>
                <w:rFonts w:asciiTheme="majorHAnsi" w:hAnsiTheme="majorHAnsi" w:cstheme="majorHAnsi"/>
                <w:sz w:val="22"/>
                <w:szCs w:val="22"/>
                <w:lang w:val="en-US"/>
              </w:rPr>
              <w:t>VoC</w:t>
            </w:r>
            <w:proofErr w:type="spellEnd"/>
            <w:r>
              <w:rPr>
                <w:rFonts w:asciiTheme="majorHAnsi" w:hAnsiTheme="majorHAnsi" w:cstheme="majorHAnsi"/>
                <w:sz w:val="22"/>
                <w:szCs w:val="22"/>
                <w:lang w:val="en-US"/>
              </w:rPr>
              <w:t xml:space="preserve"> Project</w:t>
            </w:r>
          </w:p>
        </w:tc>
      </w:tr>
      <w:tr w:rsidR="002128A3" w:rsidRPr="00715F1A" w14:paraId="5F411E31" w14:textId="77777777">
        <w:trPr>
          <w:trHeight w:val="288"/>
        </w:trPr>
        <w:tc>
          <w:tcPr>
            <w:tcW w:w="3198" w:type="dxa"/>
            <w:shd w:val="clear" w:color="auto" w:fill="666666"/>
          </w:tcPr>
          <w:p w14:paraId="619D4D4A" w14:textId="77777777" w:rsidR="002128A3" w:rsidRPr="00715F1A" w:rsidRDefault="002128A3" w:rsidP="002128A3">
            <w:pPr>
              <w:pStyle w:val="TblHeader"/>
              <w:jc w:val="left"/>
              <w:rPr>
                <w:rFonts w:asciiTheme="majorHAnsi" w:hAnsiTheme="majorHAnsi" w:cstheme="majorHAnsi"/>
                <w:sz w:val="22"/>
                <w:szCs w:val="22"/>
                <w:highlight w:val="yellow"/>
              </w:rPr>
            </w:pPr>
            <w:r w:rsidRPr="00715F1A">
              <w:rPr>
                <w:rFonts w:asciiTheme="majorHAnsi" w:hAnsiTheme="majorHAnsi" w:cstheme="majorHAnsi"/>
                <w:sz w:val="22"/>
                <w:szCs w:val="22"/>
              </w:rPr>
              <w:t>“Project Location”</w:t>
            </w:r>
          </w:p>
        </w:tc>
        <w:tc>
          <w:tcPr>
            <w:tcW w:w="5437" w:type="dxa"/>
            <w:vAlign w:val="center"/>
          </w:tcPr>
          <w:p w14:paraId="3F2A9273" w14:textId="00285803" w:rsidR="002128A3" w:rsidRPr="00715F1A" w:rsidRDefault="002128A3" w:rsidP="002128A3">
            <w:pPr>
              <w:jc w:val="right"/>
              <w:rPr>
                <w:rFonts w:asciiTheme="majorHAnsi" w:hAnsiTheme="majorHAnsi" w:cstheme="majorHAnsi"/>
                <w:sz w:val="22"/>
                <w:szCs w:val="22"/>
                <w:highlight w:val="yellow"/>
              </w:rPr>
            </w:pPr>
            <w:r w:rsidRPr="00715F1A">
              <w:rPr>
                <w:rFonts w:asciiTheme="majorHAnsi" w:hAnsiTheme="majorHAnsi" w:cstheme="majorHAnsi"/>
                <w:sz w:val="22"/>
                <w:szCs w:val="22"/>
              </w:rPr>
              <w:t>China</w:t>
            </w:r>
          </w:p>
        </w:tc>
      </w:tr>
      <w:tr w:rsidR="002128A3" w:rsidRPr="00715F1A" w14:paraId="2D07B4AE" w14:textId="77777777">
        <w:trPr>
          <w:trHeight w:val="288"/>
        </w:trPr>
        <w:tc>
          <w:tcPr>
            <w:tcW w:w="3198" w:type="dxa"/>
            <w:shd w:val="clear" w:color="auto" w:fill="666666"/>
          </w:tcPr>
          <w:p w14:paraId="60302487" w14:textId="77777777" w:rsidR="002128A3" w:rsidRPr="00715F1A" w:rsidRDefault="002128A3" w:rsidP="002128A3">
            <w:pPr>
              <w:pStyle w:val="TblHeader"/>
              <w:jc w:val="left"/>
              <w:rPr>
                <w:rFonts w:asciiTheme="majorHAnsi" w:hAnsiTheme="majorHAnsi" w:cstheme="majorHAnsi"/>
                <w:sz w:val="22"/>
                <w:szCs w:val="22"/>
              </w:rPr>
            </w:pPr>
            <w:r w:rsidRPr="00715F1A">
              <w:rPr>
                <w:rFonts w:asciiTheme="majorHAnsi" w:hAnsiTheme="majorHAnsi" w:cstheme="majorHAnsi"/>
                <w:sz w:val="22"/>
                <w:szCs w:val="22"/>
              </w:rPr>
              <w:t>Customer’s Engagement Contact Name and Email Address</w:t>
            </w:r>
          </w:p>
        </w:tc>
        <w:tc>
          <w:tcPr>
            <w:tcW w:w="5437" w:type="dxa"/>
            <w:vAlign w:val="center"/>
          </w:tcPr>
          <w:p w14:paraId="4BB655D5" w14:textId="2EE40346" w:rsidR="002128A3" w:rsidRPr="00715F1A" w:rsidRDefault="002128A3" w:rsidP="002128A3">
            <w:pPr>
              <w:jc w:val="right"/>
              <w:rPr>
                <w:rFonts w:asciiTheme="majorHAnsi" w:hAnsiTheme="majorHAnsi" w:cstheme="majorHAnsi"/>
                <w:sz w:val="22"/>
                <w:szCs w:val="22"/>
                <w:highlight w:val="yellow"/>
              </w:rPr>
            </w:pPr>
          </w:p>
        </w:tc>
      </w:tr>
      <w:tr w:rsidR="002128A3" w:rsidRPr="00715F1A" w14:paraId="19B5E8A3" w14:textId="77777777">
        <w:trPr>
          <w:trHeight w:val="288"/>
        </w:trPr>
        <w:tc>
          <w:tcPr>
            <w:tcW w:w="3198" w:type="dxa"/>
            <w:shd w:val="clear" w:color="auto" w:fill="666666"/>
          </w:tcPr>
          <w:p w14:paraId="1BAB4B0F" w14:textId="77777777" w:rsidR="002128A3" w:rsidRPr="00715F1A" w:rsidRDefault="002128A3" w:rsidP="002128A3">
            <w:pPr>
              <w:pStyle w:val="TblHeader"/>
              <w:jc w:val="left"/>
              <w:rPr>
                <w:rFonts w:asciiTheme="majorHAnsi" w:hAnsiTheme="majorHAnsi" w:cstheme="majorHAnsi"/>
                <w:sz w:val="22"/>
                <w:szCs w:val="22"/>
              </w:rPr>
            </w:pPr>
            <w:r w:rsidRPr="00715F1A">
              <w:rPr>
                <w:rFonts w:asciiTheme="majorHAnsi" w:hAnsiTheme="majorHAnsi" w:cstheme="majorHAnsi"/>
                <w:sz w:val="22"/>
                <w:szCs w:val="22"/>
              </w:rPr>
              <w:t xml:space="preserve">Customer’s Accounts Payable / </w:t>
            </w:r>
          </w:p>
          <w:p w14:paraId="156B3BBE" w14:textId="77777777" w:rsidR="002128A3" w:rsidRPr="00715F1A" w:rsidRDefault="002128A3" w:rsidP="002128A3">
            <w:pPr>
              <w:pStyle w:val="TblHeader"/>
              <w:jc w:val="left"/>
              <w:rPr>
                <w:rFonts w:asciiTheme="majorHAnsi" w:hAnsiTheme="majorHAnsi" w:cstheme="majorHAnsi"/>
                <w:sz w:val="22"/>
                <w:szCs w:val="22"/>
              </w:rPr>
            </w:pPr>
            <w:r w:rsidRPr="00715F1A">
              <w:rPr>
                <w:rFonts w:asciiTheme="majorHAnsi" w:hAnsiTheme="majorHAnsi" w:cstheme="majorHAnsi"/>
                <w:sz w:val="22"/>
                <w:szCs w:val="22"/>
              </w:rPr>
              <w:t>Bill To / Name and Email Address</w:t>
            </w:r>
          </w:p>
        </w:tc>
        <w:tc>
          <w:tcPr>
            <w:tcW w:w="5437" w:type="dxa"/>
            <w:vAlign w:val="center"/>
          </w:tcPr>
          <w:p w14:paraId="4DDFB1D4" w14:textId="1617F7C9" w:rsidR="002128A3" w:rsidRPr="00715F1A" w:rsidRDefault="002128A3" w:rsidP="002128A3">
            <w:pPr>
              <w:jc w:val="right"/>
              <w:rPr>
                <w:rFonts w:asciiTheme="majorHAnsi" w:hAnsiTheme="majorHAnsi" w:cstheme="majorHAnsi"/>
                <w:sz w:val="22"/>
                <w:szCs w:val="22"/>
                <w:highlight w:val="yellow"/>
              </w:rPr>
            </w:pPr>
          </w:p>
        </w:tc>
      </w:tr>
      <w:tr w:rsidR="002128A3" w:rsidRPr="00715F1A" w14:paraId="12AD7650" w14:textId="77777777">
        <w:trPr>
          <w:trHeight w:val="288"/>
        </w:trPr>
        <w:tc>
          <w:tcPr>
            <w:tcW w:w="3198" w:type="dxa"/>
            <w:shd w:val="clear" w:color="auto" w:fill="666666"/>
          </w:tcPr>
          <w:p w14:paraId="72AA67CA" w14:textId="77777777" w:rsidR="002128A3" w:rsidRPr="00715F1A" w:rsidRDefault="002128A3" w:rsidP="002128A3">
            <w:pPr>
              <w:pStyle w:val="TblHeader"/>
              <w:jc w:val="left"/>
              <w:rPr>
                <w:rFonts w:asciiTheme="majorHAnsi" w:hAnsiTheme="majorHAnsi" w:cstheme="majorHAnsi"/>
                <w:sz w:val="22"/>
                <w:szCs w:val="22"/>
              </w:rPr>
            </w:pPr>
            <w:r w:rsidRPr="00715F1A">
              <w:rPr>
                <w:rFonts w:asciiTheme="majorHAnsi" w:hAnsiTheme="majorHAnsi" w:cstheme="majorHAnsi"/>
                <w:sz w:val="22"/>
                <w:szCs w:val="22"/>
              </w:rPr>
              <w:t xml:space="preserve">Customer’s Bill-To Mailing Address </w:t>
            </w:r>
          </w:p>
        </w:tc>
        <w:tc>
          <w:tcPr>
            <w:tcW w:w="5437" w:type="dxa"/>
            <w:vAlign w:val="center"/>
          </w:tcPr>
          <w:p w14:paraId="0E5CA187" w14:textId="3089A5B3" w:rsidR="002128A3" w:rsidRPr="00715F1A" w:rsidRDefault="002128A3" w:rsidP="002128A3">
            <w:pPr>
              <w:jc w:val="right"/>
              <w:rPr>
                <w:rFonts w:asciiTheme="majorHAnsi" w:hAnsiTheme="majorHAnsi" w:cstheme="majorHAnsi"/>
                <w:sz w:val="22"/>
                <w:szCs w:val="22"/>
                <w:highlight w:val="yellow"/>
              </w:rPr>
            </w:pPr>
          </w:p>
        </w:tc>
      </w:tr>
      <w:tr w:rsidR="002128A3" w:rsidRPr="00715F1A" w14:paraId="6E5A2851" w14:textId="77777777">
        <w:trPr>
          <w:trHeight w:val="288"/>
        </w:trPr>
        <w:tc>
          <w:tcPr>
            <w:tcW w:w="3198" w:type="dxa"/>
            <w:shd w:val="clear" w:color="auto" w:fill="666666"/>
          </w:tcPr>
          <w:p w14:paraId="48CE906F" w14:textId="77777777" w:rsidR="002128A3" w:rsidRPr="00715F1A" w:rsidRDefault="002128A3" w:rsidP="002128A3">
            <w:pPr>
              <w:pStyle w:val="TblHeader"/>
              <w:jc w:val="left"/>
              <w:rPr>
                <w:rFonts w:asciiTheme="majorHAnsi" w:hAnsiTheme="majorHAnsi" w:cstheme="majorHAnsi"/>
                <w:sz w:val="22"/>
                <w:szCs w:val="22"/>
              </w:rPr>
            </w:pPr>
            <w:r w:rsidRPr="00715F1A">
              <w:rPr>
                <w:rFonts w:asciiTheme="majorHAnsi" w:hAnsiTheme="majorHAnsi" w:cstheme="majorHAnsi"/>
                <w:sz w:val="22"/>
                <w:szCs w:val="22"/>
              </w:rPr>
              <w:t>Customer’s Bill-To Phone Number</w:t>
            </w:r>
          </w:p>
        </w:tc>
        <w:tc>
          <w:tcPr>
            <w:tcW w:w="5437" w:type="dxa"/>
            <w:vAlign w:val="center"/>
          </w:tcPr>
          <w:p w14:paraId="3787C33F" w14:textId="37E93095" w:rsidR="002128A3" w:rsidRPr="00715F1A" w:rsidRDefault="002128A3" w:rsidP="002128A3">
            <w:pPr>
              <w:jc w:val="right"/>
              <w:rPr>
                <w:rFonts w:asciiTheme="majorHAnsi" w:hAnsiTheme="majorHAnsi" w:cstheme="majorHAnsi"/>
                <w:sz w:val="22"/>
                <w:szCs w:val="22"/>
                <w:highlight w:val="yellow"/>
              </w:rPr>
            </w:pPr>
          </w:p>
        </w:tc>
      </w:tr>
      <w:tr w:rsidR="002128A3" w:rsidRPr="00715F1A" w14:paraId="651C5A65" w14:textId="77777777">
        <w:trPr>
          <w:trHeight w:val="287"/>
        </w:trPr>
        <w:tc>
          <w:tcPr>
            <w:tcW w:w="3198" w:type="dxa"/>
            <w:shd w:val="clear" w:color="auto" w:fill="666666"/>
          </w:tcPr>
          <w:p w14:paraId="23A08C5E" w14:textId="77777777" w:rsidR="002128A3" w:rsidRPr="00715F1A" w:rsidRDefault="002128A3" w:rsidP="002128A3">
            <w:pPr>
              <w:pStyle w:val="TblHeader"/>
              <w:jc w:val="left"/>
              <w:rPr>
                <w:rFonts w:asciiTheme="majorHAnsi" w:hAnsiTheme="majorHAnsi" w:cstheme="majorHAnsi"/>
                <w:sz w:val="22"/>
                <w:szCs w:val="22"/>
              </w:rPr>
            </w:pPr>
            <w:r w:rsidRPr="00715F1A">
              <w:rPr>
                <w:rFonts w:asciiTheme="majorHAnsi" w:hAnsiTheme="majorHAnsi" w:cstheme="majorHAnsi"/>
                <w:sz w:val="22"/>
                <w:szCs w:val="22"/>
              </w:rPr>
              <w:t>Customer’s Amazon Web Services Account ID</w:t>
            </w:r>
          </w:p>
        </w:tc>
        <w:tc>
          <w:tcPr>
            <w:tcW w:w="5437" w:type="dxa"/>
            <w:vAlign w:val="center"/>
          </w:tcPr>
          <w:p w14:paraId="6135B98E" w14:textId="00447081" w:rsidR="002128A3" w:rsidRPr="00715F1A" w:rsidRDefault="002128A3" w:rsidP="002128A3">
            <w:pPr>
              <w:jc w:val="right"/>
              <w:rPr>
                <w:rFonts w:asciiTheme="majorHAnsi" w:hAnsiTheme="majorHAnsi" w:cstheme="majorHAnsi"/>
                <w:sz w:val="22"/>
                <w:szCs w:val="22"/>
                <w:highlight w:val="yellow"/>
              </w:rPr>
            </w:pPr>
          </w:p>
        </w:tc>
      </w:tr>
      <w:tr w:rsidR="002128A3" w:rsidRPr="00715F1A" w14:paraId="2569C194" w14:textId="77777777">
        <w:trPr>
          <w:trHeight w:val="287"/>
        </w:trPr>
        <w:tc>
          <w:tcPr>
            <w:tcW w:w="3198" w:type="dxa"/>
            <w:shd w:val="clear" w:color="auto" w:fill="666666"/>
          </w:tcPr>
          <w:p w14:paraId="373A0BAD" w14:textId="77777777" w:rsidR="002128A3" w:rsidRPr="00715F1A" w:rsidRDefault="002128A3" w:rsidP="002128A3">
            <w:pPr>
              <w:pStyle w:val="TblHeader"/>
              <w:jc w:val="left"/>
              <w:rPr>
                <w:rFonts w:asciiTheme="majorHAnsi" w:hAnsiTheme="majorHAnsi" w:cstheme="majorHAnsi"/>
                <w:sz w:val="22"/>
                <w:szCs w:val="22"/>
                <w:highlight w:val="green"/>
              </w:rPr>
            </w:pPr>
            <w:r w:rsidRPr="00715F1A">
              <w:rPr>
                <w:rFonts w:asciiTheme="majorHAnsi" w:hAnsiTheme="majorHAnsi" w:cstheme="majorHAnsi"/>
                <w:sz w:val="22"/>
                <w:szCs w:val="22"/>
              </w:rPr>
              <w:t>Currency</w:t>
            </w:r>
          </w:p>
        </w:tc>
        <w:tc>
          <w:tcPr>
            <w:tcW w:w="5437" w:type="dxa"/>
            <w:vAlign w:val="center"/>
          </w:tcPr>
          <w:p w14:paraId="48DEC649" w14:textId="77777777" w:rsidR="002128A3" w:rsidRPr="00715F1A" w:rsidRDefault="002128A3" w:rsidP="002128A3">
            <w:pPr>
              <w:jc w:val="right"/>
              <w:rPr>
                <w:rFonts w:asciiTheme="majorHAnsi" w:hAnsiTheme="majorHAnsi" w:cstheme="majorHAnsi"/>
                <w:sz w:val="22"/>
                <w:szCs w:val="22"/>
                <w:highlight w:val="green"/>
              </w:rPr>
            </w:pPr>
            <w:r w:rsidRPr="00715F1A">
              <w:rPr>
                <w:rFonts w:asciiTheme="majorHAnsi" w:hAnsiTheme="majorHAnsi" w:cstheme="majorHAnsi"/>
                <w:sz w:val="22"/>
                <w:szCs w:val="22"/>
                <w:highlight w:val="yellow"/>
              </w:rPr>
              <w:t>CNY</w:t>
            </w:r>
          </w:p>
        </w:tc>
      </w:tr>
    </w:tbl>
    <w:p w14:paraId="30446E35" w14:textId="77777777" w:rsidR="00CF7687" w:rsidRPr="00715F1A" w:rsidRDefault="002F6A7E">
      <w:pPr>
        <w:spacing w:before="120"/>
        <w:jc w:val="both"/>
        <w:rPr>
          <w:rFonts w:asciiTheme="majorHAnsi" w:hAnsiTheme="majorHAnsi" w:cstheme="majorHAnsi"/>
          <w:sz w:val="22"/>
          <w:szCs w:val="22"/>
        </w:rPr>
      </w:pPr>
      <w:r w:rsidRPr="00715F1A">
        <w:rPr>
          <w:rFonts w:asciiTheme="majorHAnsi" w:hAnsiTheme="majorHAnsi" w:cstheme="majorHAnsi"/>
          <w:sz w:val="22"/>
          <w:szCs w:val="22"/>
        </w:rPr>
        <w:t>This Statement of Work for Amazon Web Services Professional Services (the “</w:t>
      </w:r>
      <w:r w:rsidRPr="00715F1A">
        <w:rPr>
          <w:rFonts w:asciiTheme="majorHAnsi" w:hAnsiTheme="majorHAnsi" w:cstheme="majorHAnsi"/>
          <w:b/>
          <w:sz w:val="22"/>
          <w:szCs w:val="22"/>
        </w:rPr>
        <w:t>Professional Services</w:t>
      </w:r>
      <w:r w:rsidRPr="00715F1A">
        <w:rPr>
          <w:rFonts w:asciiTheme="majorHAnsi" w:hAnsiTheme="majorHAnsi" w:cstheme="majorHAnsi"/>
          <w:sz w:val="22"/>
          <w:szCs w:val="22"/>
        </w:rPr>
        <w:t>”) (this “</w:t>
      </w:r>
      <w:r w:rsidRPr="00715F1A">
        <w:rPr>
          <w:rFonts w:asciiTheme="majorHAnsi" w:hAnsiTheme="majorHAnsi" w:cstheme="majorHAnsi"/>
          <w:b/>
          <w:bCs/>
          <w:sz w:val="22"/>
          <w:szCs w:val="22"/>
        </w:rPr>
        <w:t>SOW</w:t>
      </w:r>
      <w:r w:rsidRPr="00715F1A">
        <w:rPr>
          <w:rFonts w:asciiTheme="majorHAnsi" w:hAnsiTheme="majorHAnsi" w:cstheme="majorHAnsi"/>
          <w:sz w:val="22"/>
          <w:szCs w:val="22"/>
        </w:rPr>
        <w:t xml:space="preserve">”) is entered into between Amazon Web Services and Customer.  This SOW is made a part of the Amazon Web Services Customer Agreement (available at </w:t>
      </w:r>
      <w:hyperlink r:id="rId7" w:history="1">
        <w:r w:rsidRPr="00715F1A">
          <w:rPr>
            <w:rStyle w:val="Hyperlink"/>
            <w:rFonts w:asciiTheme="majorHAnsi" w:hAnsiTheme="majorHAnsi" w:cstheme="majorHAnsi"/>
            <w:sz w:val="22"/>
            <w:szCs w:val="22"/>
          </w:rPr>
          <w:t>http://aws.amazon.com/agreement</w:t>
        </w:r>
      </w:hyperlink>
      <w:r w:rsidRPr="00715F1A">
        <w:rPr>
          <w:rFonts w:asciiTheme="majorHAnsi" w:hAnsiTheme="majorHAnsi" w:cstheme="majorHAnsi"/>
          <w:sz w:val="22"/>
          <w:szCs w:val="22"/>
        </w:rPr>
        <w:t>) or other written agreement, by and between Customer and either Amazon Web Services, Inc. or Amazon Web Services EMEA SARL or both, governing Customer’s use of the Services (the “</w:t>
      </w:r>
      <w:r w:rsidRPr="00715F1A">
        <w:rPr>
          <w:rFonts w:asciiTheme="majorHAnsi" w:hAnsiTheme="majorHAnsi" w:cstheme="majorHAnsi"/>
          <w:b/>
          <w:bCs/>
          <w:sz w:val="22"/>
          <w:szCs w:val="22"/>
        </w:rPr>
        <w:t>Agreement</w:t>
      </w:r>
      <w:r w:rsidRPr="00715F1A">
        <w:rPr>
          <w:rFonts w:asciiTheme="majorHAnsi" w:hAnsiTheme="majorHAnsi" w:cstheme="majorHAnsi"/>
          <w:sz w:val="22"/>
          <w:szCs w:val="22"/>
        </w:rPr>
        <w:t>”).  This SOW is effective as of the date the last party signs this SOW (the “</w:t>
      </w:r>
      <w:r w:rsidRPr="00715F1A">
        <w:rPr>
          <w:rFonts w:asciiTheme="majorHAnsi" w:hAnsiTheme="majorHAnsi" w:cstheme="majorHAnsi"/>
          <w:b/>
          <w:bCs/>
          <w:sz w:val="22"/>
          <w:szCs w:val="22"/>
        </w:rPr>
        <w:t>SOW Effective Date</w:t>
      </w:r>
      <w:r w:rsidRPr="00715F1A">
        <w:rPr>
          <w:rFonts w:asciiTheme="majorHAnsi" w:hAnsiTheme="majorHAnsi" w:cstheme="majorHAnsi"/>
          <w:sz w:val="22"/>
          <w:szCs w:val="22"/>
        </w:rPr>
        <w:t>”).  Capitalized terms not defined in this SOW may be defined in the Agreement.</w:t>
      </w:r>
    </w:p>
    <w:p w14:paraId="2EA94F3F" w14:textId="77777777" w:rsidR="00CF7687" w:rsidRPr="00715F1A" w:rsidRDefault="002F6A7E">
      <w:pPr>
        <w:pStyle w:val="Heading2"/>
        <w:jc w:val="both"/>
        <w:rPr>
          <w:rFonts w:asciiTheme="majorHAnsi" w:hAnsiTheme="majorHAnsi" w:cstheme="majorHAnsi"/>
        </w:rPr>
      </w:pPr>
      <w:r w:rsidRPr="00715F1A">
        <w:rPr>
          <w:rFonts w:asciiTheme="majorHAnsi" w:hAnsiTheme="majorHAnsi" w:cstheme="majorHAnsi"/>
        </w:rPr>
        <w:t>Scope of the Professional Services</w:t>
      </w:r>
    </w:p>
    <w:p w14:paraId="401E5974" w14:textId="47B481C0" w:rsidR="00147062" w:rsidRDefault="00F66E08" w:rsidP="005930CA">
      <w:pPr>
        <w:spacing w:before="120"/>
        <w:jc w:val="both"/>
        <w:rPr>
          <w:rFonts w:asciiTheme="majorHAnsi" w:hAnsiTheme="majorHAnsi" w:cstheme="majorHAnsi"/>
          <w:sz w:val="22"/>
          <w:szCs w:val="22"/>
        </w:rPr>
      </w:pPr>
      <w:r w:rsidRPr="00715F1A">
        <w:rPr>
          <w:rFonts w:asciiTheme="majorHAnsi" w:hAnsiTheme="majorHAnsi" w:cstheme="majorHAnsi"/>
          <w:sz w:val="22"/>
          <w:szCs w:val="22"/>
        </w:rPr>
        <w:t xml:space="preserve">Amazon Web Services will provide the consulting and advisory services described below, for up to the total number of days set forth in this SOW.  </w:t>
      </w:r>
    </w:p>
    <w:p w14:paraId="7FE73997" w14:textId="77777777" w:rsidR="005930CA" w:rsidRPr="005930CA" w:rsidRDefault="005930CA" w:rsidP="005930CA">
      <w:pPr>
        <w:pStyle w:val="Heading2"/>
        <w:jc w:val="both"/>
        <w:rPr>
          <w:rFonts w:asciiTheme="majorHAnsi" w:hAnsiTheme="majorHAnsi" w:cstheme="majorHAnsi"/>
          <w:sz w:val="22"/>
          <w:szCs w:val="22"/>
        </w:rPr>
      </w:pPr>
      <w:r w:rsidRPr="005930CA">
        <w:rPr>
          <w:rFonts w:asciiTheme="majorHAnsi" w:hAnsiTheme="majorHAnsi" w:cstheme="majorHAnsi"/>
          <w:sz w:val="22"/>
          <w:szCs w:val="22"/>
        </w:rPr>
        <w:t>Phase 1: Business Scenario and Product Function Definition</w:t>
      </w:r>
    </w:p>
    <w:p w14:paraId="538B7F9B" w14:textId="77777777" w:rsidR="005930CA" w:rsidRDefault="005930CA" w:rsidP="005930CA">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Define the business use cases for VOC (Voice of Customer) analysis, including objectives, user roles, workflows, and expected deliverables.</w:t>
      </w:r>
    </w:p>
    <w:p w14:paraId="4F135E7F" w14:textId="77777777" w:rsidR="005930CA" w:rsidRDefault="005930CA" w:rsidP="005930CA">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lastRenderedPageBreak/>
        <w:t>Collect and assess VOC corpus limited to user comments from Xiaohongshu, provided in CSV format.</w:t>
      </w:r>
    </w:p>
    <w:p w14:paraId="4C097622" w14:textId="77777777" w:rsidR="005930CA" w:rsidRDefault="005930CA" w:rsidP="005930CA">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Design a preset tagging schema focused on two domains: product and sales, with a total number of tags not exceeding 50.</w:t>
      </w:r>
    </w:p>
    <w:p w14:paraId="7963D6DD" w14:textId="3744A700" w:rsidR="005930CA" w:rsidRPr="002D1F99" w:rsidRDefault="005930CA" w:rsidP="005930CA">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Define the product prototype, covering feature definitions, interaction logic, and low-fidelity wireframes.</w:t>
      </w:r>
    </w:p>
    <w:p w14:paraId="0636DA78" w14:textId="77777777" w:rsidR="005930CA" w:rsidRPr="005930CA" w:rsidRDefault="005930CA" w:rsidP="005930CA">
      <w:pPr>
        <w:pStyle w:val="Heading2"/>
        <w:jc w:val="both"/>
        <w:rPr>
          <w:rFonts w:asciiTheme="majorHAnsi" w:hAnsiTheme="majorHAnsi" w:cstheme="majorHAnsi"/>
          <w:sz w:val="22"/>
          <w:szCs w:val="22"/>
        </w:rPr>
      </w:pPr>
      <w:r w:rsidRPr="005930CA">
        <w:rPr>
          <w:rFonts w:asciiTheme="majorHAnsi" w:hAnsiTheme="majorHAnsi" w:cstheme="majorHAnsi"/>
          <w:sz w:val="22"/>
          <w:szCs w:val="22"/>
        </w:rPr>
        <w:t>Phase 2: VOC Tagging Workflow, Validation, and Optimization</w:t>
      </w:r>
    </w:p>
    <w:p w14:paraId="0885C8F9" w14:textId="7DF03701" w:rsidR="005930CA" w:rsidRPr="002D1F99" w:rsidRDefault="005930CA" w:rsidP="005930CA">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Develop a VOC tagging and mining workflow within the customer’s AWS account and development environment.</w:t>
      </w:r>
    </w:p>
    <w:p w14:paraId="18FDF04A" w14:textId="01574E66" w:rsidR="005930CA" w:rsidRPr="002D1F99" w:rsidRDefault="005930CA" w:rsidP="002D1F99">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Fine-tune the LLM tagging precision based on business use cases and tag themes, using no more than 500 sample data records (with labels) provided by the client for validation and optimization.</w:t>
      </w:r>
    </w:p>
    <w:p w14:paraId="274D5A80" w14:textId="028F9F59" w:rsidR="005930CA" w:rsidRPr="002D1F99" w:rsidRDefault="005930CA" w:rsidP="002D1F99">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Optimize workflow responsiveness and concurrency as needed. The system is expected to support data freshness within 24 hours and up to 5 concurrent users.</w:t>
      </w:r>
    </w:p>
    <w:p w14:paraId="52B03D92" w14:textId="3A0174CB" w:rsidR="005930CA" w:rsidRPr="002D1F99" w:rsidRDefault="005930CA" w:rsidP="005930CA">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Conduct user testing and validation of the Minimum Viable Product (MVP). The target labeling accuracy for the preset tag schema should be no less than 90%, using the same set of sample data (≤500 items with labels).</w:t>
      </w:r>
    </w:p>
    <w:p w14:paraId="4E36F7F5" w14:textId="77777777" w:rsidR="005930CA" w:rsidRPr="005930CA" w:rsidRDefault="005930CA" w:rsidP="005930CA">
      <w:pPr>
        <w:pStyle w:val="Heading2"/>
        <w:jc w:val="both"/>
        <w:rPr>
          <w:rFonts w:asciiTheme="majorHAnsi" w:hAnsiTheme="majorHAnsi" w:cstheme="majorHAnsi"/>
          <w:sz w:val="22"/>
          <w:szCs w:val="22"/>
        </w:rPr>
      </w:pPr>
      <w:r w:rsidRPr="005930CA">
        <w:rPr>
          <w:rFonts w:asciiTheme="majorHAnsi" w:hAnsiTheme="majorHAnsi" w:cstheme="majorHAnsi"/>
          <w:sz w:val="22"/>
          <w:szCs w:val="22"/>
        </w:rPr>
        <w:t>Phase 3: Full Product Feature Implementation</w:t>
      </w:r>
    </w:p>
    <w:p w14:paraId="20C0703C" w14:textId="2CB8F1F7" w:rsidR="005930CA" w:rsidRPr="005366AB" w:rsidRDefault="005930CA" w:rsidP="005930CA">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Deliver the complete VOC product functionality within the customer’s AWS account, including:</w:t>
      </w:r>
    </w:p>
    <w:p w14:paraId="05D55749" w14:textId="379B0BAB" w:rsidR="005930CA" w:rsidRPr="005366AB" w:rsidRDefault="005930CA" w:rsidP="005366AB">
      <w:pPr>
        <w:pStyle w:val="ListParagraph"/>
        <w:numPr>
          <w:ilvl w:val="1"/>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Social Media Data Ingestion &amp; Integration: Support importing user comment data from Xiaohongshu via file-based interfaces that integrate with upstream scraping systems.</w:t>
      </w:r>
    </w:p>
    <w:p w14:paraId="71F4429C" w14:textId="21FA0696" w:rsidR="005930CA" w:rsidRPr="005366AB" w:rsidRDefault="005930CA" w:rsidP="005366AB">
      <w:pPr>
        <w:pStyle w:val="ListParagraph"/>
        <w:numPr>
          <w:ilvl w:val="1"/>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VOC Traceability and Tag Management: Allow browsing of VOC corpus and labeled results, support search by tag or comment date, and enable single or batch updates of tag results.</w:t>
      </w:r>
    </w:p>
    <w:p w14:paraId="684F7EBF" w14:textId="1DA4A723" w:rsidR="005930CA" w:rsidRPr="005366AB" w:rsidRDefault="005930CA" w:rsidP="005366AB">
      <w:pPr>
        <w:pStyle w:val="ListParagraph"/>
        <w:numPr>
          <w:ilvl w:val="1"/>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Tag Schema Management and Operations: Enable full CRUD (Create, Read, Update, Delete) operations for tag definitions.</w:t>
      </w:r>
    </w:p>
    <w:p w14:paraId="39CE82C5" w14:textId="41683909" w:rsidR="005930CA" w:rsidRPr="005366AB" w:rsidRDefault="005930CA" w:rsidP="005366AB">
      <w:pPr>
        <w:pStyle w:val="ListParagraph"/>
        <w:numPr>
          <w:ilvl w:val="1"/>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VOC Analytics and Reporting: Provide dashboards and generate analysis reports in DOC format, based on agreed-upon VOC analytical logic.</w:t>
      </w:r>
    </w:p>
    <w:p w14:paraId="5EF9C76C" w14:textId="427B86E6" w:rsidR="005930CA" w:rsidRPr="005930CA" w:rsidRDefault="005930CA" w:rsidP="005366AB">
      <w:pPr>
        <w:pStyle w:val="ListParagraph"/>
        <w:numPr>
          <w:ilvl w:val="0"/>
          <w:numId w:val="27"/>
        </w:numPr>
        <w:spacing w:before="120"/>
        <w:jc w:val="both"/>
        <w:rPr>
          <w:rStyle w:val="ProServeServiceHeadingChar"/>
          <w:b w:val="0"/>
          <w:bCs w:val="0"/>
          <w:sz w:val="22"/>
          <w:szCs w:val="22"/>
          <w:u w:val="none"/>
        </w:rPr>
      </w:pPr>
      <w:r w:rsidRPr="005930CA">
        <w:rPr>
          <w:rStyle w:val="ProServeServiceHeadingChar"/>
          <w:b w:val="0"/>
          <w:bCs w:val="0"/>
          <w:sz w:val="22"/>
          <w:szCs w:val="22"/>
          <w:u w:val="none"/>
        </w:rPr>
        <w:t>Implement data security and user access control features as per customer requirements, and deliver a security assessment report covering both product functionalities and infrastructure setup.</w:t>
      </w:r>
    </w:p>
    <w:p w14:paraId="374506F5" w14:textId="77777777" w:rsidR="00CF7687" w:rsidRPr="00715F1A" w:rsidRDefault="002F6A7E">
      <w:pPr>
        <w:pStyle w:val="Heading2"/>
        <w:rPr>
          <w:rFonts w:asciiTheme="majorHAnsi" w:hAnsiTheme="majorHAnsi" w:cstheme="majorHAnsi"/>
        </w:rPr>
      </w:pPr>
      <w:r w:rsidRPr="00715F1A">
        <w:rPr>
          <w:rFonts w:asciiTheme="majorHAnsi" w:hAnsiTheme="majorHAnsi" w:cstheme="majorHAnsi"/>
        </w:rPr>
        <w:t>Deliverables</w:t>
      </w:r>
    </w:p>
    <w:p w14:paraId="58752939" w14:textId="59384BF5" w:rsidR="00234806" w:rsidRPr="00715F1A" w:rsidRDefault="006853E2" w:rsidP="00BA2DAF">
      <w:pPr>
        <w:spacing w:before="120"/>
        <w:jc w:val="both"/>
        <w:rPr>
          <w:rFonts w:asciiTheme="majorHAnsi" w:hAnsiTheme="majorHAnsi" w:cstheme="majorHAnsi"/>
          <w:sz w:val="22"/>
          <w:szCs w:val="22"/>
        </w:rPr>
      </w:pPr>
      <w:r w:rsidRPr="00715F1A">
        <w:rPr>
          <w:rFonts w:asciiTheme="majorHAnsi" w:hAnsiTheme="majorHAnsi" w:cstheme="majorHAnsi"/>
          <w:sz w:val="22"/>
          <w:szCs w:val="22"/>
        </w:rPr>
        <w:t>During this Program, Amazon Web Services will provide the following deliverables ("</w:t>
      </w:r>
      <w:r w:rsidRPr="00BA2DAF">
        <w:rPr>
          <w:rFonts w:asciiTheme="majorHAnsi" w:hAnsiTheme="majorHAnsi" w:cstheme="majorHAnsi"/>
          <w:sz w:val="22"/>
          <w:szCs w:val="22"/>
        </w:rPr>
        <w:t>Deliverables</w:t>
      </w:r>
      <w:r w:rsidRPr="00715F1A">
        <w:rPr>
          <w:rFonts w:asciiTheme="majorHAnsi" w:hAnsiTheme="majorHAnsi" w:cstheme="majorHAnsi"/>
          <w:sz w:val="22"/>
          <w:szCs w:val="22"/>
        </w:rPr>
        <w:t>") to the Customer. Both parties confirm that the following Deliverables are considered as "Amazon Web Services Content" and "Amazon Web Services Confidential Information" as defined under the Agreement. The Customer shall not or attempt to disclose the following Deliverables to any third party or authorize to use by any third party without the prior written consent of Amazon Web Services.</w:t>
      </w:r>
    </w:p>
    <w:p w14:paraId="7BE34167" w14:textId="1CD79823" w:rsidR="00BA2DAF" w:rsidRPr="00BA2DAF" w:rsidRDefault="00BA2DAF" w:rsidP="00BA2DAF">
      <w:pPr>
        <w:pStyle w:val="ListParagraph"/>
        <w:numPr>
          <w:ilvl w:val="0"/>
          <w:numId w:val="24"/>
        </w:numPr>
        <w:spacing w:before="240"/>
        <w:ind w:left="714" w:hanging="357"/>
        <w:jc w:val="both"/>
        <w:rPr>
          <w:rFonts w:asciiTheme="majorHAnsi" w:hAnsiTheme="majorHAnsi" w:cstheme="majorHAnsi"/>
          <w:sz w:val="22"/>
          <w:szCs w:val="22"/>
        </w:rPr>
      </w:pPr>
      <w:r w:rsidRPr="00BA2DAF">
        <w:rPr>
          <w:rFonts w:asciiTheme="majorHAnsi" w:hAnsiTheme="majorHAnsi" w:cstheme="majorHAnsi"/>
          <w:sz w:val="22"/>
          <w:szCs w:val="22"/>
        </w:rPr>
        <w:t>VOC Business Scenario Definition (Documentation)</w:t>
      </w:r>
    </w:p>
    <w:p w14:paraId="39C27179" w14:textId="5847C07A" w:rsidR="00BA2DAF" w:rsidRPr="00BA2DAF" w:rsidRDefault="00BA2DAF" w:rsidP="00BA2DAF">
      <w:pPr>
        <w:pStyle w:val="ListParagraph"/>
        <w:numPr>
          <w:ilvl w:val="0"/>
          <w:numId w:val="24"/>
        </w:numPr>
        <w:jc w:val="both"/>
        <w:rPr>
          <w:rFonts w:asciiTheme="majorHAnsi" w:hAnsiTheme="majorHAnsi" w:cstheme="majorHAnsi"/>
          <w:sz w:val="22"/>
          <w:szCs w:val="22"/>
        </w:rPr>
      </w:pPr>
      <w:r w:rsidRPr="00BA2DAF">
        <w:rPr>
          <w:rFonts w:asciiTheme="majorHAnsi" w:hAnsiTheme="majorHAnsi" w:cstheme="majorHAnsi"/>
          <w:sz w:val="22"/>
          <w:szCs w:val="22"/>
        </w:rPr>
        <w:t>Preset VOC Tagging Schema (Documentation)</w:t>
      </w:r>
    </w:p>
    <w:p w14:paraId="43E8F5BD" w14:textId="44D3C25E" w:rsidR="00BA2DAF" w:rsidRPr="00BA2DAF" w:rsidRDefault="00BA2DAF" w:rsidP="00BA2DAF">
      <w:pPr>
        <w:pStyle w:val="ListParagraph"/>
        <w:numPr>
          <w:ilvl w:val="0"/>
          <w:numId w:val="24"/>
        </w:numPr>
        <w:jc w:val="both"/>
        <w:rPr>
          <w:rFonts w:asciiTheme="majorHAnsi" w:hAnsiTheme="majorHAnsi" w:cstheme="majorHAnsi"/>
          <w:sz w:val="22"/>
          <w:szCs w:val="22"/>
        </w:rPr>
      </w:pPr>
      <w:r w:rsidRPr="00BA2DAF">
        <w:rPr>
          <w:rFonts w:asciiTheme="majorHAnsi" w:hAnsiTheme="majorHAnsi" w:cstheme="majorHAnsi"/>
          <w:sz w:val="22"/>
          <w:szCs w:val="22"/>
        </w:rPr>
        <w:t>VOC Analysis Product Prototype Specification (Documentation)</w:t>
      </w:r>
    </w:p>
    <w:p w14:paraId="30E787D8" w14:textId="16177C98" w:rsidR="00BA2DAF" w:rsidRPr="00BA2DAF" w:rsidRDefault="00BA2DAF" w:rsidP="00BA2DAF">
      <w:pPr>
        <w:pStyle w:val="ListParagraph"/>
        <w:numPr>
          <w:ilvl w:val="0"/>
          <w:numId w:val="24"/>
        </w:numPr>
        <w:jc w:val="both"/>
        <w:rPr>
          <w:rFonts w:asciiTheme="majorHAnsi" w:hAnsiTheme="majorHAnsi" w:cstheme="majorHAnsi"/>
          <w:sz w:val="22"/>
          <w:szCs w:val="22"/>
        </w:rPr>
      </w:pPr>
      <w:r w:rsidRPr="00BA2DAF">
        <w:rPr>
          <w:rFonts w:asciiTheme="majorHAnsi" w:hAnsiTheme="majorHAnsi" w:cstheme="majorHAnsi"/>
          <w:sz w:val="22"/>
          <w:szCs w:val="22"/>
        </w:rPr>
        <w:lastRenderedPageBreak/>
        <w:t>VOC Tagging and Mining Workflow MVP (Executable Program with API Interaction)</w:t>
      </w:r>
    </w:p>
    <w:p w14:paraId="0B898752" w14:textId="54A857AC" w:rsidR="00CF7687" w:rsidRPr="00BA2DAF" w:rsidRDefault="00BA2DAF" w:rsidP="00BA2DAF">
      <w:pPr>
        <w:pStyle w:val="ListParagraph"/>
        <w:numPr>
          <w:ilvl w:val="0"/>
          <w:numId w:val="24"/>
        </w:numPr>
        <w:jc w:val="both"/>
        <w:rPr>
          <w:rFonts w:asciiTheme="majorHAnsi" w:hAnsiTheme="majorHAnsi" w:cstheme="majorHAnsi"/>
          <w:sz w:val="22"/>
          <w:szCs w:val="22"/>
        </w:rPr>
      </w:pPr>
      <w:r w:rsidRPr="00BA2DAF">
        <w:rPr>
          <w:rFonts w:asciiTheme="majorHAnsi" w:hAnsiTheme="majorHAnsi" w:cstheme="majorHAnsi"/>
          <w:sz w:val="22"/>
          <w:szCs w:val="22"/>
        </w:rPr>
        <w:t>VOC Analysis Product (Executable Web Application)</w:t>
      </w:r>
    </w:p>
    <w:p w14:paraId="0ACDE4C5" w14:textId="77777777" w:rsidR="00CF7687" w:rsidRPr="00715F1A" w:rsidRDefault="002F6A7E">
      <w:pPr>
        <w:pStyle w:val="Heading2"/>
        <w:spacing w:before="120" w:after="120"/>
        <w:rPr>
          <w:rFonts w:asciiTheme="majorHAnsi" w:hAnsiTheme="majorHAnsi" w:cstheme="majorHAnsi"/>
        </w:rPr>
      </w:pPr>
      <w:r w:rsidRPr="00715F1A">
        <w:rPr>
          <w:rFonts w:asciiTheme="majorHAnsi" w:hAnsiTheme="majorHAnsi" w:cstheme="majorHAnsi"/>
        </w:rPr>
        <w:t>Project Delivery Process</w:t>
      </w:r>
    </w:p>
    <w:p w14:paraId="17CE11C4" w14:textId="77777777" w:rsidR="00CF7687" w:rsidRPr="00715F1A" w:rsidRDefault="002F6A7E">
      <w:pPr>
        <w:keepNext/>
        <w:keepLines/>
        <w:spacing w:after="120"/>
        <w:jc w:val="both"/>
        <w:rPr>
          <w:rFonts w:asciiTheme="majorHAnsi" w:hAnsiTheme="majorHAnsi" w:cstheme="majorHAnsi"/>
          <w:sz w:val="22"/>
          <w:szCs w:val="22"/>
        </w:rPr>
      </w:pPr>
      <w:r w:rsidRPr="00715F1A">
        <w:rPr>
          <w:rFonts w:asciiTheme="majorHAnsi" w:hAnsiTheme="majorHAnsi" w:cstheme="majorHAnsi"/>
          <w:sz w:val="22"/>
          <w:szCs w:val="22"/>
        </w:rPr>
        <w:t>The parties will agree on a specific date to start the Project delivery (“</w:t>
      </w:r>
      <w:r w:rsidRPr="00715F1A">
        <w:rPr>
          <w:rFonts w:asciiTheme="majorHAnsi" w:hAnsiTheme="majorHAnsi" w:cstheme="majorHAnsi"/>
          <w:b/>
          <w:sz w:val="22"/>
          <w:szCs w:val="22"/>
        </w:rPr>
        <w:t>Project Delivery Start Date</w:t>
      </w:r>
      <w:r w:rsidRPr="00715F1A">
        <w:rPr>
          <w:rFonts w:asciiTheme="majorHAnsi" w:hAnsiTheme="majorHAnsi" w:cstheme="majorHAnsi"/>
          <w:sz w:val="22"/>
          <w:szCs w:val="22"/>
        </w:rPr>
        <w:t>”) in writing (including via email) which will be a date from the 14</w:t>
      </w:r>
      <w:r w:rsidRPr="00715F1A">
        <w:rPr>
          <w:rFonts w:asciiTheme="majorHAnsi" w:hAnsiTheme="majorHAnsi" w:cstheme="majorHAnsi"/>
          <w:sz w:val="22"/>
          <w:szCs w:val="22"/>
          <w:vertAlign w:val="superscript"/>
        </w:rPr>
        <w:t>th</w:t>
      </w:r>
      <w:r w:rsidRPr="00715F1A">
        <w:rPr>
          <w:rFonts w:asciiTheme="majorHAnsi" w:hAnsiTheme="majorHAnsi" w:cstheme="majorHAnsi"/>
          <w:sz w:val="22"/>
          <w:szCs w:val="22"/>
        </w:rPr>
        <w:t xml:space="preserve"> day after the SOW Effective Date to the end of the 12</w:t>
      </w:r>
      <w:r w:rsidRPr="00715F1A">
        <w:rPr>
          <w:rFonts w:asciiTheme="majorHAnsi" w:hAnsiTheme="majorHAnsi" w:cstheme="majorHAnsi"/>
          <w:sz w:val="22"/>
          <w:szCs w:val="22"/>
          <w:vertAlign w:val="superscript"/>
        </w:rPr>
        <w:t>th</w:t>
      </w:r>
      <w:r w:rsidRPr="00715F1A">
        <w:rPr>
          <w:rFonts w:asciiTheme="majorHAnsi" w:hAnsiTheme="majorHAnsi" w:cstheme="majorHAnsi"/>
          <w:sz w:val="22"/>
          <w:szCs w:val="22"/>
        </w:rPr>
        <w:t xml:space="preserve"> month after the SOW Effective Date (“</w:t>
      </w:r>
      <w:r w:rsidRPr="00715F1A">
        <w:rPr>
          <w:rFonts w:asciiTheme="majorHAnsi" w:hAnsiTheme="majorHAnsi" w:cstheme="majorHAnsi"/>
          <w:b/>
          <w:sz w:val="22"/>
          <w:szCs w:val="22"/>
        </w:rPr>
        <w:t>Project Delivery Start Period</w:t>
      </w:r>
      <w:r w:rsidRPr="00715F1A">
        <w:rPr>
          <w:rFonts w:asciiTheme="majorHAnsi" w:hAnsiTheme="majorHAnsi" w:cstheme="majorHAnsi"/>
          <w:sz w:val="22"/>
          <w:szCs w:val="22"/>
        </w:rPr>
        <w:t xml:space="preserve">”).  If the parties cannot agree on a Project Delivery Start Date within the Project Delivery Start Period, Amazon Web Services will have the sole discretion to determine whether the Charges listed in in Table 1 (“Fee Table”) apply to this Project after the Project Delivery Start Period and the updated charges (if any) agreed by the parties will be reflected in a signed amendment to this SOW.     </w:t>
      </w:r>
      <w:r w:rsidRPr="00715F1A">
        <w:rPr>
          <w:rFonts w:asciiTheme="majorHAnsi" w:hAnsiTheme="majorHAnsi" w:cstheme="majorHAnsi"/>
          <w:b/>
          <w:sz w:val="22"/>
          <w:szCs w:val="22"/>
        </w:rPr>
        <w:t xml:space="preserve"> </w:t>
      </w:r>
      <w:r w:rsidRPr="00715F1A">
        <w:rPr>
          <w:rFonts w:asciiTheme="majorHAnsi" w:hAnsiTheme="majorHAnsi" w:cstheme="majorHAnsi"/>
          <w:sz w:val="22"/>
          <w:szCs w:val="22"/>
        </w:rPr>
        <w:t xml:space="preserve">    </w:t>
      </w:r>
    </w:p>
    <w:p w14:paraId="585776A8" w14:textId="77777777" w:rsidR="00CF7687" w:rsidRPr="00715F1A" w:rsidRDefault="002F6A7E">
      <w:pPr>
        <w:jc w:val="both"/>
        <w:rPr>
          <w:rFonts w:asciiTheme="majorHAnsi" w:hAnsiTheme="majorHAnsi" w:cstheme="majorHAnsi"/>
          <w:sz w:val="22"/>
          <w:szCs w:val="22"/>
        </w:rPr>
      </w:pPr>
      <w:r w:rsidRPr="00715F1A">
        <w:rPr>
          <w:rFonts w:asciiTheme="majorHAnsi" w:hAnsiTheme="majorHAnsi" w:cstheme="majorHAnsi"/>
          <w:sz w:val="22"/>
          <w:szCs w:val="22"/>
        </w:rPr>
        <w:t>Both parties agree to take every 2 weeks as an agile sprint for delivery starting from the Project Delivery Start Date (each a “</w:t>
      </w:r>
      <w:r w:rsidRPr="00715F1A">
        <w:rPr>
          <w:rFonts w:asciiTheme="majorHAnsi" w:hAnsiTheme="majorHAnsi" w:cstheme="majorHAnsi"/>
          <w:b/>
          <w:sz w:val="22"/>
          <w:szCs w:val="22"/>
        </w:rPr>
        <w:t>Sprint</w:t>
      </w:r>
      <w:r w:rsidRPr="00715F1A">
        <w:rPr>
          <w:rFonts w:asciiTheme="majorHAnsi" w:hAnsiTheme="majorHAnsi" w:cstheme="majorHAnsi"/>
          <w:sz w:val="22"/>
          <w:szCs w:val="22"/>
        </w:rPr>
        <w:t>”).  Before the start of each Sprint, both parties will discuss and align on the specific work content to be undertaken during next Sprint, which shall be within the agreed scope of the Project.  Amazon Web Services will send an email notice to Customer’s Engagement Contact to seek written confirmation on the work content for next Sprint.  If Customer does not consent to the work content for next Sprint sent from Amazon Web Services, then Customer should raise the issue via an email to Amazon Web Services within 2 days after the date of the email notice from Amazon Web Services (“</w:t>
      </w:r>
      <w:r w:rsidRPr="00715F1A">
        <w:rPr>
          <w:rFonts w:asciiTheme="majorHAnsi" w:hAnsiTheme="majorHAnsi" w:cstheme="majorHAnsi"/>
          <w:b/>
          <w:sz w:val="22"/>
          <w:szCs w:val="22"/>
        </w:rPr>
        <w:t>Dispute Notice</w:t>
      </w:r>
      <w:r w:rsidRPr="00715F1A">
        <w:rPr>
          <w:rFonts w:asciiTheme="majorHAnsi" w:hAnsiTheme="majorHAnsi" w:cstheme="majorHAnsi"/>
          <w:sz w:val="22"/>
          <w:szCs w:val="22"/>
        </w:rPr>
        <w:t xml:space="preserve">”), otherwise the work content for next Sprint will be deemed confirmed by Customer.  Amazon Web Services will carry out the delivery of next Sprint according to the confirmed work content.  If Customer sends a Dispute Notice to Amazon Web Services, then Amazon Web Services may immediately suspend delivery for next Sprint and the Dispute Resolution process shall apply.  Amazon Web Services is not obligated to reserve resources for continuous Project delivery during the Dispute Resolution process and will not be responsible for the resulting Project delays. </w:t>
      </w:r>
    </w:p>
    <w:p w14:paraId="396706CC" w14:textId="77777777" w:rsidR="00CF7687" w:rsidRPr="00715F1A" w:rsidRDefault="00CF7687">
      <w:pPr>
        <w:rPr>
          <w:rFonts w:asciiTheme="majorHAnsi" w:hAnsiTheme="majorHAnsi" w:cstheme="majorHAnsi"/>
        </w:rPr>
      </w:pPr>
    </w:p>
    <w:p w14:paraId="48F54FA9" w14:textId="77777777" w:rsidR="00CF7687" w:rsidRPr="00715F1A" w:rsidRDefault="002F6A7E">
      <w:pPr>
        <w:pStyle w:val="Heading2"/>
        <w:spacing w:before="120" w:after="120"/>
        <w:rPr>
          <w:rFonts w:asciiTheme="majorHAnsi" w:hAnsiTheme="majorHAnsi" w:cstheme="majorHAnsi"/>
          <w:b w:val="0"/>
          <w:bCs w:val="0"/>
        </w:rPr>
      </w:pPr>
      <w:r w:rsidRPr="00715F1A">
        <w:rPr>
          <w:rFonts w:asciiTheme="majorHAnsi" w:hAnsiTheme="majorHAnsi" w:cstheme="majorHAnsi"/>
        </w:rPr>
        <w:t>Customer Responsibilities</w:t>
      </w:r>
    </w:p>
    <w:p w14:paraId="05FDEF86" w14:textId="77777777" w:rsidR="00CF7687" w:rsidRPr="00715F1A" w:rsidRDefault="002F6A7E">
      <w:pPr>
        <w:widowControl w:val="0"/>
        <w:spacing w:before="240"/>
        <w:jc w:val="both"/>
        <w:rPr>
          <w:rFonts w:asciiTheme="majorHAnsi" w:hAnsiTheme="majorHAnsi" w:cstheme="majorHAnsi"/>
          <w:sz w:val="22"/>
          <w:szCs w:val="22"/>
        </w:rPr>
      </w:pPr>
      <w:r w:rsidRPr="00715F1A">
        <w:rPr>
          <w:rFonts w:asciiTheme="majorHAnsi" w:hAnsiTheme="majorHAnsi" w:cstheme="majorHAnsi"/>
          <w:sz w:val="22"/>
          <w:szCs w:val="22"/>
        </w:rPr>
        <w:t>Amazon Web Services’s ability to deliver the Professional Services depends on Customer’s reasonable and timely cooperation and the accuracy and completeness of any information from Customer.  Customer will provide all necessary support to successfully deliver on the Scope of the Professional Services described above and keep Project on schedule, within budget, and within scope, including:</w:t>
      </w:r>
    </w:p>
    <w:p w14:paraId="5951E26D" w14:textId="77777777" w:rsidR="00CF7687" w:rsidRPr="00715F1A" w:rsidRDefault="002F6A7E">
      <w:pPr>
        <w:pStyle w:val="ListParagraph"/>
        <w:numPr>
          <w:ilvl w:val="0"/>
          <w:numId w:val="8"/>
        </w:numPr>
        <w:spacing w:after="160" w:line="259" w:lineRule="auto"/>
        <w:jc w:val="both"/>
        <w:rPr>
          <w:rFonts w:asciiTheme="majorHAnsi" w:hAnsiTheme="majorHAnsi" w:cstheme="majorHAnsi"/>
          <w:sz w:val="22"/>
          <w:szCs w:val="22"/>
        </w:rPr>
      </w:pPr>
      <w:r w:rsidRPr="00715F1A">
        <w:rPr>
          <w:rFonts w:asciiTheme="majorHAnsi" w:hAnsiTheme="majorHAnsi" w:cstheme="majorHAnsi"/>
          <w:sz w:val="22"/>
          <w:szCs w:val="22"/>
        </w:rPr>
        <w:t>Customer is solely responsible for all activities in its production environments where software, applications, code, or other products are placed into live operation for their intended use by internal or external end users, including:</w:t>
      </w:r>
    </w:p>
    <w:p w14:paraId="35685AD2" w14:textId="77777777" w:rsidR="00CF7687" w:rsidRPr="00715F1A" w:rsidRDefault="002F6A7E">
      <w:pPr>
        <w:pStyle w:val="ListParagraph"/>
        <w:widowControl w:val="0"/>
        <w:numPr>
          <w:ilvl w:val="0"/>
          <w:numId w:val="9"/>
        </w:numPr>
        <w:tabs>
          <w:tab w:val="center" w:pos="4680"/>
        </w:tabs>
        <w:spacing w:before="240"/>
        <w:jc w:val="both"/>
        <w:rPr>
          <w:rFonts w:asciiTheme="majorHAnsi" w:hAnsiTheme="majorHAnsi" w:cstheme="majorHAnsi"/>
          <w:sz w:val="22"/>
          <w:szCs w:val="22"/>
        </w:rPr>
      </w:pPr>
      <w:r w:rsidRPr="00715F1A">
        <w:rPr>
          <w:rFonts w:asciiTheme="majorHAnsi" w:hAnsiTheme="majorHAnsi" w:cstheme="majorHAnsi"/>
          <w:sz w:val="22"/>
          <w:szCs w:val="22"/>
        </w:rPr>
        <w:t xml:space="preserve">Deploying into, operating and maintaining production environments; </w:t>
      </w:r>
    </w:p>
    <w:p w14:paraId="7F71015A" w14:textId="77777777" w:rsidR="00CF7687" w:rsidRPr="00715F1A" w:rsidRDefault="002F6A7E">
      <w:pPr>
        <w:pStyle w:val="ListParagraph"/>
        <w:widowControl w:val="0"/>
        <w:numPr>
          <w:ilvl w:val="0"/>
          <w:numId w:val="9"/>
        </w:numPr>
        <w:tabs>
          <w:tab w:val="center" w:pos="4680"/>
        </w:tabs>
        <w:spacing w:before="240"/>
        <w:jc w:val="both"/>
        <w:rPr>
          <w:rFonts w:asciiTheme="majorHAnsi" w:hAnsiTheme="majorHAnsi" w:cstheme="majorHAnsi"/>
          <w:sz w:val="22"/>
          <w:szCs w:val="22"/>
        </w:rPr>
      </w:pPr>
      <w:r w:rsidRPr="00715F1A">
        <w:rPr>
          <w:rFonts w:asciiTheme="majorHAnsi" w:hAnsiTheme="majorHAnsi" w:cstheme="majorHAnsi"/>
          <w:sz w:val="22"/>
          <w:szCs w:val="22"/>
        </w:rPr>
        <w:t>Ensuring Amazon Web Services consultants are not provided access to production environments; and</w:t>
      </w:r>
    </w:p>
    <w:p w14:paraId="2D4DDC72" w14:textId="77777777" w:rsidR="00CF7687" w:rsidRPr="00715F1A" w:rsidRDefault="002F6A7E">
      <w:pPr>
        <w:pStyle w:val="ListParagraph"/>
        <w:widowControl w:val="0"/>
        <w:numPr>
          <w:ilvl w:val="0"/>
          <w:numId w:val="9"/>
        </w:numPr>
        <w:tabs>
          <w:tab w:val="center" w:pos="4680"/>
        </w:tabs>
        <w:spacing w:before="240"/>
        <w:jc w:val="both"/>
        <w:rPr>
          <w:rFonts w:asciiTheme="majorHAnsi" w:hAnsiTheme="majorHAnsi" w:cstheme="majorHAnsi"/>
          <w:sz w:val="22"/>
          <w:szCs w:val="22"/>
        </w:rPr>
      </w:pPr>
      <w:r w:rsidRPr="00715F1A">
        <w:rPr>
          <w:rFonts w:asciiTheme="majorHAnsi" w:hAnsiTheme="majorHAnsi" w:cstheme="majorHAnsi"/>
          <w:sz w:val="22"/>
          <w:szCs w:val="22"/>
        </w:rPr>
        <w:t>Evaluating whether deliverables are ready for deployment, and assessing all modifications to Customer’s production environments.</w:t>
      </w:r>
    </w:p>
    <w:p w14:paraId="519649AE" w14:textId="77777777" w:rsidR="00CF7687" w:rsidRPr="00715F1A" w:rsidRDefault="002F6A7E">
      <w:pPr>
        <w:pStyle w:val="ListParagraph"/>
        <w:numPr>
          <w:ilvl w:val="0"/>
          <w:numId w:val="8"/>
        </w:numPr>
        <w:spacing w:after="160" w:line="259" w:lineRule="auto"/>
        <w:jc w:val="both"/>
        <w:rPr>
          <w:rFonts w:asciiTheme="majorHAnsi" w:hAnsiTheme="majorHAnsi" w:cstheme="majorHAnsi"/>
          <w:sz w:val="22"/>
          <w:szCs w:val="22"/>
        </w:rPr>
      </w:pPr>
      <w:r w:rsidRPr="00715F1A">
        <w:rPr>
          <w:rFonts w:asciiTheme="majorHAnsi" w:hAnsiTheme="majorHAnsi" w:cstheme="majorHAnsi"/>
          <w:sz w:val="22"/>
          <w:szCs w:val="22"/>
        </w:rPr>
        <w:t>Customer will own and manage all aspects of Customer’s production environments including, but not limited to, Amazon Web Services accounts, pipelines, deployment gates, logs and records, and access controls.</w:t>
      </w:r>
    </w:p>
    <w:p w14:paraId="5185930A" w14:textId="77777777" w:rsidR="00CF7687" w:rsidRPr="00715F1A" w:rsidRDefault="002F6A7E">
      <w:pPr>
        <w:pStyle w:val="ListParagraph"/>
        <w:numPr>
          <w:ilvl w:val="0"/>
          <w:numId w:val="8"/>
        </w:numPr>
        <w:spacing w:after="160" w:line="259" w:lineRule="auto"/>
        <w:jc w:val="both"/>
        <w:rPr>
          <w:rFonts w:asciiTheme="majorHAnsi" w:hAnsiTheme="majorHAnsi" w:cstheme="majorHAnsi"/>
          <w:sz w:val="22"/>
          <w:szCs w:val="22"/>
        </w:rPr>
      </w:pPr>
      <w:r w:rsidRPr="00715F1A">
        <w:rPr>
          <w:rFonts w:asciiTheme="majorHAnsi" w:hAnsiTheme="majorHAnsi" w:cstheme="majorHAnsi"/>
          <w:sz w:val="22"/>
          <w:szCs w:val="22"/>
        </w:rPr>
        <w:lastRenderedPageBreak/>
        <w:t xml:space="preserve">Building internal consensus on standards, requirements and processes. Any internal disagreement will be resolved by Customer in a timely manner and not affect project timelines. </w:t>
      </w:r>
    </w:p>
    <w:p w14:paraId="0C66D7EE" w14:textId="77777777" w:rsidR="00CF7687" w:rsidRPr="00715F1A" w:rsidRDefault="002F6A7E">
      <w:pPr>
        <w:pStyle w:val="ListParagraph"/>
        <w:numPr>
          <w:ilvl w:val="0"/>
          <w:numId w:val="8"/>
        </w:numPr>
        <w:spacing w:after="160" w:line="259" w:lineRule="auto"/>
        <w:jc w:val="both"/>
        <w:rPr>
          <w:rFonts w:asciiTheme="majorHAnsi" w:hAnsiTheme="majorHAnsi" w:cstheme="majorHAnsi"/>
          <w:sz w:val="22"/>
          <w:szCs w:val="22"/>
        </w:rPr>
      </w:pPr>
      <w:r w:rsidRPr="00715F1A">
        <w:rPr>
          <w:rFonts w:asciiTheme="majorHAnsi" w:hAnsiTheme="majorHAnsi" w:cstheme="majorHAnsi"/>
          <w:sz w:val="22"/>
          <w:szCs w:val="22"/>
        </w:rPr>
        <w:t>Assigning a full-time experienced project manager for the duration of this SOW to manage tasks and resources.</w:t>
      </w:r>
    </w:p>
    <w:p w14:paraId="60766B26" w14:textId="77777777" w:rsidR="00CF7687" w:rsidRPr="00715F1A" w:rsidRDefault="002F6A7E">
      <w:pPr>
        <w:pStyle w:val="ListParagraph"/>
        <w:numPr>
          <w:ilvl w:val="0"/>
          <w:numId w:val="8"/>
        </w:numPr>
        <w:spacing w:after="160" w:line="259" w:lineRule="auto"/>
        <w:jc w:val="both"/>
        <w:rPr>
          <w:rFonts w:asciiTheme="majorHAnsi" w:hAnsiTheme="majorHAnsi" w:cstheme="majorHAnsi"/>
          <w:sz w:val="22"/>
          <w:szCs w:val="22"/>
        </w:rPr>
      </w:pPr>
      <w:r w:rsidRPr="00715F1A">
        <w:rPr>
          <w:rFonts w:asciiTheme="majorHAnsi" w:hAnsiTheme="majorHAnsi" w:cstheme="majorHAnsi"/>
          <w:sz w:val="22"/>
          <w:szCs w:val="22"/>
        </w:rPr>
        <w:t>Contiguously managing project activities to maintain the project schedule.</w:t>
      </w:r>
    </w:p>
    <w:p w14:paraId="39F978A8" w14:textId="77777777" w:rsidR="00CF7687" w:rsidRPr="00715F1A" w:rsidRDefault="002F6A7E">
      <w:pPr>
        <w:pStyle w:val="ListParagraph"/>
        <w:numPr>
          <w:ilvl w:val="0"/>
          <w:numId w:val="8"/>
        </w:numPr>
        <w:spacing w:after="160" w:line="259" w:lineRule="auto"/>
        <w:jc w:val="both"/>
        <w:rPr>
          <w:rFonts w:asciiTheme="majorHAnsi" w:hAnsiTheme="majorHAnsi" w:cstheme="majorHAnsi"/>
          <w:sz w:val="22"/>
          <w:szCs w:val="22"/>
        </w:rPr>
      </w:pPr>
      <w:r w:rsidRPr="00715F1A">
        <w:rPr>
          <w:rFonts w:asciiTheme="majorHAnsi" w:hAnsiTheme="majorHAnsi" w:cstheme="majorHAnsi"/>
          <w:sz w:val="22"/>
          <w:szCs w:val="22"/>
        </w:rPr>
        <w:t>Establishing a dedicated team to work with the Amazon Web Services consultants through the term of the SOW.</w:t>
      </w:r>
    </w:p>
    <w:p w14:paraId="3296956E" w14:textId="77777777" w:rsidR="00CF7687" w:rsidRPr="00715F1A" w:rsidRDefault="002F6A7E">
      <w:pPr>
        <w:pStyle w:val="ListParagraph"/>
        <w:numPr>
          <w:ilvl w:val="0"/>
          <w:numId w:val="8"/>
        </w:numPr>
        <w:spacing w:after="160" w:line="259" w:lineRule="auto"/>
        <w:jc w:val="both"/>
        <w:rPr>
          <w:rFonts w:asciiTheme="majorHAnsi" w:hAnsiTheme="majorHAnsi" w:cstheme="majorHAnsi"/>
          <w:sz w:val="22"/>
          <w:szCs w:val="22"/>
        </w:rPr>
      </w:pPr>
      <w:r w:rsidRPr="00715F1A">
        <w:rPr>
          <w:rFonts w:asciiTheme="majorHAnsi" w:hAnsiTheme="majorHAnsi" w:cstheme="majorHAnsi"/>
          <w:sz w:val="22"/>
          <w:szCs w:val="22"/>
        </w:rPr>
        <w:t xml:space="preserve">Providing feedback to Amazon Web Services in a timely manner to allow the Amazon Web Services Professional Services under this SOW to proceed in accordance with the agreed timeline.  </w:t>
      </w:r>
    </w:p>
    <w:p w14:paraId="55EF72FA" w14:textId="77777777" w:rsidR="00CF7687" w:rsidRPr="00715F1A" w:rsidRDefault="002F6A7E">
      <w:pPr>
        <w:pStyle w:val="ListParagraph"/>
        <w:numPr>
          <w:ilvl w:val="0"/>
          <w:numId w:val="8"/>
        </w:numPr>
        <w:spacing w:after="160" w:line="259" w:lineRule="auto"/>
        <w:jc w:val="both"/>
        <w:rPr>
          <w:rFonts w:asciiTheme="majorHAnsi" w:hAnsiTheme="majorHAnsi" w:cstheme="majorHAnsi"/>
          <w:sz w:val="22"/>
          <w:szCs w:val="22"/>
        </w:rPr>
      </w:pPr>
      <w:r w:rsidRPr="00715F1A">
        <w:rPr>
          <w:rFonts w:asciiTheme="majorHAnsi" w:hAnsiTheme="majorHAnsi" w:cstheme="majorHAnsi"/>
          <w:sz w:val="22"/>
          <w:szCs w:val="22"/>
        </w:rPr>
        <w:t>The procurement and installation of all necessary hardware and software (including discovery tools) in accordance with the approved project schedule.</w:t>
      </w:r>
    </w:p>
    <w:p w14:paraId="00E363D1" w14:textId="77777777" w:rsidR="00CF7687" w:rsidRPr="00715F1A" w:rsidRDefault="002F6A7E">
      <w:pPr>
        <w:spacing w:before="120" w:after="160" w:line="259" w:lineRule="auto"/>
        <w:jc w:val="both"/>
        <w:rPr>
          <w:rFonts w:asciiTheme="majorHAnsi" w:hAnsiTheme="majorHAnsi" w:cstheme="majorHAnsi"/>
          <w:sz w:val="22"/>
          <w:szCs w:val="22"/>
        </w:rPr>
      </w:pPr>
      <w:r w:rsidRPr="00715F1A">
        <w:rPr>
          <w:rFonts w:asciiTheme="majorHAnsi" w:hAnsiTheme="majorHAnsi" w:cstheme="majorHAnsi"/>
          <w:sz w:val="22"/>
          <w:szCs w:val="22"/>
        </w:rPr>
        <w:t xml:space="preserve">Customer and Amazon Web Services must meet within five (5) business days after notification from Amazon Web Services to Customer that Amazon Web Services believes Customer has not met, or is likely to not meet, one or more of the Customer Responsibilities.  As part of this discussion Amazon Web Services will discuss whether it reasonably believes its provision of the Amazon Web Services Professional Services under this SOW has been, or will be, affected by a Permitted Delay, in which case the Permitted Delay process below will apply. Failure by Customer  to provide cooperation, feedback, and accurate information in a timely manner will relieve Amazon Web Services of its obligations to perform. </w:t>
      </w:r>
    </w:p>
    <w:p w14:paraId="2E78F4C3" w14:textId="77777777" w:rsidR="00CF7687" w:rsidRPr="00715F1A" w:rsidRDefault="002F6A7E">
      <w:pPr>
        <w:spacing w:after="160" w:line="259" w:lineRule="auto"/>
        <w:contextualSpacing/>
        <w:jc w:val="both"/>
        <w:rPr>
          <w:rFonts w:asciiTheme="majorHAnsi" w:hAnsiTheme="majorHAnsi" w:cstheme="majorHAnsi"/>
          <w:color w:val="FF4500"/>
          <w:sz w:val="22"/>
          <w:szCs w:val="22"/>
        </w:rPr>
      </w:pPr>
      <w:r w:rsidRPr="00715F1A">
        <w:rPr>
          <w:rFonts w:asciiTheme="majorHAnsi" w:hAnsiTheme="majorHAnsi" w:cstheme="majorHAnsi"/>
          <w:sz w:val="22"/>
          <w:szCs w:val="22"/>
        </w:rPr>
        <w:t>Any failure or delay in the Customer Responsibilities may result in a change to the Deliverable or Payment Milestone Schedule or firm fixed price, and any such changes will be agreed between the parties in writing.</w:t>
      </w:r>
    </w:p>
    <w:p w14:paraId="5D88D508" w14:textId="77777777" w:rsidR="00CF7687" w:rsidRPr="00715F1A" w:rsidRDefault="00CF7687">
      <w:pPr>
        <w:keepNext/>
        <w:keepLines/>
        <w:spacing w:before="120" w:after="120"/>
        <w:rPr>
          <w:rFonts w:asciiTheme="majorHAnsi" w:eastAsiaTheme="majorEastAsia" w:hAnsiTheme="majorHAnsi" w:cstheme="majorHAnsi"/>
          <w:b/>
          <w:bCs/>
          <w:color w:val="4F81BD" w:themeColor="accent1"/>
          <w:sz w:val="26"/>
          <w:szCs w:val="26"/>
          <w:highlight w:val="green"/>
        </w:rPr>
      </w:pPr>
    </w:p>
    <w:p w14:paraId="0F96A4DB" w14:textId="77777777" w:rsidR="00CF7687" w:rsidRPr="00715F1A" w:rsidRDefault="002F6A7E">
      <w:pPr>
        <w:keepNext/>
        <w:keepLines/>
        <w:spacing w:before="120" w:after="120"/>
        <w:rPr>
          <w:rFonts w:asciiTheme="majorHAnsi" w:hAnsiTheme="majorHAnsi" w:cstheme="majorHAnsi"/>
        </w:rPr>
      </w:pPr>
      <w:r w:rsidRPr="00715F1A">
        <w:rPr>
          <w:rFonts w:asciiTheme="majorHAnsi" w:eastAsiaTheme="majorEastAsia" w:hAnsiTheme="majorHAnsi" w:cstheme="majorHAnsi"/>
          <w:b/>
          <w:bCs/>
          <w:sz w:val="26"/>
          <w:szCs w:val="26"/>
        </w:rPr>
        <w:t xml:space="preserve">Schedule of Deliverables, Payment Milestones, </w:t>
      </w:r>
      <w:bookmarkStart w:id="0" w:name="SODMC_WWCS_FFP"/>
      <w:r w:rsidRPr="00715F1A">
        <w:rPr>
          <w:rFonts w:asciiTheme="majorHAnsi" w:eastAsiaTheme="majorEastAsia" w:hAnsiTheme="majorHAnsi" w:cstheme="majorHAnsi"/>
          <w:b/>
          <w:bCs/>
          <w:sz w:val="26"/>
          <w:szCs w:val="26"/>
        </w:rPr>
        <w:t>and Charges</w:t>
      </w:r>
      <w:bookmarkEnd w:id="0"/>
    </w:p>
    <w:p w14:paraId="213F210E" w14:textId="77777777" w:rsidR="00CF7687" w:rsidRPr="00715F1A" w:rsidRDefault="002F6A7E">
      <w:pPr>
        <w:widowControl w:val="0"/>
        <w:spacing w:before="240"/>
        <w:jc w:val="both"/>
        <w:rPr>
          <w:rFonts w:asciiTheme="majorHAnsi" w:hAnsiTheme="majorHAnsi" w:cstheme="majorHAnsi"/>
          <w:sz w:val="22"/>
          <w:szCs w:val="22"/>
        </w:rPr>
      </w:pPr>
      <w:r w:rsidRPr="00715F1A">
        <w:rPr>
          <w:rFonts w:asciiTheme="majorHAnsi" w:hAnsiTheme="majorHAnsi" w:cstheme="majorHAnsi"/>
          <w:sz w:val="22"/>
          <w:szCs w:val="22"/>
        </w:rPr>
        <w:t xml:space="preserve">Subject to the Acceptance Process, </w:t>
      </w:r>
      <w:bookmarkStart w:id="1" w:name="_Hlk121748098"/>
      <w:r w:rsidRPr="00715F1A">
        <w:rPr>
          <w:rFonts w:asciiTheme="majorHAnsi" w:hAnsiTheme="majorHAnsi" w:cstheme="majorHAnsi"/>
          <w:sz w:val="22"/>
          <w:szCs w:val="22"/>
        </w:rPr>
        <w:t xml:space="preserve">Amazon Web Services </w:t>
      </w:r>
      <w:bookmarkEnd w:id="1"/>
      <w:r w:rsidRPr="00715F1A">
        <w:rPr>
          <w:rFonts w:asciiTheme="majorHAnsi" w:hAnsiTheme="majorHAnsi" w:cstheme="majorHAnsi"/>
          <w:sz w:val="22"/>
          <w:szCs w:val="22"/>
        </w:rPr>
        <w:t>will bill Customer, and Customer will pay, for the charges corresponding to the Payment Milestones as specified in the table below. Payments under this SOW are non-refundable, and shall not be used for purchase of other services provided by Amazon Web Services or its affiliates.</w:t>
      </w:r>
    </w:p>
    <w:p w14:paraId="0ACCF115" w14:textId="77777777" w:rsidR="00CF7687" w:rsidRPr="00715F1A" w:rsidRDefault="002F6A7E">
      <w:pPr>
        <w:keepNext/>
        <w:keepLines/>
        <w:spacing w:before="120" w:after="120"/>
        <w:jc w:val="center"/>
        <w:rPr>
          <w:rFonts w:asciiTheme="majorHAnsi" w:hAnsiTheme="majorHAnsi" w:cstheme="majorHAnsi"/>
          <w:sz w:val="22"/>
          <w:szCs w:val="22"/>
        </w:rPr>
      </w:pPr>
      <w:r w:rsidRPr="00715F1A">
        <w:rPr>
          <w:rFonts w:asciiTheme="majorHAnsi" w:hAnsiTheme="majorHAnsi" w:cstheme="majorHAnsi"/>
          <w:sz w:val="22"/>
          <w:szCs w:val="22"/>
        </w:rPr>
        <w:lastRenderedPageBreak/>
        <w:t>Table 1 : Fee Table</w:t>
      </w:r>
    </w:p>
    <w:p w14:paraId="78001C3D" w14:textId="77777777" w:rsidR="00CF7687" w:rsidRPr="00715F1A" w:rsidRDefault="00CF7687">
      <w:pPr>
        <w:keepNext/>
        <w:keepLines/>
        <w:rPr>
          <w:rFonts w:asciiTheme="majorHAnsi" w:hAnsiTheme="majorHAnsi" w:cstheme="majorHAnsi"/>
          <w:sz w:val="2"/>
          <w:szCs w:val="2"/>
        </w:rPr>
      </w:pPr>
    </w:p>
    <w:tbl>
      <w:tblPr>
        <w:tblStyle w:val="TableGrid"/>
        <w:tblW w:w="4975" w:type="pct"/>
        <w:tblLook w:val="04A0" w:firstRow="1" w:lastRow="0" w:firstColumn="1" w:lastColumn="0" w:noHBand="0" w:noVBand="1"/>
      </w:tblPr>
      <w:tblGrid>
        <w:gridCol w:w="1724"/>
        <w:gridCol w:w="3661"/>
        <w:gridCol w:w="2092"/>
        <w:gridCol w:w="1110"/>
      </w:tblGrid>
      <w:tr w:rsidR="00CF7687" w:rsidRPr="00715F1A" w14:paraId="20E76481" w14:textId="77777777" w:rsidTr="00C96CE9">
        <w:trPr>
          <w:cantSplit/>
          <w:trHeight w:val="665"/>
        </w:trPr>
        <w:tc>
          <w:tcPr>
            <w:tcW w:w="1010" w:type="pct"/>
            <w:shd w:val="clear" w:color="auto" w:fill="A6A6A6" w:themeFill="background1" w:themeFillShade="A6"/>
            <w:vAlign w:val="center"/>
          </w:tcPr>
          <w:p w14:paraId="0EE49ADC" w14:textId="77777777" w:rsidR="00CF7687" w:rsidRPr="00715F1A" w:rsidRDefault="002F6A7E">
            <w:pPr>
              <w:pStyle w:val="NoSpacing"/>
              <w:keepNext/>
              <w:keepLines/>
              <w:jc w:val="center"/>
              <w:rPr>
                <w:rFonts w:eastAsia="Times New Roman" w:cstheme="majorHAnsi"/>
                <w:b/>
                <w:iCs/>
                <w:sz w:val="22"/>
                <w:szCs w:val="22"/>
                <w:u w:val="single"/>
              </w:rPr>
            </w:pPr>
            <w:r w:rsidRPr="00715F1A">
              <w:rPr>
                <w:rFonts w:eastAsia="Times New Roman" w:cstheme="majorHAnsi"/>
                <w:b/>
                <w:iCs/>
                <w:sz w:val="22"/>
                <w:szCs w:val="22"/>
                <w:u w:val="single"/>
              </w:rPr>
              <w:t>Payment Milestone</w:t>
            </w:r>
          </w:p>
        </w:tc>
        <w:tc>
          <w:tcPr>
            <w:tcW w:w="2138" w:type="pct"/>
            <w:shd w:val="clear" w:color="auto" w:fill="A6A6A6" w:themeFill="background1" w:themeFillShade="A6"/>
            <w:vAlign w:val="center"/>
          </w:tcPr>
          <w:p w14:paraId="7315B30D" w14:textId="77777777" w:rsidR="00CF7687" w:rsidRPr="00715F1A" w:rsidRDefault="002F6A7E">
            <w:pPr>
              <w:pStyle w:val="NoSpacing"/>
              <w:keepNext/>
              <w:keepLines/>
              <w:jc w:val="center"/>
              <w:rPr>
                <w:rFonts w:eastAsia="Times New Roman" w:cstheme="majorHAnsi"/>
                <w:b/>
                <w:iCs/>
                <w:sz w:val="22"/>
                <w:szCs w:val="22"/>
                <w:u w:val="single"/>
              </w:rPr>
            </w:pPr>
            <w:r w:rsidRPr="00715F1A">
              <w:rPr>
                <w:rFonts w:eastAsia="Times New Roman" w:cstheme="majorHAnsi"/>
                <w:b/>
                <w:iCs/>
                <w:sz w:val="22"/>
                <w:szCs w:val="22"/>
                <w:u w:val="single"/>
              </w:rPr>
              <w:t>Deliverable</w:t>
            </w:r>
          </w:p>
        </w:tc>
        <w:tc>
          <w:tcPr>
            <w:tcW w:w="1223" w:type="pct"/>
            <w:shd w:val="clear" w:color="auto" w:fill="A6A6A6" w:themeFill="background1" w:themeFillShade="A6"/>
            <w:vAlign w:val="center"/>
          </w:tcPr>
          <w:p w14:paraId="2282DE5A" w14:textId="77777777" w:rsidR="00CF7687" w:rsidRPr="00715F1A" w:rsidRDefault="002F6A7E">
            <w:pPr>
              <w:pStyle w:val="NoSpacing"/>
              <w:keepNext/>
              <w:keepLines/>
              <w:jc w:val="center"/>
              <w:rPr>
                <w:rFonts w:eastAsia="Times New Roman" w:cstheme="majorHAnsi"/>
                <w:b/>
                <w:iCs/>
                <w:sz w:val="22"/>
                <w:szCs w:val="22"/>
                <w:u w:val="single"/>
              </w:rPr>
            </w:pPr>
            <w:r w:rsidRPr="00715F1A">
              <w:rPr>
                <w:rFonts w:eastAsia="Times New Roman" w:cstheme="majorHAnsi"/>
                <w:b/>
                <w:iCs/>
                <w:sz w:val="22"/>
                <w:szCs w:val="22"/>
                <w:u w:val="single"/>
              </w:rPr>
              <w:t>Deliverable Specifications</w:t>
            </w:r>
          </w:p>
        </w:tc>
        <w:tc>
          <w:tcPr>
            <w:tcW w:w="628" w:type="pct"/>
            <w:shd w:val="clear" w:color="auto" w:fill="A6A6A6" w:themeFill="background1" w:themeFillShade="A6"/>
          </w:tcPr>
          <w:p w14:paraId="1198FA71" w14:textId="77777777" w:rsidR="00CF7687" w:rsidRPr="00715F1A" w:rsidRDefault="00CF7687">
            <w:pPr>
              <w:pStyle w:val="NoSpacing"/>
              <w:keepNext/>
              <w:keepLines/>
              <w:jc w:val="center"/>
              <w:rPr>
                <w:rFonts w:eastAsia="Times New Roman" w:cstheme="majorHAnsi"/>
                <w:b/>
                <w:iCs/>
                <w:sz w:val="22"/>
                <w:szCs w:val="22"/>
                <w:u w:val="single"/>
              </w:rPr>
            </w:pPr>
          </w:p>
          <w:p w14:paraId="34CC6910" w14:textId="77777777" w:rsidR="00CF7687" w:rsidRPr="00715F1A" w:rsidRDefault="002F6A7E">
            <w:pPr>
              <w:pStyle w:val="NoSpacing"/>
              <w:keepNext/>
              <w:keepLines/>
              <w:jc w:val="center"/>
              <w:rPr>
                <w:rFonts w:eastAsia="Times New Roman" w:cstheme="majorHAnsi"/>
                <w:b/>
                <w:iCs/>
                <w:sz w:val="22"/>
                <w:szCs w:val="22"/>
                <w:u w:val="single"/>
              </w:rPr>
            </w:pPr>
            <w:r w:rsidRPr="00715F1A">
              <w:rPr>
                <w:rFonts w:eastAsia="Times New Roman" w:cstheme="majorHAnsi"/>
                <w:b/>
                <w:iCs/>
                <w:sz w:val="22"/>
                <w:szCs w:val="22"/>
                <w:u w:val="single"/>
              </w:rPr>
              <w:t>Charges</w:t>
            </w:r>
          </w:p>
        </w:tc>
      </w:tr>
      <w:tr w:rsidR="00CF7687" w:rsidRPr="00715F1A" w14:paraId="2959E007" w14:textId="77777777" w:rsidTr="00C96CE9">
        <w:trPr>
          <w:cantSplit/>
          <w:trHeight w:val="458"/>
        </w:trPr>
        <w:tc>
          <w:tcPr>
            <w:tcW w:w="1010" w:type="pct"/>
          </w:tcPr>
          <w:p w14:paraId="7FDE0B36" w14:textId="77777777" w:rsidR="00CF7687" w:rsidRPr="00715F1A" w:rsidRDefault="002F6A7E">
            <w:pPr>
              <w:pStyle w:val="NoSpacing"/>
              <w:keepNext/>
              <w:keepLines/>
              <w:rPr>
                <w:rFonts w:eastAsia="Times New Roman" w:cstheme="majorHAnsi"/>
                <w:b/>
                <w:sz w:val="22"/>
                <w:szCs w:val="22"/>
                <w:u w:val="single"/>
              </w:rPr>
            </w:pPr>
            <w:r w:rsidRPr="00715F1A">
              <w:rPr>
                <w:rFonts w:eastAsia="Times New Roman" w:cstheme="majorHAnsi"/>
                <w:b/>
                <w:sz w:val="22"/>
                <w:szCs w:val="22"/>
                <w:u w:val="single"/>
              </w:rPr>
              <w:t>Payment Milestone 1</w:t>
            </w:r>
          </w:p>
        </w:tc>
        <w:tc>
          <w:tcPr>
            <w:tcW w:w="2138" w:type="pct"/>
          </w:tcPr>
          <w:p w14:paraId="04610A76" w14:textId="77777777" w:rsidR="00CF7687" w:rsidRPr="00715F1A" w:rsidRDefault="002F6A7E">
            <w:pPr>
              <w:pStyle w:val="NoSpacing"/>
              <w:keepNext/>
              <w:keepLines/>
              <w:rPr>
                <w:rFonts w:eastAsia="Times New Roman" w:cstheme="majorHAnsi"/>
                <w:sz w:val="22"/>
                <w:szCs w:val="22"/>
                <w:u w:val="single"/>
              </w:rPr>
            </w:pPr>
            <w:r w:rsidRPr="00715F1A">
              <w:rPr>
                <w:rFonts w:eastAsia="Times New Roman" w:cstheme="majorHAnsi"/>
                <w:sz w:val="22"/>
                <w:szCs w:val="22"/>
                <w:u w:val="single"/>
              </w:rPr>
              <w:t>Executed SOW</w:t>
            </w:r>
          </w:p>
        </w:tc>
        <w:tc>
          <w:tcPr>
            <w:tcW w:w="1223" w:type="pct"/>
          </w:tcPr>
          <w:p w14:paraId="19DAFD74" w14:textId="77777777" w:rsidR="00CF7687" w:rsidRPr="00715F1A" w:rsidRDefault="002F6A7E" w:rsidP="00C96CE9">
            <w:pPr>
              <w:pStyle w:val="NoSpacing"/>
              <w:keepNext/>
              <w:keepLines/>
              <w:numPr>
                <w:ilvl w:val="0"/>
                <w:numId w:val="10"/>
              </w:numPr>
              <w:ind w:left="296" w:hanging="296"/>
              <w:rPr>
                <w:rFonts w:eastAsia="Times New Roman" w:cstheme="majorHAnsi"/>
                <w:sz w:val="22"/>
                <w:szCs w:val="22"/>
                <w:u w:val="single"/>
              </w:rPr>
            </w:pPr>
            <w:r w:rsidRPr="00715F1A">
              <w:rPr>
                <w:rFonts w:eastAsia="Times New Roman" w:cstheme="majorHAnsi"/>
                <w:sz w:val="22"/>
                <w:szCs w:val="22"/>
                <w:u w:val="single"/>
              </w:rPr>
              <w:t>PDF</w:t>
            </w:r>
          </w:p>
        </w:tc>
        <w:tc>
          <w:tcPr>
            <w:tcW w:w="628" w:type="pct"/>
          </w:tcPr>
          <w:p w14:paraId="013A018B" w14:textId="0840A0E4" w:rsidR="00CF7687" w:rsidRPr="00715F1A" w:rsidRDefault="00CF7687">
            <w:pPr>
              <w:pStyle w:val="NoSpacing"/>
              <w:keepNext/>
              <w:keepLines/>
              <w:rPr>
                <w:rFonts w:eastAsia="Times New Roman" w:cstheme="majorHAnsi"/>
                <w:sz w:val="22"/>
                <w:szCs w:val="22"/>
                <w:u w:val="single"/>
                <w:lang w:eastAsia="zh-CN"/>
              </w:rPr>
            </w:pPr>
          </w:p>
        </w:tc>
      </w:tr>
      <w:tr w:rsidR="00CF7687" w:rsidRPr="00715F1A" w14:paraId="23F84E96" w14:textId="77777777" w:rsidTr="00C96CE9">
        <w:trPr>
          <w:cantSplit/>
          <w:trHeight w:val="458"/>
        </w:trPr>
        <w:tc>
          <w:tcPr>
            <w:tcW w:w="1010" w:type="pct"/>
          </w:tcPr>
          <w:p w14:paraId="3508E68C" w14:textId="77777777" w:rsidR="00CF7687" w:rsidRPr="00715F1A" w:rsidRDefault="002F6A7E">
            <w:pPr>
              <w:pStyle w:val="NoSpacing"/>
              <w:keepNext/>
              <w:keepLines/>
              <w:rPr>
                <w:rFonts w:eastAsia="Times New Roman" w:cstheme="majorHAnsi"/>
                <w:b/>
                <w:sz w:val="22"/>
                <w:szCs w:val="22"/>
                <w:u w:val="single"/>
              </w:rPr>
            </w:pPr>
            <w:r w:rsidRPr="00715F1A">
              <w:rPr>
                <w:rFonts w:eastAsia="Times New Roman" w:cstheme="majorHAnsi"/>
                <w:b/>
                <w:sz w:val="22"/>
                <w:szCs w:val="22"/>
                <w:u w:val="single"/>
              </w:rPr>
              <w:t>Payment Milestone 2:</w:t>
            </w:r>
          </w:p>
          <w:p w14:paraId="70BC563A" w14:textId="131B919F" w:rsidR="00CF7687" w:rsidRPr="00715F1A" w:rsidRDefault="00C96CE9">
            <w:pPr>
              <w:pStyle w:val="NoSpacing"/>
              <w:keepNext/>
              <w:keepLines/>
              <w:rPr>
                <w:rFonts w:eastAsia="Times New Roman" w:cstheme="majorHAnsi"/>
                <w:b/>
                <w:sz w:val="22"/>
                <w:szCs w:val="22"/>
                <w:u w:val="single"/>
                <w:lang w:eastAsia="zh-CN"/>
              </w:rPr>
            </w:pPr>
            <w:r w:rsidRPr="00C96CE9">
              <w:rPr>
                <w:rFonts w:eastAsia="Times New Roman" w:cstheme="majorHAnsi"/>
                <w:b/>
                <w:sz w:val="22"/>
                <w:szCs w:val="22"/>
                <w:u w:val="single"/>
                <w:lang w:eastAsia="zh-CN"/>
              </w:rPr>
              <w:t>Business Scenario and Product Function Definition</w:t>
            </w:r>
          </w:p>
        </w:tc>
        <w:tc>
          <w:tcPr>
            <w:tcW w:w="2138" w:type="pct"/>
          </w:tcPr>
          <w:p w14:paraId="4DCD3C10" w14:textId="77777777" w:rsidR="00C96CE9" w:rsidRPr="00BA2DAF" w:rsidRDefault="00C96CE9" w:rsidP="00C96CE9">
            <w:pPr>
              <w:pStyle w:val="ListParagraph"/>
              <w:numPr>
                <w:ilvl w:val="0"/>
                <w:numId w:val="28"/>
              </w:numPr>
              <w:spacing w:before="240"/>
              <w:ind w:left="448" w:hanging="425"/>
              <w:jc w:val="both"/>
              <w:rPr>
                <w:rFonts w:asciiTheme="majorHAnsi" w:hAnsiTheme="majorHAnsi" w:cstheme="majorHAnsi"/>
                <w:sz w:val="22"/>
                <w:szCs w:val="22"/>
              </w:rPr>
            </w:pPr>
            <w:r w:rsidRPr="00BA2DAF">
              <w:rPr>
                <w:rFonts w:asciiTheme="majorHAnsi" w:hAnsiTheme="majorHAnsi" w:cstheme="majorHAnsi"/>
                <w:sz w:val="22"/>
                <w:szCs w:val="22"/>
              </w:rPr>
              <w:t>VOC Business Scenario Definition (Documentation)</w:t>
            </w:r>
          </w:p>
          <w:p w14:paraId="55861ED5" w14:textId="77777777" w:rsidR="00C96CE9" w:rsidRPr="00BA2DAF" w:rsidRDefault="00C96CE9" w:rsidP="00C96CE9">
            <w:pPr>
              <w:pStyle w:val="ListParagraph"/>
              <w:numPr>
                <w:ilvl w:val="0"/>
                <w:numId w:val="28"/>
              </w:numPr>
              <w:ind w:left="448" w:hanging="425"/>
              <w:jc w:val="both"/>
              <w:rPr>
                <w:rFonts w:asciiTheme="majorHAnsi" w:hAnsiTheme="majorHAnsi" w:cstheme="majorHAnsi"/>
                <w:sz w:val="22"/>
                <w:szCs w:val="22"/>
              </w:rPr>
            </w:pPr>
            <w:r w:rsidRPr="00BA2DAF">
              <w:rPr>
                <w:rFonts w:asciiTheme="majorHAnsi" w:hAnsiTheme="majorHAnsi" w:cstheme="majorHAnsi"/>
                <w:sz w:val="22"/>
                <w:szCs w:val="22"/>
              </w:rPr>
              <w:t>Preset VOC Tagging Schema (Documentation)</w:t>
            </w:r>
          </w:p>
          <w:p w14:paraId="1E5EEEAF" w14:textId="55D97F8C" w:rsidR="00CF7687" w:rsidRPr="00C96CE9" w:rsidRDefault="00C96CE9" w:rsidP="00C96CE9">
            <w:pPr>
              <w:pStyle w:val="ListParagraph"/>
              <w:numPr>
                <w:ilvl w:val="0"/>
                <w:numId w:val="28"/>
              </w:numPr>
              <w:ind w:left="448" w:hanging="425"/>
              <w:jc w:val="both"/>
              <w:rPr>
                <w:rFonts w:asciiTheme="majorHAnsi" w:hAnsiTheme="majorHAnsi" w:cstheme="majorHAnsi"/>
                <w:sz w:val="22"/>
                <w:szCs w:val="22"/>
              </w:rPr>
            </w:pPr>
            <w:r w:rsidRPr="00BA2DAF">
              <w:rPr>
                <w:rFonts w:asciiTheme="majorHAnsi" w:hAnsiTheme="majorHAnsi" w:cstheme="majorHAnsi"/>
                <w:sz w:val="22"/>
                <w:szCs w:val="22"/>
              </w:rPr>
              <w:t>VOC Analysis Product Prototype Specification (Documentation)</w:t>
            </w:r>
          </w:p>
        </w:tc>
        <w:tc>
          <w:tcPr>
            <w:tcW w:w="1223" w:type="pct"/>
          </w:tcPr>
          <w:p w14:paraId="5A43CCFD" w14:textId="77777777" w:rsidR="00CF7687" w:rsidRPr="00715F1A" w:rsidRDefault="002F6A7E" w:rsidP="00C96CE9">
            <w:pPr>
              <w:pStyle w:val="NoSpacing"/>
              <w:keepNext/>
              <w:keepLines/>
              <w:numPr>
                <w:ilvl w:val="0"/>
                <w:numId w:val="10"/>
              </w:numPr>
              <w:ind w:left="296" w:hanging="296"/>
              <w:rPr>
                <w:rFonts w:eastAsia="Times New Roman" w:cstheme="majorHAnsi"/>
                <w:sz w:val="22"/>
                <w:szCs w:val="22"/>
                <w:u w:val="single"/>
              </w:rPr>
            </w:pPr>
            <w:r w:rsidRPr="00715F1A">
              <w:rPr>
                <w:rFonts w:eastAsia="Times New Roman" w:cstheme="majorHAnsi"/>
                <w:sz w:val="22"/>
                <w:szCs w:val="22"/>
                <w:u w:val="single"/>
              </w:rPr>
              <w:t>docx</w:t>
            </w:r>
          </w:p>
        </w:tc>
        <w:tc>
          <w:tcPr>
            <w:tcW w:w="628" w:type="pct"/>
          </w:tcPr>
          <w:p w14:paraId="2700B47A" w14:textId="6E77EE9C" w:rsidR="00CF7687" w:rsidRPr="00715F1A" w:rsidRDefault="00CF7687">
            <w:pPr>
              <w:pStyle w:val="NoSpacing"/>
              <w:keepNext/>
              <w:keepLines/>
              <w:rPr>
                <w:rFonts w:eastAsia="Times New Roman" w:cstheme="majorHAnsi"/>
                <w:sz w:val="22"/>
                <w:szCs w:val="22"/>
                <w:u w:val="single"/>
                <w:lang w:eastAsia="zh-CN"/>
              </w:rPr>
            </w:pPr>
          </w:p>
        </w:tc>
      </w:tr>
      <w:tr w:rsidR="00CF7687" w:rsidRPr="00715F1A" w14:paraId="45AC249D" w14:textId="77777777" w:rsidTr="00C96CE9">
        <w:trPr>
          <w:cantSplit/>
          <w:trHeight w:val="458"/>
        </w:trPr>
        <w:tc>
          <w:tcPr>
            <w:tcW w:w="1010" w:type="pct"/>
          </w:tcPr>
          <w:p w14:paraId="320A8BA8" w14:textId="77777777" w:rsidR="00CF7687" w:rsidRPr="00715F1A" w:rsidRDefault="002F6A7E">
            <w:pPr>
              <w:pStyle w:val="NoSpacing"/>
              <w:keepNext/>
              <w:keepLines/>
              <w:rPr>
                <w:rFonts w:eastAsia="Times New Roman" w:cstheme="majorHAnsi"/>
                <w:b/>
                <w:sz w:val="22"/>
                <w:szCs w:val="22"/>
                <w:u w:val="single"/>
              </w:rPr>
            </w:pPr>
            <w:r w:rsidRPr="00715F1A">
              <w:rPr>
                <w:rFonts w:eastAsia="Times New Roman" w:cstheme="majorHAnsi"/>
                <w:b/>
                <w:sz w:val="22"/>
                <w:szCs w:val="22"/>
                <w:u w:val="single"/>
              </w:rPr>
              <w:t>Payment Milestone 3:</w:t>
            </w:r>
          </w:p>
          <w:p w14:paraId="5607FDFF" w14:textId="52F4A758" w:rsidR="00CF7687" w:rsidRPr="00715F1A" w:rsidRDefault="00C96CE9">
            <w:pPr>
              <w:pStyle w:val="NoSpacing"/>
              <w:keepNext/>
              <w:keepLines/>
              <w:rPr>
                <w:rFonts w:eastAsia="Times New Roman" w:cstheme="majorHAnsi"/>
                <w:b/>
                <w:sz w:val="22"/>
                <w:szCs w:val="22"/>
                <w:u w:val="single"/>
                <w:lang w:eastAsia="zh-CN"/>
              </w:rPr>
            </w:pPr>
            <w:r w:rsidRPr="00C96CE9">
              <w:rPr>
                <w:rFonts w:eastAsia="Times New Roman" w:cstheme="majorHAnsi"/>
                <w:b/>
                <w:sz w:val="22"/>
                <w:szCs w:val="22"/>
                <w:u w:val="single"/>
                <w:lang w:eastAsia="zh-CN"/>
              </w:rPr>
              <w:t>VOC Tagging Workflow, Validation, and Optimization</w:t>
            </w:r>
          </w:p>
        </w:tc>
        <w:tc>
          <w:tcPr>
            <w:tcW w:w="2138" w:type="pct"/>
          </w:tcPr>
          <w:p w14:paraId="5883424C" w14:textId="35440E77" w:rsidR="00CF7687" w:rsidRPr="00715F1A" w:rsidRDefault="00C96CE9">
            <w:pPr>
              <w:pStyle w:val="NoSpacing"/>
              <w:keepNext/>
              <w:keepLines/>
              <w:rPr>
                <w:rFonts w:eastAsia="Times New Roman" w:cstheme="majorHAnsi"/>
                <w:sz w:val="22"/>
                <w:szCs w:val="22"/>
                <w:u w:val="single"/>
                <w:lang w:eastAsia="zh-CN"/>
              </w:rPr>
            </w:pPr>
            <w:r w:rsidRPr="00BA2DAF">
              <w:rPr>
                <w:rFonts w:cstheme="majorHAnsi"/>
                <w:sz w:val="22"/>
                <w:szCs w:val="22"/>
              </w:rPr>
              <w:t>VOC Tagging and Mining Workflow MVP</w:t>
            </w:r>
          </w:p>
        </w:tc>
        <w:tc>
          <w:tcPr>
            <w:tcW w:w="1223" w:type="pct"/>
          </w:tcPr>
          <w:p w14:paraId="6B2164A7" w14:textId="301CF062" w:rsidR="00CF7687" w:rsidRPr="00715F1A" w:rsidRDefault="00C96CE9" w:rsidP="00C96CE9">
            <w:pPr>
              <w:pStyle w:val="NoSpacing"/>
              <w:keepNext/>
              <w:keepLines/>
              <w:numPr>
                <w:ilvl w:val="0"/>
                <w:numId w:val="10"/>
              </w:numPr>
              <w:ind w:left="296" w:hanging="296"/>
              <w:rPr>
                <w:rFonts w:eastAsia="Times New Roman" w:cstheme="majorHAnsi"/>
                <w:sz w:val="22"/>
                <w:szCs w:val="22"/>
                <w:u w:val="single"/>
              </w:rPr>
            </w:pPr>
            <w:r w:rsidRPr="00BA2DAF">
              <w:rPr>
                <w:rFonts w:cstheme="majorHAnsi"/>
                <w:sz w:val="22"/>
                <w:szCs w:val="22"/>
              </w:rPr>
              <w:t>Executable Program with API Interaction</w:t>
            </w:r>
          </w:p>
        </w:tc>
        <w:tc>
          <w:tcPr>
            <w:tcW w:w="628" w:type="pct"/>
          </w:tcPr>
          <w:p w14:paraId="7A3AD1CB" w14:textId="20C0F705" w:rsidR="00CF7687" w:rsidRPr="00715F1A" w:rsidRDefault="00CF7687">
            <w:pPr>
              <w:pStyle w:val="NoSpacing"/>
              <w:keepNext/>
              <w:keepLines/>
              <w:rPr>
                <w:rFonts w:eastAsia="Times New Roman" w:cstheme="majorHAnsi"/>
                <w:sz w:val="22"/>
                <w:szCs w:val="22"/>
                <w:u w:val="single"/>
                <w:lang w:eastAsia="zh-CN"/>
              </w:rPr>
            </w:pPr>
          </w:p>
        </w:tc>
      </w:tr>
      <w:tr w:rsidR="00C96CE9" w:rsidRPr="00715F1A" w14:paraId="35334C42" w14:textId="77777777" w:rsidTr="00C96CE9">
        <w:trPr>
          <w:cantSplit/>
          <w:trHeight w:val="458"/>
        </w:trPr>
        <w:tc>
          <w:tcPr>
            <w:tcW w:w="1010" w:type="pct"/>
          </w:tcPr>
          <w:p w14:paraId="59CCD496" w14:textId="1DD70E5F" w:rsidR="00C96CE9" w:rsidRPr="00715F1A" w:rsidRDefault="00C96CE9" w:rsidP="00C96CE9">
            <w:pPr>
              <w:pStyle w:val="NoSpacing"/>
              <w:keepNext/>
              <w:keepLines/>
              <w:rPr>
                <w:rFonts w:eastAsia="Times New Roman" w:cstheme="majorHAnsi"/>
                <w:b/>
                <w:sz w:val="22"/>
                <w:szCs w:val="22"/>
                <w:u w:val="single"/>
              </w:rPr>
            </w:pPr>
            <w:r w:rsidRPr="00715F1A">
              <w:rPr>
                <w:rFonts w:eastAsia="Times New Roman" w:cstheme="majorHAnsi"/>
                <w:b/>
                <w:sz w:val="22"/>
                <w:szCs w:val="22"/>
                <w:u w:val="single"/>
              </w:rPr>
              <w:t xml:space="preserve">Payment Milestone </w:t>
            </w:r>
            <w:r>
              <w:rPr>
                <w:rFonts w:eastAsia="Times New Roman" w:cstheme="majorHAnsi" w:hint="eastAsia"/>
                <w:b/>
                <w:sz w:val="22"/>
                <w:szCs w:val="22"/>
                <w:u w:val="single"/>
                <w:lang w:eastAsia="zh-CN"/>
              </w:rPr>
              <w:t>4</w:t>
            </w:r>
            <w:r w:rsidRPr="00715F1A">
              <w:rPr>
                <w:rFonts w:eastAsia="Times New Roman" w:cstheme="majorHAnsi"/>
                <w:b/>
                <w:sz w:val="22"/>
                <w:szCs w:val="22"/>
                <w:u w:val="single"/>
              </w:rPr>
              <w:t>:</w:t>
            </w:r>
          </w:p>
          <w:p w14:paraId="4CC13263" w14:textId="4F10D0D1" w:rsidR="00C96CE9" w:rsidRPr="00715F1A" w:rsidRDefault="00C96CE9">
            <w:pPr>
              <w:pStyle w:val="NoSpacing"/>
              <w:keepNext/>
              <w:keepLines/>
              <w:rPr>
                <w:rFonts w:eastAsia="Times New Roman" w:cstheme="majorHAnsi"/>
                <w:b/>
                <w:sz w:val="22"/>
                <w:szCs w:val="22"/>
                <w:u w:val="single"/>
              </w:rPr>
            </w:pPr>
            <w:r w:rsidRPr="00C96CE9">
              <w:rPr>
                <w:rFonts w:eastAsia="Times New Roman" w:cstheme="majorHAnsi"/>
                <w:b/>
                <w:sz w:val="22"/>
                <w:szCs w:val="22"/>
                <w:u w:val="single"/>
              </w:rPr>
              <w:t>Full Product Feature Implementation</w:t>
            </w:r>
          </w:p>
        </w:tc>
        <w:tc>
          <w:tcPr>
            <w:tcW w:w="2138" w:type="pct"/>
          </w:tcPr>
          <w:p w14:paraId="0D5295DD" w14:textId="286A5D5A" w:rsidR="00C96CE9" w:rsidRPr="00BA2DAF" w:rsidRDefault="00C96CE9" w:rsidP="00C96CE9">
            <w:pPr>
              <w:pStyle w:val="NoSpacing"/>
              <w:keepNext/>
              <w:keepLines/>
              <w:rPr>
                <w:rFonts w:cstheme="majorHAnsi"/>
                <w:sz w:val="22"/>
                <w:szCs w:val="22"/>
                <w:lang w:eastAsia="zh-CN"/>
              </w:rPr>
            </w:pPr>
            <w:r w:rsidRPr="00BA2DAF">
              <w:rPr>
                <w:rFonts w:cstheme="majorHAnsi"/>
                <w:sz w:val="22"/>
                <w:szCs w:val="22"/>
              </w:rPr>
              <w:t>VOC Analysis Product</w:t>
            </w:r>
          </w:p>
          <w:p w14:paraId="2AB6E57F" w14:textId="77777777" w:rsidR="00C96CE9" w:rsidRPr="00C96CE9" w:rsidRDefault="00C96CE9">
            <w:pPr>
              <w:pStyle w:val="NoSpacing"/>
              <w:keepNext/>
              <w:keepLines/>
              <w:rPr>
                <w:rFonts w:eastAsia="Times New Roman" w:cstheme="majorHAnsi"/>
                <w:sz w:val="22"/>
                <w:szCs w:val="22"/>
                <w:u w:val="single"/>
                <w:lang/>
              </w:rPr>
            </w:pPr>
          </w:p>
        </w:tc>
        <w:tc>
          <w:tcPr>
            <w:tcW w:w="1223" w:type="pct"/>
          </w:tcPr>
          <w:p w14:paraId="458EF155" w14:textId="7BE2DCF5" w:rsidR="00C96CE9" w:rsidRPr="00715F1A" w:rsidRDefault="00C96CE9" w:rsidP="00C96CE9">
            <w:pPr>
              <w:pStyle w:val="NoSpacing"/>
              <w:keepNext/>
              <w:keepLines/>
              <w:numPr>
                <w:ilvl w:val="0"/>
                <w:numId w:val="10"/>
              </w:numPr>
              <w:ind w:left="296" w:hanging="296"/>
              <w:rPr>
                <w:rFonts w:eastAsia="Times New Roman" w:cstheme="majorHAnsi"/>
                <w:sz w:val="22"/>
                <w:szCs w:val="22"/>
                <w:u w:val="single"/>
              </w:rPr>
            </w:pPr>
            <w:r w:rsidRPr="00BA2DAF">
              <w:rPr>
                <w:rFonts w:cstheme="majorHAnsi"/>
                <w:sz w:val="22"/>
                <w:szCs w:val="22"/>
              </w:rPr>
              <w:t>Executable Web Application</w:t>
            </w:r>
          </w:p>
        </w:tc>
        <w:tc>
          <w:tcPr>
            <w:tcW w:w="628" w:type="pct"/>
          </w:tcPr>
          <w:p w14:paraId="17CD2C90" w14:textId="77777777" w:rsidR="00C96CE9" w:rsidRPr="00715F1A" w:rsidRDefault="00C96CE9">
            <w:pPr>
              <w:pStyle w:val="NoSpacing"/>
              <w:keepNext/>
              <w:keepLines/>
              <w:rPr>
                <w:rFonts w:eastAsia="Times New Roman" w:cstheme="majorHAnsi"/>
                <w:sz w:val="22"/>
                <w:szCs w:val="22"/>
                <w:u w:val="single"/>
                <w:lang w:eastAsia="zh-CN"/>
              </w:rPr>
            </w:pPr>
          </w:p>
        </w:tc>
      </w:tr>
      <w:tr w:rsidR="00CF7687" w:rsidRPr="00715F1A" w14:paraId="08A1360C" w14:textId="77777777" w:rsidTr="00C96CE9">
        <w:trPr>
          <w:cantSplit/>
        </w:trPr>
        <w:tc>
          <w:tcPr>
            <w:tcW w:w="4372" w:type="pct"/>
            <w:gridSpan w:val="3"/>
            <w:vAlign w:val="center"/>
          </w:tcPr>
          <w:p w14:paraId="1BC58EE3" w14:textId="77777777" w:rsidR="00CF7687" w:rsidRPr="00715F1A" w:rsidRDefault="002F6A7E">
            <w:pPr>
              <w:pStyle w:val="NoSpacing"/>
              <w:keepNext/>
              <w:keepLines/>
              <w:jc w:val="right"/>
              <w:rPr>
                <w:rFonts w:eastAsia="Times New Roman" w:cstheme="majorHAnsi"/>
                <w:b/>
                <w:sz w:val="22"/>
                <w:szCs w:val="22"/>
                <w:u w:val="single"/>
              </w:rPr>
            </w:pPr>
            <w:r w:rsidRPr="00715F1A">
              <w:rPr>
                <w:rFonts w:eastAsia="Times New Roman" w:cstheme="majorHAnsi"/>
                <w:b/>
                <w:sz w:val="22"/>
                <w:szCs w:val="22"/>
                <w:u w:val="single"/>
              </w:rPr>
              <w:t>Total Fee</w:t>
            </w:r>
          </w:p>
        </w:tc>
        <w:tc>
          <w:tcPr>
            <w:tcW w:w="628" w:type="pct"/>
          </w:tcPr>
          <w:p w14:paraId="05076B04" w14:textId="65990960" w:rsidR="00CF7687" w:rsidRPr="00715F1A" w:rsidRDefault="00D76573">
            <w:pPr>
              <w:pStyle w:val="NoSpacing"/>
              <w:keepNext/>
              <w:keepLines/>
              <w:jc w:val="right"/>
              <w:rPr>
                <w:rFonts w:eastAsia="Times New Roman" w:cstheme="majorHAnsi"/>
                <w:b/>
                <w:sz w:val="22"/>
                <w:szCs w:val="22"/>
                <w:u w:val="single"/>
                <w:lang w:eastAsia="zh-CN"/>
              </w:rPr>
            </w:pPr>
            <w:r>
              <w:rPr>
                <w:rFonts w:eastAsia="Times New Roman" w:cstheme="majorHAnsi"/>
                <w:b/>
                <w:sz w:val="22"/>
                <w:szCs w:val="22"/>
                <w:u w:val="single"/>
                <w:lang w:eastAsia="zh-CN"/>
              </w:rPr>
              <w:t>1,</w:t>
            </w:r>
            <w:bookmarkStart w:id="2" w:name="_GoBack"/>
            <w:bookmarkEnd w:id="2"/>
            <w:r>
              <w:rPr>
                <w:rFonts w:eastAsia="Times New Roman" w:cstheme="majorHAnsi"/>
                <w:b/>
                <w:sz w:val="22"/>
                <w:szCs w:val="22"/>
                <w:u w:val="single"/>
                <w:lang w:eastAsia="zh-CN"/>
              </w:rPr>
              <w:t>117,435</w:t>
            </w:r>
          </w:p>
        </w:tc>
      </w:tr>
    </w:tbl>
    <w:p w14:paraId="2CC20B33" w14:textId="77777777" w:rsidR="00CF7687" w:rsidRPr="00715F1A" w:rsidRDefault="002F6A7E">
      <w:pPr>
        <w:pStyle w:val="Heading2"/>
        <w:spacing w:before="120"/>
        <w:jc w:val="both"/>
        <w:rPr>
          <w:rFonts w:asciiTheme="majorHAnsi" w:hAnsiTheme="majorHAnsi" w:cstheme="majorHAnsi"/>
        </w:rPr>
      </w:pPr>
      <w:r w:rsidRPr="00715F1A">
        <w:rPr>
          <w:rFonts w:asciiTheme="majorHAnsi" w:hAnsiTheme="majorHAnsi" w:cstheme="majorHAnsi"/>
        </w:rPr>
        <w:t xml:space="preserve">Acceptance </w:t>
      </w:r>
      <w:bookmarkStart w:id="3" w:name="SODMC_WWCS_FFP_ACC"/>
      <w:r w:rsidRPr="00715F1A">
        <w:rPr>
          <w:rFonts w:asciiTheme="majorHAnsi" w:hAnsiTheme="majorHAnsi" w:cstheme="majorHAnsi"/>
        </w:rPr>
        <w:t>Process</w:t>
      </w:r>
      <w:bookmarkEnd w:id="3"/>
    </w:p>
    <w:p w14:paraId="2B3465FE" w14:textId="77777777" w:rsidR="00CF7687" w:rsidRPr="00715F1A" w:rsidRDefault="002F6A7E">
      <w:pPr>
        <w:keepNext/>
        <w:keepLines/>
        <w:spacing w:after="120"/>
        <w:jc w:val="both"/>
        <w:rPr>
          <w:rFonts w:asciiTheme="majorHAnsi" w:hAnsiTheme="majorHAnsi" w:cstheme="majorHAnsi"/>
          <w:sz w:val="22"/>
          <w:szCs w:val="22"/>
        </w:rPr>
      </w:pPr>
      <w:r w:rsidRPr="00715F1A">
        <w:rPr>
          <w:rFonts w:asciiTheme="majorHAnsi" w:hAnsiTheme="majorHAnsi" w:cstheme="majorHAnsi"/>
          <w:sz w:val="22"/>
          <w:szCs w:val="22"/>
        </w:rPr>
        <w:t xml:space="preserve">Upon delivery for each Deliverable, Amazon Web Services will provide email notice to the Customer’s Engagement Contact (the </w:t>
      </w:r>
      <w:r w:rsidRPr="00715F1A">
        <w:rPr>
          <w:rFonts w:asciiTheme="majorHAnsi" w:hAnsiTheme="majorHAnsi" w:cstheme="majorHAnsi"/>
          <w:b/>
          <w:sz w:val="22"/>
          <w:szCs w:val="22"/>
        </w:rPr>
        <w:t>“Notification”</w:t>
      </w:r>
      <w:r w:rsidRPr="00715F1A">
        <w:rPr>
          <w:rFonts w:asciiTheme="majorHAnsi" w:hAnsiTheme="majorHAnsi" w:cstheme="majorHAnsi"/>
          <w:sz w:val="22"/>
          <w:szCs w:val="22"/>
        </w:rPr>
        <w:t>). Customer may only reject a Deliverable if it has failed to achieve a Deliverable Specification provided in this SOW for that Deliverable. Customer cannot reject a Deliverable if Customer has modified the Deliverable or if Customer has used the Deliverable for any purpose other than for testing as part of the Acceptance process.</w:t>
      </w:r>
    </w:p>
    <w:p w14:paraId="1439792C" w14:textId="77777777" w:rsidR="00CF7687" w:rsidRPr="00715F1A" w:rsidRDefault="002F6A7E">
      <w:pPr>
        <w:jc w:val="both"/>
        <w:rPr>
          <w:rFonts w:asciiTheme="majorHAnsi" w:hAnsiTheme="majorHAnsi" w:cstheme="majorHAnsi"/>
          <w:color w:val="FF4500"/>
          <w:sz w:val="22"/>
          <w:szCs w:val="22"/>
        </w:rPr>
      </w:pPr>
      <w:r w:rsidRPr="00715F1A">
        <w:rPr>
          <w:rFonts w:asciiTheme="majorHAnsi" w:hAnsiTheme="majorHAnsi" w:cstheme="majorHAnsi"/>
          <w:sz w:val="22"/>
          <w:szCs w:val="22"/>
        </w:rPr>
        <w:t>If Customer rejects in good faith any Deliverable (or portion thereof), Customer will respond via email identifying the reason for rejecting the relevant Deliverable, including the Specification the Deliverable fails to achieve (</w:t>
      </w:r>
      <w:r w:rsidRPr="00715F1A">
        <w:rPr>
          <w:rFonts w:asciiTheme="majorHAnsi" w:hAnsiTheme="majorHAnsi" w:cstheme="majorHAnsi"/>
          <w:b/>
          <w:sz w:val="22"/>
          <w:szCs w:val="22"/>
        </w:rPr>
        <w:t>“Rejection Notice”</w:t>
      </w:r>
      <w:r w:rsidRPr="00715F1A">
        <w:rPr>
          <w:rFonts w:asciiTheme="majorHAnsi" w:hAnsiTheme="majorHAnsi" w:cstheme="majorHAnsi"/>
          <w:sz w:val="22"/>
          <w:szCs w:val="22"/>
        </w:rPr>
        <w:t>).  If Amazon Web Services does not receive a Rejection Notice within five business days after the date of the Notification, then the Deliverable will be deemed accepted.  Upon verification of the Rejection Notice, and at Amazon Web Services’ discretion, Amazon Web Services will either (i) revise or re-perform any rejected Deliverable (or rejected portion thereof) up to two times, and the notification procedure set forth in this paragraph will apply to each revision or re-performance, or (ii) not bill Customer for the rejected Deliverable.  If Customer rejects the Deliverable upon the final revision or re-performance, then as Customer’s sole remedy Amazon Web Services will not bill Customer for the rejected Deliverable (or portion thereof</w:t>
      </w:r>
      <w:bookmarkStart w:id="4" w:name="_Hlk102028665"/>
      <w:r w:rsidRPr="00715F1A">
        <w:rPr>
          <w:rFonts w:asciiTheme="majorHAnsi" w:hAnsiTheme="majorHAnsi" w:cstheme="majorHAnsi"/>
          <w:sz w:val="22"/>
          <w:szCs w:val="22"/>
        </w:rPr>
        <w:t>).  Each Payment Milestone is completed upon the earlier of (x) the final Deliverable in that Payment Milestone being accepted or deemed accepted, (y) Customer rejecting the final revision or re-performance of the final Deliverable in that Payment Milestone, or (z) Amazon Web Services advising Customer that it will not bill Customer for the final Deliverable (or portion thereof).</w:t>
      </w:r>
      <w:bookmarkEnd w:id="4"/>
    </w:p>
    <w:p w14:paraId="7BEA53CA" w14:textId="77777777" w:rsidR="00CF7687" w:rsidRPr="00715F1A" w:rsidRDefault="002F6A7E">
      <w:pPr>
        <w:pStyle w:val="Heading2"/>
        <w:spacing w:before="120"/>
        <w:jc w:val="both"/>
        <w:rPr>
          <w:rFonts w:asciiTheme="majorHAnsi" w:hAnsiTheme="majorHAnsi" w:cstheme="majorHAnsi"/>
        </w:rPr>
      </w:pPr>
      <w:r w:rsidRPr="00715F1A">
        <w:rPr>
          <w:rFonts w:asciiTheme="majorHAnsi" w:hAnsiTheme="majorHAnsi" w:cstheme="majorHAnsi"/>
        </w:rPr>
        <w:lastRenderedPageBreak/>
        <w:t>Dispute Resolution</w:t>
      </w:r>
    </w:p>
    <w:p w14:paraId="679D5F2C" w14:textId="77777777" w:rsidR="00CF7687" w:rsidRPr="00715F1A" w:rsidRDefault="002F6A7E">
      <w:pPr>
        <w:keepNext/>
        <w:keepLines/>
        <w:jc w:val="both"/>
        <w:rPr>
          <w:rFonts w:asciiTheme="majorHAnsi" w:hAnsiTheme="majorHAnsi" w:cstheme="majorHAnsi"/>
          <w:sz w:val="22"/>
          <w:szCs w:val="22"/>
        </w:rPr>
      </w:pPr>
      <w:r w:rsidRPr="00715F1A">
        <w:rPr>
          <w:rFonts w:asciiTheme="majorHAnsi" w:hAnsiTheme="majorHAnsi" w:cstheme="majorHAnsi"/>
          <w:sz w:val="22"/>
          <w:szCs w:val="22"/>
        </w:rPr>
        <w:t>The following process applies when there is a dispute between the parties relating to this SOW:</w:t>
      </w:r>
    </w:p>
    <w:p w14:paraId="40478238" w14:textId="77777777" w:rsidR="00CF7687" w:rsidRPr="00715F1A" w:rsidRDefault="002F6A7E">
      <w:pPr>
        <w:jc w:val="both"/>
        <w:rPr>
          <w:rFonts w:asciiTheme="majorHAnsi" w:hAnsiTheme="majorHAnsi" w:cstheme="majorHAnsi"/>
          <w:sz w:val="22"/>
          <w:szCs w:val="22"/>
        </w:rPr>
      </w:pPr>
      <w:r w:rsidRPr="00715F1A">
        <w:rPr>
          <w:rFonts w:asciiTheme="majorHAnsi" w:hAnsiTheme="majorHAnsi" w:cstheme="majorHAnsi"/>
          <w:sz w:val="22"/>
          <w:szCs w:val="22"/>
        </w:rPr>
        <w:t>(a)</w:t>
      </w:r>
      <w:r w:rsidRPr="00715F1A">
        <w:rPr>
          <w:rFonts w:asciiTheme="majorHAnsi" w:hAnsiTheme="majorHAnsi" w:cstheme="majorHAnsi"/>
          <w:sz w:val="22"/>
          <w:szCs w:val="22"/>
        </w:rPr>
        <w:tab/>
        <w:t>Either party can, by giving written notice (including via email) to the other party (an “</w:t>
      </w:r>
      <w:r w:rsidRPr="00715F1A">
        <w:rPr>
          <w:rFonts w:asciiTheme="majorHAnsi" w:hAnsiTheme="majorHAnsi" w:cstheme="majorHAnsi"/>
          <w:b/>
          <w:sz w:val="22"/>
          <w:szCs w:val="22"/>
        </w:rPr>
        <w:t>Escalation Notice</w:t>
      </w:r>
      <w:r w:rsidRPr="00715F1A">
        <w:rPr>
          <w:rFonts w:asciiTheme="majorHAnsi" w:hAnsiTheme="majorHAnsi" w:cstheme="majorHAnsi"/>
          <w:sz w:val="22"/>
          <w:szCs w:val="22"/>
        </w:rPr>
        <w:t>”), request a meeting of the Executive Sponsors to resolve a dispute between the parties.  (b)</w:t>
      </w:r>
      <w:r w:rsidRPr="00715F1A">
        <w:rPr>
          <w:rFonts w:asciiTheme="majorHAnsi" w:hAnsiTheme="majorHAnsi" w:cstheme="majorHAnsi"/>
          <w:sz w:val="22"/>
          <w:szCs w:val="22"/>
        </w:rPr>
        <w:tab/>
        <w:t xml:space="preserve">The Escalation Notice will describe the nature of the dispute, the initiating party’s position, and a summary of the information supporting the position and will reference this SOW and the dispute resolution process in this Section.  The party receiving the Escalation Notice will send the other party a response to the Escalation Notice within 30 days of receipt of the Escalation Notice.  </w:t>
      </w:r>
    </w:p>
    <w:p w14:paraId="125B763D" w14:textId="77777777" w:rsidR="00CF7687" w:rsidRPr="00715F1A" w:rsidRDefault="002F6A7E">
      <w:pPr>
        <w:jc w:val="both"/>
        <w:rPr>
          <w:rFonts w:asciiTheme="majorHAnsi" w:hAnsiTheme="majorHAnsi" w:cstheme="majorHAnsi"/>
          <w:sz w:val="22"/>
          <w:szCs w:val="22"/>
        </w:rPr>
      </w:pPr>
      <w:r w:rsidRPr="00715F1A">
        <w:rPr>
          <w:rFonts w:asciiTheme="majorHAnsi" w:hAnsiTheme="majorHAnsi" w:cstheme="majorHAnsi"/>
          <w:sz w:val="22"/>
          <w:szCs w:val="22"/>
        </w:rPr>
        <w:t>(c)</w:t>
      </w:r>
      <w:r w:rsidRPr="00715F1A">
        <w:rPr>
          <w:rFonts w:asciiTheme="majorHAnsi" w:hAnsiTheme="majorHAnsi" w:cstheme="majorHAnsi"/>
          <w:sz w:val="22"/>
          <w:szCs w:val="22"/>
        </w:rPr>
        <w:tab/>
        <w:t xml:space="preserve">The Executive Sponsors will meet within 10 days of receipt of the Escalation Notice (or such longer period as may be agreed between them) to discuss and attempt to resolve the dispute.  Such meeting will be conducted at a reasonable time to be agreed between the parties and may be carried out by telephone. </w:t>
      </w:r>
    </w:p>
    <w:p w14:paraId="59D3B81B" w14:textId="77777777" w:rsidR="00CF7687" w:rsidRPr="00715F1A" w:rsidRDefault="002F6A7E">
      <w:pPr>
        <w:jc w:val="both"/>
        <w:rPr>
          <w:rFonts w:asciiTheme="majorHAnsi" w:hAnsiTheme="majorHAnsi" w:cstheme="majorHAnsi"/>
          <w:color w:val="FF4500"/>
          <w:sz w:val="22"/>
          <w:szCs w:val="22"/>
        </w:rPr>
      </w:pPr>
      <w:r w:rsidRPr="00715F1A">
        <w:rPr>
          <w:rFonts w:asciiTheme="majorHAnsi" w:hAnsiTheme="majorHAnsi" w:cstheme="majorHAnsi"/>
          <w:sz w:val="22"/>
          <w:szCs w:val="22"/>
        </w:rPr>
        <w:t>(d)</w:t>
      </w:r>
      <w:r w:rsidRPr="00715F1A">
        <w:rPr>
          <w:rFonts w:asciiTheme="majorHAnsi" w:hAnsiTheme="majorHAnsi" w:cstheme="majorHAnsi"/>
          <w:sz w:val="22"/>
          <w:szCs w:val="22"/>
        </w:rPr>
        <w:tab/>
        <w:t>If the dispute cannot be resolved by the meeting between the parties following the process described in (a) – (c) of this Section, Amazon Web Services may elect to suspend the delivery under this SOW or terminate this SOW upon immediate notice to Customer. This Section will not prevent either party from exercising any of its rights under this SOW and the Agreement at any time.</w:t>
      </w:r>
    </w:p>
    <w:p w14:paraId="33748415" w14:textId="77777777" w:rsidR="00CF7687" w:rsidRPr="00715F1A" w:rsidRDefault="002F6A7E">
      <w:pPr>
        <w:pStyle w:val="Heading2"/>
        <w:spacing w:before="120"/>
        <w:jc w:val="both"/>
        <w:rPr>
          <w:rFonts w:asciiTheme="majorHAnsi" w:hAnsiTheme="majorHAnsi" w:cstheme="majorHAnsi"/>
        </w:rPr>
      </w:pPr>
      <w:r w:rsidRPr="00715F1A">
        <w:rPr>
          <w:rFonts w:asciiTheme="majorHAnsi" w:hAnsiTheme="majorHAnsi" w:cstheme="majorHAnsi"/>
        </w:rPr>
        <w:t>Scope Change</w:t>
      </w:r>
    </w:p>
    <w:p w14:paraId="4F0D9521" w14:textId="77777777" w:rsidR="00CF7687" w:rsidRPr="00715F1A" w:rsidRDefault="00CF7687">
      <w:pPr>
        <w:rPr>
          <w:rFonts w:asciiTheme="majorHAnsi" w:hAnsiTheme="majorHAnsi" w:cstheme="majorHAnsi"/>
        </w:rPr>
      </w:pPr>
    </w:p>
    <w:p w14:paraId="00AA8E89" w14:textId="77777777" w:rsidR="00CF7687" w:rsidRPr="00715F1A" w:rsidRDefault="002F6A7E">
      <w:pPr>
        <w:jc w:val="both"/>
        <w:rPr>
          <w:rFonts w:asciiTheme="majorHAnsi" w:hAnsiTheme="majorHAnsi" w:cstheme="majorHAnsi"/>
          <w:sz w:val="22"/>
          <w:szCs w:val="22"/>
          <w:lang w:val="en"/>
        </w:rPr>
      </w:pPr>
      <w:r w:rsidRPr="00715F1A">
        <w:rPr>
          <w:rFonts w:asciiTheme="majorHAnsi" w:hAnsiTheme="majorHAnsi" w:cstheme="majorHAnsi"/>
          <w:sz w:val="22"/>
          <w:szCs w:val="22"/>
          <w:lang w:val="en"/>
        </w:rPr>
        <w:t>Either party (“</w:t>
      </w:r>
      <w:r w:rsidRPr="00715F1A">
        <w:rPr>
          <w:rFonts w:asciiTheme="majorHAnsi" w:hAnsiTheme="majorHAnsi" w:cstheme="majorHAnsi"/>
          <w:b/>
          <w:sz w:val="22"/>
          <w:szCs w:val="22"/>
          <w:lang w:val="en"/>
        </w:rPr>
        <w:t>Change Requester</w:t>
      </w:r>
      <w:r w:rsidRPr="00715F1A">
        <w:rPr>
          <w:rFonts w:asciiTheme="majorHAnsi" w:hAnsiTheme="majorHAnsi" w:cstheme="majorHAnsi"/>
          <w:sz w:val="22"/>
          <w:szCs w:val="22"/>
          <w:lang w:val="en"/>
        </w:rPr>
        <w:t>”) may propose a change to the Scope of the Professional Services under this SOW (“</w:t>
      </w:r>
      <w:r w:rsidRPr="00715F1A">
        <w:rPr>
          <w:rFonts w:asciiTheme="majorHAnsi" w:hAnsiTheme="majorHAnsi" w:cstheme="majorHAnsi"/>
          <w:b/>
          <w:sz w:val="22"/>
          <w:szCs w:val="22"/>
          <w:lang w:val="en"/>
        </w:rPr>
        <w:t>Scope Change</w:t>
      </w:r>
      <w:r w:rsidRPr="00715F1A">
        <w:rPr>
          <w:rFonts w:asciiTheme="majorHAnsi" w:hAnsiTheme="majorHAnsi" w:cstheme="majorHAnsi"/>
          <w:sz w:val="22"/>
          <w:szCs w:val="22"/>
          <w:lang w:val="en"/>
        </w:rPr>
        <w:t>”), to the extent that such Scope Change would not impact the Schedule of Deliverables, Payment Milestones and Charges as listed in Table 1 (“Fee Table”) or any other agreed delivery timelines. The Scope Change request will be sent to the designated Project manager of the other party (“</w:t>
      </w:r>
      <w:r w:rsidRPr="00715F1A">
        <w:rPr>
          <w:rFonts w:asciiTheme="majorHAnsi" w:hAnsiTheme="majorHAnsi" w:cstheme="majorHAnsi"/>
          <w:b/>
          <w:sz w:val="22"/>
          <w:szCs w:val="22"/>
          <w:lang w:val="en"/>
        </w:rPr>
        <w:t>Change Reviewer</w:t>
      </w:r>
      <w:r w:rsidRPr="00715F1A">
        <w:rPr>
          <w:rFonts w:asciiTheme="majorHAnsi" w:hAnsiTheme="majorHAnsi" w:cstheme="majorHAnsi"/>
          <w:sz w:val="22"/>
          <w:szCs w:val="22"/>
          <w:lang w:val="en"/>
        </w:rPr>
        <w:t xml:space="preserve">”) with a 14-day prior email notice. The Scope Change notice will specify the content to be changed, the reason for the change, and the possible impact of the change on the Project delivery.  Either party may propose only one Scope Change during the term of this SOW. The Change Reviewer will review the Scope Change request and reply via email within 5 working days, otherwise the Scope Change request shall be deemed rejected. </w:t>
      </w:r>
    </w:p>
    <w:p w14:paraId="2A4ADB9F" w14:textId="77777777" w:rsidR="00CF7687" w:rsidRPr="00715F1A" w:rsidRDefault="002F6A7E">
      <w:pPr>
        <w:pStyle w:val="Heading2"/>
        <w:spacing w:before="120"/>
        <w:jc w:val="both"/>
        <w:rPr>
          <w:rFonts w:asciiTheme="majorHAnsi" w:hAnsiTheme="majorHAnsi" w:cstheme="majorHAnsi"/>
        </w:rPr>
      </w:pPr>
      <w:r w:rsidRPr="00715F1A">
        <w:rPr>
          <w:rFonts w:asciiTheme="majorHAnsi" w:hAnsiTheme="majorHAnsi" w:cstheme="majorHAnsi"/>
        </w:rPr>
        <w:t>Amendment Process</w:t>
      </w:r>
    </w:p>
    <w:p w14:paraId="14D82740" w14:textId="77777777" w:rsidR="00CF7687" w:rsidRPr="00715F1A" w:rsidRDefault="002F6A7E">
      <w:pPr>
        <w:pStyle w:val="BlockText"/>
        <w:rPr>
          <w:rFonts w:asciiTheme="majorHAnsi" w:hAnsiTheme="majorHAnsi" w:cstheme="majorHAnsi"/>
        </w:rPr>
      </w:pPr>
      <w:r w:rsidRPr="00715F1A">
        <w:rPr>
          <w:rFonts w:asciiTheme="majorHAnsi" w:hAnsiTheme="majorHAnsi" w:cstheme="majorHAnsi"/>
        </w:rPr>
        <w:t>Unless otherwise provided under this SOW, any (i) Amazon Web Services Professional Services not included in this SOW and (ii) any change to Scope or Deliverables, Payment Milestones, and Charges, must be subject to a separate SOW or amendment essentially in the form of Appendix A.  Any change in Assumptions or failure by Customer to fulfill Customer Responsibilities may require changes to the Scope and may impact the Schedule of Deliverables, Payment Milestones, and Charges.</w:t>
      </w:r>
    </w:p>
    <w:p w14:paraId="2CB770D2" w14:textId="77777777" w:rsidR="00CF7687" w:rsidRPr="00715F1A" w:rsidRDefault="002F6A7E">
      <w:pPr>
        <w:keepNext/>
        <w:keepLines/>
        <w:spacing w:before="120" w:after="120"/>
        <w:jc w:val="both"/>
        <w:outlineLvl w:val="1"/>
        <w:rPr>
          <w:rFonts w:asciiTheme="majorHAnsi" w:eastAsiaTheme="majorEastAsia" w:hAnsiTheme="majorHAnsi" w:cstheme="majorHAnsi"/>
          <w:b/>
          <w:bCs/>
          <w:color w:val="4F81BD" w:themeColor="accent1"/>
          <w:sz w:val="26"/>
          <w:szCs w:val="26"/>
        </w:rPr>
      </w:pPr>
      <w:bookmarkStart w:id="5" w:name="ASSUMPTIONS_WWCS"/>
      <w:r w:rsidRPr="00715F1A">
        <w:rPr>
          <w:rFonts w:asciiTheme="majorHAnsi" w:eastAsiaTheme="majorEastAsia" w:hAnsiTheme="majorHAnsi" w:cstheme="majorHAnsi"/>
          <w:b/>
          <w:bCs/>
          <w:color w:val="4F81BD" w:themeColor="accent1"/>
          <w:sz w:val="26"/>
          <w:szCs w:val="26"/>
        </w:rPr>
        <w:lastRenderedPageBreak/>
        <w:t>Assumptions</w:t>
      </w:r>
      <w:bookmarkEnd w:id="5"/>
    </w:p>
    <w:p w14:paraId="146FFA43" w14:textId="77777777" w:rsidR="00CF7687" w:rsidRPr="00715F1A" w:rsidRDefault="002F6A7E">
      <w:pPr>
        <w:keepNext/>
        <w:keepLines/>
        <w:jc w:val="both"/>
        <w:rPr>
          <w:rFonts w:asciiTheme="majorHAnsi" w:hAnsiTheme="majorHAnsi" w:cstheme="majorHAnsi"/>
          <w:sz w:val="22"/>
          <w:szCs w:val="22"/>
        </w:rPr>
      </w:pPr>
      <w:r w:rsidRPr="00715F1A">
        <w:rPr>
          <w:rFonts w:asciiTheme="majorHAnsi" w:hAnsiTheme="majorHAnsi" w:cstheme="majorHAnsi"/>
          <w:sz w:val="22"/>
          <w:szCs w:val="22"/>
        </w:rPr>
        <w:t>Amazon Web Services’ ability to deliver the Amazon Web Services Professional Services depends on the following assumptions being accurate for the duration of the Amazon Web Services Professional Services. Customer and Amazon Web Services must meet within five (5) business days after notification from one party to the other that it believes an Assumption is untrue or is likely to become untrue. As part of this discussion Amazon Web Services will discuss whether it reasonably believes its provision of the Amazon Web Services Professional Services under this SOW has been, or will be, affected by a Permitted Delay (as defined below), in which case the Permitted Delay process below will apply.</w:t>
      </w:r>
    </w:p>
    <w:p w14:paraId="26E0AB3E" w14:textId="77777777" w:rsidR="00CF7687" w:rsidRPr="00715F1A" w:rsidRDefault="00CF7687">
      <w:pPr>
        <w:jc w:val="both"/>
        <w:rPr>
          <w:rFonts w:asciiTheme="majorHAnsi" w:hAnsiTheme="majorHAnsi" w:cstheme="majorHAnsi"/>
          <w:sz w:val="22"/>
          <w:szCs w:val="22"/>
        </w:rPr>
      </w:pPr>
    </w:p>
    <w:p w14:paraId="14162744" w14:textId="77777777" w:rsidR="00CF7687" w:rsidRPr="00715F1A" w:rsidRDefault="002F6A7E">
      <w:pPr>
        <w:jc w:val="both"/>
        <w:rPr>
          <w:rFonts w:asciiTheme="majorHAnsi" w:hAnsiTheme="majorHAnsi" w:cstheme="majorHAnsi"/>
          <w:sz w:val="22"/>
          <w:szCs w:val="22"/>
        </w:rPr>
      </w:pPr>
      <w:r w:rsidRPr="00715F1A">
        <w:rPr>
          <w:rFonts w:asciiTheme="majorHAnsi" w:hAnsiTheme="majorHAnsi" w:cstheme="majorHAnsi"/>
          <w:sz w:val="22"/>
          <w:szCs w:val="22"/>
        </w:rPr>
        <w:t>Engagement assumptions and other specific assumptions:</w:t>
      </w:r>
    </w:p>
    <w:p w14:paraId="30ED28F5" w14:textId="77777777" w:rsidR="00CF7687" w:rsidRPr="00715F1A" w:rsidRDefault="00CF7687">
      <w:pPr>
        <w:jc w:val="both"/>
        <w:rPr>
          <w:rFonts w:asciiTheme="majorHAnsi" w:hAnsiTheme="majorHAnsi" w:cstheme="majorHAnsi"/>
          <w:sz w:val="22"/>
          <w:szCs w:val="22"/>
        </w:rPr>
      </w:pPr>
    </w:p>
    <w:p w14:paraId="044F2817" w14:textId="77777777" w:rsidR="00CF7687" w:rsidRPr="00715F1A" w:rsidRDefault="002F6A7E">
      <w:pPr>
        <w:pStyle w:val="ListParagraph"/>
        <w:numPr>
          <w:ilvl w:val="0"/>
          <w:numId w:val="11"/>
        </w:numPr>
        <w:shd w:val="clear" w:color="auto" w:fill="FFFFFF"/>
        <w:spacing w:after="150"/>
        <w:jc w:val="both"/>
        <w:rPr>
          <w:rFonts w:asciiTheme="majorHAnsi" w:hAnsiTheme="majorHAnsi" w:cstheme="majorHAnsi"/>
          <w:sz w:val="22"/>
          <w:szCs w:val="22"/>
        </w:rPr>
      </w:pPr>
      <w:r w:rsidRPr="00715F1A">
        <w:rPr>
          <w:rFonts w:asciiTheme="majorHAnsi" w:hAnsiTheme="majorHAnsi" w:cstheme="majorHAnsi"/>
          <w:color w:val="191919"/>
          <w:sz w:val="22"/>
          <w:szCs w:val="22"/>
        </w:rPr>
        <w:t>Customer will coordinate and manage the onboarding and off-boarding of Amazon Web Services and other necessary third party resources to Customer</w:t>
      </w:r>
    </w:p>
    <w:p w14:paraId="30021488" w14:textId="77777777" w:rsidR="00CF7687" w:rsidRPr="00715F1A" w:rsidRDefault="002F6A7E">
      <w:pPr>
        <w:pStyle w:val="ListParagraph"/>
        <w:numPr>
          <w:ilvl w:val="0"/>
          <w:numId w:val="11"/>
        </w:numPr>
        <w:shd w:val="clear" w:color="auto" w:fill="FFFFFF"/>
        <w:spacing w:after="150"/>
        <w:jc w:val="both"/>
        <w:rPr>
          <w:rFonts w:asciiTheme="majorHAnsi" w:hAnsiTheme="majorHAnsi" w:cstheme="majorHAnsi"/>
          <w:color w:val="191919"/>
          <w:sz w:val="22"/>
          <w:szCs w:val="22"/>
        </w:rPr>
      </w:pPr>
      <w:r w:rsidRPr="00715F1A">
        <w:rPr>
          <w:rFonts w:asciiTheme="majorHAnsi" w:hAnsiTheme="majorHAnsi" w:cstheme="majorHAnsi"/>
          <w:color w:val="191919"/>
          <w:sz w:val="22"/>
          <w:szCs w:val="22"/>
        </w:rPr>
        <w:t>All deployments will follow existing configurations</w:t>
      </w:r>
    </w:p>
    <w:p w14:paraId="23EF2292" w14:textId="77777777" w:rsidR="00CF7687" w:rsidRPr="00715F1A" w:rsidRDefault="002F6A7E">
      <w:pPr>
        <w:pStyle w:val="ListParagraph"/>
        <w:numPr>
          <w:ilvl w:val="0"/>
          <w:numId w:val="11"/>
        </w:numPr>
        <w:shd w:val="clear" w:color="auto" w:fill="FFFFFF"/>
        <w:spacing w:after="150"/>
        <w:jc w:val="both"/>
        <w:rPr>
          <w:rFonts w:asciiTheme="majorHAnsi" w:hAnsiTheme="majorHAnsi" w:cstheme="majorHAnsi"/>
          <w:color w:val="191919"/>
          <w:sz w:val="22"/>
          <w:szCs w:val="22"/>
        </w:rPr>
      </w:pPr>
      <w:r w:rsidRPr="00715F1A">
        <w:rPr>
          <w:rFonts w:asciiTheme="majorHAnsi" w:hAnsiTheme="majorHAnsi" w:cstheme="majorHAnsi"/>
          <w:color w:val="191919"/>
          <w:sz w:val="22"/>
          <w:szCs w:val="22"/>
        </w:rPr>
        <w:t>All deployments will follow existing configurations</w:t>
      </w:r>
    </w:p>
    <w:p w14:paraId="3C8229C7" w14:textId="77777777" w:rsidR="00CF7687" w:rsidRPr="00715F1A" w:rsidRDefault="002F6A7E">
      <w:pPr>
        <w:pStyle w:val="ListParagraph"/>
        <w:numPr>
          <w:ilvl w:val="0"/>
          <w:numId w:val="11"/>
        </w:numPr>
        <w:shd w:val="clear" w:color="auto" w:fill="FFFFFF"/>
        <w:spacing w:after="150"/>
        <w:jc w:val="both"/>
        <w:rPr>
          <w:rFonts w:asciiTheme="majorHAnsi" w:hAnsiTheme="majorHAnsi" w:cstheme="majorHAnsi"/>
          <w:color w:val="191919"/>
          <w:sz w:val="22"/>
          <w:szCs w:val="22"/>
        </w:rPr>
      </w:pPr>
      <w:r w:rsidRPr="00715F1A">
        <w:rPr>
          <w:rFonts w:asciiTheme="majorHAnsi" w:hAnsiTheme="majorHAnsi" w:cstheme="majorHAnsi"/>
          <w:color w:val="191919"/>
          <w:sz w:val="22"/>
          <w:szCs w:val="22"/>
        </w:rPr>
        <w:t>Required AWS services are available in Brazil region</w:t>
      </w:r>
    </w:p>
    <w:p w14:paraId="72F6B211" w14:textId="77777777" w:rsidR="00CF7687" w:rsidRPr="00715F1A" w:rsidRDefault="002F6A7E">
      <w:pPr>
        <w:pStyle w:val="ListParagraph"/>
        <w:numPr>
          <w:ilvl w:val="0"/>
          <w:numId w:val="11"/>
        </w:numPr>
        <w:shd w:val="clear" w:color="auto" w:fill="FFFFFF"/>
        <w:spacing w:after="150"/>
        <w:jc w:val="both"/>
        <w:rPr>
          <w:rFonts w:asciiTheme="majorHAnsi" w:hAnsiTheme="majorHAnsi" w:cstheme="majorHAnsi"/>
          <w:color w:val="191919"/>
          <w:sz w:val="22"/>
          <w:szCs w:val="22"/>
        </w:rPr>
      </w:pPr>
      <w:r w:rsidRPr="00715F1A">
        <w:rPr>
          <w:rFonts w:asciiTheme="majorHAnsi" w:hAnsiTheme="majorHAnsi" w:cstheme="majorHAnsi"/>
          <w:color w:val="191919"/>
          <w:sz w:val="22"/>
          <w:szCs w:val="22"/>
        </w:rPr>
        <w:t>Existing IaC code is well-maintained and functional</w:t>
      </w:r>
    </w:p>
    <w:p w14:paraId="6A76FF20" w14:textId="77777777" w:rsidR="00CF7687" w:rsidRPr="00715F1A" w:rsidRDefault="002F6A7E">
      <w:pPr>
        <w:pStyle w:val="ListParagraph"/>
        <w:numPr>
          <w:ilvl w:val="0"/>
          <w:numId w:val="11"/>
        </w:numPr>
        <w:shd w:val="clear" w:color="auto" w:fill="FFFFFF"/>
        <w:spacing w:after="150"/>
        <w:jc w:val="both"/>
        <w:rPr>
          <w:rFonts w:asciiTheme="majorHAnsi" w:hAnsiTheme="majorHAnsi" w:cstheme="majorHAnsi"/>
          <w:color w:val="191919"/>
          <w:sz w:val="22"/>
          <w:szCs w:val="22"/>
        </w:rPr>
      </w:pPr>
      <w:r w:rsidRPr="00715F1A">
        <w:rPr>
          <w:rFonts w:asciiTheme="majorHAnsi" w:hAnsiTheme="majorHAnsi" w:cstheme="majorHAnsi"/>
          <w:color w:val="191919"/>
          <w:sz w:val="22"/>
          <w:szCs w:val="22"/>
        </w:rPr>
        <w:t>Customer will handle all database deployment, configuration, and maintenance for self-managed databases</w:t>
      </w:r>
    </w:p>
    <w:p w14:paraId="07D91DFB" w14:textId="77777777" w:rsidR="00CF7687" w:rsidRPr="00715F1A" w:rsidRDefault="002F6A7E">
      <w:pPr>
        <w:pStyle w:val="ListParagraph"/>
        <w:numPr>
          <w:ilvl w:val="0"/>
          <w:numId w:val="11"/>
        </w:numPr>
        <w:shd w:val="clear" w:color="auto" w:fill="FFFFFF"/>
        <w:spacing w:after="150"/>
        <w:jc w:val="both"/>
        <w:rPr>
          <w:rFonts w:asciiTheme="majorHAnsi" w:hAnsiTheme="majorHAnsi" w:cstheme="majorHAnsi"/>
          <w:color w:val="191919"/>
          <w:sz w:val="22"/>
          <w:szCs w:val="22"/>
        </w:rPr>
      </w:pPr>
      <w:r w:rsidRPr="00715F1A">
        <w:rPr>
          <w:rFonts w:asciiTheme="majorHAnsi" w:hAnsiTheme="majorHAnsi" w:cstheme="majorHAnsi"/>
          <w:color w:val="191919"/>
          <w:sz w:val="22"/>
          <w:szCs w:val="22"/>
        </w:rPr>
        <w:t>No data migration is required as part of this project</w:t>
      </w:r>
    </w:p>
    <w:p w14:paraId="33308C45" w14:textId="77777777" w:rsidR="00CF7687" w:rsidRPr="00715F1A" w:rsidRDefault="00CF7687">
      <w:pPr>
        <w:rPr>
          <w:rFonts w:asciiTheme="majorHAnsi" w:eastAsia="-webkit-standard" w:hAnsiTheme="majorHAnsi" w:cstheme="majorHAnsi"/>
          <w:color w:val="000000"/>
          <w:sz w:val="27"/>
          <w:szCs w:val="27"/>
          <w:lang w:bidi="ar"/>
        </w:rPr>
      </w:pPr>
    </w:p>
    <w:p w14:paraId="7E1718DE" w14:textId="77777777" w:rsidR="00CF7687" w:rsidRPr="00715F1A" w:rsidRDefault="002F6A7E">
      <w:pPr>
        <w:pStyle w:val="Heading2"/>
        <w:spacing w:before="220"/>
        <w:jc w:val="both"/>
        <w:rPr>
          <w:rFonts w:asciiTheme="majorHAnsi" w:hAnsiTheme="majorHAnsi" w:cstheme="majorHAnsi"/>
        </w:rPr>
      </w:pPr>
      <w:r w:rsidRPr="00715F1A">
        <w:rPr>
          <w:rFonts w:asciiTheme="majorHAnsi" w:hAnsiTheme="majorHAnsi" w:cstheme="majorHAnsi"/>
        </w:rPr>
        <w:t>Permitted Delay</w:t>
      </w:r>
    </w:p>
    <w:p w14:paraId="5721FBBA" w14:textId="77777777" w:rsidR="00CF7687" w:rsidRPr="00715F1A" w:rsidRDefault="002F6A7E">
      <w:pPr>
        <w:pStyle w:val="BlockText"/>
        <w:ind w:left="0"/>
        <w:jc w:val="both"/>
        <w:rPr>
          <w:rFonts w:asciiTheme="majorHAnsi" w:hAnsiTheme="majorHAnsi" w:cstheme="majorHAnsi"/>
        </w:rPr>
      </w:pPr>
      <w:r w:rsidRPr="00715F1A">
        <w:rPr>
          <w:rFonts w:asciiTheme="majorHAnsi" w:hAnsiTheme="majorHAnsi" w:cstheme="majorHAnsi"/>
        </w:rPr>
        <w:t>If a Permitted Delay results in Amazon Web Services taking on additional scope or incurring additional expenses, Amazon Web Services may, in its sole discretion, (i) deliver to Customer a SOW amendment essentially in the form of Appendix A reflecting the changes to engagement, including to the scope, schedule or fees, resulting from the Permitted Delay, which Customer must not unreasonably refuse to sign or (ii) require Customer to reimburse Amazon Web Services for its additional costs and expenses due to or in connection with the Permitted Delay.</w:t>
      </w:r>
    </w:p>
    <w:p w14:paraId="4DC2EACE" w14:textId="77777777" w:rsidR="00CF7687" w:rsidRPr="00715F1A" w:rsidRDefault="002F6A7E">
      <w:pPr>
        <w:pStyle w:val="Heading2"/>
        <w:spacing w:before="220"/>
        <w:jc w:val="both"/>
        <w:rPr>
          <w:rFonts w:asciiTheme="majorHAnsi" w:hAnsiTheme="majorHAnsi" w:cstheme="majorHAnsi"/>
        </w:rPr>
      </w:pPr>
      <w:r w:rsidRPr="00715F1A">
        <w:rPr>
          <w:rFonts w:asciiTheme="majorHAnsi" w:hAnsiTheme="majorHAnsi" w:cstheme="majorHAnsi"/>
        </w:rPr>
        <w:t>Definitions</w:t>
      </w:r>
    </w:p>
    <w:p w14:paraId="49B6D1AD" w14:textId="77777777" w:rsidR="00CF7687" w:rsidRPr="00715F1A" w:rsidRDefault="002F6A7E">
      <w:pPr>
        <w:keepNext/>
        <w:keepLines/>
        <w:spacing w:before="120" w:after="120"/>
        <w:jc w:val="both"/>
        <w:rPr>
          <w:rFonts w:asciiTheme="majorHAnsi" w:hAnsiTheme="majorHAnsi" w:cstheme="majorHAnsi"/>
          <w:sz w:val="22"/>
          <w:szCs w:val="22"/>
        </w:rPr>
      </w:pPr>
      <w:r w:rsidRPr="00715F1A">
        <w:rPr>
          <w:rFonts w:asciiTheme="majorHAnsi" w:hAnsiTheme="majorHAnsi" w:cstheme="majorHAnsi"/>
          <w:b/>
          <w:sz w:val="22"/>
          <w:szCs w:val="22"/>
        </w:rPr>
        <w:t>“Assumptions”</w:t>
      </w:r>
      <w:r w:rsidRPr="00715F1A">
        <w:rPr>
          <w:rFonts w:asciiTheme="majorHAnsi" w:hAnsiTheme="majorHAnsi" w:cstheme="majorHAnsi"/>
          <w:sz w:val="22"/>
          <w:szCs w:val="22"/>
        </w:rPr>
        <w:t xml:space="preserve"> means the engagement assumptions and specific assumptions set forth under the heading “Assumptions” above.</w:t>
      </w:r>
    </w:p>
    <w:p w14:paraId="0596C8D2" w14:textId="77777777" w:rsidR="00CF7687" w:rsidRPr="00715F1A" w:rsidRDefault="002F6A7E">
      <w:pPr>
        <w:widowControl w:val="0"/>
        <w:spacing w:before="120" w:after="120"/>
        <w:jc w:val="both"/>
        <w:rPr>
          <w:rFonts w:asciiTheme="majorHAnsi" w:hAnsiTheme="majorHAnsi" w:cstheme="majorHAnsi"/>
          <w:sz w:val="22"/>
          <w:szCs w:val="22"/>
        </w:rPr>
      </w:pPr>
      <w:r w:rsidRPr="00715F1A">
        <w:rPr>
          <w:rFonts w:asciiTheme="majorHAnsi" w:hAnsiTheme="majorHAnsi" w:cstheme="majorHAnsi"/>
          <w:b/>
          <w:sz w:val="22"/>
          <w:szCs w:val="22"/>
        </w:rPr>
        <w:t>“Charges”</w:t>
      </w:r>
      <w:r w:rsidRPr="00715F1A">
        <w:rPr>
          <w:rFonts w:asciiTheme="majorHAnsi" w:hAnsiTheme="majorHAnsi" w:cstheme="majorHAnsi"/>
          <w:sz w:val="22"/>
          <w:szCs w:val="22"/>
        </w:rPr>
        <w:t xml:space="preserve"> means the charges set forth in the “Charges” column in the table above.</w:t>
      </w:r>
    </w:p>
    <w:p w14:paraId="04A2D425" w14:textId="77777777" w:rsidR="00CF7687" w:rsidRPr="00715F1A" w:rsidRDefault="002F6A7E">
      <w:pPr>
        <w:widowControl w:val="0"/>
        <w:spacing w:before="120" w:after="120"/>
        <w:jc w:val="both"/>
        <w:rPr>
          <w:rFonts w:asciiTheme="majorHAnsi" w:hAnsiTheme="majorHAnsi" w:cstheme="majorHAnsi"/>
          <w:sz w:val="22"/>
          <w:szCs w:val="22"/>
        </w:rPr>
      </w:pPr>
      <w:r w:rsidRPr="00715F1A">
        <w:rPr>
          <w:rFonts w:asciiTheme="majorHAnsi" w:hAnsiTheme="majorHAnsi" w:cstheme="majorHAnsi"/>
          <w:b/>
          <w:sz w:val="22"/>
          <w:szCs w:val="22"/>
        </w:rPr>
        <w:t>“Customer Responsibility”</w:t>
      </w:r>
      <w:r w:rsidRPr="00715F1A">
        <w:rPr>
          <w:rFonts w:asciiTheme="majorHAnsi" w:hAnsiTheme="majorHAnsi" w:cstheme="majorHAnsi"/>
          <w:sz w:val="22"/>
          <w:szCs w:val="22"/>
        </w:rPr>
        <w:t xml:space="preserve"> means the customer responsibilities set forth under the “Customer Responsibilities” heading above.</w:t>
      </w:r>
    </w:p>
    <w:p w14:paraId="75B1373A" w14:textId="77777777" w:rsidR="00CF7687" w:rsidRPr="00715F1A" w:rsidRDefault="002F6A7E">
      <w:pPr>
        <w:widowControl w:val="0"/>
        <w:spacing w:before="120" w:after="120"/>
        <w:jc w:val="both"/>
        <w:rPr>
          <w:rFonts w:asciiTheme="majorHAnsi" w:hAnsiTheme="majorHAnsi" w:cstheme="majorHAnsi"/>
          <w:sz w:val="22"/>
          <w:szCs w:val="22"/>
        </w:rPr>
      </w:pPr>
      <w:r w:rsidRPr="00715F1A">
        <w:rPr>
          <w:rFonts w:asciiTheme="majorHAnsi" w:hAnsiTheme="majorHAnsi" w:cstheme="majorHAnsi"/>
          <w:b/>
          <w:sz w:val="22"/>
          <w:szCs w:val="22"/>
        </w:rPr>
        <w:t>“Deliverable”</w:t>
      </w:r>
      <w:r w:rsidRPr="00715F1A">
        <w:rPr>
          <w:rFonts w:asciiTheme="majorHAnsi" w:hAnsiTheme="majorHAnsi" w:cstheme="majorHAnsi"/>
          <w:sz w:val="22"/>
          <w:szCs w:val="22"/>
        </w:rPr>
        <w:t xml:space="preserve"> means the item(s) set forth in the “Deliverables” column in the table above.</w:t>
      </w:r>
    </w:p>
    <w:p w14:paraId="2AA09738" w14:textId="77777777" w:rsidR="00CF7687" w:rsidRPr="00715F1A" w:rsidRDefault="002F6A7E">
      <w:pPr>
        <w:widowControl w:val="0"/>
        <w:spacing w:before="120" w:after="120"/>
        <w:jc w:val="both"/>
        <w:rPr>
          <w:rFonts w:asciiTheme="majorHAnsi" w:hAnsiTheme="majorHAnsi" w:cstheme="majorHAnsi"/>
          <w:sz w:val="22"/>
          <w:szCs w:val="22"/>
        </w:rPr>
      </w:pPr>
      <w:r w:rsidRPr="00715F1A">
        <w:rPr>
          <w:rFonts w:asciiTheme="majorHAnsi" w:hAnsiTheme="majorHAnsi" w:cstheme="majorHAnsi"/>
          <w:b/>
          <w:sz w:val="22"/>
          <w:szCs w:val="22"/>
        </w:rPr>
        <w:t>“Deliverable Specification”</w:t>
      </w:r>
      <w:r w:rsidRPr="00715F1A">
        <w:rPr>
          <w:rFonts w:asciiTheme="majorHAnsi" w:hAnsiTheme="majorHAnsi" w:cstheme="majorHAnsi"/>
          <w:sz w:val="22"/>
          <w:szCs w:val="22"/>
        </w:rPr>
        <w:t xml:space="preserve"> means the standards or measures of completeness set forth in the “Deliverable Specification” column in the table above for the corresponding Deliverable. </w:t>
      </w:r>
    </w:p>
    <w:p w14:paraId="6DD60F97" w14:textId="77777777" w:rsidR="00CF7687" w:rsidRPr="00715F1A" w:rsidRDefault="002F6A7E">
      <w:pPr>
        <w:widowControl w:val="0"/>
        <w:spacing w:before="120" w:after="120"/>
        <w:jc w:val="both"/>
        <w:rPr>
          <w:rFonts w:asciiTheme="majorHAnsi" w:hAnsiTheme="majorHAnsi" w:cstheme="majorHAnsi"/>
          <w:sz w:val="22"/>
          <w:szCs w:val="22"/>
        </w:rPr>
      </w:pPr>
      <w:r w:rsidRPr="00715F1A">
        <w:rPr>
          <w:rFonts w:asciiTheme="majorHAnsi" w:hAnsiTheme="majorHAnsi" w:cstheme="majorHAnsi"/>
          <w:b/>
          <w:sz w:val="22"/>
          <w:szCs w:val="22"/>
        </w:rPr>
        <w:t>“Permitted Delay”</w:t>
      </w:r>
      <w:r w:rsidRPr="00715F1A">
        <w:rPr>
          <w:rFonts w:asciiTheme="majorHAnsi" w:hAnsiTheme="majorHAnsi" w:cstheme="majorHAnsi"/>
          <w:sz w:val="22"/>
          <w:szCs w:val="22"/>
        </w:rPr>
        <w:t xml:space="preserve"> means any delay or failure (i) by Amazon Web Services to comply with its obligations in this SOW or to deliver a Deliverable, or (ii) of a Deliverable or Payment Milestone to be accepted or achieve a Deliverable Specification provided in this SOW for that Deliverable or </w:t>
      </w:r>
      <w:r w:rsidRPr="00715F1A">
        <w:rPr>
          <w:rFonts w:asciiTheme="majorHAnsi" w:hAnsiTheme="majorHAnsi" w:cstheme="majorHAnsi"/>
          <w:sz w:val="22"/>
          <w:szCs w:val="22"/>
        </w:rPr>
        <w:lastRenderedPageBreak/>
        <w:t xml:space="preserve">Payment Milestone, in either case that is caused by any event or circumstance not solely within the reasonable control of Amazon Web Services, including any delay or failure caused or contributed to by the Customer failing to comply with any of its Customer Responsibilities or any Assumption being incorrect.  </w:t>
      </w:r>
    </w:p>
    <w:p w14:paraId="4821024D" w14:textId="77777777" w:rsidR="00CF7687" w:rsidRPr="00715F1A" w:rsidRDefault="002F6A7E">
      <w:pPr>
        <w:widowControl w:val="0"/>
        <w:spacing w:before="120" w:after="120"/>
        <w:jc w:val="both"/>
        <w:rPr>
          <w:rFonts w:asciiTheme="majorHAnsi" w:hAnsiTheme="majorHAnsi" w:cstheme="majorHAnsi"/>
          <w:b/>
          <w:color w:val="FF4500"/>
          <w:sz w:val="22"/>
          <w:szCs w:val="22"/>
        </w:rPr>
      </w:pPr>
      <w:r w:rsidRPr="00715F1A">
        <w:rPr>
          <w:rFonts w:asciiTheme="majorHAnsi" w:hAnsiTheme="majorHAnsi" w:cstheme="majorHAnsi"/>
          <w:b/>
          <w:sz w:val="22"/>
          <w:szCs w:val="22"/>
        </w:rPr>
        <w:t>“Scope”</w:t>
      </w:r>
      <w:r w:rsidRPr="00715F1A">
        <w:rPr>
          <w:rFonts w:asciiTheme="majorHAnsi" w:hAnsiTheme="majorHAnsi" w:cstheme="majorHAnsi"/>
          <w:sz w:val="22"/>
          <w:szCs w:val="22"/>
        </w:rPr>
        <w:t xml:space="preserve"> means the activities set out under the “Scope of the Amazon Web Services Professional Services” heading above.</w:t>
      </w:r>
    </w:p>
    <w:p w14:paraId="1E693848" w14:textId="77777777" w:rsidR="00CF7687" w:rsidRPr="00715F1A" w:rsidRDefault="002F6A7E">
      <w:pPr>
        <w:pStyle w:val="Heading2"/>
        <w:jc w:val="both"/>
        <w:rPr>
          <w:rFonts w:asciiTheme="majorHAnsi" w:hAnsiTheme="majorHAnsi" w:cstheme="majorHAnsi"/>
        </w:rPr>
      </w:pPr>
      <w:r w:rsidRPr="00715F1A">
        <w:rPr>
          <w:rFonts w:asciiTheme="majorHAnsi" w:hAnsiTheme="majorHAnsi" w:cstheme="majorHAnsi"/>
        </w:rPr>
        <w:t>Additional Terms</w:t>
      </w:r>
    </w:p>
    <w:p w14:paraId="02885966" w14:textId="77777777" w:rsidR="00CF7687" w:rsidRPr="00715F1A" w:rsidRDefault="00CF7687">
      <w:pPr>
        <w:rPr>
          <w:rFonts w:asciiTheme="majorHAnsi" w:hAnsiTheme="majorHAnsi" w:cstheme="majorHAnsi"/>
        </w:rPr>
      </w:pPr>
    </w:p>
    <w:p w14:paraId="31A4707E"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The Professional Services may be provided on-site at the Project Location.  Other Professional Services under this SOW may be provided remotely or at such other locations as may be mutually agreed.</w:t>
      </w:r>
    </w:p>
    <w:p w14:paraId="47E55892"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If Amazon Web Services uses subcontractors, Amazon Web Services will (a) impose appropriate contractual obligations upon its subcontractors, and (b) be responsible if the acts or omissions of its subcontractors cause Amazon Web Services to breach any of its obligations under this SOW.  The use of subcontractors will not release Amazon Web Services from any of its obligations under this SOW.</w:t>
      </w:r>
    </w:p>
    <w:p w14:paraId="5368BA49"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Customer’s billing details are as set out in the table at the front of the SOW or as notified in writing from time to time by Customer.  Customer consents to receiving invoices via email.</w:t>
      </w:r>
    </w:p>
    <w:p w14:paraId="0CF63C55"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This SOW commences on the SOW Effective Date and continues, unless terminated earlier, until the final Deliverable has been accepted pursuant to the Acceptance Process above.</w:t>
      </w:r>
    </w:p>
    <w:p w14:paraId="5D7534DC"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Neither party may terminate this SOW for convenience. Either party may terminate this SOW for cause if the other party is in breach of a material provision of this SOW and that breach remains uncured for a period of 30 days from receipt of notice of such breach by the other party.  Amazon Web Services may immediately suspend the delivery of the Professional Services under this SOW or terminate this SOW if Customer fails to pay any amount due under this SOW and remains in default for at least 14 days after such amount became due.</w:t>
      </w:r>
    </w:p>
    <w:p w14:paraId="7479CDA9"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 xml:space="preserve">Upon any termination of this SOW, (a) Customer will pay Amazon Web Services for the Deliverables or Payment Milestones, or portions thereof, delivered and for which Customer was sent Notification through the effective date of the termination, (b) Customer will pay Amazon Web Services for Amazon Web Services’ reasonable costs and expenses of the work delivered but for which Amazon Web Services has not sent a Notification, based on request by Amazon Web Services and good will negotiation between the parties, (c) Amazon Web Services will have no further obligations to Customer under this SOW. </w:t>
      </w:r>
    </w:p>
    <w:p w14:paraId="334D541D"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The Professional Services provided under this SOW are “Services” for the purpose of the Agreement.</w:t>
      </w:r>
    </w:p>
    <w:p w14:paraId="51E758FA"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b/>
        </w:rPr>
        <w:t>Privacy.</w:t>
      </w:r>
      <w:r w:rsidRPr="00715F1A">
        <w:rPr>
          <w:rFonts w:asciiTheme="majorHAnsi" w:hAnsiTheme="majorHAnsi" w:cstheme="majorHAnsi"/>
        </w:rPr>
        <w:t xml:space="preserve">  Amazon Web Services and its Affiliates will handle any personal data relating to the personnel of Customer (the “Personnel”) that is provided to Amazon Web Services or its Affiliates for the purposes of this SOW in accordance with the handling practices described in the Privacy Notice (available at </w:t>
      </w:r>
      <w:hyperlink r:id="rId8" w:history="1">
        <w:r w:rsidRPr="00715F1A">
          <w:rPr>
            <w:rStyle w:val="Hyperlink"/>
            <w:rFonts w:asciiTheme="majorHAnsi" w:hAnsiTheme="majorHAnsi" w:cstheme="majorHAnsi"/>
          </w:rPr>
          <w:t>http://aws.amazon.com/privacy/</w:t>
        </w:r>
      </w:hyperlink>
      <w:r w:rsidRPr="00715F1A">
        <w:rPr>
          <w:rFonts w:asciiTheme="majorHAnsi" w:hAnsiTheme="majorHAnsi" w:cstheme="majorHAnsi"/>
        </w:rPr>
        <w:t>).  Customer will make the Privacy Notice available to any Personnel whose personal data it provides to Amazon Web Services or its Affiliates.</w:t>
      </w:r>
    </w:p>
    <w:p w14:paraId="57A4C5CE"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Customer will not disclose or provide Amazon Web Services access to “personal data” or “personally identifiable information” (each as defined in applicable data privacy laws).</w:t>
      </w:r>
    </w:p>
    <w:p w14:paraId="1F425142"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lastRenderedPageBreak/>
        <w:t xml:space="preserve">Customer represents and warrants to Amazon Web Services that Customer has all rights, permissions and consents necessary for (a) Customer to execute and perform its obligations under this SOW, and (b) Amazon Web Services to access and carry out activities involving any third-party Amazon Web Services account or Content related to the performance of the Amazon Web Services Professional Services. </w:t>
      </w:r>
    </w:p>
    <w:p w14:paraId="4BEAB673"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 xml:space="preserve"> Customer will defend Amazon Web Services, its affiliates and their respective employees, officers, directors, and representatives, against any claim by Customer’s End Client, an End User or other third party arising from (a) any act or omission by Customer with respect to any Amazon Web Services Professional Services provided under this SOW, or (b) Amazon Web Services accessing and carrying out activities involving any third-party Amazon Web Services account or Content related to the performance of the Amazon Web Services Professional Services, and will pay the amount of any adverse final judgment or settlement. Customer will not agree to any settlement of any such claim that involves any commitment, other than the payment of money, without the prior written consent of Amazon Web Services.  </w:t>
      </w:r>
    </w:p>
    <w:p w14:paraId="4A5333A2"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Customer will provide and secure engagement tools (e.g. Jira, Git Integration, Confluence, Draw.io, Bluescape, etc.) to support the Project and provide for communication, collaboration, and tracking to maintain engagement governance and ongoing Customer operations.</w:t>
      </w:r>
    </w:p>
    <w:p w14:paraId="29A6C0D5"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 xml:space="preserve">Customer will not permit Amazon Web Services to access to any of Customer’s production environments where software, applications, code, or other products are placed into live operation for their intended use by internal or external end users. </w:t>
      </w:r>
    </w:p>
    <w:p w14:paraId="5E62741B"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 xml:space="preserve">Amazon Web Services will also recover 6% VAT based on the fees, charges and engagement related expenses incurred. If requested by Customer, Amazon Web Services will issue Customer tax invoices (“Fapiaos”) according to the respective fees and charges received in full by Amazon Web Services. The type of Fapiao, i.e., general VAT invoice or special VAT invoice, will be determined based on Customer’s tax status and the supporting documents/information that Customer is required to upload for validation.  </w:t>
      </w:r>
    </w:p>
    <w:p w14:paraId="020D1843"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 xml:space="preserve">Notwithstanding Section 13.10 (b) of the Agreement and only for the purpose of this SOW, the address for notices to Amazon Web Services is: 4F, Central Building B21, Universal Business Park, No. 10 Jiuxianqiao Road, Chaoyang District, Beijing, P.R. China, 100015. </w:t>
      </w:r>
    </w:p>
    <w:p w14:paraId="4B687DC2"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 xml:space="preserve">Notwithstanding Section 13.8 of the Agreement and only for the purpose of this SOW, all communications and notices to be made or given pursuant to the Agreement may be in the Chinese language.  </w:t>
      </w:r>
    </w:p>
    <w:p w14:paraId="3AAB72DE" w14:textId="77777777" w:rsidR="00CF7687" w:rsidRPr="00715F1A" w:rsidRDefault="002F6A7E">
      <w:pPr>
        <w:pStyle w:val="SectionIntro"/>
        <w:numPr>
          <w:ilvl w:val="2"/>
          <w:numId w:val="12"/>
        </w:numPr>
        <w:jc w:val="both"/>
        <w:rPr>
          <w:rFonts w:asciiTheme="majorHAnsi" w:hAnsiTheme="majorHAnsi" w:cstheme="majorHAnsi"/>
        </w:rPr>
      </w:pPr>
      <w:r w:rsidRPr="00715F1A">
        <w:rPr>
          <w:rFonts w:asciiTheme="majorHAnsi" w:hAnsiTheme="majorHAnsi" w:cstheme="majorHAnsi"/>
        </w:rPr>
        <w:t>Notwithstanding Section 13.4 and 13.5 of the Agreement, this SOW is governed by the laws of the People’s Republic of China excluding any conflicts of laws rules or principles.  Any dispute relating in any way to this SOW will be submitted to the China International Economic and Trade Arbitration Commission for arbitration in Beijing, which shall be conducted in accordance with the Commission’s arbitration rules in effect at the time of applying for arbitration. The arbitral award is final and binding upon both parties. The number of arbitrators shall be three.</w:t>
      </w:r>
    </w:p>
    <w:p w14:paraId="31B77DAA" w14:textId="77777777" w:rsidR="00CF7687" w:rsidRPr="00715F1A" w:rsidRDefault="002F6A7E">
      <w:pPr>
        <w:pStyle w:val="SectionIntro"/>
        <w:numPr>
          <w:ilvl w:val="2"/>
          <w:numId w:val="12"/>
        </w:numPr>
        <w:jc w:val="both"/>
        <w:rPr>
          <w:rFonts w:asciiTheme="majorHAnsi" w:hAnsiTheme="majorHAnsi" w:cstheme="majorHAnsi"/>
          <w:sz w:val="20"/>
          <w:szCs w:val="20"/>
          <w:highlight w:val="green"/>
        </w:rPr>
      </w:pPr>
      <w:r w:rsidRPr="00715F1A">
        <w:rPr>
          <w:rFonts w:asciiTheme="majorHAnsi" w:hAnsiTheme="majorHAnsi" w:cstheme="majorHAnsi"/>
        </w:rPr>
        <w:t xml:space="preserve">Customer grants to Amazon Web Services a non-exclusive, worldwide, royalty-free right and license to (a) use Customer’s company name and logo (provided promptly by Customer to Amazon Web Services, upon Amazon Web Services’s request) to identify Customer as a customer of Amazon Web Services on (i) the </w:t>
      </w:r>
      <w:hyperlink r:id="rId9" w:tgtFrame="_blank" w:history="1">
        <w:r w:rsidRPr="00715F1A">
          <w:rPr>
            <w:rFonts w:asciiTheme="majorHAnsi" w:hAnsiTheme="majorHAnsi" w:cstheme="majorHAnsi"/>
          </w:rPr>
          <w:t>http://amazonaws.cn</w:t>
        </w:r>
      </w:hyperlink>
      <w:r w:rsidRPr="00715F1A">
        <w:rPr>
          <w:rFonts w:asciiTheme="majorHAnsi" w:hAnsiTheme="majorHAnsi" w:cstheme="majorHAnsi"/>
        </w:rPr>
        <w:t xml:space="preserve">, </w:t>
      </w:r>
      <w:hyperlink r:id="rId10" w:tgtFrame="_blank" w:history="1">
        <w:r w:rsidRPr="00715F1A">
          <w:rPr>
            <w:rFonts w:asciiTheme="majorHAnsi" w:hAnsiTheme="majorHAnsi" w:cstheme="majorHAnsi"/>
          </w:rPr>
          <w:t>http://aws.amazon.com</w:t>
        </w:r>
      </w:hyperlink>
      <w:r w:rsidRPr="00715F1A">
        <w:rPr>
          <w:rFonts w:asciiTheme="majorHAnsi" w:hAnsiTheme="majorHAnsi" w:cstheme="majorHAnsi"/>
        </w:rPr>
        <w:t xml:space="preserve"> and any successor or related site designated by Amazon Web Services (“Amazon Web Services </w:t>
      </w:r>
      <w:r w:rsidRPr="00715F1A">
        <w:rPr>
          <w:rFonts w:asciiTheme="majorHAnsi" w:hAnsiTheme="majorHAnsi" w:cstheme="majorHAnsi"/>
        </w:rPr>
        <w:lastRenderedPageBreak/>
        <w:t>Site”) and any subpages of the Amazon Web Services Site, and (ii) customer lists, commercial presentations, flyers, brochures, newsletters and other marketing collateral ((i) and (ii), collectively, the “Items”); and (b) reproduce, publish, distribute and translate, for purposes of advertising, merchandising and publicity</w:t>
      </w:r>
      <w:r w:rsidRPr="00715F1A">
        <w:rPr>
          <w:rFonts w:asciiTheme="majorHAnsi" w:hAnsiTheme="majorHAnsi" w:cstheme="majorHAnsi"/>
          <w:shd w:val="clear" w:color="auto" w:fill="FFFFFF"/>
          <w:lang w:val="en-GB" w:eastAsia="en-GB"/>
        </w:rPr>
        <w:t>, all or any part of the Items. The license granted under this paragraph will survive expiration or termination of this Statement of Work</w:t>
      </w:r>
      <w:r w:rsidRPr="00715F1A">
        <w:rPr>
          <w:rFonts w:asciiTheme="majorHAnsi" w:hAnsiTheme="majorHAnsi" w:cstheme="majorHAnsi"/>
          <w:lang w:val="en-GB" w:eastAsia="en-GB"/>
        </w:rPr>
        <w:t xml:space="preserve">, provided Customer may, by giving Amazon Web Services at least 30 days’ prior written notice, terminate the license granted under this paragraph at any time following the termination of the Agreement. Upon termination of this license (a) Amazon Web Services will stop producing any new Items containing Customer’s company name or logo; and (b) Amazon Web Services will remove from the Amazon Web Services Site Customer’s company name and logo; provided Amazon Web </w:t>
      </w:r>
      <w:proofErr w:type="spellStart"/>
      <w:r w:rsidRPr="00715F1A">
        <w:rPr>
          <w:rFonts w:asciiTheme="majorHAnsi" w:hAnsiTheme="majorHAnsi" w:cstheme="majorHAnsi"/>
          <w:lang w:val="en-GB" w:eastAsia="en-GB"/>
        </w:rPr>
        <w:t>Services’s</w:t>
      </w:r>
      <w:proofErr w:type="spellEnd"/>
      <w:r w:rsidRPr="00715F1A">
        <w:rPr>
          <w:rFonts w:asciiTheme="majorHAnsi" w:hAnsiTheme="majorHAnsi" w:cstheme="majorHAnsi"/>
          <w:lang w:val="en-GB" w:eastAsia="en-GB"/>
        </w:rPr>
        <w:t xml:space="preserve"> right to use Customer’s company name or logo in any other Items produced prior to the effective date of termination of this license will continue unaffected and Amazon Web Services will not be obligated to remove Customer’s company name or logo from any such Items</w:t>
      </w:r>
      <w:r w:rsidRPr="00715F1A">
        <w:rPr>
          <w:rFonts w:asciiTheme="majorHAnsi" w:hAnsiTheme="majorHAnsi" w:cstheme="majorHAnsi"/>
          <w:shd w:val="clear" w:color="auto" w:fill="FFFFFF"/>
          <w:lang w:val="en-GB" w:eastAsia="en-GB"/>
        </w:rPr>
        <w:t>.</w:t>
      </w:r>
    </w:p>
    <w:p w14:paraId="57FF51C5" w14:textId="77777777" w:rsidR="00CF7687" w:rsidRPr="00715F1A" w:rsidRDefault="002F6A7E">
      <w:pPr>
        <w:pStyle w:val="SectionIntro"/>
        <w:numPr>
          <w:ilvl w:val="2"/>
          <w:numId w:val="12"/>
        </w:numPr>
        <w:jc w:val="both"/>
        <w:rPr>
          <w:rFonts w:asciiTheme="majorHAnsi" w:hAnsiTheme="majorHAnsi" w:cstheme="majorHAnsi"/>
          <w:sz w:val="20"/>
          <w:szCs w:val="20"/>
          <w:highlight w:val="green"/>
        </w:rPr>
      </w:pPr>
      <w:r w:rsidRPr="00715F1A">
        <w:rPr>
          <w:rFonts w:asciiTheme="majorHAnsi" w:hAnsiTheme="majorHAnsi" w:cstheme="majorHAnsi"/>
        </w:rPr>
        <w:t xml:space="preserve">This SOW may be executed in two or more counterparts, each of which will be deemed an original and all of which taken together will be deemed to constitute one and the same document.  </w:t>
      </w:r>
      <w:r w:rsidRPr="00715F1A">
        <w:rPr>
          <w:rFonts w:asciiTheme="majorHAnsi" w:hAnsiTheme="majorHAnsi" w:cstheme="majorHAnsi"/>
          <w:highlight w:val="green"/>
        </w:rPr>
        <w:br w:type="page"/>
      </w:r>
    </w:p>
    <w:p w14:paraId="33FA6C0A" w14:textId="77777777" w:rsidR="00CF7687" w:rsidRPr="00715F1A" w:rsidRDefault="00CF7687">
      <w:pPr>
        <w:pStyle w:val="ListParagraph"/>
        <w:spacing w:before="120" w:after="120"/>
        <w:ind w:left="0"/>
        <w:contextualSpacing w:val="0"/>
        <w:jc w:val="both"/>
        <w:rPr>
          <w:rFonts w:asciiTheme="majorHAnsi" w:hAnsiTheme="majorHAnsi" w:cstheme="majorHAnsi"/>
          <w:b/>
          <w:sz w:val="20"/>
          <w:szCs w:val="20"/>
          <w:highlight w:val="green"/>
        </w:rPr>
      </w:pPr>
    </w:p>
    <w:p w14:paraId="290F9D6B" w14:textId="77777777" w:rsidR="00CF7687" w:rsidRPr="00715F1A" w:rsidRDefault="002F6A7E">
      <w:pPr>
        <w:pStyle w:val="Header2"/>
        <w:jc w:val="left"/>
        <w:rPr>
          <w:rFonts w:asciiTheme="majorHAnsi" w:hAnsiTheme="majorHAnsi" w:cstheme="majorHAnsi"/>
        </w:rPr>
      </w:pPr>
      <w:r w:rsidRPr="00715F1A">
        <w:rPr>
          <w:rFonts w:asciiTheme="majorHAnsi" w:hAnsiTheme="majorHAnsi" w:cstheme="majorHAnsi"/>
        </w:rPr>
        <w:t>Acceptance and authorization</w:t>
      </w:r>
    </w:p>
    <w:p w14:paraId="4BBB827A" w14:textId="77777777" w:rsidR="00CF7687" w:rsidRPr="00715F1A" w:rsidRDefault="002F6A7E">
      <w:pPr>
        <w:spacing w:after="120"/>
        <w:rPr>
          <w:rFonts w:asciiTheme="majorHAnsi" w:eastAsia="MS Mincho" w:hAnsiTheme="majorHAnsi" w:cstheme="majorHAnsi"/>
          <w:sz w:val="22"/>
          <w:szCs w:val="22"/>
        </w:rPr>
      </w:pPr>
      <w:r w:rsidRPr="00715F1A">
        <w:rPr>
          <w:rFonts w:asciiTheme="majorHAnsi" w:eastAsia="MS Mincho" w:hAnsiTheme="majorHAnsi" w:cstheme="majorHAnsi"/>
          <w:b/>
          <w:sz w:val="22"/>
          <w:szCs w:val="22"/>
        </w:rPr>
        <w:t>IN WITNESS WHEREOF</w:t>
      </w:r>
      <w:r w:rsidRPr="00715F1A">
        <w:rPr>
          <w:rFonts w:asciiTheme="majorHAnsi" w:eastAsia="MS Mincho" w:hAnsiTheme="majorHAnsi" w:cstheme="majorHAnsi"/>
          <w:sz w:val="22"/>
          <w:szCs w:val="22"/>
        </w:rPr>
        <w:t>,</w:t>
      </w:r>
      <w:r w:rsidRPr="00715F1A">
        <w:rPr>
          <w:rFonts w:asciiTheme="majorHAnsi" w:eastAsia="MS Mincho" w:hAnsiTheme="majorHAnsi" w:cstheme="majorHAnsi"/>
          <w:b/>
          <w:sz w:val="22"/>
          <w:szCs w:val="22"/>
        </w:rPr>
        <w:t xml:space="preserve"> </w:t>
      </w:r>
      <w:r w:rsidRPr="00715F1A">
        <w:rPr>
          <w:rFonts w:asciiTheme="majorHAnsi" w:eastAsia="MS Mincho" w:hAnsiTheme="majorHAnsi" w:cstheme="majorHAnsi"/>
          <w:sz w:val="22"/>
          <w:szCs w:val="22"/>
        </w:rPr>
        <w:t>the parties have executed this Amendment as of the Amendment Effective Date:</w:t>
      </w:r>
    </w:p>
    <w:tbl>
      <w:tblPr>
        <w:tblW w:w="9209" w:type="dxa"/>
        <w:tblLook w:val="04A0" w:firstRow="1" w:lastRow="0" w:firstColumn="1" w:lastColumn="0" w:noHBand="0" w:noVBand="1"/>
      </w:tblPr>
      <w:tblGrid>
        <w:gridCol w:w="3847"/>
        <w:gridCol w:w="1110"/>
        <w:gridCol w:w="4252"/>
      </w:tblGrid>
      <w:tr w:rsidR="00CF7687" w:rsidRPr="00715F1A" w14:paraId="72C81963" w14:textId="77777777">
        <w:trPr>
          <w:trHeight w:val="1588"/>
        </w:trPr>
        <w:tc>
          <w:tcPr>
            <w:tcW w:w="4957" w:type="dxa"/>
            <w:gridSpan w:val="2"/>
            <w:tcBorders>
              <w:top w:val="single" w:sz="4" w:space="0" w:color="FFFFFF"/>
              <w:left w:val="single" w:sz="4" w:space="0" w:color="FFFFFF"/>
              <w:right w:val="single" w:sz="4" w:space="0" w:color="FFFFFF"/>
            </w:tcBorders>
          </w:tcPr>
          <w:p w14:paraId="434C1504" w14:textId="77777777" w:rsidR="00CF7687" w:rsidRPr="00715F1A" w:rsidRDefault="002F6A7E">
            <w:pPr>
              <w:widowControl w:val="0"/>
              <w:rPr>
                <w:rFonts w:asciiTheme="majorHAnsi" w:hAnsiTheme="majorHAnsi" w:cstheme="majorHAnsi"/>
                <w:b/>
                <w:sz w:val="22"/>
                <w:szCs w:val="22"/>
              </w:rPr>
            </w:pPr>
            <w:r w:rsidRPr="00715F1A">
              <w:rPr>
                <w:rFonts w:asciiTheme="majorHAnsi" w:hAnsiTheme="majorHAnsi" w:cstheme="majorHAnsi"/>
                <w:b/>
                <w:sz w:val="22"/>
                <w:szCs w:val="22"/>
              </w:rPr>
              <w:t>Amazon Connect Technology Services (Beijing) Co., Ltd.</w:t>
            </w:r>
          </w:p>
          <w:p w14:paraId="58CF1976" w14:textId="77777777" w:rsidR="00CF7687" w:rsidRPr="00715F1A" w:rsidRDefault="002F6A7E">
            <w:pPr>
              <w:widowControl w:val="0"/>
              <w:rPr>
                <w:rFonts w:asciiTheme="majorHAnsi" w:hAnsiTheme="majorHAnsi" w:cstheme="majorHAnsi"/>
                <w:b/>
                <w:sz w:val="22"/>
                <w:szCs w:val="22"/>
              </w:rPr>
            </w:pPr>
            <w:r w:rsidRPr="00715F1A">
              <w:rPr>
                <w:rFonts w:asciiTheme="majorHAnsi" w:eastAsia="宋体" w:hAnsiTheme="majorHAnsi" w:cstheme="majorHAnsi"/>
                <w:b/>
                <w:sz w:val="22"/>
                <w:szCs w:val="22"/>
              </w:rPr>
              <w:t>亚马逊通技术服务（北京）有限公司</w:t>
            </w:r>
          </w:p>
          <w:p w14:paraId="1C10A9FF" w14:textId="77777777" w:rsidR="00CF7687" w:rsidRPr="00715F1A" w:rsidRDefault="00CF7687">
            <w:pPr>
              <w:widowControl w:val="0"/>
              <w:rPr>
                <w:rFonts w:asciiTheme="majorHAnsi" w:hAnsiTheme="majorHAnsi" w:cstheme="majorHAnsi"/>
                <w:sz w:val="22"/>
                <w:szCs w:val="22"/>
              </w:rPr>
            </w:pPr>
          </w:p>
          <w:p w14:paraId="46566537" w14:textId="77777777" w:rsidR="00CF7687" w:rsidRPr="00715F1A" w:rsidRDefault="00CF7687">
            <w:pPr>
              <w:widowControl w:val="0"/>
              <w:rPr>
                <w:rFonts w:asciiTheme="majorHAnsi" w:hAnsiTheme="majorHAnsi" w:cstheme="majorHAnsi"/>
                <w:sz w:val="22"/>
                <w:szCs w:val="22"/>
              </w:rPr>
            </w:pPr>
          </w:p>
        </w:tc>
        <w:tc>
          <w:tcPr>
            <w:tcW w:w="4252" w:type="dxa"/>
            <w:tcBorders>
              <w:top w:val="single" w:sz="4" w:space="0" w:color="FFFFFF"/>
              <w:left w:val="single" w:sz="4" w:space="0" w:color="FFFFFF"/>
              <w:right w:val="single" w:sz="4" w:space="0" w:color="FFFFFF"/>
            </w:tcBorders>
          </w:tcPr>
          <w:p w14:paraId="7B75D70D" w14:textId="77777777" w:rsidR="00CF7687" w:rsidRPr="00715F1A" w:rsidRDefault="002F6A7E">
            <w:pPr>
              <w:widowControl w:val="0"/>
              <w:rPr>
                <w:rFonts w:asciiTheme="majorHAnsi" w:hAnsiTheme="majorHAnsi" w:cstheme="majorHAnsi"/>
                <w:b/>
                <w:sz w:val="22"/>
                <w:szCs w:val="22"/>
              </w:rPr>
            </w:pPr>
            <w:r w:rsidRPr="00715F1A">
              <w:rPr>
                <w:rFonts w:asciiTheme="majorHAnsi" w:hAnsiTheme="majorHAnsi" w:cstheme="majorHAnsi"/>
                <w:b/>
                <w:sz w:val="22"/>
                <w:szCs w:val="22"/>
              </w:rPr>
              <w:t>[CUSTOMER’S FULL LEGAL ENTITY NAME IN BOTH ENGLISH AND CHINESE]</w:t>
            </w:r>
          </w:p>
        </w:tc>
      </w:tr>
      <w:tr w:rsidR="00CF7687" w:rsidRPr="00715F1A" w14:paraId="23C93509" w14:textId="77777777">
        <w:trPr>
          <w:trHeight w:val="360"/>
        </w:trPr>
        <w:tc>
          <w:tcPr>
            <w:tcW w:w="3847" w:type="dxa"/>
            <w:tcBorders>
              <w:top w:val="single" w:sz="4" w:space="0" w:color="auto"/>
              <w:left w:val="single" w:sz="4" w:space="0" w:color="FFFFFF"/>
              <w:bottom w:val="single" w:sz="4" w:space="0" w:color="FFFFFF"/>
              <w:right w:val="single" w:sz="4" w:space="0" w:color="FFFFFF"/>
            </w:tcBorders>
          </w:tcPr>
          <w:p w14:paraId="0182DAFD" w14:textId="77777777" w:rsidR="00CF7687" w:rsidRPr="00715F1A" w:rsidRDefault="002F6A7E">
            <w:pPr>
              <w:widowControl w:val="0"/>
              <w:rPr>
                <w:rFonts w:asciiTheme="majorHAnsi" w:hAnsiTheme="majorHAnsi" w:cstheme="majorHAnsi"/>
                <w:sz w:val="22"/>
                <w:szCs w:val="22"/>
                <w:vertAlign w:val="superscript"/>
              </w:rPr>
            </w:pPr>
            <w:r w:rsidRPr="00715F1A">
              <w:rPr>
                <w:rFonts w:asciiTheme="majorHAnsi" w:hAnsiTheme="majorHAnsi" w:cstheme="majorHAnsi"/>
                <w:sz w:val="22"/>
                <w:szCs w:val="22"/>
                <w:vertAlign w:val="superscript"/>
              </w:rPr>
              <w:t>Company Chop</w:t>
            </w:r>
          </w:p>
        </w:tc>
        <w:tc>
          <w:tcPr>
            <w:tcW w:w="1110" w:type="dxa"/>
            <w:tcBorders>
              <w:top w:val="single" w:sz="4" w:space="0" w:color="FFFFFF"/>
              <w:left w:val="single" w:sz="4" w:space="0" w:color="FFFFFF"/>
              <w:bottom w:val="single" w:sz="4" w:space="0" w:color="FFFFFF"/>
              <w:right w:val="single" w:sz="4" w:space="0" w:color="FFFFFF"/>
            </w:tcBorders>
          </w:tcPr>
          <w:p w14:paraId="1417BE4E" w14:textId="77777777" w:rsidR="00CF7687" w:rsidRPr="00715F1A" w:rsidRDefault="00CF7687">
            <w:pPr>
              <w:widowControl w:val="0"/>
              <w:rPr>
                <w:rFonts w:asciiTheme="majorHAnsi" w:hAnsiTheme="majorHAnsi" w:cstheme="majorHAnsi"/>
                <w:sz w:val="22"/>
                <w:szCs w:val="22"/>
                <w:vertAlign w:val="superscript"/>
              </w:rPr>
            </w:pPr>
          </w:p>
        </w:tc>
        <w:tc>
          <w:tcPr>
            <w:tcW w:w="4252" w:type="dxa"/>
            <w:tcBorders>
              <w:top w:val="single" w:sz="4" w:space="0" w:color="auto"/>
              <w:left w:val="single" w:sz="4" w:space="0" w:color="FFFFFF"/>
              <w:bottom w:val="single" w:sz="4" w:space="0" w:color="FFFFFF"/>
              <w:right w:val="single" w:sz="4" w:space="0" w:color="FFFFFF"/>
            </w:tcBorders>
          </w:tcPr>
          <w:p w14:paraId="6DEC781F" w14:textId="77777777" w:rsidR="00CF7687" w:rsidRPr="00715F1A" w:rsidRDefault="002F6A7E">
            <w:pPr>
              <w:widowControl w:val="0"/>
              <w:rPr>
                <w:rFonts w:asciiTheme="majorHAnsi" w:hAnsiTheme="majorHAnsi" w:cstheme="majorHAnsi"/>
                <w:sz w:val="22"/>
                <w:szCs w:val="22"/>
                <w:vertAlign w:val="superscript"/>
              </w:rPr>
            </w:pPr>
            <w:r w:rsidRPr="00715F1A">
              <w:rPr>
                <w:rFonts w:asciiTheme="majorHAnsi" w:hAnsiTheme="majorHAnsi" w:cstheme="majorHAnsi"/>
                <w:sz w:val="22"/>
                <w:szCs w:val="22"/>
                <w:vertAlign w:val="superscript"/>
              </w:rPr>
              <w:t>Company Chop</w:t>
            </w:r>
          </w:p>
        </w:tc>
      </w:tr>
      <w:tr w:rsidR="00CF7687" w:rsidRPr="00715F1A" w14:paraId="0E758C4F" w14:textId="77777777">
        <w:trPr>
          <w:trHeight w:val="90"/>
        </w:trPr>
        <w:tc>
          <w:tcPr>
            <w:tcW w:w="3847" w:type="dxa"/>
            <w:tcBorders>
              <w:top w:val="single" w:sz="4" w:space="0" w:color="FFFFFF"/>
              <w:left w:val="single" w:sz="4" w:space="0" w:color="FFFFFF"/>
              <w:bottom w:val="single" w:sz="4" w:space="0" w:color="auto"/>
              <w:right w:val="single" w:sz="4" w:space="0" w:color="FFFFFF"/>
            </w:tcBorders>
          </w:tcPr>
          <w:p w14:paraId="5BEC46E1" w14:textId="77777777" w:rsidR="00CF7687" w:rsidRPr="00715F1A" w:rsidRDefault="00CF7687">
            <w:pPr>
              <w:widowControl w:val="0"/>
              <w:rPr>
                <w:rFonts w:asciiTheme="majorHAnsi" w:hAnsiTheme="majorHAnsi" w:cstheme="majorHAnsi"/>
                <w:sz w:val="22"/>
                <w:szCs w:val="22"/>
              </w:rPr>
            </w:pPr>
          </w:p>
        </w:tc>
        <w:tc>
          <w:tcPr>
            <w:tcW w:w="1110" w:type="dxa"/>
            <w:tcBorders>
              <w:top w:val="single" w:sz="4" w:space="0" w:color="FFFFFF"/>
              <w:left w:val="single" w:sz="4" w:space="0" w:color="FFFFFF"/>
              <w:bottom w:val="single" w:sz="4" w:space="0" w:color="FFFFFF"/>
              <w:right w:val="single" w:sz="4" w:space="0" w:color="FFFFFF"/>
            </w:tcBorders>
          </w:tcPr>
          <w:p w14:paraId="1268129D" w14:textId="77777777" w:rsidR="00CF7687" w:rsidRPr="00715F1A" w:rsidRDefault="00CF7687">
            <w:pPr>
              <w:widowControl w:val="0"/>
              <w:rPr>
                <w:rFonts w:asciiTheme="majorHAnsi" w:hAnsiTheme="majorHAnsi" w:cstheme="majorHAnsi"/>
                <w:sz w:val="22"/>
                <w:szCs w:val="22"/>
              </w:rPr>
            </w:pPr>
          </w:p>
        </w:tc>
        <w:tc>
          <w:tcPr>
            <w:tcW w:w="4252" w:type="dxa"/>
            <w:tcBorders>
              <w:top w:val="single" w:sz="4" w:space="0" w:color="FFFFFF"/>
              <w:left w:val="single" w:sz="4" w:space="0" w:color="FFFFFF"/>
              <w:bottom w:val="single" w:sz="4" w:space="0" w:color="auto"/>
              <w:right w:val="single" w:sz="4" w:space="0" w:color="FFFFFF"/>
            </w:tcBorders>
          </w:tcPr>
          <w:p w14:paraId="3D9EC197" w14:textId="77777777" w:rsidR="00CF7687" w:rsidRPr="00715F1A" w:rsidRDefault="00CF7687">
            <w:pPr>
              <w:widowControl w:val="0"/>
              <w:rPr>
                <w:rFonts w:asciiTheme="majorHAnsi" w:hAnsiTheme="majorHAnsi" w:cstheme="majorHAnsi"/>
                <w:sz w:val="22"/>
                <w:szCs w:val="22"/>
              </w:rPr>
            </w:pPr>
          </w:p>
        </w:tc>
      </w:tr>
      <w:tr w:rsidR="00CF7687" w:rsidRPr="00715F1A" w14:paraId="4E1DE4EE" w14:textId="77777777">
        <w:trPr>
          <w:trHeight w:val="360"/>
        </w:trPr>
        <w:tc>
          <w:tcPr>
            <w:tcW w:w="3847" w:type="dxa"/>
            <w:tcBorders>
              <w:top w:val="single" w:sz="4" w:space="0" w:color="auto"/>
              <w:left w:val="single" w:sz="4" w:space="0" w:color="FFFFFF"/>
              <w:bottom w:val="single" w:sz="4" w:space="0" w:color="FFFFFF"/>
              <w:right w:val="single" w:sz="4" w:space="0" w:color="FFFFFF"/>
            </w:tcBorders>
          </w:tcPr>
          <w:p w14:paraId="4E946CFE" w14:textId="77777777" w:rsidR="00CF7687" w:rsidRPr="00715F1A" w:rsidRDefault="002F6A7E">
            <w:pPr>
              <w:widowControl w:val="0"/>
              <w:rPr>
                <w:rFonts w:asciiTheme="majorHAnsi" w:hAnsiTheme="majorHAnsi" w:cstheme="majorHAnsi"/>
                <w:sz w:val="22"/>
                <w:szCs w:val="22"/>
                <w:vertAlign w:val="superscript"/>
              </w:rPr>
            </w:pPr>
            <w:r w:rsidRPr="00715F1A">
              <w:rPr>
                <w:rFonts w:asciiTheme="majorHAnsi" w:hAnsiTheme="majorHAnsi" w:cstheme="majorHAnsi"/>
                <w:sz w:val="22"/>
                <w:szCs w:val="22"/>
                <w:vertAlign w:val="superscript"/>
              </w:rPr>
              <w:t>Date</w:t>
            </w:r>
          </w:p>
        </w:tc>
        <w:tc>
          <w:tcPr>
            <w:tcW w:w="1110" w:type="dxa"/>
            <w:tcBorders>
              <w:top w:val="single" w:sz="4" w:space="0" w:color="FFFFFF"/>
              <w:left w:val="single" w:sz="4" w:space="0" w:color="FFFFFF"/>
              <w:bottom w:val="single" w:sz="4" w:space="0" w:color="FFFFFF"/>
              <w:right w:val="single" w:sz="4" w:space="0" w:color="FFFFFF"/>
            </w:tcBorders>
          </w:tcPr>
          <w:p w14:paraId="2F263241" w14:textId="77777777" w:rsidR="00CF7687" w:rsidRPr="00715F1A" w:rsidRDefault="00CF7687">
            <w:pPr>
              <w:widowControl w:val="0"/>
              <w:rPr>
                <w:rFonts w:asciiTheme="majorHAnsi" w:hAnsiTheme="majorHAnsi" w:cstheme="majorHAnsi"/>
                <w:sz w:val="22"/>
                <w:szCs w:val="22"/>
                <w:vertAlign w:val="superscript"/>
              </w:rPr>
            </w:pPr>
          </w:p>
        </w:tc>
        <w:tc>
          <w:tcPr>
            <w:tcW w:w="4252" w:type="dxa"/>
            <w:tcBorders>
              <w:top w:val="single" w:sz="4" w:space="0" w:color="auto"/>
              <w:left w:val="single" w:sz="4" w:space="0" w:color="FFFFFF"/>
              <w:bottom w:val="single" w:sz="4" w:space="0" w:color="FFFFFF"/>
              <w:right w:val="single" w:sz="4" w:space="0" w:color="FFFFFF"/>
            </w:tcBorders>
          </w:tcPr>
          <w:p w14:paraId="6762A341" w14:textId="77777777" w:rsidR="00CF7687" w:rsidRPr="00715F1A" w:rsidRDefault="002F6A7E">
            <w:pPr>
              <w:widowControl w:val="0"/>
              <w:rPr>
                <w:rFonts w:asciiTheme="majorHAnsi" w:hAnsiTheme="majorHAnsi" w:cstheme="majorHAnsi"/>
                <w:sz w:val="22"/>
                <w:szCs w:val="22"/>
                <w:vertAlign w:val="superscript"/>
              </w:rPr>
            </w:pPr>
            <w:r w:rsidRPr="00715F1A">
              <w:rPr>
                <w:rFonts w:asciiTheme="majorHAnsi" w:hAnsiTheme="majorHAnsi" w:cstheme="majorHAnsi"/>
                <w:sz w:val="22"/>
                <w:szCs w:val="22"/>
                <w:vertAlign w:val="superscript"/>
              </w:rPr>
              <w:t>Date</w:t>
            </w:r>
          </w:p>
        </w:tc>
      </w:tr>
    </w:tbl>
    <w:p w14:paraId="73894CB9" w14:textId="77777777" w:rsidR="00CF7687" w:rsidRPr="00715F1A" w:rsidRDefault="00CF7687">
      <w:pPr>
        <w:spacing w:after="120"/>
        <w:rPr>
          <w:rFonts w:asciiTheme="majorHAnsi" w:eastAsia="MS Mincho" w:hAnsiTheme="majorHAnsi" w:cstheme="majorHAnsi"/>
          <w:szCs w:val="22"/>
        </w:rPr>
      </w:pPr>
    </w:p>
    <w:p w14:paraId="33C5DC35" w14:textId="77777777" w:rsidR="00CF7687" w:rsidRPr="00715F1A" w:rsidRDefault="00CF7687">
      <w:pPr>
        <w:rPr>
          <w:rFonts w:asciiTheme="majorHAnsi" w:hAnsiTheme="majorHAnsi" w:cstheme="majorHAnsi"/>
          <w:sz w:val="22"/>
          <w:szCs w:val="22"/>
        </w:rPr>
      </w:pPr>
    </w:p>
    <w:p w14:paraId="75622DCE" w14:textId="77777777" w:rsidR="00CF7687" w:rsidRPr="00715F1A" w:rsidRDefault="00CF7687">
      <w:pPr>
        <w:pStyle w:val="SectionIntro"/>
        <w:rPr>
          <w:rFonts w:asciiTheme="majorHAnsi" w:hAnsiTheme="majorHAnsi" w:cstheme="majorHAnsi"/>
        </w:rPr>
      </w:pPr>
    </w:p>
    <w:p w14:paraId="6082445B" w14:textId="77777777" w:rsidR="00CF7687" w:rsidRPr="00715F1A" w:rsidRDefault="00CF7687">
      <w:pPr>
        <w:jc w:val="center"/>
        <w:rPr>
          <w:rFonts w:asciiTheme="majorHAnsi" w:hAnsiTheme="majorHAnsi" w:cstheme="majorHAnsi"/>
          <w:b/>
          <w:sz w:val="20"/>
          <w:szCs w:val="20"/>
        </w:rPr>
      </w:pPr>
    </w:p>
    <w:p w14:paraId="7E471B05" w14:textId="77777777" w:rsidR="00CF7687" w:rsidRPr="00715F1A" w:rsidRDefault="002F6A7E">
      <w:pPr>
        <w:rPr>
          <w:rFonts w:asciiTheme="majorHAnsi" w:hAnsiTheme="majorHAnsi" w:cstheme="majorHAnsi"/>
          <w:b/>
          <w:sz w:val="20"/>
          <w:szCs w:val="20"/>
        </w:rPr>
      </w:pPr>
      <w:r w:rsidRPr="00715F1A">
        <w:rPr>
          <w:rFonts w:asciiTheme="majorHAnsi" w:hAnsiTheme="majorHAnsi" w:cstheme="majorHAnsi"/>
          <w:b/>
          <w:sz w:val="20"/>
          <w:szCs w:val="20"/>
        </w:rPr>
        <w:br w:type="page"/>
      </w:r>
    </w:p>
    <w:p w14:paraId="234C8E96" w14:textId="77777777" w:rsidR="00CF7687" w:rsidRPr="00715F1A" w:rsidRDefault="00CF7687">
      <w:pPr>
        <w:pStyle w:val="ListParagraph"/>
        <w:spacing w:before="120" w:after="120"/>
        <w:ind w:left="0"/>
        <w:contextualSpacing w:val="0"/>
        <w:jc w:val="both"/>
        <w:rPr>
          <w:rFonts w:asciiTheme="majorHAnsi" w:hAnsiTheme="majorHAnsi" w:cstheme="majorHAnsi"/>
          <w:b/>
          <w:sz w:val="20"/>
          <w:szCs w:val="20"/>
        </w:rPr>
      </w:pPr>
    </w:p>
    <w:p w14:paraId="29D8E18E" w14:textId="77777777" w:rsidR="00CF7687" w:rsidRPr="00715F1A" w:rsidRDefault="002F6A7E">
      <w:pPr>
        <w:pStyle w:val="Header2"/>
        <w:jc w:val="left"/>
        <w:rPr>
          <w:rFonts w:asciiTheme="majorHAnsi" w:hAnsiTheme="majorHAnsi" w:cstheme="majorHAnsi"/>
        </w:rPr>
      </w:pPr>
      <w:r w:rsidRPr="00715F1A">
        <w:rPr>
          <w:rFonts w:asciiTheme="majorHAnsi" w:hAnsiTheme="majorHAnsi" w:cstheme="majorHAnsi"/>
        </w:rPr>
        <w:t>Acceptance and authorization</w:t>
      </w:r>
    </w:p>
    <w:p w14:paraId="68DCF3A7" w14:textId="77777777" w:rsidR="00CF7687" w:rsidRPr="00715F1A" w:rsidRDefault="002F6A7E">
      <w:pPr>
        <w:jc w:val="both"/>
        <w:rPr>
          <w:rFonts w:asciiTheme="majorHAnsi" w:hAnsiTheme="majorHAnsi" w:cstheme="majorHAnsi"/>
          <w:sz w:val="22"/>
          <w:szCs w:val="22"/>
        </w:rPr>
      </w:pPr>
      <w:r w:rsidRPr="00715F1A">
        <w:rPr>
          <w:rFonts w:asciiTheme="majorHAnsi" w:hAnsiTheme="majorHAnsi" w:cstheme="majorHAnsi"/>
          <w:b/>
          <w:sz w:val="22"/>
          <w:szCs w:val="22"/>
        </w:rPr>
        <w:t>IN WITNESS WHEREOF,</w:t>
      </w:r>
      <w:r w:rsidRPr="00715F1A">
        <w:rPr>
          <w:rFonts w:asciiTheme="majorHAnsi" w:hAnsiTheme="majorHAnsi" w:cstheme="majorHAnsi"/>
          <w:sz w:val="22"/>
          <w:szCs w:val="22"/>
        </w:rPr>
        <w:t xml:space="preserve"> the parties below have executed this SOW as of the SOW Effective Date.</w:t>
      </w:r>
    </w:p>
    <w:p w14:paraId="45F7FA92" w14:textId="77777777" w:rsidR="00CF7687" w:rsidRPr="00715F1A" w:rsidRDefault="00CF7687">
      <w:pPr>
        <w:jc w:val="both"/>
        <w:rPr>
          <w:rFonts w:asciiTheme="majorHAnsi" w:hAnsiTheme="majorHAnsi" w:cstheme="majorHAnsi"/>
          <w:sz w:val="22"/>
          <w:szCs w:val="22"/>
        </w:rPr>
      </w:pPr>
    </w:p>
    <w:tbl>
      <w:tblPr>
        <w:tblW w:w="9209" w:type="dxa"/>
        <w:tblLook w:val="04A0" w:firstRow="1" w:lastRow="0" w:firstColumn="1" w:lastColumn="0" w:noHBand="0" w:noVBand="1"/>
      </w:tblPr>
      <w:tblGrid>
        <w:gridCol w:w="3847"/>
        <w:gridCol w:w="1110"/>
        <w:gridCol w:w="4252"/>
      </w:tblGrid>
      <w:tr w:rsidR="00CF7687" w:rsidRPr="00715F1A" w14:paraId="2727C100" w14:textId="77777777">
        <w:trPr>
          <w:trHeight w:val="1588"/>
        </w:trPr>
        <w:tc>
          <w:tcPr>
            <w:tcW w:w="4957" w:type="dxa"/>
            <w:gridSpan w:val="2"/>
            <w:tcBorders>
              <w:top w:val="single" w:sz="4" w:space="0" w:color="FFFFFF"/>
              <w:left w:val="single" w:sz="4" w:space="0" w:color="FFFFFF"/>
              <w:right w:val="single" w:sz="4" w:space="0" w:color="FFFFFF"/>
            </w:tcBorders>
          </w:tcPr>
          <w:p w14:paraId="06E60294" w14:textId="77777777" w:rsidR="00CF7687" w:rsidRPr="00715F1A" w:rsidRDefault="002F6A7E">
            <w:pPr>
              <w:widowControl w:val="0"/>
              <w:rPr>
                <w:rFonts w:asciiTheme="majorHAnsi" w:hAnsiTheme="majorHAnsi" w:cstheme="majorHAnsi"/>
                <w:b/>
                <w:sz w:val="22"/>
                <w:szCs w:val="22"/>
              </w:rPr>
            </w:pPr>
            <w:r w:rsidRPr="00715F1A">
              <w:rPr>
                <w:rFonts w:asciiTheme="majorHAnsi" w:hAnsiTheme="majorHAnsi" w:cstheme="majorHAnsi"/>
                <w:b/>
                <w:sz w:val="22"/>
                <w:szCs w:val="22"/>
              </w:rPr>
              <w:t>Amazon Connect Technology Services (Beijing) Co., Ltd.</w:t>
            </w:r>
          </w:p>
          <w:p w14:paraId="40FD9446" w14:textId="77777777" w:rsidR="00CF7687" w:rsidRPr="00715F1A" w:rsidRDefault="002F6A7E">
            <w:pPr>
              <w:widowControl w:val="0"/>
              <w:rPr>
                <w:rFonts w:asciiTheme="majorHAnsi" w:hAnsiTheme="majorHAnsi" w:cstheme="majorHAnsi"/>
                <w:b/>
                <w:sz w:val="22"/>
                <w:szCs w:val="22"/>
              </w:rPr>
            </w:pPr>
            <w:r w:rsidRPr="00715F1A">
              <w:rPr>
                <w:rFonts w:asciiTheme="majorHAnsi" w:eastAsia="宋体" w:hAnsiTheme="majorHAnsi" w:cstheme="majorHAnsi"/>
                <w:b/>
                <w:sz w:val="22"/>
                <w:szCs w:val="22"/>
              </w:rPr>
              <w:t>亚马逊通技术服务（北京）有限公司</w:t>
            </w:r>
          </w:p>
          <w:p w14:paraId="5B2E1739" w14:textId="77777777" w:rsidR="00CF7687" w:rsidRPr="00715F1A" w:rsidRDefault="00CF7687">
            <w:pPr>
              <w:widowControl w:val="0"/>
              <w:rPr>
                <w:rFonts w:asciiTheme="majorHAnsi" w:hAnsiTheme="majorHAnsi" w:cstheme="majorHAnsi"/>
                <w:sz w:val="22"/>
                <w:szCs w:val="22"/>
              </w:rPr>
            </w:pPr>
          </w:p>
          <w:p w14:paraId="123DBEBA" w14:textId="77777777" w:rsidR="00CF7687" w:rsidRPr="00715F1A" w:rsidRDefault="002F6A7E">
            <w:pPr>
              <w:widowControl w:val="0"/>
              <w:rPr>
                <w:rFonts w:asciiTheme="majorHAnsi" w:hAnsiTheme="majorHAnsi" w:cstheme="majorHAnsi"/>
                <w:sz w:val="22"/>
                <w:szCs w:val="22"/>
                <w:highlight w:val="yellow"/>
              </w:rPr>
            </w:pPr>
            <w:r w:rsidRPr="00715F1A">
              <w:rPr>
                <w:rFonts w:asciiTheme="majorHAnsi" w:hAnsiTheme="majorHAnsi" w:cstheme="majorHAnsi"/>
                <w:sz w:val="22"/>
                <w:szCs w:val="22"/>
                <w:highlight w:val="yellow"/>
              </w:rPr>
              <w:fldChar w:fldCharType="begin">
                <w:ffData>
                  <w:name w:val="Text4"/>
                  <w:enabled/>
                  <w:calcOnExit w:val="0"/>
                  <w:textInput>
                    <w:default w:val=" "/>
                  </w:textInput>
                </w:ffData>
              </w:fldChar>
            </w:r>
            <w:r w:rsidRPr="00715F1A">
              <w:rPr>
                <w:rFonts w:asciiTheme="majorHAnsi" w:hAnsiTheme="majorHAnsi" w:cstheme="majorHAnsi"/>
                <w:sz w:val="22"/>
                <w:szCs w:val="22"/>
                <w:highlight w:val="yellow"/>
              </w:rPr>
              <w:instrText xml:space="preserve"> FORMTEXT </w:instrText>
            </w:r>
            <w:r w:rsidRPr="00715F1A">
              <w:rPr>
                <w:rFonts w:asciiTheme="majorHAnsi" w:hAnsiTheme="majorHAnsi" w:cstheme="majorHAnsi"/>
                <w:sz w:val="22"/>
                <w:szCs w:val="22"/>
                <w:highlight w:val="yellow"/>
              </w:rPr>
            </w:r>
            <w:r w:rsidRPr="00715F1A">
              <w:rPr>
                <w:rFonts w:asciiTheme="majorHAnsi" w:hAnsiTheme="majorHAnsi" w:cstheme="majorHAnsi"/>
                <w:sz w:val="22"/>
                <w:szCs w:val="22"/>
                <w:highlight w:val="yellow"/>
              </w:rPr>
              <w:fldChar w:fldCharType="separate"/>
            </w:r>
            <w:r w:rsidRPr="00715F1A">
              <w:rPr>
                <w:rFonts w:asciiTheme="majorHAnsi" w:hAnsiTheme="majorHAnsi" w:cstheme="majorHAnsi"/>
                <w:sz w:val="22"/>
                <w:szCs w:val="22"/>
                <w:highlight w:val="yellow"/>
              </w:rPr>
              <w:t xml:space="preserve"> </w:t>
            </w:r>
            <w:r w:rsidRPr="00715F1A">
              <w:rPr>
                <w:rFonts w:asciiTheme="majorHAnsi" w:hAnsiTheme="majorHAnsi" w:cstheme="majorHAnsi"/>
                <w:sz w:val="22"/>
                <w:szCs w:val="22"/>
                <w:highlight w:val="yellow"/>
              </w:rPr>
              <w:fldChar w:fldCharType="end"/>
            </w:r>
          </w:p>
        </w:tc>
        <w:tc>
          <w:tcPr>
            <w:tcW w:w="4252" w:type="dxa"/>
            <w:tcBorders>
              <w:top w:val="single" w:sz="4" w:space="0" w:color="FFFFFF"/>
              <w:left w:val="single" w:sz="4" w:space="0" w:color="FFFFFF"/>
              <w:right w:val="single" w:sz="4" w:space="0" w:color="FFFFFF"/>
            </w:tcBorders>
          </w:tcPr>
          <w:p w14:paraId="65CA90F4" w14:textId="77777777" w:rsidR="00CF7687" w:rsidRPr="00715F1A" w:rsidRDefault="002F6A7E">
            <w:pPr>
              <w:widowControl w:val="0"/>
              <w:rPr>
                <w:rFonts w:asciiTheme="majorHAnsi" w:hAnsiTheme="majorHAnsi" w:cstheme="majorHAnsi"/>
                <w:b/>
                <w:sz w:val="22"/>
                <w:szCs w:val="22"/>
                <w:highlight w:val="yellow"/>
              </w:rPr>
            </w:pPr>
            <w:r w:rsidRPr="00715F1A">
              <w:rPr>
                <w:rFonts w:asciiTheme="majorHAnsi" w:hAnsiTheme="majorHAnsi" w:cstheme="majorHAnsi"/>
                <w:b/>
                <w:sz w:val="22"/>
                <w:szCs w:val="22"/>
                <w:highlight w:val="yellow"/>
              </w:rPr>
              <w:t>[CUSTOMER’S FULL LEGAL ENTITY NAME IN BOTH ENGLISH AND CHINESE]</w:t>
            </w:r>
          </w:p>
        </w:tc>
      </w:tr>
      <w:tr w:rsidR="00CF7687" w:rsidRPr="00715F1A" w14:paraId="69543B4B" w14:textId="77777777">
        <w:trPr>
          <w:trHeight w:val="360"/>
        </w:trPr>
        <w:tc>
          <w:tcPr>
            <w:tcW w:w="3847" w:type="dxa"/>
            <w:tcBorders>
              <w:top w:val="single" w:sz="4" w:space="0" w:color="auto"/>
              <w:left w:val="single" w:sz="4" w:space="0" w:color="FFFFFF"/>
              <w:bottom w:val="single" w:sz="4" w:space="0" w:color="FFFFFF"/>
              <w:right w:val="single" w:sz="4" w:space="0" w:color="FFFFFF"/>
            </w:tcBorders>
          </w:tcPr>
          <w:p w14:paraId="3B23E71B" w14:textId="77777777" w:rsidR="00CF7687" w:rsidRPr="00715F1A" w:rsidRDefault="002F6A7E">
            <w:pPr>
              <w:widowControl w:val="0"/>
              <w:rPr>
                <w:rFonts w:asciiTheme="majorHAnsi" w:hAnsiTheme="majorHAnsi" w:cstheme="majorHAnsi"/>
                <w:sz w:val="22"/>
                <w:szCs w:val="22"/>
                <w:vertAlign w:val="superscript"/>
              </w:rPr>
            </w:pPr>
            <w:r w:rsidRPr="00715F1A">
              <w:rPr>
                <w:rFonts w:asciiTheme="majorHAnsi" w:hAnsiTheme="majorHAnsi" w:cstheme="majorHAnsi"/>
                <w:sz w:val="22"/>
                <w:szCs w:val="22"/>
                <w:vertAlign w:val="superscript"/>
              </w:rPr>
              <w:t>Company Chop</w:t>
            </w:r>
          </w:p>
        </w:tc>
        <w:tc>
          <w:tcPr>
            <w:tcW w:w="1110" w:type="dxa"/>
            <w:tcBorders>
              <w:top w:val="single" w:sz="4" w:space="0" w:color="FFFFFF"/>
              <w:left w:val="single" w:sz="4" w:space="0" w:color="FFFFFF"/>
              <w:bottom w:val="single" w:sz="4" w:space="0" w:color="FFFFFF"/>
              <w:right w:val="single" w:sz="4" w:space="0" w:color="FFFFFF"/>
            </w:tcBorders>
          </w:tcPr>
          <w:p w14:paraId="6B65C2EF" w14:textId="77777777" w:rsidR="00CF7687" w:rsidRPr="00715F1A" w:rsidRDefault="00CF7687">
            <w:pPr>
              <w:widowControl w:val="0"/>
              <w:rPr>
                <w:rFonts w:asciiTheme="majorHAnsi" w:hAnsiTheme="majorHAnsi" w:cstheme="majorHAnsi"/>
                <w:sz w:val="22"/>
                <w:szCs w:val="22"/>
                <w:vertAlign w:val="superscript"/>
              </w:rPr>
            </w:pPr>
          </w:p>
        </w:tc>
        <w:tc>
          <w:tcPr>
            <w:tcW w:w="4252" w:type="dxa"/>
            <w:tcBorders>
              <w:top w:val="single" w:sz="4" w:space="0" w:color="auto"/>
              <w:left w:val="single" w:sz="4" w:space="0" w:color="FFFFFF"/>
              <w:bottom w:val="single" w:sz="4" w:space="0" w:color="FFFFFF"/>
              <w:right w:val="single" w:sz="4" w:space="0" w:color="FFFFFF"/>
            </w:tcBorders>
          </w:tcPr>
          <w:p w14:paraId="39F439A5" w14:textId="77777777" w:rsidR="00CF7687" w:rsidRPr="00715F1A" w:rsidRDefault="002F6A7E">
            <w:pPr>
              <w:widowControl w:val="0"/>
              <w:rPr>
                <w:rFonts w:asciiTheme="majorHAnsi" w:hAnsiTheme="majorHAnsi" w:cstheme="majorHAnsi"/>
                <w:sz w:val="22"/>
                <w:szCs w:val="22"/>
                <w:vertAlign w:val="superscript"/>
              </w:rPr>
            </w:pPr>
            <w:r w:rsidRPr="00715F1A">
              <w:rPr>
                <w:rFonts w:asciiTheme="majorHAnsi" w:hAnsiTheme="majorHAnsi" w:cstheme="majorHAnsi"/>
                <w:sz w:val="22"/>
                <w:szCs w:val="22"/>
                <w:vertAlign w:val="superscript"/>
              </w:rPr>
              <w:t>Company Chop</w:t>
            </w:r>
          </w:p>
        </w:tc>
      </w:tr>
      <w:tr w:rsidR="00CF7687" w:rsidRPr="00715F1A" w14:paraId="14542547" w14:textId="77777777">
        <w:trPr>
          <w:trHeight w:val="90"/>
        </w:trPr>
        <w:tc>
          <w:tcPr>
            <w:tcW w:w="3847" w:type="dxa"/>
            <w:tcBorders>
              <w:top w:val="single" w:sz="4" w:space="0" w:color="FFFFFF"/>
              <w:left w:val="single" w:sz="4" w:space="0" w:color="FFFFFF"/>
              <w:bottom w:val="single" w:sz="4" w:space="0" w:color="auto"/>
              <w:right w:val="single" w:sz="4" w:space="0" w:color="FFFFFF"/>
            </w:tcBorders>
          </w:tcPr>
          <w:p w14:paraId="15EE7984" w14:textId="77777777" w:rsidR="00CF7687" w:rsidRPr="00715F1A" w:rsidRDefault="00CF7687">
            <w:pPr>
              <w:widowControl w:val="0"/>
              <w:rPr>
                <w:rFonts w:asciiTheme="majorHAnsi" w:hAnsiTheme="majorHAnsi" w:cstheme="majorHAnsi"/>
                <w:sz w:val="22"/>
                <w:szCs w:val="22"/>
              </w:rPr>
            </w:pPr>
          </w:p>
        </w:tc>
        <w:tc>
          <w:tcPr>
            <w:tcW w:w="1110" w:type="dxa"/>
            <w:tcBorders>
              <w:top w:val="single" w:sz="4" w:space="0" w:color="FFFFFF"/>
              <w:left w:val="single" w:sz="4" w:space="0" w:color="FFFFFF"/>
              <w:bottom w:val="single" w:sz="4" w:space="0" w:color="FFFFFF"/>
              <w:right w:val="single" w:sz="4" w:space="0" w:color="FFFFFF"/>
            </w:tcBorders>
          </w:tcPr>
          <w:p w14:paraId="78B87E36" w14:textId="77777777" w:rsidR="00CF7687" w:rsidRPr="00715F1A" w:rsidRDefault="00CF7687">
            <w:pPr>
              <w:widowControl w:val="0"/>
              <w:rPr>
                <w:rFonts w:asciiTheme="majorHAnsi" w:hAnsiTheme="majorHAnsi" w:cstheme="majorHAnsi"/>
                <w:sz w:val="22"/>
                <w:szCs w:val="22"/>
              </w:rPr>
            </w:pPr>
          </w:p>
        </w:tc>
        <w:tc>
          <w:tcPr>
            <w:tcW w:w="4252" w:type="dxa"/>
            <w:tcBorders>
              <w:top w:val="single" w:sz="4" w:space="0" w:color="FFFFFF"/>
              <w:left w:val="single" w:sz="4" w:space="0" w:color="FFFFFF"/>
              <w:bottom w:val="single" w:sz="4" w:space="0" w:color="auto"/>
              <w:right w:val="single" w:sz="4" w:space="0" w:color="FFFFFF"/>
            </w:tcBorders>
          </w:tcPr>
          <w:p w14:paraId="58CEE5D6" w14:textId="77777777" w:rsidR="00CF7687" w:rsidRPr="00715F1A" w:rsidRDefault="00CF7687">
            <w:pPr>
              <w:widowControl w:val="0"/>
              <w:rPr>
                <w:rFonts w:asciiTheme="majorHAnsi" w:hAnsiTheme="majorHAnsi" w:cstheme="majorHAnsi"/>
                <w:sz w:val="22"/>
                <w:szCs w:val="22"/>
              </w:rPr>
            </w:pPr>
          </w:p>
        </w:tc>
      </w:tr>
      <w:tr w:rsidR="00CF7687" w:rsidRPr="00715F1A" w14:paraId="66840E04" w14:textId="77777777">
        <w:trPr>
          <w:trHeight w:val="360"/>
        </w:trPr>
        <w:tc>
          <w:tcPr>
            <w:tcW w:w="3847" w:type="dxa"/>
            <w:tcBorders>
              <w:top w:val="single" w:sz="4" w:space="0" w:color="auto"/>
              <w:left w:val="single" w:sz="4" w:space="0" w:color="FFFFFF"/>
              <w:bottom w:val="single" w:sz="4" w:space="0" w:color="FFFFFF"/>
              <w:right w:val="single" w:sz="4" w:space="0" w:color="FFFFFF"/>
            </w:tcBorders>
          </w:tcPr>
          <w:p w14:paraId="7B26C2CC" w14:textId="77777777" w:rsidR="00CF7687" w:rsidRPr="00715F1A" w:rsidRDefault="002F6A7E">
            <w:pPr>
              <w:widowControl w:val="0"/>
              <w:rPr>
                <w:rFonts w:asciiTheme="majorHAnsi" w:hAnsiTheme="majorHAnsi" w:cstheme="majorHAnsi"/>
                <w:sz w:val="22"/>
                <w:szCs w:val="22"/>
                <w:vertAlign w:val="superscript"/>
              </w:rPr>
            </w:pPr>
            <w:r w:rsidRPr="00715F1A">
              <w:rPr>
                <w:rFonts w:asciiTheme="majorHAnsi" w:hAnsiTheme="majorHAnsi" w:cstheme="majorHAnsi"/>
                <w:sz w:val="22"/>
                <w:szCs w:val="22"/>
                <w:vertAlign w:val="superscript"/>
              </w:rPr>
              <w:t>Date</w:t>
            </w:r>
          </w:p>
        </w:tc>
        <w:tc>
          <w:tcPr>
            <w:tcW w:w="1110" w:type="dxa"/>
            <w:tcBorders>
              <w:top w:val="single" w:sz="4" w:space="0" w:color="FFFFFF"/>
              <w:left w:val="single" w:sz="4" w:space="0" w:color="FFFFFF"/>
              <w:bottom w:val="single" w:sz="4" w:space="0" w:color="FFFFFF"/>
              <w:right w:val="single" w:sz="4" w:space="0" w:color="FFFFFF"/>
            </w:tcBorders>
          </w:tcPr>
          <w:p w14:paraId="190BFA2F" w14:textId="77777777" w:rsidR="00CF7687" w:rsidRPr="00715F1A" w:rsidRDefault="00CF7687">
            <w:pPr>
              <w:widowControl w:val="0"/>
              <w:rPr>
                <w:rFonts w:asciiTheme="majorHAnsi" w:hAnsiTheme="majorHAnsi" w:cstheme="majorHAnsi"/>
                <w:sz w:val="22"/>
                <w:szCs w:val="22"/>
                <w:vertAlign w:val="superscript"/>
              </w:rPr>
            </w:pPr>
          </w:p>
        </w:tc>
        <w:tc>
          <w:tcPr>
            <w:tcW w:w="4252" w:type="dxa"/>
            <w:tcBorders>
              <w:top w:val="single" w:sz="4" w:space="0" w:color="auto"/>
              <w:left w:val="single" w:sz="4" w:space="0" w:color="FFFFFF"/>
              <w:bottom w:val="single" w:sz="4" w:space="0" w:color="FFFFFF"/>
              <w:right w:val="single" w:sz="4" w:space="0" w:color="FFFFFF"/>
            </w:tcBorders>
          </w:tcPr>
          <w:p w14:paraId="7B898A1A" w14:textId="77777777" w:rsidR="00CF7687" w:rsidRPr="00715F1A" w:rsidRDefault="002F6A7E">
            <w:pPr>
              <w:widowControl w:val="0"/>
              <w:rPr>
                <w:rFonts w:asciiTheme="majorHAnsi" w:hAnsiTheme="majorHAnsi" w:cstheme="majorHAnsi"/>
                <w:sz w:val="22"/>
                <w:szCs w:val="22"/>
                <w:vertAlign w:val="superscript"/>
              </w:rPr>
            </w:pPr>
            <w:r w:rsidRPr="00715F1A">
              <w:rPr>
                <w:rFonts w:asciiTheme="majorHAnsi" w:hAnsiTheme="majorHAnsi" w:cstheme="majorHAnsi"/>
                <w:sz w:val="22"/>
                <w:szCs w:val="22"/>
                <w:vertAlign w:val="superscript"/>
              </w:rPr>
              <w:t>Date</w:t>
            </w:r>
          </w:p>
        </w:tc>
      </w:tr>
    </w:tbl>
    <w:p w14:paraId="310B965B" w14:textId="77777777" w:rsidR="00CF7687" w:rsidRPr="00715F1A" w:rsidRDefault="00CF7687">
      <w:pPr>
        <w:rPr>
          <w:rFonts w:asciiTheme="majorHAnsi" w:hAnsiTheme="majorHAnsi" w:cstheme="majorHAnsi"/>
        </w:rPr>
      </w:pPr>
    </w:p>
    <w:p w14:paraId="2493E924" w14:textId="77777777" w:rsidR="00CF7687" w:rsidRPr="00715F1A" w:rsidRDefault="00CF7687">
      <w:pPr>
        <w:rPr>
          <w:rFonts w:asciiTheme="majorHAnsi" w:hAnsiTheme="majorHAnsi" w:cstheme="majorHAnsi"/>
          <w:sz w:val="20"/>
        </w:rPr>
      </w:pPr>
    </w:p>
    <w:sectPr w:rsidR="00CF7687" w:rsidRPr="00715F1A">
      <w:headerReference w:type="even" r:id="rId11"/>
      <w:headerReference w:type="default" r:id="rId12"/>
      <w:footerReference w:type="default" r:id="rId13"/>
      <w:pgSz w:w="12240" w:h="15840"/>
      <w:pgMar w:top="1440" w:right="1800" w:bottom="1440" w:left="180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4D2B1B" w14:textId="77777777" w:rsidR="00932A33" w:rsidRDefault="00932A33">
      <w:r>
        <w:separator/>
      </w:r>
    </w:p>
  </w:endnote>
  <w:endnote w:type="continuationSeparator" w:id="0">
    <w:p w14:paraId="35039ECB" w14:textId="77777777" w:rsidR="00932A33" w:rsidRDefault="00932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Lucida Grande">
    <w:altName w:val="Arial"/>
    <w:charset w:val="00"/>
    <w:family w:val="swiss"/>
    <w:pitch w:val="variable"/>
    <w:sig w:usb0="E1000AEF" w:usb1="5000A1FF" w:usb2="00000000" w:usb3="00000000" w:csb0="000001BF" w:csb1="00000000"/>
  </w:font>
  <w:font w:name="微软雅黑">
    <w:altName w:val="Microsoft YaHei"/>
    <w:panose1 w:val="020B0503020204020204"/>
    <w:charset w:val="86"/>
    <w:family w:val="swiss"/>
    <w:pitch w:val="variable"/>
    <w:sig w:usb0="80000287" w:usb1="2ACF3C50" w:usb2="00000016" w:usb3="00000000" w:csb0="0004001F" w:csb1="00000000"/>
  </w:font>
  <w:font w:name="-webkit-standar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0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3183"/>
    </w:tblGrid>
    <w:tr w:rsidR="00CF7687" w14:paraId="2AD1D2C5" w14:textId="77777777">
      <w:tc>
        <w:tcPr>
          <w:tcW w:w="7735" w:type="dxa"/>
        </w:tcPr>
        <w:p w14:paraId="5ADD518D" w14:textId="77777777" w:rsidR="00CF7687" w:rsidRDefault="002F6A7E">
          <w:pPr>
            <w:tabs>
              <w:tab w:val="left" w:pos="9537"/>
            </w:tabs>
            <w:ind w:left="-107"/>
            <w:rPr>
              <w:rFonts w:ascii="Calibri" w:hAnsi="Calibri"/>
              <w:color w:val="000000"/>
              <w:sz w:val="16"/>
              <w:szCs w:val="16"/>
            </w:rPr>
          </w:pPr>
          <w:r>
            <w:rPr>
              <w:rFonts w:ascii="Calibri" w:hAnsi="Calibri"/>
              <w:color w:val="000000"/>
              <w:sz w:val="16"/>
              <w:szCs w:val="16"/>
            </w:rPr>
            <w:t>Amazon Web Services Professional Services SOW</w:t>
          </w:r>
        </w:p>
      </w:tc>
      <w:tc>
        <w:tcPr>
          <w:tcW w:w="3183" w:type="dxa"/>
        </w:tcPr>
        <w:p w14:paraId="2D018213" w14:textId="77777777" w:rsidR="00CF7687" w:rsidRDefault="002F6A7E">
          <w:pPr>
            <w:tabs>
              <w:tab w:val="left" w:pos="9537"/>
            </w:tabs>
            <w:rPr>
              <w:rFonts w:ascii="Calibri" w:hAnsi="Calibri"/>
              <w:color w:val="000000"/>
              <w:sz w:val="16"/>
              <w:szCs w:val="16"/>
            </w:rPr>
          </w:pPr>
          <w:r>
            <w:rPr>
              <w:rFonts w:ascii="Calibri" w:hAnsi="Calibri"/>
              <w:sz w:val="16"/>
              <w:szCs w:val="16"/>
            </w:rPr>
            <w:t xml:space="preserve">Page </w:t>
          </w:r>
          <w:r>
            <w:rPr>
              <w:rFonts w:ascii="Calibri" w:hAnsi="Calibri"/>
              <w:b/>
              <w:bCs/>
              <w:sz w:val="16"/>
              <w:szCs w:val="16"/>
            </w:rPr>
            <w:fldChar w:fldCharType="begin"/>
          </w:r>
          <w:r>
            <w:rPr>
              <w:rFonts w:ascii="Calibri" w:hAnsi="Calibri"/>
              <w:b/>
              <w:bCs/>
              <w:sz w:val="16"/>
              <w:szCs w:val="16"/>
            </w:rPr>
            <w:instrText xml:space="preserve"> PAGE </w:instrText>
          </w:r>
          <w:r>
            <w:rPr>
              <w:rFonts w:ascii="Calibri" w:hAnsi="Calibri"/>
              <w:b/>
              <w:bCs/>
              <w:sz w:val="16"/>
              <w:szCs w:val="16"/>
            </w:rPr>
            <w:fldChar w:fldCharType="separate"/>
          </w:r>
          <w:r>
            <w:rPr>
              <w:rFonts w:ascii="Calibri" w:hAnsi="Calibri"/>
              <w:b/>
              <w:bCs/>
              <w:sz w:val="16"/>
              <w:szCs w:val="16"/>
            </w:rPr>
            <w:t>4</w:t>
          </w:r>
          <w:r>
            <w:rPr>
              <w:rFonts w:ascii="Calibri" w:hAnsi="Calibri"/>
              <w:b/>
              <w:bCs/>
              <w:sz w:val="16"/>
              <w:szCs w:val="16"/>
            </w:rPr>
            <w:fldChar w:fldCharType="end"/>
          </w:r>
          <w:r>
            <w:rPr>
              <w:rFonts w:ascii="Calibri" w:hAnsi="Calibri"/>
              <w:sz w:val="16"/>
              <w:szCs w:val="16"/>
            </w:rPr>
            <w:t xml:space="preserve"> of </w:t>
          </w:r>
          <w:r>
            <w:rPr>
              <w:rFonts w:ascii="Calibri" w:hAnsi="Calibri"/>
              <w:b/>
              <w:bCs/>
              <w:sz w:val="16"/>
              <w:szCs w:val="16"/>
            </w:rPr>
            <w:fldChar w:fldCharType="begin"/>
          </w:r>
          <w:r>
            <w:rPr>
              <w:rFonts w:ascii="Calibri" w:hAnsi="Calibri"/>
              <w:b/>
              <w:bCs/>
              <w:sz w:val="16"/>
              <w:szCs w:val="16"/>
            </w:rPr>
            <w:instrText xml:space="preserve"> NUMPAGES  </w:instrText>
          </w:r>
          <w:r>
            <w:rPr>
              <w:rFonts w:ascii="Calibri" w:hAnsi="Calibri"/>
              <w:b/>
              <w:bCs/>
              <w:sz w:val="16"/>
              <w:szCs w:val="16"/>
            </w:rPr>
            <w:fldChar w:fldCharType="separate"/>
          </w:r>
          <w:r>
            <w:rPr>
              <w:rFonts w:ascii="Calibri" w:hAnsi="Calibri"/>
              <w:b/>
              <w:bCs/>
              <w:sz w:val="16"/>
              <w:szCs w:val="16"/>
            </w:rPr>
            <w:t>7</w:t>
          </w:r>
          <w:r>
            <w:rPr>
              <w:rFonts w:ascii="Calibri" w:hAnsi="Calibri"/>
              <w:b/>
              <w:bCs/>
              <w:sz w:val="16"/>
              <w:szCs w:val="16"/>
            </w:rPr>
            <w:fldChar w:fldCharType="end"/>
          </w:r>
        </w:p>
      </w:tc>
    </w:tr>
    <w:tr w:rsidR="00CF7687" w14:paraId="1FAF8C50" w14:textId="77777777">
      <w:tc>
        <w:tcPr>
          <w:tcW w:w="7735" w:type="dxa"/>
        </w:tcPr>
        <w:p w14:paraId="30813F9A" w14:textId="77777777" w:rsidR="00CF7687" w:rsidRDefault="002F6A7E">
          <w:pPr>
            <w:tabs>
              <w:tab w:val="left" w:pos="9537"/>
            </w:tabs>
            <w:ind w:left="-107"/>
            <w:rPr>
              <w:rFonts w:ascii="Calibri" w:hAnsi="Calibri"/>
              <w:color w:val="000000"/>
              <w:sz w:val="16"/>
              <w:szCs w:val="16"/>
            </w:rPr>
          </w:pPr>
          <w:r>
            <w:rPr>
              <w:rFonts w:ascii="Calibri" w:hAnsi="Calibri"/>
              <w:b/>
              <w:sz w:val="16"/>
              <w:szCs w:val="16"/>
            </w:rPr>
            <w:t xml:space="preserve">AMAZON CONFIDENTIAL                                                                                                                                 </w:t>
          </w:r>
          <w:r>
            <w:rPr>
              <w:rFonts w:ascii="Calibri" w:hAnsi="Calibri"/>
              <w:sz w:val="16"/>
              <w:szCs w:val="16"/>
            </w:rPr>
            <w:t xml:space="preserve">                  </w:t>
          </w:r>
        </w:p>
      </w:tc>
      <w:tc>
        <w:tcPr>
          <w:tcW w:w="3183" w:type="dxa"/>
        </w:tcPr>
        <w:p w14:paraId="4A197218" w14:textId="77777777" w:rsidR="00CF7687" w:rsidRDefault="00CF7687">
          <w:pPr>
            <w:tabs>
              <w:tab w:val="left" w:pos="9537"/>
            </w:tabs>
            <w:rPr>
              <w:rFonts w:ascii="Calibri" w:hAnsi="Calibri"/>
              <w:color w:val="000000"/>
              <w:sz w:val="16"/>
              <w:szCs w:val="16"/>
            </w:rPr>
          </w:pPr>
        </w:p>
      </w:tc>
    </w:tr>
    <w:tr w:rsidR="00CF7687" w14:paraId="118F7070" w14:textId="77777777">
      <w:trPr>
        <w:trHeight w:val="177"/>
      </w:trPr>
      <w:tc>
        <w:tcPr>
          <w:tcW w:w="7735" w:type="dxa"/>
        </w:tcPr>
        <w:p w14:paraId="664EAA11" w14:textId="77777777" w:rsidR="00CF7687" w:rsidRDefault="002F6A7E">
          <w:pPr>
            <w:tabs>
              <w:tab w:val="left" w:pos="9537"/>
            </w:tabs>
            <w:ind w:left="-107"/>
            <w:rPr>
              <w:rFonts w:ascii="Calibri" w:hAnsi="Calibri"/>
              <w:color w:val="000000"/>
              <w:sz w:val="16"/>
              <w:szCs w:val="16"/>
            </w:rPr>
          </w:pPr>
          <w:r>
            <w:rPr>
              <w:rFonts w:eastAsia="Calibri"/>
              <w:sz w:val="16"/>
              <w:szCs w:val="16"/>
            </w:rPr>
            <w:t>AMZN DOC # 1623175 v9</w:t>
          </w:r>
        </w:p>
      </w:tc>
      <w:tc>
        <w:tcPr>
          <w:tcW w:w="3183" w:type="dxa"/>
        </w:tcPr>
        <w:p w14:paraId="7A1404D3" w14:textId="0375AACB" w:rsidR="00CF7687" w:rsidRDefault="002F6A7E">
          <w:pPr>
            <w:tabs>
              <w:tab w:val="left" w:pos="9537"/>
            </w:tabs>
            <w:rPr>
              <w:rFonts w:ascii="Calibri" w:hAnsi="Calibri"/>
              <w:color w:val="000000"/>
              <w:sz w:val="16"/>
              <w:szCs w:val="16"/>
            </w:rPr>
          </w:pPr>
          <w:r>
            <w:rPr>
              <w:rFonts w:eastAsia="Calibri"/>
              <w:sz w:val="16"/>
              <w:szCs w:val="16"/>
            </w:rPr>
            <w:fldChar w:fldCharType="begin"/>
          </w:r>
          <w:r>
            <w:rPr>
              <w:rFonts w:eastAsia="Calibri"/>
              <w:sz w:val="16"/>
              <w:szCs w:val="16"/>
            </w:rPr>
            <w:instrText xml:space="preserve"> DATE \@ "yyyy-MM-dd" </w:instrText>
          </w:r>
          <w:r>
            <w:rPr>
              <w:rFonts w:eastAsia="Calibri"/>
              <w:sz w:val="16"/>
              <w:szCs w:val="16"/>
            </w:rPr>
            <w:fldChar w:fldCharType="separate"/>
          </w:r>
          <w:r w:rsidR="00AD43F8">
            <w:rPr>
              <w:rFonts w:eastAsia="Calibri"/>
              <w:noProof/>
              <w:sz w:val="16"/>
              <w:szCs w:val="16"/>
            </w:rPr>
            <w:t>2025-04-21</w:t>
          </w:r>
          <w:r>
            <w:rPr>
              <w:rFonts w:eastAsia="Calibri"/>
              <w:sz w:val="16"/>
              <w:szCs w:val="16"/>
            </w:rPr>
            <w:fldChar w:fldCharType="end"/>
          </w:r>
        </w:p>
      </w:tc>
    </w:tr>
  </w:tbl>
  <w:p w14:paraId="46D930E2" w14:textId="77777777" w:rsidR="00CF7687" w:rsidRDefault="00CF7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8E414B" w14:textId="77777777" w:rsidR="00932A33" w:rsidRDefault="00932A33">
      <w:r>
        <w:separator/>
      </w:r>
    </w:p>
  </w:footnote>
  <w:footnote w:type="continuationSeparator" w:id="0">
    <w:p w14:paraId="3AFA436B" w14:textId="77777777" w:rsidR="00932A33" w:rsidRDefault="00932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90DB60" w14:textId="77777777" w:rsidR="00CF7687" w:rsidRDefault="00932A33">
    <w:pPr>
      <w:pStyle w:val="Header"/>
    </w:pPr>
    <w:sdt>
      <w:sdtPr>
        <w:id w:val="171999623"/>
        <w:placeholder>
          <w:docPart w:val="FD61124C6CDFED48BC1E3AA60E19AFAB"/>
        </w:placeholder>
        <w:temporary/>
        <w:showingPlcHdr/>
      </w:sdtPr>
      <w:sdtEndPr/>
      <w:sdtContent>
        <w:r w:rsidR="002F6A7E">
          <w:t>[Type text]</w:t>
        </w:r>
      </w:sdtContent>
    </w:sdt>
    <w:r w:rsidR="002F6A7E">
      <w:ptab w:relativeTo="margin" w:alignment="center" w:leader="none"/>
    </w:r>
    <w:sdt>
      <w:sdtPr>
        <w:id w:val="171999624"/>
        <w:placeholder>
          <w:docPart w:val="995C3F165126334EB9C0C02898F734A1"/>
        </w:placeholder>
        <w:temporary/>
        <w:showingPlcHdr/>
      </w:sdtPr>
      <w:sdtEndPr/>
      <w:sdtContent>
        <w:r w:rsidR="002F6A7E">
          <w:t>[Type text]</w:t>
        </w:r>
      </w:sdtContent>
    </w:sdt>
    <w:r w:rsidR="002F6A7E">
      <w:ptab w:relativeTo="margin" w:alignment="right" w:leader="none"/>
    </w:r>
    <w:sdt>
      <w:sdtPr>
        <w:id w:val="171999625"/>
        <w:placeholder>
          <w:docPart w:val="63FD12D81F5BAD4CA1F756A1FA2730E6"/>
        </w:placeholder>
        <w:temporary/>
        <w:showingPlcHdr/>
      </w:sdtPr>
      <w:sdtEndPr/>
      <w:sdtContent>
        <w:r w:rsidR="002F6A7E">
          <w:t>[Type text]</w:t>
        </w:r>
      </w:sdtContent>
    </w:sdt>
  </w:p>
  <w:p w14:paraId="7F3CE82F" w14:textId="77777777" w:rsidR="00CF7687" w:rsidRDefault="00CF76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E984FD" w14:textId="77777777" w:rsidR="00CF7687" w:rsidRDefault="002F6A7E">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FEE98A3"/>
    <w:multiLevelType w:val="singleLevel"/>
    <w:tmpl w:val="DFEE98A3"/>
    <w:lvl w:ilvl="0">
      <w:start w:val="1"/>
      <w:numFmt w:val="bullet"/>
      <w:lvlText w:val=""/>
      <w:lvlJc w:val="left"/>
      <w:pPr>
        <w:ind w:left="420" w:hanging="420"/>
      </w:pPr>
      <w:rPr>
        <w:rFonts w:ascii="Wingdings" w:hAnsi="Wingdings" w:hint="default"/>
      </w:rPr>
    </w:lvl>
  </w:abstractNum>
  <w:abstractNum w:abstractNumId="1" w15:restartNumberingAfterBreak="0">
    <w:nsid w:val="F3F19E1D"/>
    <w:multiLevelType w:val="multilevel"/>
    <w:tmpl w:val="F3F19E1D"/>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F4AF9D14"/>
    <w:multiLevelType w:val="singleLevel"/>
    <w:tmpl w:val="F4AF9D14"/>
    <w:lvl w:ilvl="0">
      <w:start w:val="1"/>
      <w:numFmt w:val="decimal"/>
      <w:suff w:val="space"/>
      <w:lvlText w:val="%1."/>
      <w:lvlJc w:val="left"/>
    </w:lvl>
  </w:abstractNum>
  <w:abstractNum w:abstractNumId="3" w15:restartNumberingAfterBreak="0">
    <w:nsid w:val="FDBE9D53"/>
    <w:multiLevelType w:val="singleLevel"/>
    <w:tmpl w:val="FDBE9D53"/>
    <w:lvl w:ilvl="0">
      <w:start w:val="1"/>
      <w:numFmt w:val="bullet"/>
      <w:lvlText w:val=""/>
      <w:lvlJc w:val="left"/>
      <w:pPr>
        <w:ind w:left="420" w:hanging="420"/>
      </w:pPr>
      <w:rPr>
        <w:rFonts w:ascii="Wingdings" w:hAnsi="Wingdings" w:hint="default"/>
      </w:rPr>
    </w:lvl>
  </w:abstractNum>
  <w:abstractNum w:abstractNumId="4" w15:restartNumberingAfterBreak="0">
    <w:nsid w:val="006B3AEA"/>
    <w:multiLevelType w:val="multilevel"/>
    <w:tmpl w:val="006B3A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start w:val="1"/>
      <w:numFmt w:val="lowerRoman"/>
      <w:lvlText w:val="(%4)"/>
      <w:lvlJc w:val="left"/>
      <w:pPr>
        <w:ind w:left="1440" w:hanging="720"/>
      </w:pPr>
      <w:rPr>
        <w:rFonts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D0F304E"/>
    <w:multiLevelType w:val="hybridMultilevel"/>
    <w:tmpl w:val="CCE897F2"/>
    <w:lvl w:ilvl="0" w:tplc="7F741ECC">
      <w:start w:val="1"/>
      <w:numFmt w:val="decimal"/>
      <w:lvlText w:val="%1."/>
      <w:lvlJc w:val="left"/>
      <w:pPr>
        <w:ind w:left="720" w:hanging="360"/>
      </w:pPr>
      <w:rPr>
        <w:rFonts w:ascii="Calibri" w:eastAsiaTheme="minorEastAsia" w:hAnsi="Calibri" w:cs="Calibr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CC24EA"/>
    <w:multiLevelType w:val="multilevel"/>
    <w:tmpl w:val="10CC24EA"/>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0D26ABB"/>
    <w:multiLevelType w:val="multilevel"/>
    <w:tmpl w:val="10D26ABB"/>
    <w:lvl w:ilvl="0">
      <w:start w:val="1"/>
      <w:numFmt w:val="decimal"/>
      <w:lvlText w:val="%1."/>
      <w:lvlJc w:val="left"/>
      <w:pPr>
        <w:ind w:left="360" w:hanging="360"/>
      </w:pPr>
      <w:rPr>
        <w:rFonts w:hint="default"/>
        <w:sz w:val="22"/>
        <w:szCs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13D752D9"/>
    <w:multiLevelType w:val="multilevel"/>
    <w:tmpl w:val="082C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480EFC"/>
    <w:multiLevelType w:val="multilevel"/>
    <w:tmpl w:val="BBECE01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24BD1469"/>
    <w:multiLevelType w:val="multilevel"/>
    <w:tmpl w:val="5A9A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86D45"/>
    <w:multiLevelType w:val="multilevel"/>
    <w:tmpl w:val="793C975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210"/>
        </w:tabs>
        <w:ind w:left="1210" w:hanging="360"/>
      </w:pPr>
      <w:rPr>
        <w:rFonts w:ascii="Calibri" w:eastAsia="Times New Roman" w:hAnsi="Calibri" w:cs="Calibri"/>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4C6A09"/>
    <w:multiLevelType w:val="multilevel"/>
    <w:tmpl w:val="684C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D563C"/>
    <w:multiLevelType w:val="multilevel"/>
    <w:tmpl w:val="10A6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60598"/>
    <w:multiLevelType w:val="multilevel"/>
    <w:tmpl w:val="36260598"/>
    <w:lvl w:ilvl="0">
      <w:start w:val="1"/>
      <w:numFmt w:val="bullet"/>
      <w:pStyle w:val="scopebullet1"/>
      <w:lvlText w:val=""/>
      <w:lvlJc w:val="left"/>
      <w:pPr>
        <w:tabs>
          <w:tab w:val="left" w:pos="720"/>
        </w:tabs>
        <w:ind w:left="720" w:hanging="360"/>
      </w:pPr>
      <w:rPr>
        <w:rFonts w:ascii="Symbol" w:hAnsi="Symbol" w:hint="default"/>
        <w:color w:val="auto"/>
        <w:sz w:val="22"/>
        <w:szCs w:val="22"/>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39635418"/>
    <w:multiLevelType w:val="hybridMultilevel"/>
    <w:tmpl w:val="4FC0E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E8184C"/>
    <w:multiLevelType w:val="hybridMultilevel"/>
    <w:tmpl w:val="9ED28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F87684"/>
    <w:multiLevelType w:val="multilevel"/>
    <w:tmpl w:val="45F8768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48B9369E"/>
    <w:multiLevelType w:val="hybridMultilevel"/>
    <w:tmpl w:val="34CA9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99F147B"/>
    <w:multiLevelType w:val="multilevel"/>
    <w:tmpl w:val="499F147B"/>
    <w:lvl w:ilvl="0">
      <w:start w:val="1"/>
      <w:numFmt w:val="decimal"/>
      <w:pStyle w:val="AdditionalTermsListParagraphs"/>
      <w:lvlText w:val="%1."/>
      <w:lvlJc w:val="left"/>
      <w:pPr>
        <w:ind w:left="720" w:hanging="360"/>
      </w:pPr>
      <w:rPr>
        <w:rFonts w:asciiTheme="majorHAnsi" w:hAnsiTheme="majorHAnsi" w:cstheme="majorHAns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BD15286"/>
    <w:multiLevelType w:val="multilevel"/>
    <w:tmpl w:val="4432B8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E84423"/>
    <w:multiLevelType w:val="multilevel"/>
    <w:tmpl w:val="6350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615BFE"/>
    <w:multiLevelType w:val="multilevel"/>
    <w:tmpl w:val="DDF83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210"/>
        </w:tabs>
        <w:ind w:left="121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0B3BB1"/>
    <w:multiLevelType w:val="multilevel"/>
    <w:tmpl w:val="680B3B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8EA9888"/>
    <w:multiLevelType w:val="singleLevel"/>
    <w:tmpl w:val="68EA9888"/>
    <w:lvl w:ilvl="0">
      <w:start w:val="1"/>
      <w:numFmt w:val="bullet"/>
      <w:lvlText w:val=""/>
      <w:lvlJc w:val="left"/>
      <w:pPr>
        <w:ind w:left="420" w:hanging="420"/>
      </w:pPr>
      <w:rPr>
        <w:rFonts w:ascii="Wingdings" w:hAnsi="Wingdings" w:hint="default"/>
      </w:rPr>
    </w:lvl>
  </w:abstractNum>
  <w:abstractNum w:abstractNumId="25" w15:restartNumberingAfterBreak="0">
    <w:nsid w:val="70EB3481"/>
    <w:multiLevelType w:val="multilevel"/>
    <w:tmpl w:val="09204B9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E621E5"/>
    <w:multiLevelType w:val="multilevel"/>
    <w:tmpl w:val="FF40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1121C5"/>
    <w:multiLevelType w:val="hybridMultilevel"/>
    <w:tmpl w:val="4FC0E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5DC3E31"/>
    <w:multiLevelType w:val="hybridMultilevel"/>
    <w:tmpl w:val="4FC0E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0"/>
  </w:num>
  <w:num w:numId="4">
    <w:abstractNumId w:val="1"/>
  </w:num>
  <w:num w:numId="5">
    <w:abstractNumId w:val="24"/>
  </w:num>
  <w:num w:numId="6">
    <w:abstractNumId w:val="3"/>
  </w:num>
  <w:num w:numId="7">
    <w:abstractNumId w:val="2"/>
  </w:num>
  <w:num w:numId="8">
    <w:abstractNumId w:val="7"/>
  </w:num>
  <w:num w:numId="9">
    <w:abstractNumId w:val="6"/>
  </w:num>
  <w:num w:numId="10">
    <w:abstractNumId w:val="23"/>
  </w:num>
  <w:num w:numId="11">
    <w:abstractNumId w:val="17"/>
  </w:num>
  <w:num w:numId="12">
    <w:abstractNumId w:val="4"/>
  </w:num>
  <w:num w:numId="13">
    <w:abstractNumId w:val="9"/>
  </w:num>
  <w:num w:numId="14">
    <w:abstractNumId w:val="22"/>
  </w:num>
  <w:num w:numId="15">
    <w:abstractNumId w:val="20"/>
  </w:num>
  <w:num w:numId="16">
    <w:abstractNumId w:val="11"/>
  </w:num>
  <w:num w:numId="17">
    <w:abstractNumId w:val="21"/>
  </w:num>
  <w:num w:numId="18">
    <w:abstractNumId w:val="25"/>
  </w:num>
  <w:num w:numId="19">
    <w:abstractNumId w:val="26"/>
  </w:num>
  <w:num w:numId="20">
    <w:abstractNumId w:val="5"/>
  </w:num>
  <w:num w:numId="21">
    <w:abstractNumId w:val="13"/>
  </w:num>
  <w:num w:numId="22">
    <w:abstractNumId w:val="12"/>
  </w:num>
  <w:num w:numId="23">
    <w:abstractNumId w:val="8"/>
  </w:num>
  <w:num w:numId="24">
    <w:abstractNumId w:val="28"/>
  </w:num>
  <w:num w:numId="25">
    <w:abstractNumId w:val="10"/>
  </w:num>
  <w:num w:numId="26">
    <w:abstractNumId w:val="18"/>
  </w:num>
  <w:num w:numId="27">
    <w:abstractNumId w:val="16"/>
  </w:num>
  <w:num w:numId="28">
    <w:abstractNumId w:val="27"/>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oNotTrackFormatting/>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F12"/>
    <w:rsid w:val="FFBF541B"/>
    <w:rsid w:val="00002F03"/>
    <w:rsid w:val="00004317"/>
    <w:rsid w:val="000070EC"/>
    <w:rsid w:val="000117B8"/>
    <w:rsid w:val="0001258B"/>
    <w:rsid w:val="00012868"/>
    <w:rsid w:val="00012A34"/>
    <w:rsid w:val="00013968"/>
    <w:rsid w:val="000203E3"/>
    <w:rsid w:val="00020BDE"/>
    <w:rsid w:val="000211DF"/>
    <w:rsid w:val="000229AC"/>
    <w:rsid w:val="00026312"/>
    <w:rsid w:val="000266B1"/>
    <w:rsid w:val="00026CE9"/>
    <w:rsid w:val="0002781A"/>
    <w:rsid w:val="00027FB7"/>
    <w:rsid w:val="00031B52"/>
    <w:rsid w:val="00031E9D"/>
    <w:rsid w:val="00031F8F"/>
    <w:rsid w:val="00033F75"/>
    <w:rsid w:val="00034426"/>
    <w:rsid w:val="00037904"/>
    <w:rsid w:val="00040EE7"/>
    <w:rsid w:val="00041634"/>
    <w:rsid w:val="00041ADD"/>
    <w:rsid w:val="00044323"/>
    <w:rsid w:val="00045159"/>
    <w:rsid w:val="00045A51"/>
    <w:rsid w:val="00046FCC"/>
    <w:rsid w:val="00047B80"/>
    <w:rsid w:val="00047CE4"/>
    <w:rsid w:val="000503B8"/>
    <w:rsid w:val="00050982"/>
    <w:rsid w:val="00050C9D"/>
    <w:rsid w:val="00051700"/>
    <w:rsid w:val="00054836"/>
    <w:rsid w:val="00054B1B"/>
    <w:rsid w:val="00055309"/>
    <w:rsid w:val="000553F5"/>
    <w:rsid w:val="00055C5A"/>
    <w:rsid w:val="00056B54"/>
    <w:rsid w:val="000645CB"/>
    <w:rsid w:val="0006712F"/>
    <w:rsid w:val="000705DC"/>
    <w:rsid w:val="00071D6A"/>
    <w:rsid w:val="00073461"/>
    <w:rsid w:val="0007398F"/>
    <w:rsid w:val="00073E2E"/>
    <w:rsid w:val="00074220"/>
    <w:rsid w:val="00081042"/>
    <w:rsid w:val="00086CCD"/>
    <w:rsid w:val="00087E8F"/>
    <w:rsid w:val="00092098"/>
    <w:rsid w:val="00094439"/>
    <w:rsid w:val="00095943"/>
    <w:rsid w:val="000962C3"/>
    <w:rsid w:val="000A535D"/>
    <w:rsid w:val="000A5ABD"/>
    <w:rsid w:val="000B0FE3"/>
    <w:rsid w:val="000B16A6"/>
    <w:rsid w:val="000B29FD"/>
    <w:rsid w:val="000B2E0C"/>
    <w:rsid w:val="000B7338"/>
    <w:rsid w:val="000C1D10"/>
    <w:rsid w:val="000C1E2A"/>
    <w:rsid w:val="000C22B2"/>
    <w:rsid w:val="000C41B2"/>
    <w:rsid w:val="000C4DE3"/>
    <w:rsid w:val="000C705F"/>
    <w:rsid w:val="000C745F"/>
    <w:rsid w:val="000D3378"/>
    <w:rsid w:val="000D3C81"/>
    <w:rsid w:val="000D3E14"/>
    <w:rsid w:val="000D4472"/>
    <w:rsid w:val="000D691B"/>
    <w:rsid w:val="000E17F6"/>
    <w:rsid w:val="000E3FE9"/>
    <w:rsid w:val="000E7C11"/>
    <w:rsid w:val="000F0DC2"/>
    <w:rsid w:val="000F4E44"/>
    <w:rsid w:val="000F5694"/>
    <w:rsid w:val="000F6AD3"/>
    <w:rsid w:val="00101CE7"/>
    <w:rsid w:val="00102663"/>
    <w:rsid w:val="00104344"/>
    <w:rsid w:val="00104CD8"/>
    <w:rsid w:val="00106B9E"/>
    <w:rsid w:val="00115223"/>
    <w:rsid w:val="00116204"/>
    <w:rsid w:val="00122CF5"/>
    <w:rsid w:val="0012380D"/>
    <w:rsid w:val="00124828"/>
    <w:rsid w:val="00125A0A"/>
    <w:rsid w:val="001264F2"/>
    <w:rsid w:val="0012651F"/>
    <w:rsid w:val="00130B05"/>
    <w:rsid w:val="00132444"/>
    <w:rsid w:val="00132B3A"/>
    <w:rsid w:val="0013470C"/>
    <w:rsid w:val="00135E18"/>
    <w:rsid w:val="00136477"/>
    <w:rsid w:val="001369CD"/>
    <w:rsid w:val="00141263"/>
    <w:rsid w:val="00141636"/>
    <w:rsid w:val="0014225E"/>
    <w:rsid w:val="001432C9"/>
    <w:rsid w:val="00143558"/>
    <w:rsid w:val="001459D4"/>
    <w:rsid w:val="00147062"/>
    <w:rsid w:val="001542DE"/>
    <w:rsid w:val="001544A5"/>
    <w:rsid w:val="001559D6"/>
    <w:rsid w:val="00156C43"/>
    <w:rsid w:val="00157809"/>
    <w:rsid w:val="00160DA4"/>
    <w:rsid w:val="001658E6"/>
    <w:rsid w:val="00170108"/>
    <w:rsid w:val="001720F1"/>
    <w:rsid w:val="0017270F"/>
    <w:rsid w:val="0017486A"/>
    <w:rsid w:val="0017763F"/>
    <w:rsid w:val="00177BD1"/>
    <w:rsid w:val="00184ADD"/>
    <w:rsid w:val="001860D6"/>
    <w:rsid w:val="001873E7"/>
    <w:rsid w:val="00191429"/>
    <w:rsid w:val="00191ABC"/>
    <w:rsid w:val="0019256B"/>
    <w:rsid w:val="00195778"/>
    <w:rsid w:val="001960E9"/>
    <w:rsid w:val="00197A4F"/>
    <w:rsid w:val="001A1CD0"/>
    <w:rsid w:val="001A3658"/>
    <w:rsid w:val="001A6C39"/>
    <w:rsid w:val="001A72A5"/>
    <w:rsid w:val="001B02DF"/>
    <w:rsid w:val="001B0B69"/>
    <w:rsid w:val="001B0E9F"/>
    <w:rsid w:val="001B3028"/>
    <w:rsid w:val="001B3A50"/>
    <w:rsid w:val="001B4A9B"/>
    <w:rsid w:val="001B628E"/>
    <w:rsid w:val="001B692B"/>
    <w:rsid w:val="001B6BD6"/>
    <w:rsid w:val="001B7E5D"/>
    <w:rsid w:val="001B7E7E"/>
    <w:rsid w:val="001C21F1"/>
    <w:rsid w:val="001C280D"/>
    <w:rsid w:val="001C73F3"/>
    <w:rsid w:val="001D0053"/>
    <w:rsid w:val="001D222F"/>
    <w:rsid w:val="001D3924"/>
    <w:rsid w:val="001D524F"/>
    <w:rsid w:val="001D62DF"/>
    <w:rsid w:val="001E0B1F"/>
    <w:rsid w:val="001E101F"/>
    <w:rsid w:val="001E2C49"/>
    <w:rsid w:val="001E2D23"/>
    <w:rsid w:val="001E31F9"/>
    <w:rsid w:val="001E3516"/>
    <w:rsid w:val="001E45AC"/>
    <w:rsid w:val="001E5237"/>
    <w:rsid w:val="001E5CC1"/>
    <w:rsid w:val="001E6BF9"/>
    <w:rsid w:val="001E6E70"/>
    <w:rsid w:val="001E6EC6"/>
    <w:rsid w:val="001F235B"/>
    <w:rsid w:val="001F3098"/>
    <w:rsid w:val="001F30F3"/>
    <w:rsid w:val="001F3820"/>
    <w:rsid w:val="001F455F"/>
    <w:rsid w:val="001F6A0D"/>
    <w:rsid w:val="00200EB4"/>
    <w:rsid w:val="00200F9C"/>
    <w:rsid w:val="00203615"/>
    <w:rsid w:val="00204EC3"/>
    <w:rsid w:val="0020506A"/>
    <w:rsid w:val="00206D59"/>
    <w:rsid w:val="002101B0"/>
    <w:rsid w:val="00210B7D"/>
    <w:rsid w:val="002128A3"/>
    <w:rsid w:val="00212D1B"/>
    <w:rsid w:val="00212D99"/>
    <w:rsid w:val="00214448"/>
    <w:rsid w:val="002206BF"/>
    <w:rsid w:val="00221E68"/>
    <w:rsid w:val="00222F3D"/>
    <w:rsid w:val="0022408D"/>
    <w:rsid w:val="00224696"/>
    <w:rsid w:val="00227C2B"/>
    <w:rsid w:val="0023192E"/>
    <w:rsid w:val="00234806"/>
    <w:rsid w:val="002356B1"/>
    <w:rsid w:val="00237C83"/>
    <w:rsid w:val="0024060A"/>
    <w:rsid w:val="002409C3"/>
    <w:rsid w:val="00241D50"/>
    <w:rsid w:val="0024339A"/>
    <w:rsid w:val="00243825"/>
    <w:rsid w:val="00243C08"/>
    <w:rsid w:val="002447D2"/>
    <w:rsid w:val="00244A87"/>
    <w:rsid w:val="00245504"/>
    <w:rsid w:val="00247823"/>
    <w:rsid w:val="00247E7F"/>
    <w:rsid w:val="0025155D"/>
    <w:rsid w:val="002518CC"/>
    <w:rsid w:val="00255FEA"/>
    <w:rsid w:val="00257E42"/>
    <w:rsid w:val="002609FD"/>
    <w:rsid w:val="00263AA1"/>
    <w:rsid w:val="002640A9"/>
    <w:rsid w:val="0026445C"/>
    <w:rsid w:val="00266080"/>
    <w:rsid w:val="002703F5"/>
    <w:rsid w:val="00270450"/>
    <w:rsid w:val="002771EE"/>
    <w:rsid w:val="002837CA"/>
    <w:rsid w:val="00284221"/>
    <w:rsid w:val="002856D9"/>
    <w:rsid w:val="002858E8"/>
    <w:rsid w:val="00290403"/>
    <w:rsid w:val="00291B61"/>
    <w:rsid w:val="00295041"/>
    <w:rsid w:val="00296763"/>
    <w:rsid w:val="002A0A54"/>
    <w:rsid w:val="002A1B51"/>
    <w:rsid w:val="002A4737"/>
    <w:rsid w:val="002A4B5B"/>
    <w:rsid w:val="002A77BE"/>
    <w:rsid w:val="002A79D2"/>
    <w:rsid w:val="002B0F80"/>
    <w:rsid w:val="002C01C1"/>
    <w:rsid w:val="002C2C82"/>
    <w:rsid w:val="002C2CB5"/>
    <w:rsid w:val="002C2FB3"/>
    <w:rsid w:val="002C4B06"/>
    <w:rsid w:val="002D1309"/>
    <w:rsid w:val="002D1F99"/>
    <w:rsid w:val="002D2465"/>
    <w:rsid w:val="002D3066"/>
    <w:rsid w:val="002D64C6"/>
    <w:rsid w:val="002E0CCC"/>
    <w:rsid w:val="002E4357"/>
    <w:rsid w:val="002E4646"/>
    <w:rsid w:val="002E5739"/>
    <w:rsid w:val="002E6D03"/>
    <w:rsid w:val="002E7861"/>
    <w:rsid w:val="002F00C8"/>
    <w:rsid w:val="002F1060"/>
    <w:rsid w:val="002F2A78"/>
    <w:rsid w:val="002F2AFF"/>
    <w:rsid w:val="002F353B"/>
    <w:rsid w:val="002F4635"/>
    <w:rsid w:val="002F6A7E"/>
    <w:rsid w:val="002F768D"/>
    <w:rsid w:val="00301109"/>
    <w:rsid w:val="003102BF"/>
    <w:rsid w:val="00310671"/>
    <w:rsid w:val="003169D1"/>
    <w:rsid w:val="00317B18"/>
    <w:rsid w:val="00321103"/>
    <w:rsid w:val="0032163F"/>
    <w:rsid w:val="00321BD0"/>
    <w:rsid w:val="0032236F"/>
    <w:rsid w:val="003235CC"/>
    <w:rsid w:val="003252FA"/>
    <w:rsid w:val="003255B1"/>
    <w:rsid w:val="00327C05"/>
    <w:rsid w:val="0033195E"/>
    <w:rsid w:val="00331DA5"/>
    <w:rsid w:val="00332096"/>
    <w:rsid w:val="00333186"/>
    <w:rsid w:val="00335535"/>
    <w:rsid w:val="00335945"/>
    <w:rsid w:val="00340CF4"/>
    <w:rsid w:val="00341A09"/>
    <w:rsid w:val="00350357"/>
    <w:rsid w:val="00352893"/>
    <w:rsid w:val="00353010"/>
    <w:rsid w:val="00355363"/>
    <w:rsid w:val="00356375"/>
    <w:rsid w:val="00360BC7"/>
    <w:rsid w:val="0036144C"/>
    <w:rsid w:val="003618EC"/>
    <w:rsid w:val="00366675"/>
    <w:rsid w:val="00366D82"/>
    <w:rsid w:val="00370E22"/>
    <w:rsid w:val="003710ED"/>
    <w:rsid w:val="003801D3"/>
    <w:rsid w:val="00381459"/>
    <w:rsid w:val="003817E4"/>
    <w:rsid w:val="003848A8"/>
    <w:rsid w:val="003853F0"/>
    <w:rsid w:val="00386DE1"/>
    <w:rsid w:val="003921D3"/>
    <w:rsid w:val="0039456E"/>
    <w:rsid w:val="003A040C"/>
    <w:rsid w:val="003A0ECC"/>
    <w:rsid w:val="003A0FA5"/>
    <w:rsid w:val="003A2467"/>
    <w:rsid w:val="003A3521"/>
    <w:rsid w:val="003A3992"/>
    <w:rsid w:val="003A4300"/>
    <w:rsid w:val="003A624B"/>
    <w:rsid w:val="003A6CA7"/>
    <w:rsid w:val="003B04F3"/>
    <w:rsid w:val="003B226F"/>
    <w:rsid w:val="003B7992"/>
    <w:rsid w:val="003C070A"/>
    <w:rsid w:val="003C2179"/>
    <w:rsid w:val="003C2F6D"/>
    <w:rsid w:val="003C6097"/>
    <w:rsid w:val="003D5960"/>
    <w:rsid w:val="003D617A"/>
    <w:rsid w:val="003D6949"/>
    <w:rsid w:val="003D7C7F"/>
    <w:rsid w:val="003E53C3"/>
    <w:rsid w:val="003E5DC1"/>
    <w:rsid w:val="003E76E6"/>
    <w:rsid w:val="003F0B9D"/>
    <w:rsid w:val="003F11FF"/>
    <w:rsid w:val="003F2337"/>
    <w:rsid w:val="003F2CBC"/>
    <w:rsid w:val="00402183"/>
    <w:rsid w:val="004038DF"/>
    <w:rsid w:val="00407CF4"/>
    <w:rsid w:val="00411CE5"/>
    <w:rsid w:val="0041342A"/>
    <w:rsid w:val="004153D7"/>
    <w:rsid w:val="004223DC"/>
    <w:rsid w:val="00424874"/>
    <w:rsid w:val="004252D8"/>
    <w:rsid w:val="0043014B"/>
    <w:rsid w:val="0043145A"/>
    <w:rsid w:val="004327F8"/>
    <w:rsid w:val="00433C39"/>
    <w:rsid w:val="00434F36"/>
    <w:rsid w:val="00435B9F"/>
    <w:rsid w:val="004377E7"/>
    <w:rsid w:val="00440697"/>
    <w:rsid w:val="00440CF7"/>
    <w:rsid w:val="004440F0"/>
    <w:rsid w:val="004478A5"/>
    <w:rsid w:val="00452341"/>
    <w:rsid w:val="00464FBF"/>
    <w:rsid w:val="00465BB5"/>
    <w:rsid w:val="00465CF2"/>
    <w:rsid w:val="00466006"/>
    <w:rsid w:val="00470C5A"/>
    <w:rsid w:val="00470CF4"/>
    <w:rsid w:val="00470D7C"/>
    <w:rsid w:val="00474D05"/>
    <w:rsid w:val="0047792D"/>
    <w:rsid w:val="00480710"/>
    <w:rsid w:val="004830C6"/>
    <w:rsid w:val="00485812"/>
    <w:rsid w:val="00486D6E"/>
    <w:rsid w:val="00487415"/>
    <w:rsid w:val="00493C57"/>
    <w:rsid w:val="00494227"/>
    <w:rsid w:val="0049442F"/>
    <w:rsid w:val="004972A7"/>
    <w:rsid w:val="004A0DD2"/>
    <w:rsid w:val="004A0E0C"/>
    <w:rsid w:val="004A2AF5"/>
    <w:rsid w:val="004A3054"/>
    <w:rsid w:val="004A421A"/>
    <w:rsid w:val="004A5AEF"/>
    <w:rsid w:val="004A62B9"/>
    <w:rsid w:val="004C0B4D"/>
    <w:rsid w:val="004C0CB5"/>
    <w:rsid w:val="004C6BBE"/>
    <w:rsid w:val="004D4FCC"/>
    <w:rsid w:val="004E0770"/>
    <w:rsid w:val="004E4161"/>
    <w:rsid w:val="004E4B0E"/>
    <w:rsid w:val="004E5ACE"/>
    <w:rsid w:val="004E5D9C"/>
    <w:rsid w:val="004E7E96"/>
    <w:rsid w:val="004F3190"/>
    <w:rsid w:val="004F6026"/>
    <w:rsid w:val="004F6E28"/>
    <w:rsid w:val="00501BC4"/>
    <w:rsid w:val="0051034A"/>
    <w:rsid w:val="00513F2B"/>
    <w:rsid w:val="00514385"/>
    <w:rsid w:val="00514983"/>
    <w:rsid w:val="005164A9"/>
    <w:rsid w:val="00516726"/>
    <w:rsid w:val="00516799"/>
    <w:rsid w:val="00516FCC"/>
    <w:rsid w:val="00517EEA"/>
    <w:rsid w:val="00523114"/>
    <w:rsid w:val="00524681"/>
    <w:rsid w:val="00524837"/>
    <w:rsid w:val="00525233"/>
    <w:rsid w:val="00526FA1"/>
    <w:rsid w:val="005303C8"/>
    <w:rsid w:val="00534DAC"/>
    <w:rsid w:val="0053570D"/>
    <w:rsid w:val="005366AB"/>
    <w:rsid w:val="005366DF"/>
    <w:rsid w:val="00542EC9"/>
    <w:rsid w:val="00543ECB"/>
    <w:rsid w:val="00543FFF"/>
    <w:rsid w:val="005479CB"/>
    <w:rsid w:val="005503F2"/>
    <w:rsid w:val="00552289"/>
    <w:rsid w:val="00553281"/>
    <w:rsid w:val="0055468F"/>
    <w:rsid w:val="005558C2"/>
    <w:rsid w:val="00555E7D"/>
    <w:rsid w:val="00560482"/>
    <w:rsid w:val="00562801"/>
    <w:rsid w:val="0056447F"/>
    <w:rsid w:val="0056466F"/>
    <w:rsid w:val="005679C4"/>
    <w:rsid w:val="00570C2A"/>
    <w:rsid w:val="0057527C"/>
    <w:rsid w:val="005756BF"/>
    <w:rsid w:val="00575F10"/>
    <w:rsid w:val="005765E1"/>
    <w:rsid w:val="00577931"/>
    <w:rsid w:val="0058043F"/>
    <w:rsid w:val="005810F1"/>
    <w:rsid w:val="00585F0B"/>
    <w:rsid w:val="00590493"/>
    <w:rsid w:val="0059190E"/>
    <w:rsid w:val="005929B5"/>
    <w:rsid w:val="005930CA"/>
    <w:rsid w:val="00597642"/>
    <w:rsid w:val="005A0001"/>
    <w:rsid w:val="005A0F35"/>
    <w:rsid w:val="005A1EC3"/>
    <w:rsid w:val="005A5706"/>
    <w:rsid w:val="005A6FF9"/>
    <w:rsid w:val="005B068F"/>
    <w:rsid w:val="005B1BA0"/>
    <w:rsid w:val="005B6178"/>
    <w:rsid w:val="005B7237"/>
    <w:rsid w:val="005C0216"/>
    <w:rsid w:val="005C1863"/>
    <w:rsid w:val="005C56C8"/>
    <w:rsid w:val="005C729C"/>
    <w:rsid w:val="005D0C27"/>
    <w:rsid w:val="005D35A9"/>
    <w:rsid w:val="005D44DC"/>
    <w:rsid w:val="005D4FDD"/>
    <w:rsid w:val="005D5A40"/>
    <w:rsid w:val="005D7852"/>
    <w:rsid w:val="005E145B"/>
    <w:rsid w:val="005E332A"/>
    <w:rsid w:val="005E41E1"/>
    <w:rsid w:val="005F0620"/>
    <w:rsid w:val="0060067A"/>
    <w:rsid w:val="006027FC"/>
    <w:rsid w:val="006033B6"/>
    <w:rsid w:val="00603D63"/>
    <w:rsid w:val="006062AB"/>
    <w:rsid w:val="006063B5"/>
    <w:rsid w:val="0060746C"/>
    <w:rsid w:val="00611A72"/>
    <w:rsid w:val="006121E7"/>
    <w:rsid w:val="00616BDA"/>
    <w:rsid w:val="00620E3E"/>
    <w:rsid w:val="0062268A"/>
    <w:rsid w:val="00624BBA"/>
    <w:rsid w:val="00624FD9"/>
    <w:rsid w:val="006266B8"/>
    <w:rsid w:val="0063416B"/>
    <w:rsid w:val="00635739"/>
    <w:rsid w:val="00640E2B"/>
    <w:rsid w:val="006427C6"/>
    <w:rsid w:val="006469DC"/>
    <w:rsid w:val="0065421B"/>
    <w:rsid w:val="00655579"/>
    <w:rsid w:val="00662131"/>
    <w:rsid w:val="006653ED"/>
    <w:rsid w:val="00666C54"/>
    <w:rsid w:val="00670B04"/>
    <w:rsid w:val="00670BDA"/>
    <w:rsid w:val="00670DEA"/>
    <w:rsid w:val="00671228"/>
    <w:rsid w:val="006720F3"/>
    <w:rsid w:val="006724B7"/>
    <w:rsid w:val="00672C3B"/>
    <w:rsid w:val="00675C8A"/>
    <w:rsid w:val="00680245"/>
    <w:rsid w:val="00680BFA"/>
    <w:rsid w:val="00683A8F"/>
    <w:rsid w:val="006853E2"/>
    <w:rsid w:val="00686C37"/>
    <w:rsid w:val="00687C68"/>
    <w:rsid w:val="0069089E"/>
    <w:rsid w:val="00690FD5"/>
    <w:rsid w:val="00692638"/>
    <w:rsid w:val="0069430B"/>
    <w:rsid w:val="00694A55"/>
    <w:rsid w:val="00695559"/>
    <w:rsid w:val="006975C2"/>
    <w:rsid w:val="006A4561"/>
    <w:rsid w:val="006A5C8B"/>
    <w:rsid w:val="006A74ED"/>
    <w:rsid w:val="006B016D"/>
    <w:rsid w:val="006B6C98"/>
    <w:rsid w:val="006B7F3D"/>
    <w:rsid w:val="006C0255"/>
    <w:rsid w:val="006C47AA"/>
    <w:rsid w:val="006C663E"/>
    <w:rsid w:val="006C76EA"/>
    <w:rsid w:val="006D097F"/>
    <w:rsid w:val="006D3016"/>
    <w:rsid w:val="006D37AB"/>
    <w:rsid w:val="006D5188"/>
    <w:rsid w:val="006D64FB"/>
    <w:rsid w:val="006D6D43"/>
    <w:rsid w:val="006E0DB5"/>
    <w:rsid w:val="006E122C"/>
    <w:rsid w:val="006E1A26"/>
    <w:rsid w:val="006E2424"/>
    <w:rsid w:val="006E4391"/>
    <w:rsid w:val="006F5528"/>
    <w:rsid w:val="006F6E85"/>
    <w:rsid w:val="006F7DC8"/>
    <w:rsid w:val="006F7F0B"/>
    <w:rsid w:val="00700FDA"/>
    <w:rsid w:val="0070298A"/>
    <w:rsid w:val="007038C1"/>
    <w:rsid w:val="00704024"/>
    <w:rsid w:val="007044B4"/>
    <w:rsid w:val="00704639"/>
    <w:rsid w:val="00705694"/>
    <w:rsid w:val="007058A3"/>
    <w:rsid w:val="007060A6"/>
    <w:rsid w:val="00710262"/>
    <w:rsid w:val="0071091A"/>
    <w:rsid w:val="007117AC"/>
    <w:rsid w:val="00715F1A"/>
    <w:rsid w:val="0071710A"/>
    <w:rsid w:val="00720633"/>
    <w:rsid w:val="00720F8C"/>
    <w:rsid w:val="00727BB7"/>
    <w:rsid w:val="0073020E"/>
    <w:rsid w:val="0073370D"/>
    <w:rsid w:val="00733ABB"/>
    <w:rsid w:val="00734206"/>
    <w:rsid w:val="00734549"/>
    <w:rsid w:val="00735AA5"/>
    <w:rsid w:val="007409A5"/>
    <w:rsid w:val="0074295C"/>
    <w:rsid w:val="00742D1E"/>
    <w:rsid w:val="007430F2"/>
    <w:rsid w:val="00744022"/>
    <w:rsid w:val="00746952"/>
    <w:rsid w:val="00746FF1"/>
    <w:rsid w:val="00747F0E"/>
    <w:rsid w:val="00750890"/>
    <w:rsid w:val="007508C3"/>
    <w:rsid w:val="00753246"/>
    <w:rsid w:val="0076120E"/>
    <w:rsid w:val="00761A30"/>
    <w:rsid w:val="0076200D"/>
    <w:rsid w:val="007623E4"/>
    <w:rsid w:val="00763EB1"/>
    <w:rsid w:val="0076509C"/>
    <w:rsid w:val="00766D3C"/>
    <w:rsid w:val="007672C9"/>
    <w:rsid w:val="00771557"/>
    <w:rsid w:val="00772A24"/>
    <w:rsid w:val="00773077"/>
    <w:rsid w:val="0077348C"/>
    <w:rsid w:val="00775004"/>
    <w:rsid w:val="00775081"/>
    <w:rsid w:val="007775A8"/>
    <w:rsid w:val="00777903"/>
    <w:rsid w:val="00777B8F"/>
    <w:rsid w:val="00781F3A"/>
    <w:rsid w:val="00784504"/>
    <w:rsid w:val="00784F9A"/>
    <w:rsid w:val="0078511F"/>
    <w:rsid w:val="007853E7"/>
    <w:rsid w:val="00787650"/>
    <w:rsid w:val="007906C6"/>
    <w:rsid w:val="0079151B"/>
    <w:rsid w:val="00792BD9"/>
    <w:rsid w:val="00793277"/>
    <w:rsid w:val="007959A9"/>
    <w:rsid w:val="0079693A"/>
    <w:rsid w:val="007A0192"/>
    <w:rsid w:val="007A1D99"/>
    <w:rsid w:val="007A2ECE"/>
    <w:rsid w:val="007A4766"/>
    <w:rsid w:val="007A5484"/>
    <w:rsid w:val="007A5CFA"/>
    <w:rsid w:val="007A6576"/>
    <w:rsid w:val="007A721E"/>
    <w:rsid w:val="007B081E"/>
    <w:rsid w:val="007B29BB"/>
    <w:rsid w:val="007B3C41"/>
    <w:rsid w:val="007B4493"/>
    <w:rsid w:val="007B6B82"/>
    <w:rsid w:val="007B7F63"/>
    <w:rsid w:val="007C0B4C"/>
    <w:rsid w:val="007C47D0"/>
    <w:rsid w:val="007C50A4"/>
    <w:rsid w:val="007C648C"/>
    <w:rsid w:val="007C70AC"/>
    <w:rsid w:val="007D241F"/>
    <w:rsid w:val="007D557E"/>
    <w:rsid w:val="007E1539"/>
    <w:rsid w:val="007E4F98"/>
    <w:rsid w:val="007E5A34"/>
    <w:rsid w:val="007E6F09"/>
    <w:rsid w:val="007F0FCF"/>
    <w:rsid w:val="007F6A51"/>
    <w:rsid w:val="00800A2D"/>
    <w:rsid w:val="00800E16"/>
    <w:rsid w:val="008035EE"/>
    <w:rsid w:val="0080570E"/>
    <w:rsid w:val="00811274"/>
    <w:rsid w:val="00812A53"/>
    <w:rsid w:val="00815C64"/>
    <w:rsid w:val="00821365"/>
    <w:rsid w:val="0082427B"/>
    <w:rsid w:val="00825A39"/>
    <w:rsid w:val="008266C6"/>
    <w:rsid w:val="008307A3"/>
    <w:rsid w:val="00830B7D"/>
    <w:rsid w:val="00835B23"/>
    <w:rsid w:val="0083666F"/>
    <w:rsid w:val="008403A4"/>
    <w:rsid w:val="00840CCA"/>
    <w:rsid w:val="008466CB"/>
    <w:rsid w:val="008506A3"/>
    <w:rsid w:val="00851544"/>
    <w:rsid w:val="00852939"/>
    <w:rsid w:val="008533A2"/>
    <w:rsid w:val="008533E6"/>
    <w:rsid w:val="00854D68"/>
    <w:rsid w:val="008573D3"/>
    <w:rsid w:val="00857922"/>
    <w:rsid w:val="00863FE8"/>
    <w:rsid w:val="008644DB"/>
    <w:rsid w:val="00867A0D"/>
    <w:rsid w:val="00872307"/>
    <w:rsid w:val="00873669"/>
    <w:rsid w:val="00874B87"/>
    <w:rsid w:val="008750AC"/>
    <w:rsid w:val="008758BA"/>
    <w:rsid w:val="0087782A"/>
    <w:rsid w:val="00881F74"/>
    <w:rsid w:val="00882A7A"/>
    <w:rsid w:val="008831C2"/>
    <w:rsid w:val="008856BA"/>
    <w:rsid w:val="00885776"/>
    <w:rsid w:val="00890DF0"/>
    <w:rsid w:val="008917E7"/>
    <w:rsid w:val="00892272"/>
    <w:rsid w:val="0089368E"/>
    <w:rsid w:val="00894938"/>
    <w:rsid w:val="00895243"/>
    <w:rsid w:val="008959F1"/>
    <w:rsid w:val="008966F5"/>
    <w:rsid w:val="008A34B0"/>
    <w:rsid w:val="008A4616"/>
    <w:rsid w:val="008A7AE7"/>
    <w:rsid w:val="008B414B"/>
    <w:rsid w:val="008B4511"/>
    <w:rsid w:val="008C0C52"/>
    <w:rsid w:val="008C0F5B"/>
    <w:rsid w:val="008C2CC6"/>
    <w:rsid w:val="008C77CF"/>
    <w:rsid w:val="008C7AB0"/>
    <w:rsid w:val="008D12F7"/>
    <w:rsid w:val="008D1325"/>
    <w:rsid w:val="008D417A"/>
    <w:rsid w:val="008D5B1E"/>
    <w:rsid w:val="008E0780"/>
    <w:rsid w:val="008E1913"/>
    <w:rsid w:val="008E3466"/>
    <w:rsid w:val="008E5D65"/>
    <w:rsid w:val="008F01EE"/>
    <w:rsid w:val="008F1167"/>
    <w:rsid w:val="008F2E8D"/>
    <w:rsid w:val="008F7F8C"/>
    <w:rsid w:val="00900C52"/>
    <w:rsid w:val="009014AF"/>
    <w:rsid w:val="00901C14"/>
    <w:rsid w:val="00901CC8"/>
    <w:rsid w:val="009037EF"/>
    <w:rsid w:val="009046DE"/>
    <w:rsid w:val="0090689C"/>
    <w:rsid w:val="00910C59"/>
    <w:rsid w:val="00910FD4"/>
    <w:rsid w:val="009113FE"/>
    <w:rsid w:val="00912A6F"/>
    <w:rsid w:val="00913081"/>
    <w:rsid w:val="00913F01"/>
    <w:rsid w:val="00915263"/>
    <w:rsid w:val="009153A4"/>
    <w:rsid w:val="0091790D"/>
    <w:rsid w:val="00922F2F"/>
    <w:rsid w:val="00924D3D"/>
    <w:rsid w:val="00925AD0"/>
    <w:rsid w:val="00925BF1"/>
    <w:rsid w:val="00930292"/>
    <w:rsid w:val="00930BF0"/>
    <w:rsid w:val="00931243"/>
    <w:rsid w:val="009319B5"/>
    <w:rsid w:val="00932A33"/>
    <w:rsid w:val="00936197"/>
    <w:rsid w:val="009368F1"/>
    <w:rsid w:val="00937954"/>
    <w:rsid w:val="00942445"/>
    <w:rsid w:val="00947D03"/>
    <w:rsid w:val="0095168E"/>
    <w:rsid w:val="00952295"/>
    <w:rsid w:val="00954F53"/>
    <w:rsid w:val="009600DA"/>
    <w:rsid w:val="00963411"/>
    <w:rsid w:val="00963B7B"/>
    <w:rsid w:val="00963C52"/>
    <w:rsid w:val="0096426E"/>
    <w:rsid w:val="009724BB"/>
    <w:rsid w:val="009726C8"/>
    <w:rsid w:val="009729E2"/>
    <w:rsid w:val="00972F73"/>
    <w:rsid w:val="009741DA"/>
    <w:rsid w:val="009745E9"/>
    <w:rsid w:val="00975987"/>
    <w:rsid w:val="00976FFE"/>
    <w:rsid w:val="009817E1"/>
    <w:rsid w:val="0098334F"/>
    <w:rsid w:val="009847D7"/>
    <w:rsid w:val="009853A2"/>
    <w:rsid w:val="00986AC5"/>
    <w:rsid w:val="00986BA9"/>
    <w:rsid w:val="00987A21"/>
    <w:rsid w:val="00990013"/>
    <w:rsid w:val="00990BDB"/>
    <w:rsid w:val="0099274F"/>
    <w:rsid w:val="00993013"/>
    <w:rsid w:val="0099313E"/>
    <w:rsid w:val="00993658"/>
    <w:rsid w:val="009A0B2A"/>
    <w:rsid w:val="009A240B"/>
    <w:rsid w:val="009A4343"/>
    <w:rsid w:val="009B157A"/>
    <w:rsid w:val="009B253A"/>
    <w:rsid w:val="009B332C"/>
    <w:rsid w:val="009B46D7"/>
    <w:rsid w:val="009B6439"/>
    <w:rsid w:val="009C04DD"/>
    <w:rsid w:val="009C196D"/>
    <w:rsid w:val="009C4060"/>
    <w:rsid w:val="009C61CF"/>
    <w:rsid w:val="009C6823"/>
    <w:rsid w:val="009C71B7"/>
    <w:rsid w:val="009D2564"/>
    <w:rsid w:val="009D2AFC"/>
    <w:rsid w:val="009D3140"/>
    <w:rsid w:val="009D3E74"/>
    <w:rsid w:val="009D4A06"/>
    <w:rsid w:val="009D4D38"/>
    <w:rsid w:val="009D4DF3"/>
    <w:rsid w:val="009E089F"/>
    <w:rsid w:val="009E0B60"/>
    <w:rsid w:val="009E1AE5"/>
    <w:rsid w:val="009E1FFF"/>
    <w:rsid w:val="009E2F8D"/>
    <w:rsid w:val="009E3BF7"/>
    <w:rsid w:val="009E4DE5"/>
    <w:rsid w:val="009E5BF9"/>
    <w:rsid w:val="009F03D1"/>
    <w:rsid w:val="009F1186"/>
    <w:rsid w:val="009F26AA"/>
    <w:rsid w:val="009F37A6"/>
    <w:rsid w:val="009F4269"/>
    <w:rsid w:val="009F4805"/>
    <w:rsid w:val="009F4F84"/>
    <w:rsid w:val="009F5924"/>
    <w:rsid w:val="009F6BB0"/>
    <w:rsid w:val="009F70D6"/>
    <w:rsid w:val="00A00C58"/>
    <w:rsid w:val="00A00FDC"/>
    <w:rsid w:val="00A02F81"/>
    <w:rsid w:val="00A03483"/>
    <w:rsid w:val="00A05927"/>
    <w:rsid w:val="00A05959"/>
    <w:rsid w:val="00A05B9C"/>
    <w:rsid w:val="00A07589"/>
    <w:rsid w:val="00A10C17"/>
    <w:rsid w:val="00A1109E"/>
    <w:rsid w:val="00A233FD"/>
    <w:rsid w:val="00A23D24"/>
    <w:rsid w:val="00A25895"/>
    <w:rsid w:val="00A26866"/>
    <w:rsid w:val="00A27725"/>
    <w:rsid w:val="00A31D0C"/>
    <w:rsid w:val="00A32718"/>
    <w:rsid w:val="00A34E5D"/>
    <w:rsid w:val="00A3647D"/>
    <w:rsid w:val="00A36B74"/>
    <w:rsid w:val="00A41320"/>
    <w:rsid w:val="00A42B17"/>
    <w:rsid w:val="00A42F12"/>
    <w:rsid w:val="00A50F3C"/>
    <w:rsid w:val="00A5126D"/>
    <w:rsid w:val="00A5247E"/>
    <w:rsid w:val="00A52845"/>
    <w:rsid w:val="00A54585"/>
    <w:rsid w:val="00A54CB7"/>
    <w:rsid w:val="00A55853"/>
    <w:rsid w:val="00A576DC"/>
    <w:rsid w:val="00A616FF"/>
    <w:rsid w:val="00A61FD4"/>
    <w:rsid w:val="00A62978"/>
    <w:rsid w:val="00A633B3"/>
    <w:rsid w:val="00A638B4"/>
    <w:rsid w:val="00A63963"/>
    <w:rsid w:val="00A649FD"/>
    <w:rsid w:val="00A7083F"/>
    <w:rsid w:val="00A7097D"/>
    <w:rsid w:val="00A7345B"/>
    <w:rsid w:val="00A76168"/>
    <w:rsid w:val="00A80C85"/>
    <w:rsid w:val="00A812B4"/>
    <w:rsid w:val="00A82BA4"/>
    <w:rsid w:val="00A84FD6"/>
    <w:rsid w:val="00A855EB"/>
    <w:rsid w:val="00A86ED1"/>
    <w:rsid w:val="00A871E7"/>
    <w:rsid w:val="00A919AD"/>
    <w:rsid w:val="00A923BE"/>
    <w:rsid w:val="00A9343D"/>
    <w:rsid w:val="00A93822"/>
    <w:rsid w:val="00A963B9"/>
    <w:rsid w:val="00AA15BC"/>
    <w:rsid w:val="00AA16D6"/>
    <w:rsid w:val="00AA1D4A"/>
    <w:rsid w:val="00AA2C30"/>
    <w:rsid w:val="00AA5FB7"/>
    <w:rsid w:val="00AA6FE0"/>
    <w:rsid w:val="00AA78B5"/>
    <w:rsid w:val="00AB16B5"/>
    <w:rsid w:val="00AB4321"/>
    <w:rsid w:val="00AB5044"/>
    <w:rsid w:val="00AB5C04"/>
    <w:rsid w:val="00AB7243"/>
    <w:rsid w:val="00AC414E"/>
    <w:rsid w:val="00AC41B1"/>
    <w:rsid w:val="00AC497E"/>
    <w:rsid w:val="00AC51F1"/>
    <w:rsid w:val="00AC5854"/>
    <w:rsid w:val="00AC5C0A"/>
    <w:rsid w:val="00AC6C87"/>
    <w:rsid w:val="00AC7412"/>
    <w:rsid w:val="00AD06F5"/>
    <w:rsid w:val="00AD14A1"/>
    <w:rsid w:val="00AD201F"/>
    <w:rsid w:val="00AD4248"/>
    <w:rsid w:val="00AD43F8"/>
    <w:rsid w:val="00AD55C1"/>
    <w:rsid w:val="00AD600C"/>
    <w:rsid w:val="00AD726F"/>
    <w:rsid w:val="00AE054C"/>
    <w:rsid w:val="00AE1247"/>
    <w:rsid w:val="00AE4CDC"/>
    <w:rsid w:val="00AF1E62"/>
    <w:rsid w:val="00AF42EE"/>
    <w:rsid w:val="00AF4DE4"/>
    <w:rsid w:val="00AF7672"/>
    <w:rsid w:val="00B017A5"/>
    <w:rsid w:val="00B02149"/>
    <w:rsid w:val="00B034D9"/>
    <w:rsid w:val="00B05037"/>
    <w:rsid w:val="00B0582B"/>
    <w:rsid w:val="00B11D4A"/>
    <w:rsid w:val="00B1258B"/>
    <w:rsid w:val="00B12C07"/>
    <w:rsid w:val="00B13E54"/>
    <w:rsid w:val="00B161AA"/>
    <w:rsid w:val="00B2038A"/>
    <w:rsid w:val="00B21D59"/>
    <w:rsid w:val="00B22000"/>
    <w:rsid w:val="00B23ADB"/>
    <w:rsid w:val="00B31236"/>
    <w:rsid w:val="00B33A61"/>
    <w:rsid w:val="00B34403"/>
    <w:rsid w:val="00B3778E"/>
    <w:rsid w:val="00B41E86"/>
    <w:rsid w:val="00B4569E"/>
    <w:rsid w:val="00B466C8"/>
    <w:rsid w:val="00B503F8"/>
    <w:rsid w:val="00B50B27"/>
    <w:rsid w:val="00B557AF"/>
    <w:rsid w:val="00B57183"/>
    <w:rsid w:val="00B625D9"/>
    <w:rsid w:val="00B6378E"/>
    <w:rsid w:val="00B64440"/>
    <w:rsid w:val="00B67B05"/>
    <w:rsid w:val="00B67F6A"/>
    <w:rsid w:val="00B71565"/>
    <w:rsid w:val="00B72DB0"/>
    <w:rsid w:val="00B74A0B"/>
    <w:rsid w:val="00B74BD1"/>
    <w:rsid w:val="00B756ED"/>
    <w:rsid w:val="00B8280D"/>
    <w:rsid w:val="00B82AC2"/>
    <w:rsid w:val="00B914D7"/>
    <w:rsid w:val="00B917F0"/>
    <w:rsid w:val="00B93ED2"/>
    <w:rsid w:val="00B94760"/>
    <w:rsid w:val="00B94BFB"/>
    <w:rsid w:val="00B96BAD"/>
    <w:rsid w:val="00BA021E"/>
    <w:rsid w:val="00BA081B"/>
    <w:rsid w:val="00BA2925"/>
    <w:rsid w:val="00BA2DAF"/>
    <w:rsid w:val="00BA668B"/>
    <w:rsid w:val="00BB0196"/>
    <w:rsid w:val="00BB0371"/>
    <w:rsid w:val="00BB4586"/>
    <w:rsid w:val="00BB4587"/>
    <w:rsid w:val="00BB4B1A"/>
    <w:rsid w:val="00BB4D4E"/>
    <w:rsid w:val="00BB5388"/>
    <w:rsid w:val="00BC042F"/>
    <w:rsid w:val="00BC178E"/>
    <w:rsid w:val="00BC1C80"/>
    <w:rsid w:val="00BC2EFD"/>
    <w:rsid w:val="00BD045B"/>
    <w:rsid w:val="00BD046A"/>
    <w:rsid w:val="00BD0D27"/>
    <w:rsid w:val="00BD4B1B"/>
    <w:rsid w:val="00BD5D2E"/>
    <w:rsid w:val="00BD6ECE"/>
    <w:rsid w:val="00BE0E3F"/>
    <w:rsid w:val="00BE2DD4"/>
    <w:rsid w:val="00BE3A53"/>
    <w:rsid w:val="00BE4796"/>
    <w:rsid w:val="00BE6F5F"/>
    <w:rsid w:val="00BF0CCB"/>
    <w:rsid w:val="00BF35BF"/>
    <w:rsid w:val="00BF370B"/>
    <w:rsid w:val="00BF3979"/>
    <w:rsid w:val="00C00717"/>
    <w:rsid w:val="00C00E24"/>
    <w:rsid w:val="00C012BB"/>
    <w:rsid w:val="00C013C1"/>
    <w:rsid w:val="00C01574"/>
    <w:rsid w:val="00C0224A"/>
    <w:rsid w:val="00C03042"/>
    <w:rsid w:val="00C03BD5"/>
    <w:rsid w:val="00C04654"/>
    <w:rsid w:val="00C06F80"/>
    <w:rsid w:val="00C07CA7"/>
    <w:rsid w:val="00C10B48"/>
    <w:rsid w:val="00C11539"/>
    <w:rsid w:val="00C1207A"/>
    <w:rsid w:val="00C207A5"/>
    <w:rsid w:val="00C2177F"/>
    <w:rsid w:val="00C21BDC"/>
    <w:rsid w:val="00C2270E"/>
    <w:rsid w:val="00C23A5D"/>
    <w:rsid w:val="00C247CF"/>
    <w:rsid w:val="00C26613"/>
    <w:rsid w:val="00C30DFC"/>
    <w:rsid w:val="00C3331F"/>
    <w:rsid w:val="00C352E9"/>
    <w:rsid w:val="00C35F05"/>
    <w:rsid w:val="00C362E7"/>
    <w:rsid w:val="00C36E2F"/>
    <w:rsid w:val="00C37ED5"/>
    <w:rsid w:val="00C41FE2"/>
    <w:rsid w:val="00C43B82"/>
    <w:rsid w:val="00C442A5"/>
    <w:rsid w:val="00C463A6"/>
    <w:rsid w:val="00C475AF"/>
    <w:rsid w:val="00C500F2"/>
    <w:rsid w:val="00C51C6E"/>
    <w:rsid w:val="00C5231D"/>
    <w:rsid w:val="00C526B4"/>
    <w:rsid w:val="00C53522"/>
    <w:rsid w:val="00C546A7"/>
    <w:rsid w:val="00C54D14"/>
    <w:rsid w:val="00C54E54"/>
    <w:rsid w:val="00C55A40"/>
    <w:rsid w:val="00C57535"/>
    <w:rsid w:val="00C57E76"/>
    <w:rsid w:val="00C619EA"/>
    <w:rsid w:val="00C64EC4"/>
    <w:rsid w:val="00C65539"/>
    <w:rsid w:val="00C67E1F"/>
    <w:rsid w:val="00C67F6D"/>
    <w:rsid w:val="00C72CC8"/>
    <w:rsid w:val="00C80053"/>
    <w:rsid w:val="00C80F9E"/>
    <w:rsid w:val="00C826A9"/>
    <w:rsid w:val="00C83776"/>
    <w:rsid w:val="00C8428A"/>
    <w:rsid w:val="00C868D6"/>
    <w:rsid w:val="00C868EB"/>
    <w:rsid w:val="00C90401"/>
    <w:rsid w:val="00C914F4"/>
    <w:rsid w:val="00C91E19"/>
    <w:rsid w:val="00C922E8"/>
    <w:rsid w:val="00C93822"/>
    <w:rsid w:val="00C94F3A"/>
    <w:rsid w:val="00C95DE2"/>
    <w:rsid w:val="00C96CE9"/>
    <w:rsid w:val="00CA2540"/>
    <w:rsid w:val="00CA5B22"/>
    <w:rsid w:val="00CA6D00"/>
    <w:rsid w:val="00CA6FA8"/>
    <w:rsid w:val="00CB1198"/>
    <w:rsid w:val="00CB2140"/>
    <w:rsid w:val="00CB6435"/>
    <w:rsid w:val="00CC2513"/>
    <w:rsid w:val="00CC562A"/>
    <w:rsid w:val="00CC5915"/>
    <w:rsid w:val="00CC5C90"/>
    <w:rsid w:val="00CD216F"/>
    <w:rsid w:val="00CD2AFF"/>
    <w:rsid w:val="00CD40DA"/>
    <w:rsid w:val="00CD45DC"/>
    <w:rsid w:val="00CE2AF1"/>
    <w:rsid w:val="00CE3B01"/>
    <w:rsid w:val="00CE3F85"/>
    <w:rsid w:val="00CE4EDF"/>
    <w:rsid w:val="00CF0542"/>
    <w:rsid w:val="00CF18D1"/>
    <w:rsid w:val="00CF5339"/>
    <w:rsid w:val="00CF58F8"/>
    <w:rsid w:val="00CF743F"/>
    <w:rsid w:val="00CF75C9"/>
    <w:rsid w:val="00CF7687"/>
    <w:rsid w:val="00D0052A"/>
    <w:rsid w:val="00D016E1"/>
    <w:rsid w:val="00D02101"/>
    <w:rsid w:val="00D060E6"/>
    <w:rsid w:val="00D06A34"/>
    <w:rsid w:val="00D07203"/>
    <w:rsid w:val="00D10714"/>
    <w:rsid w:val="00D137AF"/>
    <w:rsid w:val="00D13D19"/>
    <w:rsid w:val="00D15EEB"/>
    <w:rsid w:val="00D23BCD"/>
    <w:rsid w:val="00D23D27"/>
    <w:rsid w:val="00D26625"/>
    <w:rsid w:val="00D26D85"/>
    <w:rsid w:val="00D310BA"/>
    <w:rsid w:val="00D343D7"/>
    <w:rsid w:val="00D3545B"/>
    <w:rsid w:val="00D37F54"/>
    <w:rsid w:val="00D4298C"/>
    <w:rsid w:val="00D446B3"/>
    <w:rsid w:val="00D44FEF"/>
    <w:rsid w:val="00D46DF0"/>
    <w:rsid w:val="00D50689"/>
    <w:rsid w:val="00D525A4"/>
    <w:rsid w:val="00D53459"/>
    <w:rsid w:val="00D534A6"/>
    <w:rsid w:val="00D55E3E"/>
    <w:rsid w:val="00D6198E"/>
    <w:rsid w:val="00D61A06"/>
    <w:rsid w:val="00D6271F"/>
    <w:rsid w:val="00D62ACC"/>
    <w:rsid w:val="00D62F3F"/>
    <w:rsid w:val="00D63BC0"/>
    <w:rsid w:val="00D65429"/>
    <w:rsid w:val="00D66E97"/>
    <w:rsid w:val="00D67B74"/>
    <w:rsid w:val="00D67DBB"/>
    <w:rsid w:val="00D71DC8"/>
    <w:rsid w:val="00D73ABD"/>
    <w:rsid w:val="00D745BC"/>
    <w:rsid w:val="00D756AA"/>
    <w:rsid w:val="00D760BD"/>
    <w:rsid w:val="00D76573"/>
    <w:rsid w:val="00D842F0"/>
    <w:rsid w:val="00D87FEE"/>
    <w:rsid w:val="00D9202D"/>
    <w:rsid w:val="00D92B7B"/>
    <w:rsid w:val="00D9499A"/>
    <w:rsid w:val="00D94ABC"/>
    <w:rsid w:val="00D95E13"/>
    <w:rsid w:val="00D973E5"/>
    <w:rsid w:val="00DA247B"/>
    <w:rsid w:val="00DA2608"/>
    <w:rsid w:val="00DA35FA"/>
    <w:rsid w:val="00DA5590"/>
    <w:rsid w:val="00DB08F9"/>
    <w:rsid w:val="00DB7AF4"/>
    <w:rsid w:val="00DC2D68"/>
    <w:rsid w:val="00DC51ED"/>
    <w:rsid w:val="00DC6E73"/>
    <w:rsid w:val="00DD0E62"/>
    <w:rsid w:val="00DD1C2C"/>
    <w:rsid w:val="00DD1F89"/>
    <w:rsid w:val="00DD54DA"/>
    <w:rsid w:val="00DE3D02"/>
    <w:rsid w:val="00DE6D39"/>
    <w:rsid w:val="00DF35C3"/>
    <w:rsid w:val="00E01D3F"/>
    <w:rsid w:val="00E12AFD"/>
    <w:rsid w:val="00E151DC"/>
    <w:rsid w:val="00E1688B"/>
    <w:rsid w:val="00E20710"/>
    <w:rsid w:val="00E207BA"/>
    <w:rsid w:val="00E21EA8"/>
    <w:rsid w:val="00E227F9"/>
    <w:rsid w:val="00E24A87"/>
    <w:rsid w:val="00E25B00"/>
    <w:rsid w:val="00E32289"/>
    <w:rsid w:val="00E3482E"/>
    <w:rsid w:val="00E40457"/>
    <w:rsid w:val="00E40B12"/>
    <w:rsid w:val="00E418B3"/>
    <w:rsid w:val="00E43ABB"/>
    <w:rsid w:val="00E45005"/>
    <w:rsid w:val="00E4651F"/>
    <w:rsid w:val="00E465B8"/>
    <w:rsid w:val="00E46DBA"/>
    <w:rsid w:val="00E5014E"/>
    <w:rsid w:val="00E50708"/>
    <w:rsid w:val="00E5076E"/>
    <w:rsid w:val="00E549B0"/>
    <w:rsid w:val="00E56BCD"/>
    <w:rsid w:val="00E577B0"/>
    <w:rsid w:val="00E60647"/>
    <w:rsid w:val="00E61640"/>
    <w:rsid w:val="00E63E5A"/>
    <w:rsid w:val="00E674C8"/>
    <w:rsid w:val="00E72D1F"/>
    <w:rsid w:val="00E75300"/>
    <w:rsid w:val="00E75F4A"/>
    <w:rsid w:val="00E7622C"/>
    <w:rsid w:val="00E76508"/>
    <w:rsid w:val="00E809C4"/>
    <w:rsid w:val="00E81C42"/>
    <w:rsid w:val="00E82DF7"/>
    <w:rsid w:val="00E83ED5"/>
    <w:rsid w:val="00E86DC1"/>
    <w:rsid w:val="00E87987"/>
    <w:rsid w:val="00E87EF8"/>
    <w:rsid w:val="00E914BB"/>
    <w:rsid w:val="00E961E0"/>
    <w:rsid w:val="00E96EBA"/>
    <w:rsid w:val="00EA3E94"/>
    <w:rsid w:val="00EA5AE9"/>
    <w:rsid w:val="00EB21CC"/>
    <w:rsid w:val="00EB2743"/>
    <w:rsid w:val="00EB304C"/>
    <w:rsid w:val="00EC042B"/>
    <w:rsid w:val="00EC3718"/>
    <w:rsid w:val="00EC46FF"/>
    <w:rsid w:val="00EC6FBC"/>
    <w:rsid w:val="00EC7E85"/>
    <w:rsid w:val="00ED0A65"/>
    <w:rsid w:val="00ED1B21"/>
    <w:rsid w:val="00ED42E7"/>
    <w:rsid w:val="00ED4FB3"/>
    <w:rsid w:val="00ED64D0"/>
    <w:rsid w:val="00ED794B"/>
    <w:rsid w:val="00EE12DD"/>
    <w:rsid w:val="00EE19CB"/>
    <w:rsid w:val="00EE6766"/>
    <w:rsid w:val="00EF534C"/>
    <w:rsid w:val="00EF6616"/>
    <w:rsid w:val="00F03A3B"/>
    <w:rsid w:val="00F0695D"/>
    <w:rsid w:val="00F071F2"/>
    <w:rsid w:val="00F07E73"/>
    <w:rsid w:val="00F10C3F"/>
    <w:rsid w:val="00F144EA"/>
    <w:rsid w:val="00F16113"/>
    <w:rsid w:val="00F17F17"/>
    <w:rsid w:val="00F2019F"/>
    <w:rsid w:val="00F25582"/>
    <w:rsid w:val="00F2669C"/>
    <w:rsid w:val="00F26A88"/>
    <w:rsid w:val="00F26FCD"/>
    <w:rsid w:val="00F33B2A"/>
    <w:rsid w:val="00F40260"/>
    <w:rsid w:val="00F4051B"/>
    <w:rsid w:val="00F41000"/>
    <w:rsid w:val="00F415B5"/>
    <w:rsid w:val="00F45C6D"/>
    <w:rsid w:val="00F468AA"/>
    <w:rsid w:val="00F47CFE"/>
    <w:rsid w:val="00F54EC8"/>
    <w:rsid w:val="00F55A35"/>
    <w:rsid w:val="00F55F96"/>
    <w:rsid w:val="00F56309"/>
    <w:rsid w:val="00F62A6D"/>
    <w:rsid w:val="00F62FB3"/>
    <w:rsid w:val="00F637B4"/>
    <w:rsid w:val="00F648AA"/>
    <w:rsid w:val="00F65F8A"/>
    <w:rsid w:val="00F66656"/>
    <w:rsid w:val="00F66E08"/>
    <w:rsid w:val="00F71FA1"/>
    <w:rsid w:val="00F73307"/>
    <w:rsid w:val="00F744EC"/>
    <w:rsid w:val="00F77BCB"/>
    <w:rsid w:val="00F80026"/>
    <w:rsid w:val="00F83C88"/>
    <w:rsid w:val="00F841BA"/>
    <w:rsid w:val="00F84CC5"/>
    <w:rsid w:val="00F84D73"/>
    <w:rsid w:val="00F85EDE"/>
    <w:rsid w:val="00F86319"/>
    <w:rsid w:val="00F870EB"/>
    <w:rsid w:val="00F87A2E"/>
    <w:rsid w:val="00F90708"/>
    <w:rsid w:val="00F90C3E"/>
    <w:rsid w:val="00F91499"/>
    <w:rsid w:val="00F92410"/>
    <w:rsid w:val="00F94724"/>
    <w:rsid w:val="00F958ED"/>
    <w:rsid w:val="00F9622D"/>
    <w:rsid w:val="00F97608"/>
    <w:rsid w:val="00FA5D00"/>
    <w:rsid w:val="00FA65C7"/>
    <w:rsid w:val="00FB2217"/>
    <w:rsid w:val="00FB2629"/>
    <w:rsid w:val="00FB28AC"/>
    <w:rsid w:val="00FB2BFB"/>
    <w:rsid w:val="00FB4F0B"/>
    <w:rsid w:val="00FB759D"/>
    <w:rsid w:val="00FC0A95"/>
    <w:rsid w:val="00FC0C88"/>
    <w:rsid w:val="00FC1699"/>
    <w:rsid w:val="00FC1D7D"/>
    <w:rsid w:val="00FC1E95"/>
    <w:rsid w:val="00FC2BC5"/>
    <w:rsid w:val="00FC2DB3"/>
    <w:rsid w:val="00FC62EF"/>
    <w:rsid w:val="00FC7CB8"/>
    <w:rsid w:val="00FD3AEF"/>
    <w:rsid w:val="00FD6E36"/>
    <w:rsid w:val="00FE0964"/>
    <w:rsid w:val="00FE22AC"/>
    <w:rsid w:val="00FE34A4"/>
    <w:rsid w:val="00FE4EEC"/>
    <w:rsid w:val="00FF0D68"/>
    <w:rsid w:val="00FF168F"/>
    <w:rsid w:val="00FF3204"/>
    <w:rsid w:val="00FF33B6"/>
    <w:rsid w:val="00FF3CD6"/>
    <w:rsid w:val="00FF66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686D4"/>
  <w15:docId w15:val="{33528FE8-492E-494A-BDD5-8A413648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421B"/>
    <w:rPr>
      <w:rFonts w:eastAsia="Times New Roman"/>
      <w:sz w:val="24"/>
      <w:szCs w:val="24"/>
      <w:lang/>
    </w:rPr>
  </w:style>
  <w:style w:type="paragraph" w:styleId="Heading1">
    <w:name w:val="heading 1"/>
    <w:basedOn w:val="Normal"/>
    <w:next w:val="Normal"/>
    <w:link w:val="Heading1Char"/>
    <w:uiPriority w:val="9"/>
    <w:qFormat/>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unhideWhenUsed/>
    <w:qFormat/>
    <w:pPr>
      <w:spacing w:beforeAutospacing="1" w:afterAutospacing="1"/>
      <w:outlineLvl w:val="2"/>
    </w:pPr>
    <w:rPr>
      <w:rFonts w:ascii="宋体" w:eastAsia="宋体" w:hAnsi="宋体" w:hint="eastAsia"/>
      <w:b/>
      <w:bCs/>
      <w:sz w:val="27"/>
      <w:szCs w:val="27"/>
    </w:rPr>
  </w:style>
  <w:style w:type="paragraph" w:styleId="Heading4">
    <w:name w:val="heading 4"/>
    <w:basedOn w:val="Normal"/>
    <w:next w:val="Normal"/>
    <w:uiPriority w:val="9"/>
    <w:semiHidden/>
    <w:unhideWhenUsed/>
    <w:qFormat/>
    <w:pPr>
      <w:keepNext/>
      <w:keepLines/>
      <w:spacing w:before="280" w:after="290" w:line="372" w:lineRule="auto"/>
      <w:outlineLvl w:val="3"/>
    </w:pPr>
    <w:rPr>
      <w:rFonts w:ascii="Arial" w:eastAsia="黑体"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style>
  <w:style w:type="paragraph" w:styleId="CommentText">
    <w:name w:val="annotation text"/>
    <w:basedOn w:val="Normal"/>
    <w:link w:val="CommentTextChar"/>
    <w:uiPriority w:val="99"/>
    <w:unhideWhenUsed/>
    <w:rPr>
      <w:sz w:val="20"/>
      <w:szCs w:val="20"/>
    </w:rPr>
  </w:style>
  <w:style w:type="paragraph" w:styleId="BlockText">
    <w:name w:val="Block Text"/>
    <w:basedOn w:val="Normal"/>
    <w:pPr>
      <w:tabs>
        <w:tab w:val="center" w:pos="4680"/>
      </w:tabs>
      <w:spacing w:before="120" w:after="240"/>
      <w:ind w:left="360"/>
      <w:jc w:val="right"/>
    </w:pPr>
    <w:rPr>
      <w:rFonts w:ascii="Verdana" w:hAnsi="Verdana"/>
      <w:sz w:val="20"/>
      <w:szCs w:val="20"/>
    </w:r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paragraph" w:styleId="Footer">
    <w:name w:val="footer"/>
    <w:basedOn w:val="Normal"/>
    <w:link w:val="FooterChar"/>
    <w:uiPriority w:val="99"/>
    <w:unhideWhenUsed/>
    <w:pPr>
      <w:tabs>
        <w:tab w:val="center" w:pos="4320"/>
        <w:tab w:val="right" w:pos="8640"/>
      </w:tabs>
    </w:pPr>
  </w:style>
  <w:style w:type="paragraph" w:styleId="Header">
    <w:name w:val="header"/>
    <w:basedOn w:val="Normal"/>
    <w:link w:val="HeaderChar"/>
    <w:uiPriority w:val="99"/>
    <w:unhideWhenUsed/>
    <w:pPr>
      <w:tabs>
        <w:tab w:val="center" w:pos="4320"/>
        <w:tab w:val="right" w:pos="8640"/>
      </w:tabs>
    </w:pPr>
  </w:style>
  <w:style w:type="paragraph" w:styleId="NormalWeb">
    <w:name w:val="Normal (Web)"/>
    <w:basedOn w:val="Normal"/>
    <w:uiPriority w:val="99"/>
    <w:pPr>
      <w:spacing w:beforeAutospacing="1" w:afterAutospacing="1"/>
    </w:pPr>
  </w:style>
  <w:style w:type="paragraph" w:styleId="CommentSubject">
    <w:name w:val="annotation subject"/>
    <w:basedOn w:val="CommentText"/>
    <w:next w:val="CommentText"/>
    <w:link w:val="CommentSubjectChar"/>
    <w:uiPriority w:val="99"/>
    <w:semiHidden/>
    <w:unhideWhenUsed/>
    <w:rPr>
      <w:b/>
      <w:bCs/>
    </w:rPr>
  </w:style>
  <w:style w:type="table" w:styleId="TableGrid">
    <w:name w:val="Table Grid"/>
    <w:basedOn w:val="TableNormal"/>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FollowedHyperlink">
    <w:name w:val="FollowedHyperlink"/>
    <w:basedOn w:val="DefaultParagraphFont"/>
    <w:uiPriority w:val="99"/>
    <w:semiHidden/>
    <w:unhideWhenUsed/>
    <w:rPr>
      <w:color w:val="800080" w:themeColor="followedHyperlink"/>
      <w:u w:val="single"/>
    </w:rPr>
  </w:style>
  <w:style w:type="character" w:styleId="Hyperlink">
    <w:name w:val="Hyperlink"/>
    <w:basedOn w:val="DefaultParagraphFont"/>
    <w:uiPriority w:val="99"/>
    <w:unhideWhenUsed/>
    <w:rPr>
      <w:color w:val="0000FF"/>
      <w:u w:val="single"/>
    </w:rPr>
  </w:style>
  <w:style w:type="character" w:styleId="CommentReference">
    <w:name w:val="annotation reference"/>
    <w:basedOn w:val="DefaultParagraphFont"/>
    <w:uiPriority w:val="99"/>
    <w:semiHidden/>
    <w:unhideWhenUsed/>
    <w:rPr>
      <w:sz w:val="16"/>
      <w:szCs w:val="16"/>
    </w:rPr>
  </w:style>
  <w:style w:type="character" w:customStyle="1" w:styleId="HeaderChar">
    <w:name w:val="Header Char"/>
    <w:basedOn w:val="DefaultParagraphFont"/>
    <w:link w:val="Header"/>
    <w:uiPriority w:val="99"/>
    <w:rPr>
      <w:rFonts w:asciiTheme="majorHAnsi" w:hAnsiTheme="majorHAnsi"/>
    </w:rPr>
  </w:style>
  <w:style w:type="character" w:customStyle="1" w:styleId="FooterChar">
    <w:name w:val="Footer Char"/>
    <w:basedOn w:val="DefaultParagraphFont"/>
    <w:link w:val="Footer"/>
    <w:uiPriority w:val="99"/>
    <w:rPr>
      <w:rFonts w:asciiTheme="majorHAnsi" w:hAnsiTheme="majorHAnsi"/>
    </w:rPr>
  </w:style>
  <w:style w:type="character" w:customStyle="1" w:styleId="BalloonTextChar">
    <w:name w:val="Balloon Text Char"/>
    <w:basedOn w:val="DefaultParagraphFont"/>
    <w:link w:val="BalloonText"/>
    <w:uiPriority w:val="99"/>
    <w:semiHidden/>
    <w:rPr>
      <w:rFonts w:ascii="Lucida Grande" w:hAnsi="Lucida Grande" w:cs="Lucida Grande"/>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45A8A" w:themeColor="accent1" w:themeShade="B5"/>
      <w:sz w:val="32"/>
      <w:szCs w:val="32"/>
    </w:rPr>
  </w:style>
  <w:style w:type="paragraph" w:customStyle="1" w:styleId="TblHeader">
    <w:name w:val="Tbl Header"/>
    <w:basedOn w:val="Normal"/>
    <w:pPr>
      <w:tabs>
        <w:tab w:val="center" w:pos="4680"/>
      </w:tabs>
      <w:spacing w:before="120" w:after="120"/>
      <w:jc w:val="center"/>
    </w:pPr>
    <w:rPr>
      <w:rFonts w:ascii="Verdana" w:hAnsi="Verdana"/>
      <w:b/>
      <w:i/>
      <w:color w:val="FFFFFF"/>
      <w:sz w:val="20"/>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paragraph" w:styleId="ListParagraph">
    <w:name w:val="List Paragraph"/>
    <w:basedOn w:val="Normal"/>
    <w:link w:val="ListParagraphChar"/>
    <w:uiPriority w:val="34"/>
    <w:qFormat/>
    <w:pPr>
      <w:ind w:left="720"/>
      <w:contextualSpacing/>
    </w:pPr>
  </w:style>
  <w:style w:type="paragraph" w:customStyle="1" w:styleId="Header2">
    <w:name w:val="Header 2"/>
    <w:basedOn w:val="Heading1"/>
    <w:autoRedefine/>
    <w:pPr>
      <w:keepLines w:val="0"/>
      <w:pBdr>
        <w:top w:val="single" w:sz="18" w:space="1" w:color="333333"/>
      </w:pBdr>
      <w:tabs>
        <w:tab w:val="center" w:pos="4680"/>
      </w:tabs>
      <w:spacing w:before="120" w:after="120"/>
      <w:ind w:left="-14"/>
      <w:jc w:val="right"/>
    </w:pPr>
    <w:rPr>
      <w:rFonts w:ascii="Verdana" w:eastAsia="Times New Roman" w:hAnsi="Verdana" w:cs="Times New Roman"/>
      <w:bCs w:val="0"/>
      <w:color w:val="auto"/>
      <w:sz w:val="28"/>
      <w:szCs w:val="20"/>
    </w:rPr>
  </w:style>
  <w:style w:type="paragraph" w:customStyle="1" w:styleId="Header3">
    <w:name w:val="Header 3"/>
    <w:basedOn w:val="Heading2"/>
    <w:autoRedefine/>
    <w:pPr>
      <w:keepLines w:val="0"/>
      <w:tabs>
        <w:tab w:val="center" w:pos="4680"/>
      </w:tabs>
      <w:spacing w:before="120" w:after="120"/>
      <w:ind w:left="360"/>
      <w:jc w:val="right"/>
    </w:pPr>
    <w:rPr>
      <w:rFonts w:ascii="Verdana" w:eastAsia="Times New Roman" w:hAnsi="Verdana" w:cs="Times New Roman"/>
      <w:color w:val="auto"/>
      <w:sz w:val="22"/>
      <w:szCs w:val="20"/>
    </w:rPr>
  </w:style>
  <w:style w:type="paragraph" w:customStyle="1" w:styleId="SectionIntro">
    <w:name w:val="Section Intro"/>
    <w:basedOn w:val="Normal"/>
    <w:link w:val="SectionIntroChar"/>
    <w:autoRedefine/>
    <w:pPr>
      <w:tabs>
        <w:tab w:val="center" w:pos="4680"/>
      </w:tabs>
      <w:spacing w:after="120"/>
      <w:ind w:left="360"/>
      <w:jc w:val="center"/>
    </w:pPr>
    <w:rPr>
      <w:rFonts w:ascii="Calibri" w:hAnsi="Calibri" w:cs="Calibri"/>
      <w:sz w:val="22"/>
      <w:szCs w:val="22"/>
    </w:rPr>
  </w:style>
  <w:style w:type="paragraph" w:customStyle="1" w:styleId="rightalign">
    <w:name w:val="right align"/>
    <w:basedOn w:val="Normal"/>
    <w:pPr>
      <w:tabs>
        <w:tab w:val="center" w:pos="4680"/>
      </w:tabs>
      <w:jc w:val="right"/>
    </w:pPr>
    <w:rPr>
      <w:rFonts w:ascii="Verdana" w:hAnsi="Verdana"/>
      <w:sz w:val="20"/>
      <w:szCs w:val="20"/>
    </w:rPr>
  </w:style>
  <w:style w:type="character" w:customStyle="1" w:styleId="CommentTextChar">
    <w:name w:val="Comment Text Char"/>
    <w:basedOn w:val="DefaultParagraphFont"/>
    <w:link w:val="CommentText"/>
    <w:uiPriority w:val="99"/>
    <w:rPr>
      <w:rFonts w:asciiTheme="majorHAnsi" w:hAnsiTheme="majorHAnsi"/>
      <w:sz w:val="20"/>
      <w:szCs w:val="20"/>
    </w:rPr>
  </w:style>
  <w:style w:type="character" w:customStyle="1" w:styleId="CommentSubjectChar">
    <w:name w:val="Comment Subject Char"/>
    <w:basedOn w:val="CommentTextChar"/>
    <w:link w:val="CommentSubject"/>
    <w:uiPriority w:val="99"/>
    <w:semiHidden/>
    <w:rPr>
      <w:rFonts w:asciiTheme="majorHAnsi" w:hAnsiTheme="majorHAnsi"/>
      <w:b/>
      <w:bCs/>
      <w:sz w:val="20"/>
      <w:szCs w:val="20"/>
    </w:rPr>
  </w:style>
  <w:style w:type="table" w:customStyle="1" w:styleId="TableGrid1">
    <w:name w:val="Table Grid1"/>
    <w:basedOn w:val="TableNormal"/>
    <w:uiPriority w:val="59"/>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hidden/>
    <w:uiPriority w:val="99"/>
    <w:semiHidden/>
    <w:rPr>
      <w:rFonts w:asciiTheme="majorHAnsi" w:eastAsiaTheme="minorEastAsia" w:hAnsiTheme="majorHAnsi" w:cstheme="minorBidi"/>
      <w:sz w:val="24"/>
      <w:szCs w:val="24"/>
      <w:lang w:eastAsia="en-US"/>
    </w:rPr>
  </w:style>
  <w:style w:type="character" w:customStyle="1" w:styleId="st">
    <w:name w:val="st"/>
    <w:basedOn w:val="DefaultParagraphFont"/>
  </w:style>
  <w:style w:type="character" w:customStyle="1" w:styleId="DocumentMapChar">
    <w:name w:val="Document Map Char"/>
    <w:basedOn w:val="DefaultParagraphFont"/>
    <w:link w:val="DocumentMap"/>
    <w:uiPriority w:val="99"/>
    <w:semiHidden/>
    <w:rPr>
      <w:rFonts w:ascii="Times New Roman" w:hAnsi="Times New Roman" w:cs="Times New Roman"/>
    </w:rPr>
  </w:style>
  <w:style w:type="paragraph" w:customStyle="1" w:styleId="ProServeTemplateStyle">
    <w:name w:val="ProServe Template Style"/>
    <w:qFormat/>
    <w:rPr>
      <w:rFonts w:ascii="Calibri" w:eastAsiaTheme="minorEastAsia" w:hAnsi="Calibri" w:cstheme="minorBidi"/>
      <w:szCs w:val="24"/>
      <w:lang w:eastAsia="en-US"/>
    </w:rPr>
  </w:style>
  <w:style w:type="character" w:customStyle="1" w:styleId="apple-converted-space">
    <w:name w:val="apple-converted-space"/>
    <w:basedOn w:val="DefaultParagraphFont"/>
  </w:style>
  <w:style w:type="paragraph" w:customStyle="1" w:styleId="Text">
    <w:name w:val="Text"/>
    <w:basedOn w:val="SectionIntro"/>
    <w:link w:val="TextChar"/>
    <w:qFormat/>
    <w:rPr>
      <w:rFonts w:cs="Arial"/>
      <w:color w:val="000000" w:themeColor="text1"/>
    </w:rPr>
  </w:style>
  <w:style w:type="character" w:customStyle="1" w:styleId="TextChar">
    <w:name w:val="Text Char"/>
    <w:basedOn w:val="DefaultParagraphFont"/>
    <w:link w:val="Text"/>
    <w:rPr>
      <w:rFonts w:ascii="Calibri" w:eastAsia="Times New Roman" w:hAnsi="Calibri" w:cs="Arial"/>
      <w:color w:val="000000" w:themeColor="text1"/>
      <w:sz w:val="20"/>
      <w:szCs w:val="20"/>
    </w:rPr>
  </w:style>
  <w:style w:type="character" w:customStyle="1" w:styleId="SectionIntroChar">
    <w:name w:val="Section Intro Char"/>
    <w:basedOn w:val="DefaultParagraphFont"/>
    <w:link w:val="SectionIntro"/>
    <w:rPr>
      <w:rFonts w:ascii="Calibri" w:eastAsia="Times New Roman" w:hAnsi="Calibri" w:cs="Calibri"/>
      <w:sz w:val="22"/>
      <w:szCs w:val="22"/>
    </w:rPr>
  </w:style>
  <w:style w:type="character" w:customStyle="1" w:styleId="guidance">
    <w:name w:val="guidance"/>
    <w:basedOn w:val="DefaultParagraphFont"/>
  </w:style>
  <w:style w:type="character" w:customStyle="1" w:styleId="prompt">
    <w:name w:val="prompt"/>
    <w:basedOn w:val="DefaultParagraphFont"/>
  </w:style>
  <w:style w:type="paragraph" w:customStyle="1" w:styleId="AdditionalTermsListParagraphs">
    <w:name w:val="Additional Terms List Paragraphs"/>
    <w:basedOn w:val="ListParagraph"/>
    <w:link w:val="AdditionalTermsListParagraphsChar"/>
    <w:qFormat/>
    <w:pPr>
      <w:numPr>
        <w:numId w:val="1"/>
      </w:numPr>
      <w:spacing w:after="120"/>
      <w:contextualSpacing w:val="0"/>
      <w:jc w:val="both"/>
    </w:pPr>
    <w:rPr>
      <w:rFonts w:ascii="Calibri" w:hAnsi="Calibri"/>
      <w:sz w:val="22"/>
      <w:szCs w:val="20"/>
    </w:rPr>
  </w:style>
  <w:style w:type="character" w:customStyle="1" w:styleId="AdditionalTermsListParagraphsChar">
    <w:name w:val="Additional Terms List Paragraphs Char"/>
    <w:basedOn w:val="DefaultParagraphFont"/>
    <w:link w:val="AdditionalTermsListParagraphs"/>
    <w:rPr>
      <w:rFonts w:ascii="Calibri" w:hAnsi="Calibri"/>
      <w:sz w:val="22"/>
      <w:szCs w:val="20"/>
    </w:rPr>
  </w:style>
  <w:style w:type="paragraph" w:customStyle="1" w:styleId="ProServeServiceHeading">
    <w:name w:val="ProServe Service Heading"/>
    <w:basedOn w:val="Normal"/>
    <w:next w:val="Normal"/>
    <w:link w:val="ProServeServiceHeadingChar"/>
    <w:qFormat/>
    <w:pPr>
      <w:spacing w:before="120" w:after="120"/>
      <w:jc w:val="both"/>
    </w:pPr>
    <w:rPr>
      <w:rFonts w:cstheme="majorHAnsi"/>
      <w:b/>
      <w:bCs/>
      <w:u w:val="single"/>
    </w:rPr>
  </w:style>
  <w:style w:type="character" w:customStyle="1" w:styleId="ProServeServiceHeadingChar">
    <w:name w:val="ProServe Service Heading Char"/>
    <w:basedOn w:val="DefaultParagraphFont"/>
    <w:link w:val="ProServeServiceHeading"/>
    <w:rPr>
      <w:rFonts w:asciiTheme="majorHAnsi" w:eastAsia="Times New Roman" w:hAnsiTheme="majorHAnsi" w:cstheme="majorHAnsi"/>
      <w:b/>
      <w:bCs/>
      <w:u w:val="single"/>
    </w:rPr>
  </w:style>
  <w:style w:type="paragraph" w:customStyle="1" w:styleId="scopebullet1">
    <w:name w:val="scope bullet 1"/>
    <w:basedOn w:val="Normal"/>
    <w:qFormat/>
    <w:pPr>
      <w:numPr>
        <w:numId w:val="2"/>
      </w:numPr>
      <w:spacing w:after="220"/>
      <w:contextualSpacing/>
      <w:jc w:val="both"/>
    </w:pPr>
    <w:rPr>
      <w:rFonts w:cstheme="majorHAnsi"/>
      <w:sz w:val="22"/>
      <w:szCs w:val="22"/>
    </w:rPr>
  </w:style>
  <w:style w:type="paragraph" w:customStyle="1" w:styleId="scopebullet1w0after">
    <w:name w:val="scope bullet 1 w 0 after"/>
    <w:basedOn w:val="scopebullet1"/>
    <w:qFormat/>
    <w:pPr>
      <w:spacing w:after="0"/>
    </w:pPr>
  </w:style>
  <w:style w:type="character" w:customStyle="1" w:styleId="ListParagraphChar">
    <w:name w:val="List Paragraph Char"/>
    <w:basedOn w:val="DefaultParagraphFont"/>
    <w:link w:val="ListParagraph"/>
    <w:uiPriority w:val="34"/>
    <w:qFormat/>
    <w:locked/>
    <w:rPr>
      <w:rFonts w:asciiTheme="majorHAnsi" w:hAnsiTheme="majorHAnsi"/>
    </w:rPr>
  </w:style>
  <w:style w:type="paragraph" w:styleId="NoSpacing">
    <w:name w:val="No Spacing"/>
    <w:uiPriority w:val="1"/>
    <w:qFormat/>
    <w:rPr>
      <w:rFonts w:asciiTheme="majorHAnsi" w:eastAsiaTheme="minorEastAsia" w:hAnsiTheme="majorHAnsi" w:cstheme="minorBid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409702">
      <w:bodyDiv w:val="1"/>
      <w:marLeft w:val="0"/>
      <w:marRight w:val="0"/>
      <w:marTop w:val="0"/>
      <w:marBottom w:val="0"/>
      <w:divBdr>
        <w:top w:val="none" w:sz="0" w:space="0" w:color="auto"/>
        <w:left w:val="none" w:sz="0" w:space="0" w:color="auto"/>
        <w:bottom w:val="none" w:sz="0" w:space="0" w:color="auto"/>
        <w:right w:val="none" w:sz="0" w:space="0" w:color="auto"/>
      </w:divBdr>
    </w:div>
    <w:div w:id="802118826">
      <w:bodyDiv w:val="1"/>
      <w:marLeft w:val="0"/>
      <w:marRight w:val="0"/>
      <w:marTop w:val="0"/>
      <w:marBottom w:val="0"/>
      <w:divBdr>
        <w:top w:val="none" w:sz="0" w:space="0" w:color="auto"/>
        <w:left w:val="none" w:sz="0" w:space="0" w:color="auto"/>
        <w:bottom w:val="none" w:sz="0" w:space="0" w:color="auto"/>
        <w:right w:val="none" w:sz="0" w:space="0" w:color="auto"/>
      </w:divBdr>
    </w:div>
    <w:div w:id="1305429295">
      <w:bodyDiv w:val="1"/>
      <w:marLeft w:val="0"/>
      <w:marRight w:val="0"/>
      <w:marTop w:val="0"/>
      <w:marBottom w:val="0"/>
      <w:divBdr>
        <w:top w:val="none" w:sz="0" w:space="0" w:color="auto"/>
        <w:left w:val="none" w:sz="0" w:space="0" w:color="auto"/>
        <w:bottom w:val="none" w:sz="0" w:space="0" w:color="auto"/>
        <w:right w:val="none" w:sz="0" w:space="0" w:color="auto"/>
      </w:divBdr>
    </w:div>
    <w:div w:id="1353918322">
      <w:bodyDiv w:val="1"/>
      <w:marLeft w:val="0"/>
      <w:marRight w:val="0"/>
      <w:marTop w:val="0"/>
      <w:marBottom w:val="0"/>
      <w:divBdr>
        <w:top w:val="none" w:sz="0" w:space="0" w:color="auto"/>
        <w:left w:val="none" w:sz="0" w:space="0" w:color="auto"/>
        <w:bottom w:val="none" w:sz="0" w:space="0" w:color="auto"/>
        <w:right w:val="none" w:sz="0" w:space="0" w:color="auto"/>
      </w:divBdr>
    </w:div>
    <w:div w:id="1373728812">
      <w:bodyDiv w:val="1"/>
      <w:marLeft w:val="0"/>
      <w:marRight w:val="0"/>
      <w:marTop w:val="0"/>
      <w:marBottom w:val="0"/>
      <w:divBdr>
        <w:top w:val="none" w:sz="0" w:space="0" w:color="auto"/>
        <w:left w:val="none" w:sz="0" w:space="0" w:color="auto"/>
        <w:bottom w:val="none" w:sz="0" w:space="0" w:color="auto"/>
        <w:right w:val="none" w:sz="0" w:space="0" w:color="auto"/>
      </w:divBdr>
    </w:div>
    <w:div w:id="1393969821">
      <w:bodyDiv w:val="1"/>
      <w:marLeft w:val="0"/>
      <w:marRight w:val="0"/>
      <w:marTop w:val="0"/>
      <w:marBottom w:val="0"/>
      <w:divBdr>
        <w:top w:val="none" w:sz="0" w:space="0" w:color="auto"/>
        <w:left w:val="none" w:sz="0" w:space="0" w:color="auto"/>
        <w:bottom w:val="none" w:sz="0" w:space="0" w:color="auto"/>
        <w:right w:val="none" w:sz="0" w:space="0" w:color="auto"/>
      </w:divBdr>
    </w:div>
    <w:div w:id="1443501518">
      <w:bodyDiv w:val="1"/>
      <w:marLeft w:val="0"/>
      <w:marRight w:val="0"/>
      <w:marTop w:val="0"/>
      <w:marBottom w:val="0"/>
      <w:divBdr>
        <w:top w:val="none" w:sz="0" w:space="0" w:color="auto"/>
        <w:left w:val="none" w:sz="0" w:space="0" w:color="auto"/>
        <w:bottom w:val="none" w:sz="0" w:space="0" w:color="auto"/>
        <w:right w:val="none" w:sz="0" w:space="0" w:color="auto"/>
      </w:divBdr>
    </w:div>
    <w:div w:id="1952349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aws.amazon.com/privacy/"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aws.amazon.com/agreement"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aws.amazon.com/" TargetMode="External"/><Relationship Id="rId4" Type="http://schemas.openxmlformats.org/officeDocument/2006/relationships/webSettings" Target="webSettings.xml"/><Relationship Id="rId9" Type="http://schemas.openxmlformats.org/officeDocument/2006/relationships/hyperlink" Target="http://amazonaws.c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D61124C6CDFED48BC1E3AA60E19AFAB"/>
        <w:category>
          <w:name w:val="General"/>
          <w:gallery w:val="placeholder"/>
        </w:category>
        <w:types>
          <w:type w:val="bbPlcHdr"/>
        </w:types>
        <w:behaviors>
          <w:behavior w:val="content"/>
        </w:behaviors>
        <w:guid w:val="{10B8625E-187F-B54B-AC11-7D2AD758C04D}"/>
      </w:docPartPr>
      <w:docPartBody>
        <w:p w:rsidR="00784594" w:rsidRDefault="00F0581E">
          <w:pPr>
            <w:pStyle w:val="FD61124C6CDFED48BC1E3AA60E19AFAB"/>
          </w:pPr>
          <w:r>
            <w:t>[Type text]</w:t>
          </w:r>
        </w:p>
      </w:docPartBody>
    </w:docPart>
    <w:docPart>
      <w:docPartPr>
        <w:name w:val="995C3F165126334EB9C0C02898F734A1"/>
        <w:category>
          <w:name w:val="General"/>
          <w:gallery w:val="placeholder"/>
        </w:category>
        <w:types>
          <w:type w:val="bbPlcHdr"/>
        </w:types>
        <w:behaviors>
          <w:behavior w:val="content"/>
        </w:behaviors>
        <w:guid w:val="{6C85CC41-5253-E145-929B-FCC470FFD694}"/>
      </w:docPartPr>
      <w:docPartBody>
        <w:p w:rsidR="00784594" w:rsidRDefault="00F0581E">
          <w:pPr>
            <w:pStyle w:val="995C3F165126334EB9C0C02898F734A1"/>
          </w:pPr>
          <w:r>
            <w:t>[Type text]</w:t>
          </w:r>
        </w:p>
      </w:docPartBody>
    </w:docPart>
    <w:docPart>
      <w:docPartPr>
        <w:name w:val="63FD12D81F5BAD4CA1F756A1FA2730E6"/>
        <w:category>
          <w:name w:val="General"/>
          <w:gallery w:val="placeholder"/>
        </w:category>
        <w:types>
          <w:type w:val="bbPlcHdr"/>
        </w:types>
        <w:behaviors>
          <w:behavior w:val="content"/>
        </w:behaviors>
        <w:guid w:val="{E387DBA5-52FE-CC4E-B9BC-AEA1A3B76684}"/>
      </w:docPartPr>
      <w:docPartBody>
        <w:p w:rsidR="00784594" w:rsidRDefault="00F0581E">
          <w:pPr>
            <w:pStyle w:val="63FD12D81F5BAD4CA1F756A1FA2730E6"/>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Lucida Grande">
    <w:altName w:val="Arial"/>
    <w:charset w:val="00"/>
    <w:family w:val="swiss"/>
    <w:pitch w:val="variable"/>
    <w:sig w:usb0="E1000AEF" w:usb1="5000A1FF" w:usb2="00000000" w:usb3="00000000" w:csb0="000001BF" w:csb1="00000000"/>
  </w:font>
  <w:font w:name="微软雅黑">
    <w:altName w:val="Microsoft YaHei"/>
    <w:panose1 w:val="020B0503020204020204"/>
    <w:charset w:val="86"/>
    <w:family w:val="swiss"/>
    <w:pitch w:val="variable"/>
    <w:sig w:usb0="80000287" w:usb1="2ACF3C50" w:usb2="00000016" w:usb3="00000000" w:csb0="0004001F" w:csb1="00000000"/>
  </w:font>
  <w:font w:name="-webkit-standar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817"/>
    <w:rsid w:val="00016622"/>
    <w:rsid w:val="0003169B"/>
    <w:rsid w:val="00054729"/>
    <w:rsid w:val="00073977"/>
    <w:rsid w:val="000816CE"/>
    <w:rsid w:val="000B6800"/>
    <w:rsid w:val="000E0B16"/>
    <w:rsid w:val="00156C14"/>
    <w:rsid w:val="001615C5"/>
    <w:rsid w:val="00195DA8"/>
    <w:rsid w:val="001B0EEA"/>
    <w:rsid w:val="001E5C2D"/>
    <w:rsid w:val="00206A5D"/>
    <w:rsid w:val="00300404"/>
    <w:rsid w:val="00311AA1"/>
    <w:rsid w:val="003240CA"/>
    <w:rsid w:val="00390CAC"/>
    <w:rsid w:val="003A58D9"/>
    <w:rsid w:val="003C2D48"/>
    <w:rsid w:val="00400C99"/>
    <w:rsid w:val="00404381"/>
    <w:rsid w:val="00406B26"/>
    <w:rsid w:val="00417B1D"/>
    <w:rsid w:val="004234B9"/>
    <w:rsid w:val="00436FDE"/>
    <w:rsid w:val="00481622"/>
    <w:rsid w:val="004B57F8"/>
    <w:rsid w:val="004C2CF5"/>
    <w:rsid w:val="004D6817"/>
    <w:rsid w:val="004E2478"/>
    <w:rsid w:val="004F0BFB"/>
    <w:rsid w:val="00595F5E"/>
    <w:rsid w:val="00602D09"/>
    <w:rsid w:val="00624BBA"/>
    <w:rsid w:val="006361D9"/>
    <w:rsid w:val="00672B0C"/>
    <w:rsid w:val="006D118A"/>
    <w:rsid w:val="006E7FD2"/>
    <w:rsid w:val="00727F67"/>
    <w:rsid w:val="00734E2E"/>
    <w:rsid w:val="00764E01"/>
    <w:rsid w:val="00784594"/>
    <w:rsid w:val="00827699"/>
    <w:rsid w:val="00841FF9"/>
    <w:rsid w:val="00851CB4"/>
    <w:rsid w:val="008A4A2F"/>
    <w:rsid w:val="008B5EF3"/>
    <w:rsid w:val="008C1C21"/>
    <w:rsid w:val="008C255C"/>
    <w:rsid w:val="008F1EBB"/>
    <w:rsid w:val="008F727A"/>
    <w:rsid w:val="00904FD4"/>
    <w:rsid w:val="00906E86"/>
    <w:rsid w:val="0091782E"/>
    <w:rsid w:val="0092361C"/>
    <w:rsid w:val="0094021F"/>
    <w:rsid w:val="009C3E1C"/>
    <w:rsid w:val="009D4F94"/>
    <w:rsid w:val="009E1C2A"/>
    <w:rsid w:val="009F11F3"/>
    <w:rsid w:val="00A12251"/>
    <w:rsid w:val="00A34E5D"/>
    <w:rsid w:val="00AB1FCF"/>
    <w:rsid w:val="00AB74B5"/>
    <w:rsid w:val="00AD445B"/>
    <w:rsid w:val="00AE18AC"/>
    <w:rsid w:val="00B04D94"/>
    <w:rsid w:val="00B45047"/>
    <w:rsid w:val="00B95351"/>
    <w:rsid w:val="00C01052"/>
    <w:rsid w:val="00C022B6"/>
    <w:rsid w:val="00C04EA8"/>
    <w:rsid w:val="00C713C1"/>
    <w:rsid w:val="00CB3C35"/>
    <w:rsid w:val="00D212B6"/>
    <w:rsid w:val="00D25E07"/>
    <w:rsid w:val="00D3099A"/>
    <w:rsid w:val="00D368BA"/>
    <w:rsid w:val="00D4098E"/>
    <w:rsid w:val="00D4730F"/>
    <w:rsid w:val="00DD7CC2"/>
    <w:rsid w:val="00E002C0"/>
    <w:rsid w:val="00E859A6"/>
    <w:rsid w:val="00EA4699"/>
    <w:rsid w:val="00EA7D64"/>
    <w:rsid w:val="00ED3025"/>
    <w:rsid w:val="00EE105D"/>
    <w:rsid w:val="00EE52BB"/>
    <w:rsid w:val="00F0581E"/>
    <w:rsid w:val="00F05A16"/>
    <w:rsid w:val="00F22FAC"/>
    <w:rsid w:val="00F634BC"/>
    <w:rsid w:val="00F74300"/>
    <w:rsid w:val="00F94C4A"/>
    <w:rsid w:val="00FA7012"/>
    <w:rsid w:val="00FB2698"/>
    <w:rsid w:val="00FD6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61124C6CDFED48BC1E3AA60E19AFAB">
    <w:name w:val="FD61124C6CDFED48BC1E3AA60E19AFAB"/>
    <w:rPr>
      <w:sz w:val="24"/>
      <w:szCs w:val="24"/>
      <w:lang w:eastAsia="ja-JP"/>
    </w:rPr>
  </w:style>
  <w:style w:type="paragraph" w:customStyle="1" w:styleId="995C3F165126334EB9C0C02898F734A1">
    <w:name w:val="995C3F165126334EB9C0C02898F734A1"/>
    <w:rPr>
      <w:sz w:val="24"/>
      <w:szCs w:val="24"/>
      <w:lang w:eastAsia="ja-JP"/>
    </w:rPr>
  </w:style>
  <w:style w:type="paragraph" w:customStyle="1" w:styleId="63FD12D81F5BAD4CA1F756A1FA2730E6">
    <w:name w:val="63FD12D81F5BAD4CA1F756A1FA2730E6"/>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12</Pages>
  <Words>4005</Words>
  <Characters>22832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Amazon Web Services</Company>
  <LinksUpToDate>false</LinksUpToDate>
  <CharactersWithSpaces>26784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 Baritt</dc:creator>
  <cp:lastModifiedBy>Han, Yong</cp:lastModifiedBy>
  <cp:revision>42</cp:revision>
  <cp:lastPrinted>2016-06-08T00:19:00Z</cp:lastPrinted>
  <dcterms:created xsi:type="dcterms:W3CDTF">2025-03-25T06:25:00Z</dcterms:created>
  <dcterms:modified xsi:type="dcterms:W3CDTF">2025-04-21T09:14:00Z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0x01010033F3153752431049A4F2F1AAE4300C34</vt:lpwstr>
  </property>
  <property fmtid="{D5CDD505-2E9C-101B-9397-08002B2CF9AE}" pid="3" name="KSOProductBuildVer">
    <vt:lpwstr>2052-6.11.0.8885</vt:lpwstr>
  </property>
  <property fmtid="{D5CDD505-2E9C-101B-9397-08002B2CF9AE}" pid="4" name="ICV">
    <vt:lpwstr>CA90D2411306CC245D3FDD675723F3C7_42</vt:lpwstr>
  </property>
</Properties>
</file>