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Survival extrapolation and network meta-analysis for HTA</w:t>
      </w:r>
    </w:p>
    <w:p>
      <w:pPr>
        <w:pStyle w:val="Subtitle"/>
      </w:pPr>
      <w:r>
        <w:t xml:space="preserve">Project report, Sharon Okolo</w:t>
      </w:r>
    </w:p>
    <w:p>
      <w:pPr>
        <w:pStyle w:val="FirstParagraph"/>
      </w:pPr>
      <w:r>
        <w:t xml:space="preserve">Code, data outputs and the Excel model: https://github.com/SharonOkolo/hta-survival-nma</w:t>
      </w:r>
    </w:p>
    <w:p>
      <w:pPr>
        <w:pStyle w:val="BodyText"/>
      </w:pPr>
      <w:r>
        <w:t xml:space="preserve">Two analyses that sit behind almost every NICE submission, done end to end in R from a pre-written</w:t>
      </w:r>
      <w:r>
        <w:t xml:space="preserve"> </w:t>
      </w:r>
      <w:r>
        <w:t xml:space="preserve">statistical analysis plan (Appendix):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much longer do patients live on a new treatment?</w:t>
      </w:r>
      <w:r>
        <w:t xml:space="preserve"> </w:t>
      </w:r>
      <w:r>
        <w:t xml:space="preserve">Survival analysis of a 929-patient colon cancer trial,</w:t>
      </w:r>
      <w:r>
        <w:t xml:space="preserve"> </w:t>
      </w:r>
      <w:r>
        <w:t xml:space="preserve">extrapolated beyond trial follow-up to estimate life-years gained.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intervention works best when no single trial compares them all?</w:t>
      </w:r>
      <w:r>
        <w:t xml:space="preserve"> </w:t>
      </w:r>
      <w:r>
        <w:t xml:space="preserve">Frequentist and Bayesian network</w:t>
      </w:r>
      <w:r>
        <w:t xml:space="preserve"> </w:t>
      </w:r>
      <w:r>
        <w:t xml:space="preserve">meta-analysis of 24 smoking-cessation trials.</w:t>
      </w:r>
    </w:p>
    <w:p>
      <w:pPr>
        <w:pStyle w:val="CaptionedFigure"/>
      </w:pPr>
      <w:r>
        <w:drawing>
          <wp:inline>
            <wp:extent cx="6477000" cy="3742266"/>
            <wp:effectExtent b="0" l="0" r="0" t="0"/>
            <wp:docPr descr="Kaplan-Meier" title="" id="10" name="Picture"/>
            <a:graphic>
              <a:graphicData uri="http://schemas.openxmlformats.org/drawingml/2006/picture">
                <pic:pic>
                  <pic:nvPicPr>
                    <pic:cNvPr descr="screenshots/01_k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4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</w:t>
      </w:r>
    </w:p>
    <w:bookmarkStart w:id="12" w:name="the-problem-i-solved"/>
    <w:p>
      <w:pPr>
        <w:pStyle w:val="Heading2"/>
      </w:pPr>
      <w:r>
        <w:t xml:space="preserve">The problem I solved</w:t>
      </w:r>
    </w:p>
    <w:p>
      <w:pPr>
        <w:pStyle w:val="FirstParagraph"/>
      </w:pPr>
      <w:r>
        <w:t xml:space="preserve">Reimbursement bodies such as NICE decide on costs per life-year, but trials stop after a few years and rarely compare</w:t>
      </w:r>
      <w:r>
        <w:t xml:space="preserve"> </w:t>
      </w:r>
      <w:r>
        <w:t xml:space="preserve">every option head to head. A statistician therefore has to (a) extrapolate survival curves far beyond the data, and</w:t>
      </w:r>
      <w:r>
        <w:t xml:space="preserve"> </w:t>
      </w:r>
      <w:r>
        <w:t xml:space="preserve">(b) combine direct and indirect evidence from many trials. Both are judgement-heavy, and both can swing a decision.</w:t>
      </w:r>
    </w:p>
    <w:bookmarkEnd w:id="12"/>
    <w:bookmarkStart w:id="13" w:name="the-process-i-optimised"/>
    <w:p>
      <w:pPr>
        <w:pStyle w:val="Heading2"/>
      </w:pPr>
      <w:r>
        <w:t xml:space="preserve">The process I optimised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decisions made as the work goes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statistical analysis plan written first</w:t>
            </w:r>
            <w:r>
              <w:t xml:space="preserve"> </w:t>
            </w:r>
            <w:r>
              <w:t xml:space="preserve">(Appendix), with deviations recorded afterwards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t xml:space="preserve">“best”</w:t>
            </w:r>
            <w:r>
              <w:t xml:space="preserve"> </w:t>
            </w:r>
            <w:r>
              <w:t xml:space="preserve">extrapolation picked by AIC alone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Six distributions per arm</w:t>
            </w:r>
            <w:r>
              <w:t xml:space="preserve"> </w:t>
            </w:r>
            <w:r>
              <w:t xml:space="preserve">compared on AIC/BIC, visual fit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plausibility, and the spread of results shown openly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Frequentist or Bayesian NMA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  <w:r>
              <w:t xml:space="preserve">, with convergence checks (Gelman–Rubin), DIC model choice, node-splitting for inconsistency, and the results compared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 model rebuilt by hand in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model generated from the R estimates</w:t>
            </w:r>
            <w:r>
              <w:t xml:space="preserve"> </w:t>
            </w:r>
            <w:r>
              <w:t xml:space="preserve">(model selector, monthly cycles, life-years), checked to match R within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checked by eye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automated tests</w:t>
            </w:r>
            <w:r>
              <w:t xml:space="preserve"> </w:t>
            </w:r>
            <w:r>
              <w:t xml:space="preserve">(8 in R, 2 in Python), including one that reproduces the published NICE DSU TSD 2 example, run on every push</w:t>
            </w:r>
          </w:p>
        </w:tc>
      </w:tr>
    </w:tbl>
    <w:bookmarkEnd w:id="13"/>
    <w:bookmarkStart w:id="26" w:name="the-results-i-got"/>
    <w:p>
      <w:pPr>
        <w:pStyle w:val="Heading2"/>
      </w:pPr>
      <w:r>
        <w:t xml:space="preserve">The results I got</w:t>
      </w:r>
    </w:p>
    <w:bookmarkStart w:id="20" w:name="survival-colon-cancer-929-patients"/>
    <w:p>
      <w:pPr>
        <w:pStyle w:val="Heading3"/>
      </w:pPr>
      <w:r>
        <w:t xml:space="preserve">1. Survival (colon cancer, 929 patients)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Deaths</w:t>
            </w:r>
          </w:p>
        </w:tc>
        <w:tc>
          <w:tcPr/>
          <w:p>
            <w:pPr>
              <w:pStyle w:val="Compact"/>
            </w:pPr>
            <w:r>
              <w:t xml:space="preserve">Median survival</w:t>
            </w:r>
          </w:p>
        </w:tc>
        <w:tc>
          <w:tcPr/>
          <w:p>
            <w:pPr>
              <w:pStyle w:val="Compact"/>
            </w:pPr>
            <w:r>
              <w:t xml:space="preserve">5-year survival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5.7 years (4.5–7.6)</w:t>
            </w:r>
          </w:p>
        </w:tc>
        <w:tc>
          <w:tcPr/>
          <w:p>
            <w:pPr>
              <w:pStyle w:val="Compact"/>
            </w:pPr>
            <w:r>
              <w:t xml:space="preserve">52.6%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Levamisole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5.9 years</w:t>
            </w:r>
          </w:p>
        </w:tc>
        <w:tc>
          <w:tcPr/>
          <w:p>
            <w:pPr>
              <w:pStyle w:val="Compact"/>
            </w:pPr>
            <w:r>
              <w:t xml:space="preserve">53.5%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Levamisole + 5-FU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not reached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63.4%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Lev+5FU cut the risk of death by 31%</w:t>
      </w:r>
      <w:r>
        <w:t xml:space="preserve">: HR 0.69 (95% CI 0.55–0.87, p = 0.002); 0.68 (0.54–0.87) after adjusting</w:t>
      </w:r>
      <w:r>
        <w:t xml:space="preserve"> </w:t>
      </w:r>
      <w:r>
        <w:t xml:space="preserve">for 8 prognostic factors. Levamisole alone had no effect (HR 0.97, 0.78–1.21).</w:t>
      </w:r>
    </w:p>
    <w:p>
      <w:pPr>
        <w:pStyle w:val="Compact"/>
        <w:numPr>
          <w:ilvl w:val="0"/>
          <w:numId w:val="1002"/>
        </w:numPr>
      </w:pPr>
      <w:r>
        <w:t xml:space="preserve">Proportional hazards held for treatment (Schoenfeld p = 0.28).</w:t>
      </w:r>
    </w:p>
    <w:p>
      <w:pPr>
        <w:pStyle w:val="CaptionedFigure"/>
      </w:pPr>
      <w:r>
        <w:drawing>
          <wp:inline>
            <wp:extent cx="6477000" cy="3368039"/>
            <wp:effectExtent b="0" l="0" r="0" t="0"/>
            <wp:docPr descr="Extrapolation" title="" id="15" name="Picture"/>
            <a:graphic>
              <a:graphicData uri="http://schemas.openxmlformats.org/drawingml/2006/picture">
                <pic:pic>
                  <pic:nvPicPr>
                    <pic:cNvPr descr="screenshots/02_extrapola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6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Extrapolation</w:t>
      </w:r>
    </w:p>
    <w:p>
      <w:pPr>
        <w:pStyle w:val="BodyText"/>
      </w:pPr>
      <w:r>
        <w:rPr>
          <w:b/>
          <w:bCs/>
        </w:rPr>
        <w:t xml:space="preserve">Extrapolation is where the judgement lies.</w:t>
      </w:r>
      <w:r>
        <w:t xml:space="preserve"> </w:t>
      </w:r>
      <w:r>
        <w:t xml:space="preserve">All six models fit the 8 years of data well, but over 30 years they</w:t>
      </w:r>
      <w:r>
        <w:t xml:space="preserve"> </w:t>
      </w:r>
      <w:r>
        <w:t xml:space="preserve">give</w:t>
      </w:r>
      <w:r>
        <w:t xml:space="preserve"> </w:t>
      </w:r>
      <w:r>
        <w:rPr>
          <w:b/>
          <w:bCs/>
        </w:rPr>
        <w:t xml:space="preserve">2.9 to 5.8 life-years gained</w:t>
      </w:r>
      <w:r>
        <w:t xml:space="preserve">. AIC favours the generalised gamma for observation and the log-normal for Lev+5FU.</w:t>
      </w:r>
      <w:r>
        <w:t xml:space="preserve"> </w:t>
      </w:r>
      <w:r>
        <w:t xml:space="preserve">I chose</w:t>
      </w:r>
      <w:r>
        <w:t xml:space="preserve"> </w:t>
      </w:r>
      <w:r>
        <w:rPr>
          <w:b/>
          <w:bCs/>
        </w:rPr>
        <w:t xml:space="preserve">log-normal for both arms</w:t>
      </w:r>
      <w:r>
        <w:t xml:space="preserve"> </w:t>
      </w:r>
      <w:r>
        <w:t xml:space="preserve">as the base case: it’s the best fit for the treated arm, the second best for</w:t>
      </w:r>
      <w:r>
        <w:t xml:space="preserve"> </w:t>
      </w:r>
      <w:r>
        <w:t xml:space="preserve">observation (ΔAIC 9), and using one family across arms keeps the comparison consistent (NICE DSU TSD 14).</w:t>
      </w:r>
      <w:r>
        <w:t xml:space="preserve"> </w:t>
      </w:r>
      <w:r>
        <w:t xml:space="preserve">Base case:</w:t>
      </w:r>
      <w:r>
        <w:t xml:space="preserve"> </w:t>
      </w:r>
      <w:r>
        <w:rPr>
          <w:b/>
          <w:bCs/>
        </w:rPr>
        <w:t xml:space="preserve">9.1 vs 13.7 mean life-years, a gain of 4.6 life-years</w:t>
      </w:r>
      <w:r>
        <w:t xml:space="preserve">, with the Gompertz (5.8) and generalised gamma</w:t>
      </w:r>
      <w:r>
        <w:t xml:space="preserve"> </w:t>
      </w:r>
      <w:r>
        <w:t xml:space="preserve">(2.9) as scenario analyses.</w:t>
      </w:r>
    </w:p>
    <w:p>
      <w:pPr>
        <w:pStyle w:val="BodyText"/>
      </w:pPr>
      <w:r>
        <w:rPr>
          <w:b/>
          <w:bCs/>
        </w:rPr>
        <w:t xml:space="preserve">Subgroups (exploratory).</w:t>
      </w:r>
      <w:r>
        <w:t xml:space="preserve"> </w:t>
      </w:r>
      <w:r>
        <w:t xml:space="preserve">Benefit looked larger in men (HR 0.52, 0.37–0.74) than in women (0.86, 0.63–1.19);</w:t>
      </w:r>
      <w:r>
        <w:t xml:space="preserve"> </w:t>
      </w:r>
      <w:r>
        <w:t xml:space="preserve">interaction p = 0.04. With three subgroup tests and no multiplicity adjustment, this is a hypothesis to test, not a</w:t>
      </w:r>
      <w:r>
        <w:t xml:space="preserve"> </w:t>
      </w:r>
      <w:r>
        <w:t xml:space="preserve">reason to treat men and women differently.</w:t>
      </w:r>
    </w:p>
    <w:p>
      <w:pPr>
        <w:pStyle w:val="CaptionedFigure"/>
      </w:pPr>
      <w:r>
        <w:drawing>
          <wp:inline>
            <wp:extent cx="6477000" cy="3238500"/>
            <wp:effectExtent b="0" l="0" r="0" t="0"/>
            <wp:docPr descr="Subgroups" title="" id="18" name="Picture"/>
            <a:graphic>
              <a:graphicData uri="http://schemas.openxmlformats.org/drawingml/2006/picture">
                <pic:pic>
                  <pic:nvPicPr>
                    <pic:cNvPr descr="screenshots/03_subgroup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Subgroups</w:t>
      </w:r>
    </w:p>
    <w:bookmarkEnd w:id="20"/>
    <w:bookmarkStart w:id="24" w:name="Xa4f2cfae84f0bd27f5c3098344226b902053112"/>
    <w:p>
      <w:pPr>
        <w:pStyle w:val="Heading3"/>
      </w:pPr>
      <w:r>
        <w:t xml:space="preserve">2. Network meta-analysis (24 trials, 4 interventions)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Odds ratio of quitting vs no contact</w:t>
            </w:r>
          </w:p>
        </w:tc>
        <w:tc>
          <w:tcPr/>
          <w:p>
            <w:pPr>
              <w:pStyle w:val="Compact"/>
            </w:pPr>
            <w:r>
              <w:t xml:space="preserve">Frequentist (95% CI)</w:t>
            </w:r>
          </w:p>
        </w:tc>
        <w:tc>
          <w:tcPr/>
          <w:p>
            <w:pPr>
              <w:pStyle w:val="Compact"/>
            </w:pPr>
            <w:r>
              <w:t xml:space="preserve">Bayesian (95% CrI)</w:t>
            </w:r>
          </w:p>
        </w:tc>
        <w:tc>
          <w:tcPr/>
          <w:p>
            <w:pPr>
              <w:pStyle w:val="Compact"/>
            </w:pPr>
            <w:r>
              <w:t xml:space="preserve">SUCRA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Self-help</w:t>
            </w:r>
          </w:p>
        </w:tc>
        <w:tc>
          <w:tcPr/>
          <w:p>
            <w:pPr>
              <w:pStyle w:val="Compact"/>
            </w:pPr>
            <w:r>
              <w:t xml:space="preserve">1.52 (0.74–3.12)</w:t>
            </w:r>
          </w:p>
        </w:tc>
        <w:tc>
          <w:tcPr/>
          <w:p>
            <w:pPr>
              <w:pStyle w:val="Compact"/>
            </w:pPr>
            <w:r>
              <w:t xml:space="preserve">1.62 (0.76–3.67)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counselling</w:t>
            </w:r>
          </w:p>
        </w:tc>
        <w:tc>
          <w:tcPr/>
          <w:p>
            <w:pPr>
              <w:pStyle w:val="Compact"/>
            </w:pPr>
            <w:r>
              <w:t xml:space="preserve">2.08 (1.36–3.20)</w:t>
            </w:r>
          </w:p>
        </w:tc>
        <w:tc>
          <w:tcPr/>
          <w:p>
            <w:pPr>
              <w:pStyle w:val="Compact"/>
            </w:pPr>
            <w:r>
              <w:t xml:space="preserve">2.31 (1.49–3.83)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counselling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2.47 (1.10–5.52)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2.99 (1.29–7.27)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</w:tr>
    </w:tbl>
    <w:p>
      <w:pPr>
        <w:pStyle w:val="CaptionedFigure"/>
      </w:pPr>
      <w:r>
        <w:drawing>
          <wp:inline>
            <wp:extent cx="6477000" cy="3272589"/>
            <wp:effectExtent b="0" l="0" r="0" t="0"/>
            <wp:docPr descr="NMA" title="" id="22" name="Picture"/>
            <a:graphic>
              <a:graphicData uri="http://schemas.openxmlformats.org/drawingml/2006/picture">
                <pic:pic>
                  <pic:nvPicPr>
                    <pic:cNvPr descr="screenshots/06_nma_fore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7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 counselling ranks first</w:t>
      </w:r>
      <w:r>
        <w:t xml:space="preserve"> </w:t>
      </w:r>
      <w:r>
        <w:t xml:space="preserve">(71% probability of being best), then individual counselling. Self-help is not</w:t>
      </w:r>
      <w:r>
        <w:t xml:space="preserve"> </w:t>
      </w:r>
      <w:r>
        <w:t xml:space="preserve">clearly better than no contact.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Heterogeneity is high</w:t>
      </w:r>
      <w:r>
        <w:t xml:space="preserve"> </w:t>
      </w:r>
      <w:r>
        <w:t xml:space="preserve">(I² = 89%; Bayesian between-study SD 0.82 on the log-odds scale), so random effects are</w:t>
      </w:r>
      <w:r>
        <w:t xml:space="preserve"> </w:t>
      </w:r>
      <w:r>
        <w:t xml:space="preserve">essential: DIC 97.6 against 294.0 for fixed effects, and residual deviance 53.9 for 50 data 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the global design-by-treatment test is borderline (p = 0.03), but no node-split shows direct and</w:t>
      </w:r>
      <w:r>
        <w:t xml:space="preserve"> </w:t>
      </w:r>
      <w:r>
        <w:t xml:space="preserve">indirect evidence disagreeing (all p &gt; 0.27).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Validated:</w:t>
      </w:r>
      <w:r>
        <w:t xml:space="preserve"> </w:t>
      </w:r>
      <w:r>
        <w:t xml:space="preserve">the Bayesian log odds ratios (0.49, 0.84, 1.10) and SD (0.82) reproduce the published NICE DSU</w:t>
      </w:r>
      <w:r>
        <w:t xml:space="preserve"> </w:t>
      </w:r>
      <w:r>
        <w:t xml:space="preserve">TSD 2 worked example; a test checks this on every run. All chains converged (Gelman–Rubin ≤ 1.002).</w:t>
      </w:r>
    </w:p>
    <w:bookmarkEnd w:id="24"/>
    <w:bookmarkStart w:id="25" w:name="X00b213e98e93cf8b18f1785c2af86018c9d3046"/>
    <w:p>
      <w:pPr>
        <w:pStyle w:val="Heading3"/>
      </w:pPr>
      <w:r>
        <w:t xml:space="preserve">Recommendations (as I would write them for a client)</w:t>
      </w:r>
    </w:p>
    <w:p>
      <w:pPr>
        <w:pStyle w:val="Compact"/>
        <w:numPr>
          <w:ilvl w:val="0"/>
          <w:numId w:val="1004"/>
        </w:numPr>
      </w:pPr>
      <w:r>
        <w:t xml:space="preserve">Base the economic model on the log-normal extrapolation (</w:t>
      </w:r>
      <w:r>
        <w:rPr>
          <w:b/>
          <w:bCs/>
        </w:rPr>
        <w:t xml:space="preserve">4.6 life-years gained</w:t>
      </w:r>
      <w:r>
        <w:t xml:space="preserve">) and present the Gompertz and</w:t>
      </w:r>
      <w:r>
        <w:t xml:space="preserve"> </w:t>
      </w:r>
      <w:r>
        <w:t xml:space="preserve">generalised gamma as scenarios, because the choice moves the result by up to 1.6 life-years.</w:t>
      </w:r>
    </w:p>
    <w:p>
      <w:pPr>
        <w:pStyle w:val="Compact"/>
        <w:numPr>
          <w:ilvl w:val="0"/>
          <w:numId w:val="1004"/>
        </w:numPr>
      </w:pPr>
      <w:r>
        <w:t xml:space="preserve">Add general-population mortality to the extrapolation before submission, so no curve implies patients outlive</w:t>
      </w:r>
      <w:r>
        <w:t xml:space="preserve"> </w:t>
      </w:r>
      <w:r>
        <w:t xml:space="preserve">people of the same age without cancer.</w:t>
      </w:r>
    </w:p>
    <w:p>
      <w:pPr>
        <w:pStyle w:val="Compact"/>
        <w:numPr>
          <w:ilvl w:val="0"/>
          <w:numId w:val="1004"/>
        </w:numPr>
      </w:pPr>
      <w:r>
        <w:t xml:space="preserve">Treat the sex interaction as a hypothesis for future trials, not a basis for restricting treatment.</w:t>
      </w:r>
    </w:p>
    <w:p>
      <w:pPr>
        <w:pStyle w:val="Compact"/>
        <w:numPr>
          <w:ilvl w:val="0"/>
          <w:numId w:val="1004"/>
        </w:numPr>
      </w:pPr>
      <w:r>
        <w:t xml:space="preserve">For smoking cessation, prioritise group then individual counselling, and report the ranking with its uncertainty:</w:t>
      </w:r>
      <w:r>
        <w:t xml:space="preserve"> </w:t>
      </w:r>
      <w:r>
        <w:t xml:space="preserve">the credible intervals overlap.</w:t>
      </w:r>
    </w:p>
    <w:bookmarkEnd w:id="25"/>
    <w:bookmarkEnd w:id="26"/>
    <w:bookmarkStart w:id="27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colon</w:t>
      </w:r>
      <w:r>
        <w:t xml:space="preserve"> </w:t>
      </w:r>
      <w:r>
        <w:t xml:space="preserve">is a 1980s trial; it shows the methods, not current practice.</w:t>
      </w:r>
    </w:p>
    <w:p>
      <w:pPr>
        <w:pStyle w:val="Compact"/>
        <w:numPr>
          <w:ilvl w:val="0"/>
          <w:numId w:val="1005"/>
        </w:numPr>
      </w:pPr>
      <w:r>
        <w:t xml:space="preserve">No background mortality, cure models or spline models (Royston–Parmar) yet: the natural next steps.</w:t>
      </w:r>
    </w:p>
    <w:p>
      <w:pPr>
        <w:pStyle w:val="Compact"/>
        <w:numPr>
          <w:ilvl w:val="0"/>
          <w:numId w:val="1005"/>
        </w:numPr>
      </w:pPr>
      <w:r>
        <w:t xml:space="preserve">Covariate proportional-hazards violations (differentiation, obstruction, nodes) weren’t addressed with stratification.</w:t>
      </w:r>
    </w:p>
    <w:p>
      <w:pPr>
        <w:pStyle w:val="Compact"/>
        <w:numPr>
          <w:ilvl w:val="0"/>
          <w:numId w:val="1005"/>
        </w:numPr>
      </w:pPr>
      <w:r>
        <w:t xml:space="preserve">The NMA uses study-level data, so effect modifiers can’t be adjusted for (network meta-regression would need covariates).</w:t>
      </w:r>
    </w:p>
    <w:bookmarkEnd w:id="27"/>
    <w:bookmarkStart w:id="28" w:name="how-to-run"/>
    <w:p>
      <w:pPr>
        <w:pStyle w:val="Heading2"/>
      </w:pPr>
      <w:r>
        <w:t xml:space="preserve">How to run</w:t>
      </w:r>
    </w:p>
    <w:p>
      <w:pPr>
        <w:pStyle w:val="SourceCode"/>
      </w:pPr>
      <w:r>
        <w:rPr>
          <w:rStyle w:val="VerbatimChar"/>
        </w:rPr>
        <w:t xml:space="preserve"># R 4.5 with JAGS installed (brew install jags, or conda install -c conda-forge jags r-rjags)</w:t>
      </w:r>
      <w:r>
        <w:br/>
      </w:r>
      <w:r>
        <w:rPr>
          <w:rStyle w:val="VerbatimChar"/>
        </w:rPr>
        <w:t xml:space="preserve">Rscript -e 'install.packages(c("survival","flexsurv","netmeta","gemtc","rjags","testthat","ggplot2"))'</w:t>
      </w:r>
      <w:r>
        <w:br/>
      </w:r>
      <w:r>
        <w:rPr>
          <w:rStyle w:val="VerbatimChar"/>
        </w:rPr>
        <w:t xml:space="preserve">Rscript analysis/01_survival.R        # -&gt; outputs/, screenshots/01-03</w:t>
      </w:r>
      <w:r>
        <w:br/>
      </w:r>
      <w:r>
        <w:rPr>
          <w:rStyle w:val="VerbatimChar"/>
        </w:rPr>
        <w:t xml:space="preserve">Rscript analysis/02_nma.R             # -&gt; outputs/, screenshots/04-06 (about 1 minute of MCMC)</w:t>
      </w:r>
      <w:r>
        <w:br/>
      </w:r>
      <w:r>
        <w:rPr>
          <w:rStyle w:val="VerbatimChar"/>
        </w:rPr>
        <w:t xml:space="preserve">Rscript -e 'testthat::test_dir("tests/testthat")'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excel/build_model.py           # -&gt; excel/survival_extrapolation_model.xlsx</w:t>
      </w:r>
    </w:p>
    <w:bookmarkEnd w:id="28"/>
    <w:bookmarkStart w:id="35" w:name="appendix-statistical-analysis-plan"/>
    <w:p>
      <w:pPr>
        <w:pStyle w:val="Heading1"/>
      </w:pPr>
      <w:r>
        <w:t xml:space="preserve">Appendix: statistical analysis plan</w:t>
      </w:r>
    </w:p>
    <w:p>
      <w:pPr>
        <w:pStyle w:val="FirstParagraph"/>
      </w:pPr>
      <w:r>
        <w:t xml:space="preserve">Written before the analysis was run. Deviations are listed at the end.</w:t>
      </w:r>
    </w:p>
    <w:bookmarkStart w:id="29" w:name="objectives"/>
    <w:p>
      <w:pPr>
        <w:pStyle w:val="Heading2"/>
      </w:pPr>
      <w:r>
        <w:t xml:space="preserve">1. Objectives</w:t>
      </w:r>
    </w:p>
    <w:p>
      <w:pPr>
        <w:pStyle w:val="FirstParagraph"/>
      </w:pPr>
      <w:r>
        <w:rPr>
          <w:b/>
          <w:bCs/>
        </w:rPr>
        <w:t xml:space="preserve">A. Survival (single trial, individual patient data).</w:t>
      </w:r>
      <w:r>
        <w:t xml:space="preserve"> </w:t>
      </w:r>
      <w:r>
        <w:t xml:space="preserve">For patients with resected stage C colon cancer, estimate the</w:t>
      </w:r>
      <w:r>
        <w:t xml:space="preserve"> </w:t>
      </w:r>
      <w:r>
        <w:t xml:space="preserve">effect of adjuvant levamisole + 5-fluorouracil (Lev+5FU) and levamisole alone (Lev) on overall survival against</w:t>
      </w:r>
      <w:r>
        <w:t xml:space="preserve"> </w:t>
      </w:r>
      <w:r>
        <w:t xml:space="preserve">observation (Obs), and extrapolate survival beyond trial follow-up to estimate the mean life-years gained, as an</w:t>
      </w:r>
      <w:r>
        <w:t xml:space="preserve"> </w:t>
      </w:r>
      <w:r>
        <w:t xml:space="preserve">economic model submitted to NICE would need.</w:t>
      </w:r>
    </w:p>
    <w:p>
      <w:pPr>
        <w:pStyle w:val="BodyText"/>
      </w:pPr>
      <w:r>
        <w:rPr>
          <w:b/>
          <w:bCs/>
        </w:rPr>
        <w:t xml:space="preserve">B. Network meta-analysis (aggregate data).</w:t>
      </w:r>
      <w:r>
        <w:t xml:space="preserve"> </w:t>
      </w:r>
      <w:r>
        <w:t xml:space="preserve">Compare four smoking-cessation interventions (no contact, self-help,</w:t>
      </w:r>
      <w:r>
        <w:t xml:space="preserve"> </w:t>
      </w:r>
      <w:r>
        <w:t xml:space="preserve">individual counselling, group counselling) using all direct and indirect trial evidence, and rank them.</w:t>
      </w:r>
    </w:p>
    <w:bookmarkEnd w:id="29"/>
    <w:bookmarkStart w:id="30" w:name="data"/>
    <w:p>
      <w:pPr>
        <w:pStyle w:val="Heading2"/>
      </w:pPr>
      <w:r>
        <w:t xml:space="preserve">2. Data</w:t>
      </w:r>
    </w:p>
    <w:p>
      <w:pPr>
        <w:pStyle w:val="Compact"/>
        <w:numPr>
          <w:ilvl w:val="0"/>
          <w:numId w:val="1006"/>
        </w:numPr>
      </w:pPr>
      <w:r>
        <w:t xml:space="preserve">A:</w:t>
      </w:r>
      <w:r>
        <w:t xml:space="preserve"> </w:t>
      </w:r>
      <w:r>
        <w:rPr>
          <w:rStyle w:val="VerbatimChar"/>
        </w:rPr>
        <w:t xml:space="preserve">survival::colon</w:t>
      </w:r>
      <w:r>
        <w:t xml:space="preserve"> </w:t>
      </w:r>
      <w:r>
        <w:t xml:space="preserve">(Moertel et al., 1990; 929 patients, 3 arms; death records only,</w:t>
      </w:r>
      <w:r>
        <w:t xml:space="preserve"> </w:t>
      </w:r>
      <w:r>
        <w:rPr>
          <w:rStyle w:val="VerbatimChar"/>
        </w:rPr>
        <w:t xml:space="preserve">etype == 2</w:t>
      </w:r>
      <w:r>
        <w:t xml:space="preserve">). Time in days, converted to years.</w:t>
      </w:r>
    </w:p>
    <w:p>
      <w:pPr>
        <w:pStyle w:val="Compact"/>
        <w:numPr>
          <w:ilvl w:val="0"/>
          <w:numId w:val="1006"/>
        </w:numPr>
      </w:pPr>
      <w:r>
        <w:t xml:space="preserve">B:</w:t>
      </w:r>
      <w:r>
        <w:t xml:space="preserve"> </w:t>
      </w:r>
      <w:r>
        <w:rPr>
          <w:rStyle w:val="VerbatimChar"/>
        </w:rPr>
        <w:t xml:space="preserve">netmeta::smokingcessation</w:t>
      </w:r>
      <w:r>
        <w:t xml:space="preserve"> </w:t>
      </w:r>
      <w:r>
        <w:t xml:space="preserve">(Hasselblad 1998; 24 studies, 4 treatments; arm-level counts of quitters).</w:t>
      </w:r>
    </w:p>
    <w:bookmarkEnd w:id="30"/>
    <w:bookmarkStart w:id="31" w:name="analyses-survival"/>
    <w:p>
      <w:pPr>
        <w:pStyle w:val="Heading2"/>
      </w:pPr>
      <w:r>
        <w:t xml:space="preserve">3. Analyses: survival</w:t>
      </w:r>
    </w:p>
    <w:p>
      <w:pPr>
        <w:pStyle w:val="Compact"/>
        <w:numPr>
          <w:ilvl w:val="0"/>
          <w:numId w:val="1007"/>
        </w:numPr>
      </w:pPr>
      <w:r>
        <w:t xml:space="preserve">Kaplan–Meier estimates by arm; median survival with 95% CI; log-rank test (3 arms and Lev+5FU vs Obs).</w:t>
      </w:r>
    </w:p>
    <w:p>
      <w:pPr>
        <w:pStyle w:val="Compact"/>
        <w:numPr>
          <w:ilvl w:val="0"/>
          <w:numId w:val="1007"/>
        </w:numPr>
      </w:pPr>
      <w:r>
        <w:t xml:space="preserve">Cox proportional hazards: unadjusted, then adjusted for pre-specified prognostic factors (age, sex, obstruction,</w:t>
      </w:r>
      <w:r>
        <w:t xml:space="preserve"> </w:t>
      </w:r>
      <w:r>
        <w:t xml:space="preserve">perforation, adherence, extent, more than 4 positive nodes, differentiation). Report HR (95% CI).</w:t>
      </w:r>
    </w:p>
    <w:p>
      <w:pPr>
        <w:pStyle w:val="Compact"/>
        <w:numPr>
          <w:ilvl w:val="0"/>
          <w:numId w:val="1007"/>
        </w:numPr>
      </w:pPr>
      <w:r>
        <w:t xml:space="preserve">Proportional hazards check: Schoenfeld residuals (</w:t>
      </w:r>
      <w:r>
        <w:rPr>
          <w:rStyle w:val="VerbatimChar"/>
        </w:rPr>
        <w:t xml:space="preserve">cox.zph</w:t>
      </w:r>
      <w:r>
        <w:t xml:space="preserve">), global and per covariate, and log(−log) plot.</w:t>
      </w:r>
    </w:p>
    <w:p>
      <w:pPr>
        <w:pStyle w:val="Compact"/>
        <w:numPr>
          <w:ilvl w:val="0"/>
          <w:numId w:val="1007"/>
        </w:numPr>
      </w:pPr>
      <w:r>
        <w:t xml:space="preserve">Parametric extrapolation, fitted separately per arm (NICE DSU TSD 14): exponential, Weibull, Gompertz, log-normal,</w:t>
      </w:r>
      <w:r>
        <w:t xml:space="preserve"> </w:t>
      </w:r>
      <w:r>
        <w:t xml:space="preserve">log-logistic, generalised gamma. Select by AIC/BIC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visual fit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clinical plausibility of the long-term tail.</w:t>
      </w:r>
    </w:p>
    <w:p>
      <w:pPr>
        <w:pStyle w:val="Compact"/>
        <w:numPr>
          <w:ilvl w:val="0"/>
          <w:numId w:val="1007"/>
        </w:numPr>
      </w:pPr>
      <w:r>
        <w:t xml:space="preserve">Restricted mean survival time (RMST) at 5 years from KM, and mean survival over 30 years from the selected models;</w:t>
      </w:r>
      <w:r>
        <w:t xml:space="preserve"> </w:t>
      </w:r>
      <w:r>
        <w:t xml:space="preserve">life-years gained = difference between arms.</w:t>
      </w:r>
    </w:p>
    <w:p>
      <w:pPr>
        <w:pStyle w:val="Compact"/>
        <w:numPr>
          <w:ilvl w:val="0"/>
          <w:numId w:val="1007"/>
        </w:numPr>
      </w:pPr>
      <w:r>
        <w:t xml:space="preserve">Subgroups (pre-specified, exploratory): sex, age (&lt; 65 / ≥ 65), more than 4 positive nodes. HR for Lev+5FU vs Obs with</w:t>
      </w:r>
      <w:r>
        <w:t xml:space="preserve"> </w:t>
      </w:r>
      <w:r>
        <w:t xml:space="preserve">interaction p-values. No multiplicity adjustment; interpreted as hypothesis-generating only.</w:t>
      </w:r>
    </w:p>
    <w:bookmarkEnd w:id="31"/>
    <w:bookmarkStart w:id="32" w:name="analyses-network-meta-analysis"/>
    <w:p>
      <w:pPr>
        <w:pStyle w:val="Heading2"/>
      </w:pPr>
      <w:r>
        <w:t xml:space="preserve">4. Analyses: network meta-analysis</w:t>
      </w:r>
    </w:p>
    <w:p>
      <w:pPr>
        <w:pStyle w:val="Compact"/>
        <w:numPr>
          <w:ilvl w:val="0"/>
          <w:numId w:val="1008"/>
        </w:numPr>
      </w:pPr>
      <w:r>
        <w:t xml:space="preserve">Network plot; check connectivity.</w:t>
      </w:r>
    </w:p>
    <w:p>
      <w:pPr>
        <w:pStyle w:val="Compact"/>
        <w:numPr>
          <w:ilvl w:val="0"/>
          <w:numId w:val="1008"/>
        </w:numPr>
      </w:pPr>
      <w:r>
        <w:t xml:space="preserve">Frequentist random-effects NMA on the log odds ratio scale (</w:t>
      </w:r>
      <w:r>
        <w:rPr>
          <w:rStyle w:val="VerbatimChar"/>
        </w:rPr>
        <w:t xml:space="preserve">netmeta</w:t>
      </w:r>
      <w:r>
        <w:t xml:space="preserve">), reference = no contact. Report ORs (95% CI),</w:t>
      </w:r>
      <w:r>
        <w:t xml:space="preserve"> </w:t>
      </w:r>
      <w:r>
        <w:t xml:space="preserve">league table, P-scores, between-study heterogeneity (tau², I²).</w:t>
      </w:r>
    </w:p>
    <w:p>
      <w:pPr>
        <w:pStyle w:val="Compact"/>
        <w:numPr>
          <w:ilvl w:val="0"/>
          <w:numId w:val="1008"/>
        </w:numPr>
      </w:pPr>
      <w:r>
        <w:t xml:space="preserve">Inconsistency: design-by-treatment interaction test and node-splitting (direct vs indirect).</w:t>
      </w:r>
    </w:p>
    <w:p>
      <w:pPr>
        <w:pStyle w:val="Compact"/>
        <w:numPr>
          <w:ilvl w:val="0"/>
          <w:numId w:val="1008"/>
        </w:numPr>
      </w:pPr>
      <w:r>
        <w:t xml:space="preserve">Bayesian NMA (</w:t>
      </w:r>
      <w:r>
        <w:rPr>
          <w:rStyle w:val="VerbatimChar"/>
        </w:rPr>
        <w:t xml:space="preserve">gemtc</w:t>
      </w:r>
      <w:r>
        <w:t xml:space="preserve">, JAGS = BUGS language): binomial likelihood, logit link, fixed and random effects; vague priors;</w:t>
      </w:r>
      <w:r>
        <w:t xml:space="preserve"> </w:t>
      </w:r>
      <w:r>
        <w:t xml:space="preserve">4 chains, 20,000 iterations after 5,000 burn-in. Convergence: Gelman–Rubin PSRF &lt; 1.05 and trace plots.</w:t>
      </w:r>
      <w:r>
        <w:t xml:space="preserve"> </w:t>
      </w:r>
      <w:r>
        <w:t xml:space="preserve">Model choice by DIC. Report ORs (95% credible intervals), rank probabilities and SUCRA.</w:t>
      </w:r>
    </w:p>
    <w:p>
      <w:pPr>
        <w:pStyle w:val="Compact"/>
        <w:numPr>
          <w:ilvl w:val="0"/>
          <w:numId w:val="1008"/>
        </w:numPr>
      </w:pPr>
      <w:r>
        <w:t xml:space="preserve">Compare frequentist and Bayesian estimates.</w:t>
      </w:r>
    </w:p>
    <w:bookmarkEnd w:id="32"/>
    <w:bookmarkStart w:id="33" w:name="software-and-quality"/>
    <w:p>
      <w:pPr>
        <w:pStyle w:val="Heading2"/>
      </w:pPr>
      <w:r>
        <w:t xml:space="preserve">5. Software and quality</w:t>
      </w:r>
    </w:p>
    <w:p>
      <w:pPr>
        <w:pStyle w:val="FirstParagraph"/>
      </w:pPr>
      <w:r>
        <w:t xml:space="preserve">R 4.5; packages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flexsurv</w:t>
      </w:r>
      <w:r>
        <w:t xml:space="preserve">,</w:t>
      </w:r>
      <w:r>
        <w:t xml:space="preserve"> </w:t>
      </w:r>
      <w:r>
        <w:rPr>
          <w:rStyle w:val="VerbatimChar"/>
        </w:rPr>
        <w:t xml:space="preserve">netmeta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gemtc</w:t>
      </w:r>
      <w:r>
        <w:t xml:space="preserve">,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. Seeds fixed. Functions unit-tested with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against known values; tests run in GitHub Actions. All numbers in the README come from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</w:t>
      </w:r>
    </w:p>
    <w:bookmarkEnd w:id="33"/>
    <w:bookmarkStart w:id="34" w:name="deviations-from-plan"/>
    <w:p>
      <w:pPr>
        <w:pStyle w:val="Heading2"/>
      </w:pPr>
      <w:r>
        <w:t xml:space="preserve">6. Deviations from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Adjusted Cox model is complete-case</w:t>
      </w:r>
      <w:r>
        <w:t xml:space="preserve"> </w:t>
      </w:r>
      <w:r>
        <w:t xml:space="preserve">(906 of 929 patients): 23 patients have missing tumour differentiation. Not imputed.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Proportional hazards:</w:t>
      </w:r>
      <w:r>
        <w:t xml:space="preserve"> </w:t>
      </w:r>
      <w:r>
        <w:t xml:space="preserve">holds for treatment (p = 0.28) but not globally (p &lt; 0.001), driven by differentiation,</w:t>
      </w:r>
      <w:r>
        <w:t xml:space="preserve"> </w:t>
      </w:r>
      <w:r>
        <w:t xml:space="preserve">obstruction and &gt; 4 nodes. The treatment HR is reported as planned; a stratified or time-varying sensitivity analysis</w:t>
      </w:r>
      <w:r>
        <w:t xml:space="preserve"> </w:t>
      </w:r>
      <w:r>
        <w:t xml:space="preserve">for those covariates was not run and is listed as a next step.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general-population mortality cap</w:t>
      </w:r>
      <w:r>
        <w:t xml:space="preserve"> </w:t>
      </w:r>
      <w:r>
        <w:t xml:space="preserve">on the extrapolations (needs ONS life tables by age and sex). Planned for a later version.</w:t>
      </w:r>
    </w:p>
    <w:p>
      <w:pPr>
        <w:pStyle w:val="Compact"/>
        <w:numPr>
          <w:ilvl w:val="0"/>
          <w:numId w:val="1009"/>
        </w:numPr>
      </w:pPr>
      <w:r>
        <w:t xml:space="preserve">R 4.5 was used instead of R 4.4 (the version available for Apple Silicon at the time).</w:t>
      </w:r>
    </w:p>
    <w:bookmarkEnd w:id="34"/>
    <w:bookmarkEnd w:id="35"/>
    <w:sectPr>
      <w:pgSz w:h="16838" w:w="11906"/>
      <w:pgMar w:bottom="850" w:footer="0" w:gutter="0" w:header="0" w:left="850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4"/>
        <w:lang w:bidi="ar-SA" w:eastAsia="zh-CN" w:val="en-GB"/>
      </w:rPr>
    </w:rPrDefault>
    <w:pPrDefault>
      <w:pPr>
        <w:spacing w:after="4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4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before="120"/>
      <w:contextualSpacing/>
      <w:jc w:val="center"/>
    </w:pPr>
    <w:rPr>
      <w:rFonts w:ascii="Calibri" w:cs="Calibri" w:eastAsia="Calibri" w:hAnsi="Calibr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20"/>
      <w:outlineLvl w:val="0"/>
    </w:pPr>
    <w:rPr>
      <w:rFonts w:ascii="Calibri" w:cs="Calibri" w:eastAsia="Calibri" w:hAnsi="Calibri"/>
      <w:color w:val="1F3864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outlineLvl w:val="1"/>
    </w:pPr>
    <w:rPr>
      <w:rFonts w:ascii="Calibri" w:cs="Calibri" w:eastAsia="Calibri" w:hAnsi="Calibri"/>
      <w:color w:val="1F3864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ascii="Calibri" w:cs="Calibri" w:eastAsia="Calibri" w:hAnsi="Calibri"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Survival extrapolation and network meta-analysis for HTA</dc:title>
  <dc:creator/>
  <cp:keywords/>
  <dcterms:created xsi:type="dcterms:W3CDTF">2026-10-29T11:41:29Z</dcterms:created>
  <dcterms:modified xsi:type="dcterms:W3CDTF">2026-10-29T11:41:29Z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report, Sharon Okolo</vt:lpwstr>
  </property>
</Properties>
</file>