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wardHub</w:t>
      </w:r>
    </w:p>
    <w:p>
      <w:pPr>
        <w:spacing w:after="80"/>
        <w:jc w:val="center"/>
      </w:pPr>
      <w:r>
        <w:rPr>
          <w:rFonts w:ascii="Arial" w:cs="Arial" w:eastAsia="Arial" w:hAnsi="Arial"/>
          <w:b/>
          <w:bCs/>
          <w:color w:val="404040"/>
          <w:sz w:val="36"/>
          <w:szCs w:val="36"/>
        </w:rPr>
        <w:t xml:space="preserve">Clinical Safety Case Report</w:t>
      </w:r>
    </w:p>
    <w:p>
      <w:pPr>
        <w:spacing w:after="360"/>
        <w:jc w:val="center"/>
      </w:pPr>
      <w:r>
        <w:rPr>
          <w:rFonts w:ascii="Arial" w:cs="Arial" w:eastAsia="Arial" w:hAnsi="Arial"/>
          <w:color w:val="2E75B6"/>
          <w:sz w:val="24"/>
          <w:szCs w:val="24"/>
        </w:rPr>
        <w:t xml:space="preserve">DCB 0129 Compliance</w:t>
      </w:r>
    </w:p>
    <w:p>
      <w:pPr>
        <w:spacing w:after="60"/>
      </w:pPr>
      <w:r>
        <w:t xml:space="preserve"/>
      </w:r>
    </w:p>
    <w:p>
      <w:pPr>
        <w:pBdr>
          <w:top w:val="single" w:color="AAAAAA" w:sz="1"/>
          <w:bottom w:val="single" w:color="AAAAAA" w:sz="1"/>
          <w:left w:val="single" w:color="AAAAAA" w:sz="1"/>
          <w:right w:val="single" w:color="AAAAAA" w:sz="1"/>
        </w:pBdr>
        <w:shd w:fill="FFF2CC" w:val="clear"/>
        <w:spacing w:after="60" w:before="60"/>
        <w:jc w:val="center"/>
      </w:pPr>
      <w:r>
        <w:rPr>
          <w:rFonts w:ascii="Arial" w:cs="Arial" w:eastAsia="Arial" w:hAnsi="Arial"/>
          <w:b/>
          <w:bCs/>
          <w:color w:val="C00000"/>
          <w:sz w:val="20"/>
          <w:szCs w:val="20"/>
        </w:rPr>
        <w:t xml:space="preserve">DRAFT — Pending Clinical Safety Officer Review</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Document Reference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wardHub-CSCR-001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Version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0.1 (Draft)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 March 2026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Author</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 Ward Nursing Informatics Coordinator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Organisation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Derbyshire Healthcare NHS Foundation Trust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DRAFT — Pending Clinical Safety Officer Review</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1. Executive Summary</w:t>
      </w:r>
    </w:p>
    <w:p>
      <w:pPr>
        <w:spacing w:after="100"/>
      </w:pPr>
      <w:r>
        <w:rPr>
          <w:rFonts w:ascii="Arial" w:cs="Arial" w:eastAsia="Arial" w:hAnsi="Arial"/>
          <w:sz w:val="20"/>
          <w:szCs w:val="20"/>
        </w:rPr>
        <w:t xml:space="preserve">This Clinical Safety Case Report (CSCR) documents the clinical risk management activities undertaken during the development of wardHub, a reference and task management tool for NHS inpatient wards.</w:t>
      </w:r>
    </w:p>
    <w:p>
      <w:pPr>
        <w:spacing w:after="100"/>
      </w:pPr>
      <w:r>
        <w:rPr>
          <w:rFonts w:ascii="Arial" w:cs="Arial" w:eastAsia="Arial" w:hAnsi="Arial"/>
          <w:sz w:val="20"/>
          <w:szCs w:val="20"/>
        </w:rPr>
        <w:t xml:space="preserve">wardHub has been assessed against 14 identified clinical hazards across five categories. All hazards have been evaluated using a 5x5 risk matrix (severity x likelihood) and appropriate controls have been applied.</w:t>
      </w:r>
    </w:p>
    <w:p>
      <w:pPr>
        <w:spacing w:after="60"/>
      </w:pPr>
      <w:r>
        <w:t xml:space="preserve"/>
      </w:r>
    </w:p>
    <w:p>
      <w:pPr>
        <w:spacing w:after="100"/>
      </w:pPr>
      <w:r>
        <w:rPr>
          <w:rFonts w:ascii="Arial" w:cs="Arial" w:eastAsia="Arial" w:hAnsi="Arial"/>
          <w:b/>
          <w:bCs/>
          <w:sz w:val="20"/>
          <w:szCs w:val="20"/>
        </w:rPr>
        <w:t xml:space="preserve">Summary of residual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 (20–25)</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 (15–19)</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Significant (9–14)</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 (5–8)</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 (1–4)</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r>
    </w:tbl>
    <w:p>
      <w:pPr>
        <w:spacing w:after="60"/>
      </w:pPr>
      <w:r>
        <w:t xml:space="preserve"/>
      </w:r>
    </w:p>
    <w:p>
      <w:pPr>
        <w:spacing w:after="100"/>
      </w:pPr>
      <w:r>
        <w:rPr>
          <w:rFonts w:ascii="Arial" w:cs="Arial" w:eastAsia="Arial" w:hAnsi="Arial"/>
          <w:sz w:val="20"/>
          <w:szCs w:val="20"/>
        </w:rPr>
        <w:t xml:space="preserve">All residual risks are rated Low after controls. No hazards require elimination or senior clinical escalation before deployment of the Light version.</w:t>
      </w:r>
    </w:p>
    <w:p>
      <w:pPr>
        <w:spacing w:after="100"/>
      </w:pPr>
      <w:r>
        <w:rPr>
          <w:rFonts w:ascii="Arial" w:cs="Arial" w:eastAsia="Arial" w:hAnsi="Arial"/>
          <w:sz w:val="20"/>
          <w:szCs w:val="20"/>
        </w:rPr>
        <w:t xml:space="preserve">Key safety position: wardHub is a reference and task coordination tool. It does not automate clinical decisions, generate clinical recommendations, interface with medical devices, or replace clinical systems. It supplements existing ward processes — staff can stop using it at any time with no impact on clinical care.</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2. Introduction</w:t>
      </w:r>
    </w:p>
    <w:p>
      <w:pPr>
        <w:pStyle w:val="Heading2"/>
        <w:spacing w:after="120" w:before="240"/>
      </w:pPr>
      <w:r>
        <w:rPr>
          <w:rFonts w:ascii="Arial" w:cs="Arial" w:eastAsia="Arial" w:hAnsi="Arial"/>
          <w:b/>
          <w:bCs/>
          <w:color w:val="2E75B6"/>
          <w:sz w:val="24"/>
          <w:szCs w:val="24"/>
        </w:rPr>
        <w:t xml:space="preserve">2.1 Purpose</w:t>
      </w:r>
    </w:p>
    <w:p>
      <w:pPr>
        <w:spacing w:after="100"/>
      </w:pPr>
      <w:r>
        <w:rPr>
          <w:rFonts w:ascii="Arial" w:cs="Arial" w:eastAsia="Arial" w:hAnsi="Arial"/>
          <w:sz w:val="20"/>
          <w:szCs w:val="20"/>
        </w:rPr>
        <w:t xml:space="preserve">This report presents the clinical safety case for wardHub, providing evidence that the system is safe for its intended use. It summarises the clinical risk management process, identified hazards, applied controls, and residual risk positions.</w:t>
      </w:r>
    </w:p>
    <w:p>
      <w:pPr>
        <w:spacing w:after="100"/>
      </w:pPr>
      <w:r>
        <w:rPr>
          <w:rFonts w:ascii="Arial" w:cs="Arial" w:eastAsia="Arial" w:hAnsi="Arial"/>
          <w:sz w:val="20"/>
          <w:szCs w:val="20"/>
        </w:rPr>
        <w:t xml:space="preserve">This report has been prepared in accordance with DCB 0129: Clinical Risk Management — its Application in the Manufacture of Health IT Systems.</w:t>
      </w:r>
    </w:p>
    <w:p>
      <w:pPr>
        <w:pStyle w:val="Heading2"/>
        <w:spacing w:after="120" w:before="240"/>
      </w:pPr>
      <w:r>
        <w:rPr>
          <w:rFonts w:ascii="Arial" w:cs="Arial" w:eastAsia="Arial" w:hAnsi="Arial"/>
          <w:b/>
          <w:bCs/>
          <w:color w:val="2E75B6"/>
          <w:sz w:val="24"/>
          <w:szCs w:val="24"/>
        </w:rPr>
        <w:t xml:space="preserve">2.2 Intended Audience</w:t>
      </w:r>
    </w:p>
    <w:p>
      <w:pPr>
        <w:pStyle w:val="ListParagraph"/>
        <w:numPr>
          <w:ilvl w:val="0"/>
          <w:numId w:val="2"/>
        </w:numPr>
        <w:spacing w:after="60"/>
      </w:pPr>
      <w:r>
        <w:rPr>
          <w:rFonts w:ascii="Arial" w:cs="Arial" w:eastAsia="Arial" w:hAnsi="Arial"/>
          <w:sz w:val="20"/>
          <w:szCs w:val="20"/>
        </w:rPr>
        <w:t xml:space="preserve">Trust Clinical Safety Officer</w:t>
      </w:r>
    </w:p>
    <w:p>
      <w:pPr>
        <w:pStyle w:val="ListParagraph"/>
        <w:numPr>
          <w:ilvl w:val="0"/>
          <w:numId w:val="2"/>
        </w:numPr>
        <w:spacing w:after="60"/>
      </w:pPr>
      <w:r>
        <w:rPr>
          <w:rFonts w:ascii="Arial" w:cs="Arial" w:eastAsia="Arial" w:hAnsi="Arial"/>
          <w:sz w:val="20"/>
          <w:szCs w:val="20"/>
        </w:rPr>
        <w:t xml:space="preserve">Data Security and Protection Officer</w:t>
      </w:r>
    </w:p>
    <w:p>
      <w:pPr>
        <w:pStyle w:val="ListParagraph"/>
        <w:numPr>
          <w:ilvl w:val="0"/>
          <w:numId w:val="2"/>
        </w:numPr>
        <w:spacing w:after="60"/>
      </w:pPr>
      <w:r>
        <w:rPr>
          <w:rFonts w:ascii="Arial" w:cs="Arial" w:eastAsia="Arial" w:hAnsi="Arial"/>
          <w:sz w:val="20"/>
          <w:szCs w:val="20"/>
        </w:rPr>
        <w:t xml:space="preserve">Cybersecurity Lead</w:t>
      </w:r>
    </w:p>
    <w:p>
      <w:pPr>
        <w:pStyle w:val="ListParagraph"/>
        <w:numPr>
          <w:ilvl w:val="0"/>
          <w:numId w:val="2"/>
        </w:numPr>
        <w:spacing w:after="60"/>
      </w:pPr>
      <w:r>
        <w:rPr>
          <w:rFonts w:ascii="Arial" w:cs="Arial" w:eastAsia="Arial" w:hAnsi="Arial"/>
          <w:sz w:val="20"/>
          <w:szCs w:val="20"/>
        </w:rPr>
        <w:t xml:space="preserve">Digital Delivery Group</w:t>
      </w:r>
    </w:p>
    <w:p>
      <w:pPr>
        <w:pStyle w:val="ListParagraph"/>
        <w:numPr>
          <w:ilvl w:val="0"/>
          <w:numId w:val="2"/>
        </w:numPr>
        <w:spacing w:after="60"/>
      </w:pPr>
      <w:r>
        <w:rPr>
          <w:rFonts w:ascii="Arial" w:cs="Arial" w:eastAsia="Arial" w:hAnsi="Arial"/>
          <w:sz w:val="20"/>
          <w:szCs w:val="20"/>
        </w:rPr>
        <w:t xml:space="preserve">Ward Managers and Matrons</w:t>
      </w:r>
    </w:p>
    <w:p>
      <w:pPr>
        <w:spacing w:after="60"/>
      </w:pPr>
      <w:r>
        <w:t xml:space="preserve"/>
      </w:r>
    </w:p>
    <w:p>
      <w:pPr>
        <w:pStyle w:val="Heading2"/>
        <w:spacing w:after="120" w:before="240"/>
      </w:pPr>
      <w:r>
        <w:rPr>
          <w:rFonts w:ascii="Arial" w:cs="Arial" w:eastAsia="Arial" w:hAnsi="Arial"/>
          <w:b/>
          <w:bCs/>
          <w:color w:val="2E75B6"/>
          <w:sz w:val="24"/>
          <w:szCs w:val="24"/>
        </w:rPr>
        <w:t xml:space="preserve">2.3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Document</w:t>
            </w:r>
          </w:p>
        </w:tc>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Reference</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Risk Management Plan</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wardHub-CRMP-001</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Hazard Log</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wardHub-HL-001</w:t>
            </w:r>
          </w:p>
        </w:tc>
      </w:tr>
      <w:tr>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Data Protection Impact Assessment</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wardHub-DPIA-001 (scaffold in Dev Panel)</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3. System Description</w:t>
      </w:r>
    </w:p>
    <w:p>
      <w:pPr>
        <w:pStyle w:val="Heading2"/>
        <w:spacing w:after="120" w:before="240"/>
      </w:pPr>
      <w:r>
        <w:rPr>
          <w:rFonts w:ascii="Arial" w:cs="Arial" w:eastAsia="Arial" w:hAnsi="Arial"/>
          <w:b/>
          <w:bCs/>
          <w:color w:val="2E75B6"/>
          <w:sz w:val="24"/>
          <w:szCs w:val="24"/>
        </w:rPr>
        <w:t xml:space="preserve">3.1 Overview</w:t>
      </w:r>
    </w:p>
    <w:p>
      <w:pPr>
        <w:spacing w:after="100"/>
      </w:pPr>
      <w:r>
        <w:rPr>
          <w:rFonts w:ascii="Arial" w:cs="Arial" w:eastAsia="Arial" w:hAnsi="Arial"/>
          <w:sz w:val="20"/>
          <w:szCs w:val="20"/>
        </w:rPr>
        <w:t xml:space="preserve">wardHub is a web-based reference and task management tool designed for use on NHS inpatient mental health wards at Derbyshire Healthcare NHS Foundation Trust.</w:t>
      </w:r>
    </w:p>
    <w:p>
      <w:pPr>
        <w:spacing w:after="100"/>
      </w:pPr>
      <w:r>
        <w:rPr>
          <w:rFonts w:ascii="Arial" w:cs="Arial" w:eastAsia="Arial" w:hAnsi="Arial"/>
          <w:sz w:val="20"/>
          <w:szCs w:val="20"/>
        </w:rPr>
        <w:t xml:space="preserve">It combines three functions:</w:t>
      </w:r>
    </w:p>
    <w:p>
      <w:pPr>
        <w:pStyle w:val="ListParagraph"/>
        <w:numPr>
          <w:ilvl w:val="0"/>
          <w:numId w:val="2"/>
        </w:numPr>
        <w:spacing w:after="60"/>
      </w:pPr>
      <w:r>
        <w:rPr>
          <w:rFonts w:ascii="Arial" w:cs="Arial" w:eastAsia="Arial" w:hAnsi="Arial"/>
          <w:sz w:val="20"/>
          <w:szCs w:val="20"/>
        </w:rPr>
        <w:t xml:space="preserve">Interactive Guides — Step-by-step walkthroughs for referrals (17), assessments (7), and ward tasks (7). Each guide follows a standard 8-step template linking official forms, Trust SOPs, worked examples, submission details, and case note templates.</w:t>
      </w:r>
    </w:p>
    <w:p>
      <w:pPr>
        <w:pStyle w:val="ListParagraph"/>
        <w:numPr>
          <w:ilvl w:val="0"/>
          <w:numId w:val="2"/>
        </w:numPr>
        <w:spacing w:after="60"/>
      </w:pPr>
      <w:r>
        <w:rPr>
          <w:rFonts w:ascii="Arial" w:cs="Arial" w:eastAsia="Arial" w:hAnsi="Arial"/>
          <w:sz w:val="20"/>
          <w:szCs w:val="20"/>
        </w:rPr>
        <w:t xml:space="preserve">Electronic Jobs Diary — Shared ward diary with automatic task carry-forward between shifts. Three views: Ward Diary (whole team), My Diary (filtered to assigned patients), My Jobs (personal Kanban board). Supports task claiming, handover, and priority grouping.</w:t>
      </w:r>
    </w:p>
    <w:p>
      <w:pPr>
        <w:pStyle w:val="ListParagraph"/>
        <w:numPr>
          <w:ilvl w:val="0"/>
          <w:numId w:val="2"/>
        </w:numPr>
        <w:spacing w:after="60"/>
      </w:pPr>
      <w:r>
        <w:rPr>
          <w:rFonts w:ascii="Arial" w:cs="Arial" w:eastAsia="Arial" w:hAnsi="Arial"/>
          <w:sz w:val="20"/>
          <w:szCs w:val="20"/>
        </w:rPr>
        <w:t xml:space="preserve">Nexus Nudges (Max+ only) — Inbound webhook integration with the Trust's Nexus Assurance platform. One-way inbound — wardHub does not send data to Nexus.</w:t>
      </w:r>
    </w:p>
    <w:p>
      <w:pPr>
        <w:spacing w:after="60"/>
      </w:pPr>
      <w:r>
        <w:t xml:space="preserve"/>
      </w:r>
    </w:p>
    <w:p>
      <w:pPr>
        <w:pStyle w:val="Heading2"/>
        <w:spacing w:after="120" w:before="240"/>
      </w:pPr>
      <w:r>
        <w:rPr>
          <w:rFonts w:ascii="Arial" w:cs="Arial" w:eastAsia="Arial" w:hAnsi="Arial"/>
          <w:b/>
          <w:bCs/>
          <w:color w:val="2E75B6"/>
          <w:sz w:val="24"/>
          <w:szCs w:val="24"/>
        </w:rPr>
        <w:t xml:space="preserve">3.2 Intended Use</w:t>
      </w:r>
    </w:p>
    <w:p>
      <w:pPr>
        <w:pStyle w:val="ListParagraph"/>
        <w:numPr>
          <w:ilvl w:val="0"/>
          <w:numId w:val="2"/>
        </w:numPr>
        <w:spacing w:after="60"/>
      </w:pPr>
      <w:r>
        <w:rPr>
          <w:rFonts w:ascii="Arial" w:cs="Arial" w:eastAsia="Arial" w:hAnsi="Arial"/>
          <w:sz w:val="20"/>
          <w:szCs w:val="20"/>
        </w:rPr>
        <w:t xml:space="preserve">Reference tool for clinical ward processes (referrals, assessments, SOPs)</w:t>
      </w:r>
    </w:p>
    <w:p>
      <w:pPr>
        <w:pStyle w:val="ListParagraph"/>
        <w:numPr>
          <w:ilvl w:val="0"/>
          <w:numId w:val="2"/>
        </w:numPr>
        <w:spacing w:after="60"/>
      </w:pPr>
      <w:r>
        <w:rPr>
          <w:rFonts w:ascii="Arial" w:cs="Arial" w:eastAsia="Arial" w:hAnsi="Arial"/>
          <w:sz w:val="20"/>
          <w:szCs w:val="20"/>
        </w:rPr>
        <w:t xml:space="preserve">Operational coordination tool for shift task management</w:t>
      </w:r>
    </w:p>
    <w:p>
      <w:pPr>
        <w:pStyle w:val="ListParagraph"/>
        <w:numPr>
          <w:ilvl w:val="0"/>
          <w:numId w:val="2"/>
        </w:numPr>
        <w:spacing w:after="60"/>
      </w:pPr>
      <w:r>
        <w:rPr>
          <w:rFonts w:ascii="Arial" w:cs="Arial" w:eastAsia="Arial" w:hAnsi="Arial"/>
          <w:sz w:val="20"/>
          <w:szCs w:val="20"/>
        </w:rPr>
        <w:t xml:space="preserve">Onboarding aid for new starters, bank staff, and agency nurses</w:t>
      </w:r>
    </w:p>
    <w:p>
      <w:pPr>
        <w:pStyle w:val="ListParagraph"/>
        <w:numPr>
          <w:ilvl w:val="0"/>
          <w:numId w:val="2"/>
        </w:numPr>
        <w:spacing w:after="60"/>
      </w:pPr>
      <w:r>
        <w:rPr>
          <w:rFonts w:ascii="Arial" w:cs="Arial" w:eastAsia="Arial" w:hAnsi="Arial"/>
          <w:sz w:val="20"/>
          <w:szCs w:val="20"/>
        </w:rPr>
        <w:t xml:space="preserve">Supplementary audit reminder system (Max+ version)</w:t>
      </w:r>
    </w:p>
    <w:p>
      <w:pPr>
        <w:spacing w:after="60"/>
      </w:pPr>
      <w:r>
        <w:t xml:space="preserve"/>
      </w:r>
    </w:p>
    <w:p>
      <w:pPr>
        <w:pStyle w:val="Heading2"/>
        <w:spacing w:after="120" w:before="240"/>
      </w:pPr>
      <w:r>
        <w:rPr>
          <w:rFonts w:ascii="Arial" w:cs="Arial" w:eastAsia="Arial" w:hAnsi="Arial"/>
          <w:b/>
          <w:bCs/>
          <w:color w:val="2E75B6"/>
          <w:sz w:val="24"/>
          <w:szCs w:val="24"/>
        </w:rPr>
        <w:t xml:space="preserve">3.3 Not Intended For</w:t>
      </w:r>
    </w:p>
    <w:p>
      <w:pPr>
        <w:pStyle w:val="ListParagraph"/>
        <w:numPr>
          <w:ilvl w:val="0"/>
          <w:numId w:val="2"/>
        </w:numPr>
        <w:spacing w:after="60"/>
      </w:pPr>
      <w:r>
        <w:rPr>
          <w:rFonts w:ascii="Arial" w:cs="Arial" w:eastAsia="Arial" w:hAnsi="Arial"/>
          <w:sz w:val="20"/>
          <w:szCs w:val="20"/>
        </w:rPr>
        <w:t xml:space="preserve">Clinical decision-making or clinical assessment</w:t>
      </w:r>
    </w:p>
    <w:p>
      <w:pPr>
        <w:pStyle w:val="ListParagraph"/>
        <w:numPr>
          <w:ilvl w:val="0"/>
          <w:numId w:val="2"/>
        </w:numPr>
        <w:spacing w:after="60"/>
      </w:pPr>
      <w:r>
        <w:rPr>
          <w:rFonts w:ascii="Arial" w:cs="Arial" w:eastAsia="Arial" w:hAnsi="Arial"/>
          <w:sz w:val="20"/>
          <w:szCs w:val="20"/>
        </w:rPr>
        <w:t xml:space="preserve">Diagnosis, treatment planning, or prescribing</w:t>
      </w:r>
    </w:p>
    <w:p>
      <w:pPr>
        <w:pStyle w:val="ListParagraph"/>
        <w:numPr>
          <w:ilvl w:val="0"/>
          <w:numId w:val="2"/>
        </w:numPr>
        <w:spacing w:after="60"/>
      </w:pPr>
      <w:r>
        <w:rPr>
          <w:rFonts w:ascii="Arial" w:cs="Arial" w:eastAsia="Arial" w:hAnsi="Arial"/>
          <w:sz w:val="20"/>
          <w:szCs w:val="20"/>
        </w:rPr>
        <w:t xml:space="preserve">Replacement of SystmOne, FOCUS, Nexus, or any existing clinical system</w:t>
      </w:r>
    </w:p>
    <w:p>
      <w:pPr>
        <w:pStyle w:val="ListParagraph"/>
        <w:numPr>
          <w:ilvl w:val="0"/>
          <w:numId w:val="2"/>
        </w:numPr>
        <w:spacing w:after="60"/>
      </w:pPr>
      <w:r>
        <w:rPr>
          <w:rFonts w:ascii="Arial" w:cs="Arial" w:eastAsia="Arial" w:hAnsi="Arial"/>
          <w:sz w:val="20"/>
          <w:szCs w:val="20"/>
        </w:rPr>
        <w:t xml:space="preserve">Storing clinical notes or care plans</w:t>
      </w:r>
    </w:p>
    <w:p>
      <w:pPr>
        <w:pStyle w:val="ListParagraph"/>
        <w:numPr>
          <w:ilvl w:val="0"/>
          <w:numId w:val="2"/>
        </w:numPr>
        <w:spacing w:after="60"/>
      </w:pPr>
      <w:r>
        <w:rPr>
          <w:rFonts w:ascii="Arial" w:cs="Arial" w:eastAsia="Arial" w:hAnsi="Arial"/>
          <w:sz w:val="20"/>
          <w:szCs w:val="20"/>
        </w:rPr>
        <w:t xml:space="preserve">Medical device use or life-critical applications</w:t>
      </w:r>
    </w:p>
    <w:p>
      <w:pPr>
        <w:spacing w:after="60"/>
      </w:pPr>
      <w:r>
        <w:t xml:space="preserve"/>
      </w:r>
    </w:p>
    <w:p>
      <w:pPr>
        <w:pStyle w:val="Heading2"/>
        <w:spacing w:after="120" w:before="240"/>
      </w:pPr>
      <w:r>
        <w:rPr>
          <w:rFonts w:ascii="Arial" w:cs="Arial" w:eastAsia="Arial" w:hAnsi="Arial"/>
          <w:b/>
          <w:bCs/>
          <w:color w:val="2E75B6"/>
          <w:sz w:val="24"/>
          <w:szCs w:val="24"/>
        </w:rPr>
        <w:t xml:space="preserve">3.4 Deployment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800"/>
        <w:gridCol w:w="2200"/>
        <w:gridCol w:w="1626"/>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Features</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PII</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Hosting</w:t>
            </w:r>
          </w:p>
        </w:tc>
        <w:tc>
          <w:tcPr>
            <w:tcW w:type="dxa" w:w="1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Light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Guides, bookmarks, referral workflows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Vercel (public)</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Demo-ready</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Internal Trust content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Behind FOCUS firewall</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Planned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Max</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Ward Diary, Patient List, Tasks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Trust infrastructure</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Planned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Max+</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Nexus webhook integration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Trust infrastructure</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Planned</w:t>
            </w:r>
          </w:p>
        </w:tc>
      </w:tr>
    </w:tbl>
    <w:p>
      <w:pPr>
        <w:spacing w:after="60"/>
      </w:pPr>
      <w:r>
        <w:t xml:space="preserve"/>
      </w:r>
    </w:p>
    <w:p>
      <w:pPr>
        <w:spacing w:after="100"/>
      </w:pPr>
      <w:r>
        <w:rPr>
          <w:rFonts w:ascii="Arial" w:cs="Arial" w:eastAsia="Arial" w:hAnsi="Arial"/>
          <w:sz w:val="20"/>
          <w:szCs w:val="20"/>
        </w:rPr>
        <w:t xml:space="preserve">The Light version is the current target for pilot. It contains no patient-identifiable information and uses entirely fictional demo data.</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4. Clinical Risk Management Process</w:t>
      </w:r>
    </w:p>
    <w:p>
      <w:pPr>
        <w:pStyle w:val="Heading2"/>
        <w:spacing w:after="120" w:before="240"/>
      </w:pPr>
      <w:r>
        <w:rPr>
          <w:rFonts w:ascii="Arial" w:cs="Arial" w:eastAsia="Arial" w:hAnsi="Arial"/>
          <w:b/>
          <w:bCs/>
          <w:color w:val="2E75B6"/>
          <w:sz w:val="24"/>
          <w:szCs w:val="24"/>
        </w:rPr>
        <w:t xml:space="preserve">4.1 Approach</w:t>
      </w:r>
    </w:p>
    <w:p>
      <w:pPr>
        <w:spacing w:after="100"/>
      </w:pPr>
      <w:r>
        <w:rPr>
          <w:rFonts w:ascii="Arial" w:cs="Arial" w:eastAsia="Arial" w:hAnsi="Arial"/>
          <w:sz w:val="20"/>
          <w:szCs w:val="20"/>
        </w:rPr>
        <w:t xml:space="preserve">Clinical risk management has been integrated into the development lifecycle as described in the Clinical Risk Management Plan (wardHub-CRMP-001).</w:t>
      </w:r>
    </w:p>
    <w:p>
      <w:pPr>
        <w:spacing w:after="100"/>
      </w:pPr>
      <w:r>
        <w:rPr>
          <w:rFonts w:ascii="Arial" w:cs="Arial" w:eastAsia="Arial" w:hAnsi="Arial"/>
          <w:sz w:val="20"/>
          <w:szCs w:val="20"/>
        </w:rPr>
        <w:t xml:space="preserve">Hazards were identified through:</w:t>
      </w:r>
    </w:p>
    <w:p>
      <w:pPr>
        <w:pStyle w:val="ListParagraph"/>
        <w:numPr>
          <w:ilvl w:val="0"/>
          <w:numId w:val="2"/>
        </w:numPr>
        <w:spacing w:after="60"/>
      </w:pPr>
      <w:r>
        <w:rPr>
          <w:rFonts w:ascii="Arial" w:cs="Arial" w:eastAsia="Arial" w:hAnsi="Arial"/>
          <w:sz w:val="20"/>
          <w:szCs w:val="20"/>
        </w:rPr>
        <w:t xml:space="preserve">Functional analysis of each system feature</w:t>
      </w:r>
    </w:p>
    <w:p>
      <w:pPr>
        <w:pStyle w:val="ListParagraph"/>
        <w:numPr>
          <w:ilvl w:val="0"/>
          <w:numId w:val="2"/>
        </w:numPr>
        <w:spacing w:after="60"/>
      </w:pPr>
      <w:r>
        <w:rPr>
          <w:rFonts w:ascii="Arial" w:cs="Arial" w:eastAsia="Arial" w:hAnsi="Arial"/>
          <w:sz w:val="20"/>
          <w:szCs w:val="20"/>
        </w:rPr>
        <w:t xml:space="preserve">Failure mode analysis</w:t>
      </w:r>
    </w:p>
    <w:p>
      <w:pPr>
        <w:pStyle w:val="ListParagraph"/>
        <w:numPr>
          <w:ilvl w:val="0"/>
          <w:numId w:val="2"/>
        </w:numPr>
        <w:spacing w:after="60"/>
      </w:pPr>
      <w:r>
        <w:rPr>
          <w:rFonts w:ascii="Arial" w:cs="Arial" w:eastAsia="Arial" w:hAnsi="Arial"/>
          <w:sz w:val="20"/>
          <w:szCs w:val="20"/>
        </w:rPr>
        <w:t xml:space="preserve">Review of similar systems and known ward workflow risks</w:t>
      </w:r>
    </w:p>
    <w:p>
      <w:pPr>
        <w:pStyle w:val="ListParagraph"/>
        <w:numPr>
          <w:ilvl w:val="0"/>
          <w:numId w:val="2"/>
        </w:numPr>
        <w:spacing w:after="60"/>
      </w:pPr>
      <w:r>
        <w:rPr>
          <w:rFonts w:ascii="Arial" w:cs="Arial" w:eastAsia="Arial" w:hAnsi="Arial"/>
          <w:sz w:val="20"/>
          <w:szCs w:val="20"/>
        </w:rPr>
        <w:t xml:space="preserve">Structured what-if analysis of clinical scenarios</w:t>
      </w:r>
    </w:p>
    <w:p>
      <w:pPr>
        <w:spacing w:after="60"/>
      </w:pPr>
      <w:r>
        <w:t xml:space="preserve"/>
      </w:r>
    </w:p>
    <w:p>
      <w:pPr>
        <w:pStyle w:val="Heading2"/>
        <w:spacing w:after="120" w:before="240"/>
      </w:pPr>
      <w:r>
        <w:rPr>
          <w:rFonts w:ascii="Arial" w:cs="Arial" w:eastAsia="Arial" w:hAnsi="Arial"/>
          <w:b/>
          <w:bCs/>
          <w:color w:val="2E75B6"/>
          <w:sz w:val="24"/>
          <w:szCs w:val="24"/>
        </w:rPr>
        <w:t xml:space="preserve">4.2 Risk Assessment Methodology</w:t>
      </w:r>
    </w:p>
    <w:p>
      <w:pPr>
        <w:spacing w:after="100"/>
      </w:pPr>
      <w:r>
        <w:rPr>
          <w:rFonts w:ascii="Arial" w:cs="Arial" w:eastAsia="Arial" w:hAnsi="Arial"/>
          <w:sz w:val="20"/>
          <w:szCs w:val="20"/>
        </w:rPr>
        <w:t xml:space="preserve">Each hazard was assessed using a 5x5 matrix:</w:t>
      </w:r>
    </w:p>
    <w:p>
      <w:pPr>
        <w:pStyle w:val="ListParagraph"/>
        <w:numPr>
          <w:ilvl w:val="0"/>
          <w:numId w:val="2"/>
        </w:numPr>
        <w:spacing w:after="60"/>
      </w:pPr>
      <w:r>
        <w:rPr>
          <w:rFonts w:ascii="Arial" w:cs="Arial" w:eastAsia="Arial" w:hAnsi="Arial"/>
          <w:sz w:val="20"/>
          <w:szCs w:val="20"/>
        </w:rPr>
        <w:t xml:space="preserve">Severity rated 1 (Negligible) to 5 (Catastrophic)</w:t>
      </w:r>
    </w:p>
    <w:p>
      <w:pPr>
        <w:pStyle w:val="ListParagraph"/>
        <w:numPr>
          <w:ilvl w:val="0"/>
          <w:numId w:val="2"/>
        </w:numPr>
        <w:spacing w:after="60"/>
      </w:pPr>
      <w:r>
        <w:rPr>
          <w:rFonts w:ascii="Arial" w:cs="Arial" w:eastAsia="Arial" w:hAnsi="Arial"/>
          <w:sz w:val="20"/>
          <w:szCs w:val="20"/>
        </w:rPr>
        <w:t xml:space="preserve">Likelihood rated 1 (Very Low) to 5 (Very High)</w:t>
      </w:r>
    </w:p>
    <w:p>
      <w:pPr>
        <w:pStyle w:val="ListParagraph"/>
        <w:numPr>
          <w:ilvl w:val="0"/>
          <w:numId w:val="2"/>
        </w:numPr>
        <w:spacing w:after="60"/>
      </w:pPr>
      <w:r>
        <w:rPr>
          <w:rFonts w:ascii="Arial" w:cs="Arial" w:eastAsia="Arial" w:hAnsi="Arial"/>
          <w:sz w:val="20"/>
          <w:szCs w:val="20"/>
        </w:rPr>
        <w:t xml:space="preserve">Risk score = Severity x Likelihood</w:t>
      </w:r>
    </w:p>
    <w:p>
      <w:pPr>
        <w:pStyle w:val="ListParagraph"/>
        <w:numPr>
          <w:ilvl w:val="0"/>
          <w:numId w:val="2"/>
        </w:numPr>
        <w:spacing w:after="60"/>
      </w:pPr>
      <w:r>
        <w:rPr>
          <w:rFonts w:ascii="Arial" w:cs="Arial" w:eastAsia="Arial" w:hAnsi="Arial"/>
          <w:sz w:val="20"/>
          <w:szCs w:val="20"/>
        </w:rPr>
        <w:t xml:space="preserve">Risk acceptability per defined thresholds (see Hazard Log wardHub-HL-001)</w:t>
      </w:r>
    </w:p>
    <w:p>
      <w:pPr>
        <w:spacing w:after="60"/>
      </w:pPr>
      <w:r>
        <w:t xml:space="preserve"/>
      </w:r>
    </w:p>
    <w:p>
      <w:pPr>
        <w:pStyle w:val="Heading2"/>
        <w:spacing w:after="120" w:before="240"/>
      </w:pPr>
      <w:r>
        <w:rPr>
          <w:rFonts w:ascii="Arial" w:cs="Arial" w:eastAsia="Arial" w:hAnsi="Arial"/>
          <w:b/>
          <w:bCs/>
          <w:color w:val="2E75B6"/>
          <w:sz w:val="24"/>
          <w:szCs w:val="24"/>
        </w:rPr>
        <w:t xml:space="preserve">4.3 Clinical Safety Officer</w:t>
      </w:r>
    </w:p>
    <w:p>
      <w:pPr>
        <w:spacing w:after="100"/>
      </w:pPr>
      <w:r>
        <w:rPr>
          <w:rFonts w:ascii="Arial" w:cs="Arial" w:eastAsia="Arial" w:hAnsi="Arial"/>
          <w:sz w:val="20"/>
          <w:szCs w:val="20"/>
        </w:rPr>
        <w:t xml:space="preserve">A Clinical Safety Officer has not yet been formally appointed for this project. The developer (Ward NIC) holds current NMC registration and clinical experience on the wards where the system will be used.</w:t>
      </w:r>
    </w:p>
    <w:p>
      <w:pPr>
        <w:spacing w:after="100"/>
      </w:pPr>
      <w:r>
        <w:rPr>
          <w:rFonts w:ascii="Arial" w:cs="Arial" w:eastAsia="Arial" w:hAnsi="Arial"/>
          <w:sz w:val="20"/>
          <w:szCs w:val="20"/>
        </w:rPr>
        <w:t xml:space="preserve">This is identified as a required action before Max/Max+ deployment. For the Light version pilot, initial hazard identification has been conducted by the developer with this report submitted for CSO review.</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5. Hazard Summary</w:t>
      </w:r>
    </w:p>
    <w:p>
      <w:pPr>
        <w:pStyle w:val="Heading2"/>
        <w:spacing w:after="120" w:before="240"/>
      </w:pPr>
      <w:r>
        <w:rPr>
          <w:rFonts w:ascii="Arial" w:cs="Arial" w:eastAsia="Arial" w:hAnsi="Arial"/>
          <w:b/>
          <w:bCs/>
          <w:color w:val="2E75B6"/>
          <w:sz w:val="24"/>
          <w:szCs w:val="24"/>
        </w:rPr>
        <w:t xml:space="preserve">5.1 Hazard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Hazards</w:t>
            </w:r>
          </w:p>
        </w:tc>
        <w:tc>
          <w:tcPr>
            <w:tcW w:type="dxa" w:w="4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 Clinical Content &amp; Guidance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HAZ-001 to HAZ-003</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Risks relating to accuracy and currency of referral guides, SOPs, and contact details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 — Task Management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HAZ-004 to HAZ-007</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Risks relating to task assignment, visibility, completion, and handover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 — Patient Management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HAZ-008 to HAZ-010</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Risks relating to discharge, patient transfer, and Ward Professional assignment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 — System Availability &amp; Data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HAZ-011 to HAZ-013</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Risks relating to downtime, software bugs, and unauthorised access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E — Nexus Integration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HAZ-014</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Risks relating to webhook-based audit task completion (Max+ only)</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5.2 Risk Profile</w:t>
      </w:r>
    </w:p>
    <w:p>
      <w:pPr>
        <w:spacing w:after="100"/>
      </w:pPr>
      <w:r>
        <w:rPr>
          <w:rFonts w:ascii="Arial" w:cs="Arial" w:eastAsia="Arial" w:hAnsi="Arial"/>
          <w:b/>
          <w:bCs/>
          <w:sz w:val="20"/>
          <w:szCs w:val="20"/>
        </w:rPr>
        <w:t xml:space="preserve">Initial risk (before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4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Hazard IDs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HAZ-008</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HAZ-001 to HAZ-007, HAZ-009 to HAZ-014</w:t>
            </w:r>
          </w:p>
        </w:tc>
      </w:tr>
    </w:tbl>
    <w:p>
      <w:pPr>
        <w:spacing w:after="60"/>
      </w:pPr>
      <w:r>
        <w:t xml:space="preserve"/>
      </w:r>
    </w:p>
    <w:p>
      <w:pPr>
        <w:spacing w:after="100"/>
      </w:pPr>
      <w:r>
        <w:rPr>
          <w:rFonts w:ascii="Arial" w:cs="Arial" w:eastAsia="Arial" w:hAnsi="Arial"/>
          <w:b/>
          <w:bCs/>
          <w:sz w:val="20"/>
          <w:szCs w:val="20"/>
        </w:rPr>
        <w:t xml:space="preserve">Residual risk (after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4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Hazard IDs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All</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5.3 Highest-Severity Hazards</w:t>
      </w:r>
    </w:p>
    <w:p>
      <w:pPr>
        <w:spacing w:after="100"/>
      </w:pPr>
      <w:r>
        <w:rPr>
          <w:rFonts w:ascii="Arial" w:cs="Arial" w:eastAsia="Arial" w:hAnsi="Arial"/>
          <w:sz w:val="20"/>
          <w:szCs w:val="20"/>
        </w:rPr>
        <w:t xml:space="preserve">Two hazards have a severity rating of 4 (Major), both with residual risk of Low:</w:t>
      </w:r>
    </w:p>
    <w:p>
      <w:pPr>
        <w:spacing w:after="60"/>
      </w:pPr>
      <w:r>
        <w:t xml:space="preserve"/>
      </w:r>
    </w:p>
    <w:p>
      <w:pPr>
        <w:spacing w:after="80"/>
      </w:pPr>
      <w:r>
        <w:rPr>
          <w:rFonts w:ascii="Arial" w:cs="Arial" w:eastAsia="Arial" w:hAnsi="Arial"/>
          <w:b/>
          <w:bCs/>
          <w:sz w:val="20"/>
          <w:szCs w:val="20"/>
        </w:rPr>
        <w:t xml:space="preserve">HAZ-002 — User relies solely on wardHub guide instead of clinical judgement</w:t>
      </w:r>
    </w:p>
    <w:p>
      <w:pPr>
        <w:spacing w:after="100"/>
      </w:pPr>
      <w:r>
        <w:rPr>
          <w:rFonts w:ascii="Arial" w:cs="Arial" w:eastAsia="Arial" w:hAnsi="Arial"/>
          <w:sz w:val="20"/>
          <w:szCs w:val="20"/>
        </w:rPr>
        <w:t xml:space="preserve">Severity 4, Likelihood 1, Residual Risk 4 (Low). Controlled by: tool explicitly positioned as reference aid; no clinical decisions automated; existing supervision structures unchanged.</w:t>
      </w:r>
    </w:p>
    <w:p>
      <w:pPr>
        <w:spacing w:after="60"/>
      </w:pPr>
      <w:r>
        <w:t xml:space="preserve"/>
      </w:r>
    </w:p>
    <w:p>
      <w:pPr>
        <w:spacing w:after="80"/>
      </w:pPr>
      <w:r>
        <w:rPr>
          <w:rFonts w:ascii="Arial" w:cs="Arial" w:eastAsia="Arial" w:hAnsi="Arial"/>
          <w:b/>
          <w:bCs/>
          <w:sz w:val="20"/>
          <w:szCs w:val="20"/>
        </w:rPr>
        <w:t xml:space="preserve">HAZ-008 — Discharge without completing safety-critical tasks</w:t>
      </w:r>
    </w:p>
    <w:p>
      <w:pPr>
        <w:spacing w:after="100"/>
      </w:pPr>
      <w:r>
        <w:rPr>
          <w:rFonts w:ascii="Arial" w:cs="Arial" w:eastAsia="Arial" w:hAnsi="Arial"/>
          <w:sz w:val="20"/>
          <w:szCs w:val="20"/>
        </w:rPr>
        <w:t xml:space="preserve">Severity 4, Likelihood 1, Residual Risk 4 (Low). Controlled by: discharge flow shows outstanding tasks; Ward Admin confirmation required; audit log; SystmOne discharge remains authoritative.</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6. Safety Claims</w:t>
      </w:r>
    </w:p>
    <w:p>
      <w:pPr>
        <w:pStyle w:val="Heading2"/>
        <w:spacing w:after="120" w:before="240"/>
      </w:pPr>
      <w:r>
        <w:rPr>
          <w:rFonts w:ascii="Arial" w:cs="Arial" w:eastAsia="Arial" w:hAnsi="Arial"/>
          <w:b/>
          <w:bCs/>
          <w:color w:val="2E75B6"/>
          <w:sz w:val="24"/>
          <w:szCs w:val="24"/>
        </w:rPr>
        <w:t xml:space="preserve">6.1 Primary Safety Claim</w:t>
      </w:r>
    </w:p>
    <w:p>
      <w:pPr>
        <w:spacing w:after="120"/>
      </w:pPr>
      <w:r>
        <w:rPr>
          <w:rFonts w:ascii="Arial" w:cs="Arial" w:eastAsia="Arial" w:hAnsi="Arial"/>
          <w:b/>
          <w:bCs/>
          <w:color w:val="1F4E79"/>
          <w:sz w:val="20"/>
          <w:szCs w:val="20"/>
        </w:rPr>
        <w:t xml:space="preserve">wardHub is safe for deployment in its intended use as a reference and task coordination tool for NHS inpatient wards.</w:t>
      </w:r>
    </w:p>
    <w:p>
      <w:pPr>
        <w:pStyle w:val="Heading2"/>
        <w:spacing w:after="120" w:before="240"/>
      </w:pPr>
      <w:r>
        <w:rPr>
          <w:rFonts w:ascii="Arial" w:cs="Arial" w:eastAsia="Arial" w:hAnsi="Arial"/>
          <w:b/>
          <w:bCs/>
          <w:color w:val="2E75B6"/>
          <w:sz w:val="24"/>
          <w:szCs w:val="24"/>
        </w:rPr>
        <w:t xml:space="preserve">6.2 Supporting Arguments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Argument</w:t>
            </w:r>
          </w:p>
        </w:tc>
        <w:tc>
          <w:tcPr>
            <w:tcW w:type="dxa" w:w="49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 does not replace clinical decision-making</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 diagnostic features, no treatment recommendations, no automated clinical alerts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 does not replace existing clinical systems</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SystmOne, FOCUS, and Nexus remain authoritative. wardHub supplements all three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All identified hazards have been assessed and controlled</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Hazard Log (wardHub-HL-001): 14 hazards, all residual risk Low</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Guidance content sourced from authoritative sources</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All guides include source links. Verification badge system tracks review dates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Task management supplements existing ward processes</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Paper diary remains as fallback. Staff can stop using wardHub at any time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Light pilot contains no patient data</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All data fictional. No PII processed. Browser localStorage only</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Users can report problems through built-in mechanisms</w:t>
            </w:r>
          </w:p>
        </w:tc>
        <w:tc>
          <w:tcPr>
            <w:tcW w:type="dxa" w:w="49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Report Problem button on every guide. Feedback page. Verification modal</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6.3 Limitations</w:t>
      </w:r>
    </w:p>
    <w:p>
      <w:pPr>
        <w:pStyle w:val="ListParagraph"/>
        <w:numPr>
          <w:ilvl w:val="0"/>
          <w:numId w:val="2"/>
        </w:numPr>
        <w:spacing w:after="60"/>
      </w:pPr>
      <w:r>
        <w:rPr>
          <w:rFonts w:ascii="Arial" w:cs="Arial" w:eastAsia="Arial" w:hAnsi="Arial"/>
          <w:sz w:val="20"/>
          <w:szCs w:val="20"/>
        </w:rPr>
        <w:t xml:space="preserve">This safety case has been prepared by the developer (Ward NIC, NMC registered) — not by a formally trained Clinical Safety Officer</w:t>
      </w:r>
    </w:p>
    <w:p>
      <w:pPr>
        <w:pStyle w:val="ListParagraph"/>
        <w:numPr>
          <w:ilvl w:val="0"/>
          <w:numId w:val="2"/>
        </w:numPr>
        <w:spacing w:after="60"/>
      </w:pPr>
      <w:r>
        <w:rPr>
          <w:rFonts w:ascii="Arial" w:cs="Arial" w:eastAsia="Arial" w:hAnsi="Arial"/>
          <w:sz w:val="20"/>
          <w:szCs w:val="20"/>
        </w:rPr>
        <w:t xml:space="preserve">The hazard log represents initial identification — additional hazards may be identified during pilot use or CSO review</w:t>
      </w:r>
    </w:p>
    <w:p>
      <w:pPr>
        <w:pStyle w:val="ListParagraph"/>
        <w:numPr>
          <w:ilvl w:val="0"/>
          <w:numId w:val="2"/>
        </w:numPr>
        <w:spacing w:after="60"/>
      </w:pPr>
      <w:r>
        <w:rPr>
          <w:rFonts w:ascii="Arial" w:cs="Arial" w:eastAsia="Arial" w:hAnsi="Arial"/>
          <w:sz w:val="20"/>
          <w:szCs w:val="20"/>
        </w:rPr>
        <w:t xml:space="preserve">The safety case for Max/Max+ versions (with PII) will require more detailed analysis, DPIA completion, and CSO sign-off</w:t>
      </w:r>
    </w:p>
    <w:p>
      <w:pPr>
        <w:pStyle w:val="ListParagraph"/>
        <w:numPr>
          <w:ilvl w:val="0"/>
          <w:numId w:val="2"/>
        </w:numPr>
        <w:spacing w:after="60"/>
      </w:pPr>
      <w:r>
        <w:rPr>
          <w:rFonts w:ascii="Arial" w:cs="Arial" w:eastAsia="Arial" w:hAnsi="Arial"/>
          <w:sz w:val="20"/>
          <w:szCs w:val="20"/>
        </w:rPr>
        <w:t xml:space="preserve">No formal usability testing has been conducted beyond the developer and ward colleagues</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7. Risk Management in Live Service</w:t>
      </w:r>
    </w:p>
    <w:p>
      <w:pPr>
        <w:pStyle w:val="Heading2"/>
        <w:spacing w:after="120" w:before="240"/>
      </w:pPr>
      <w:r>
        <w:rPr>
          <w:rFonts w:ascii="Arial" w:cs="Arial" w:eastAsia="Arial" w:hAnsi="Arial"/>
          <w:b/>
          <w:bCs/>
          <w:color w:val="2E75B6"/>
          <w:sz w:val="24"/>
          <w:szCs w:val="24"/>
        </w:rPr>
        <w:t xml:space="preserve">7.1 Monitoring</w:t>
      </w:r>
    </w:p>
    <w:p>
      <w:pPr>
        <w:pStyle w:val="ListParagraph"/>
        <w:numPr>
          <w:ilvl w:val="0"/>
          <w:numId w:val="2"/>
        </w:numPr>
        <w:spacing w:after="60"/>
      </w:pPr>
      <w:r>
        <w:rPr>
          <w:rFonts w:ascii="Arial" w:cs="Arial" w:eastAsia="Arial" w:hAnsi="Arial"/>
          <w:sz w:val="20"/>
          <w:szCs w:val="20"/>
        </w:rPr>
        <w:t xml:space="preserve">Built-in feedback mechanism (accessible to all users)</w:t>
      </w:r>
    </w:p>
    <w:p>
      <w:pPr>
        <w:pStyle w:val="ListParagraph"/>
        <w:numPr>
          <w:ilvl w:val="0"/>
          <w:numId w:val="2"/>
        </w:numPr>
        <w:spacing w:after="60"/>
      </w:pPr>
      <w:r>
        <w:rPr>
          <w:rFonts w:ascii="Arial" w:cs="Arial" w:eastAsia="Arial" w:hAnsi="Arial"/>
          <w:sz w:val="20"/>
          <w:szCs w:val="20"/>
        </w:rPr>
        <w:t xml:space="preserve">Report Problem function on all guides and bookmarks</w:t>
      </w:r>
    </w:p>
    <w:p>
      <w:pPr>
        <w:pStyle w:val="ListParagraph"/>
        <w:numPr>
          <w:ilvl w:val="0"/>
          <w:numId w:val="2"/>
        </w:numPr>
        <w:spacing w:after="60"/>
      </w:pPr>
      <w:r>
        <w:rPr>
          <w:rFonts w:ascii="Arial" w:cs="Arial" w:eastAsia="Arial" w:hAnsi="Arial"/>
          <w:sz w:val="20"/>
          <w:szCs w:val="20"/>
        </w:rPr>
        <w:t xml:space="preserve">Regular review of reported issues by project owner</w:t>
      </w:r>
    </w:p>
    <w:p>
      <w:pPr>
        <w:pStyle w:val="ListParagraph"/>
        <w:numPr>
          <w:ilvl w:val="0"/>
          <w:numId w:val="2"/>
        </w:numPr>
        <w:spacing w:after="60"/>
      </w:pPr>
      <w:r>
        <w:rPr>
          <w:rFonts w:ascii="Arial" w:cs="Arial" w:eastAsia="Arial" w:hAnsi="Arial"/>
          <w:sz w:val="20"/>
          <w:szCs w:val="20"/>
        </w:rPr>
        <w:t xml:space="preserve">CSO review at agreed intervals (once appointed)</w:t>
      </w:r>
    </w:p>
    <w:p>
      <w:pPr>
        <w:spacing w:after="60"/>
      </w:pPr>
      <w:r>
        <w:t xml:space="preserve"/>
      </w:r>
    </w:p>
    <w:p>
      <w:pPr>
        <w:pStyle w:val="Heading2"/>
        <w:spacing w:after="120" w:before="240"/>
      </w:pPr>
      <w:r>
        <w:rPr>
          <w:rFonts w:ascii="Arial" w:cs="Arial" w:eastAsia="Arial" w:hAnsi="Arial"/>
          <w:b/>
          <w:bCs/>
          <w:color w:val="2E75B6"/>
          <w:sz w:val="24"/>
          <w:szCs w:val="24"/>
        </w:rPr>
        <w:t xml:space="preserve">7.2 Incident Management</w:t>
      </w:r>
    </w:p>
    <w:p>
      <w:pPr>
        <w:pStyle w:val="ListParagraph"/>
        <w:numPr>
          <w:ilvl w:val="0"/>
          <w:numId w:val="3"/>
        </w:numPr>
        <w:spacing w:after="60"/>
      </w:pPr>
      <w:r>
        <w:rPr>
          <w:rFonts w:ascii="Arial" w:cs="Arial" w:eastAsia="Arial" w:hAnsi="Arial"/>
          <w:sz w:val="20"/>
          <w:szCs w:val="20"/>
        </w:rPr>
        <w:t xml:space="preserve">Reported via Trust incident reporting system (Datix or equivalent)</w:t>
      </w:r>
    </w:p>
    <w:p>
      <w:pPr>
        <w:pStyle w:val="ListParagraph"/>
        <w:numPr>
          <w:ilvl w:val="0"/>
          <w:numId w:val="3"/>
        </w:numPr>
        <w:spacing w:after="60"/>
      </w:pPr>
      <w:r>
        <w:rPr>
          <w:rFonts w:ascii="Arial" w:cs="Arial" w:eastAsia="Arial" w:hAnsi="Arial"/>
          <w:sz w:val="20"/>
          <w:szCs w:val="20"/>
        </w:rPr>
        <w:t xml:space="preserve">Logged in the Hazard Log with new or updated entries</w:t>
      </w:r>
    </w:p>
    <w:p>
      <w:pPr>
        <w:pStyle w:val="ListParagraph"/>
        <w:numPr>
          <w:ilvl w:val="0"/>
          <w:numId w:val="3"/>
        </w:numPr>
        <w:spacing w:after="60"/>
      </w:pPr>
      <w:r>
        <w:rPr>
          <w:rFonts w:ascii="Arial" w:cs="Arial" w:eastAsia="Arial" w:hAnsi="Arial"/>
          <w:sz w:val="20"/>
          <w:szCs w:val="20"/>
        </w:rPr>
        <w:t xml:space="preserve">Assessed for severity and root cause</w:t>
      </w:r>
    </w:p>
    <w:p>
      <w:pPr>
        <w:pStyle w:val="ListParagraph"/>
        <w:numPr>
          <w:ilvl w:val="0"/>
          <w:numId w:val="3"/>
        </w:numPr>
        <w:spacing w:after="60"/>
      </w:pPr>
      <w:r>
        <w:rPr>
          <w:rFonts w:ascii="Arial" w:cs="Arial" w:eastAsia="Arial" w:hAnsi="Arial"/>
          <w:sz w:val="20"/>
          <w:szCs w:val="20"/>
        </w:rPr>
        <w:t xml:space="preserve">Addressed with appropriate controls</w:t>
      </w:r>
    </w:p>
    <w:p>
      <w:pPr>
        <w:pStyle w:val="ListParagraph"/>
        <w:numPr>
          <w:ilvl w:val="0"/>
          <w:numId w:val="3"/>
        </w:numPr>
        <w:spacing w:after="60"/>
      </w:pPr>
      <w:r>
        <w:rPr>
          <w:rFonts w:ascii="Arial" w:cs="Arial" w:eastAsia="Arial" w:hAnsi="Arial"/>
          <w:sz w:val="20"/>
          <w:szCs w:val="20"/>
        </w:rPr>
        <w:t xml:space="preserve">Escalated per the Clinical Risk Management Plan</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8. Conclusion</w:t>
      </w:r>
    </w:p>
    <w:p>
      <w:pPr>
        <w:spacing w:after="100"/>
      </w:pPr>
      <w:r>
        <w:rPr>
          <w:rFonts w:ascii="Arial" w:cs="Arial" w:eastAsia="Arial" w:hAnsi="Arial"/>
          <w:sz w:val="20"/>
          <w:szCs w:val="20"/>
        </w:rPr>
        <w:t xml:space="preserve">wardHub has been assessed against 14 identified clinical hazards. All residual risks are rated Low after controls are applied. No hazards are rated Significant, High, or Very High.</w:t>
      </w:r>
    </w:p>
    <w:p>
      <w:pPr>
        <w:spacing w:after="100"/>
      </w:pPr>
      <w:r>
        <w:rPr>
          <w:rFonts w:ascii="Arial" w:cs="Arial" w:eastAsia="Arial" w:hAnsi="Arial"/>
          <w:sz w:val="20"/>
          <w:szCs w:val="20"/>
        </w:rPr>
        <w:t xml:space="preserve">The system's fundamental safety position rests on its role as a supplementary reference and coordination tool — it does not automate clinical decisions, replace clinical systems, or process patient data in its pilot form.</w:t>
      </w:r>
    </w:p>
    <w:p>
      <w:pPr>
        <w:spacing w:after="100"/>
      </w:pPr>
      <w:r>
        <w:rPr>
          <w:rFonts w:ascii="Arial" w:cs="Arial" w:eastAsia="Arial" w:hAnsi="Arial"/>
          <w:sz w:val="20"/>
          <w:szCs w:val="20"/>
        </w:rPr>
        <w:t xml:space="preserve">The Light version proposed for pilot contains no patient-identifiable information, uses fictional demo data, and stores data only in the user's browser. It presents no clinical safety risks beyond those already present in existing ward processes.</w:t>
      </w:r>
    </w:p>
    <w:p>
      <w:pPr>
        <w:spacing w:after="120"/>
      </w:pPr>
      <w:r>
        <w:rPr>
          <w:rFonts w:ascii="Arial" w:cs="Arial" w:eastAsia="Arial" w:hAnsi="Arial"/>
          <w:b/>
          <w:bCs/>
          <w:sz w:val="20"/>
          <w:szCs w:val="20"/>
        </w:rPr>
        <w:t xml:space="preserve">Recommendation: wardHub Light is suitable for pilot deployment subject to Clinical Safety Officer review of this safety case and the associated Hazard Log.</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9.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Signature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Author / Project Owner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(Ward NIC)</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23/03/2026</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Officer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Pending appointment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 Manager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Pending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bl>
    <w:p>
      <w:pPr>
        <w:spacing w:after="60"/>
      </w:pPr>
      <w:r>
        <w:t xml:space="preserve"/>
      </w:r>
    </w:p>
    <w:p>
      <w:pPr>
        <w:spacing w:after="100"/>
      </w:pPr>
      <w:r>
        <w:rPr>
          <w:rFonts w:ascii="Arial" w:cs="Arial" w:eastAsia="Arial" w:hAnsi="Arial"/>
          <w:i/>
          <w:iCs/>
          <w:color w:val="666666"/>
          <w:sz w:val="20"/>
          <w:szCs w:val="20"/>
        </w:rPr>
        <w:t xml:space="preserve">This report will be updated as the system progresses through its lifecycle. Version 1.0 will be produced following CSO review and before Max/Max+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2026-03-23T09:20:33.392Z</dcterms:created>
  <dcterms:modified xsi:type="dcterms:W3CDTF">2026-03-23T09:20:33.392Z</dcterms:modified>
</cp:coreProperties>
</file>

<file path=docProps/custom.xml><?xml version="1.0" encoding="utf-8"?>
<Properties xmlns="http://schemas.openxmlformats.org/officeDocument/2006/custom-properties" xmlns:vt="http://schemas.openxmlformats.org/officeDocument/2006/docPropsVTypes"/>
</file>