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25" w:rsidRPr="00650D24" w:rsidRDefault="00856C25" w:rsidP="00856C25">
      <w:pPr>
        <w:spacing w:line="360" w:lineRule="auto"/>
        <w:jc w:val="center"/>
        <w:rPr>
          <w:rFonts w:ascii="Times New Roman" w:hAnsi="Times New Roman" w:cs="Times New Roman"/>
          <w:color w:val="000000" w:themeColor="text1"/>
          <w:sz w:val="28"/>
          <w:szCs w:val="28"/>
        </w:rPr>
      </w:pPr>
      <w:r>
        <w:rPr>
          <w:color w:val="000000" w:themeColor="text1"/>
          <w:sz w:val="28"/>
          <w:szCs w:val="28"/>
        </w:rPr>
        <w:br w:type="page"/>
      </w:r>
      <w:r w:rsidRPr="00650D24">
        <w:rPr>
          <w:rFonts w:ascii="Times New Roman" w:hAnsi="Times New Roman" w:cs="Times New Roman"/>
          <w:b/>
          <w:bCs/>
          <w:i/>
          <w:iCs/>
          <w:color w:val="000000" w:themeColor="text1"/>
          <w:sz w:val="28"/>
          <w:szCs w:val="28"/>
        </w:rPr>
        <w:lastRenderedPageBreak/>
        <w:t>Государственное бюджетное профессиональное образовательное учреждение</w:t>
      </w: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rPr>
      </w:pPr>
      <w:r w:rsidRPr="00650D24">
        <w:rPr>
          <w:rFonts w:ascii="Times New Roman" w:hAnsi="Times New Roman" w:cs="Times New Roman"/>
          <w:b/>
          <w:bCs/>
          <w:i/>
          <w:iCs/>
          <w:color w:val="000000" w:themeColor="text1"/>
          <w:sz w:val="28"/>
          <w:szCs w:val="28"/>
        </w:rPr>
        <w:t>«Нижегородский радиотехнический колледж»</w:t>
      </w: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center"/>
        <w:rPr>
          <w:rFonts w:ascii="Times New Roman" w:hAnsi="Times New Roman" w:cs="Times New Roman"/>
          <w:b/>
          <w:bCs/>
          <w:i/>
          <w:iCs/>
          <w:color w:val="000000" w:themeColor="text1"/>
          <w:sz w:val="36"/>
          <w:szCs w:val="28"/>
        </w:rPr>
      </w:pPr>
      <w:r w:rsidRPr="00650D24">
        <w:rPr>
          <w:rFonts w:ascii="Times New Roman" w:hAnsi="Times New Roman" w:cs="Times New Roman"/>
          <w:b/>
          <w:bCs/>
          <w:i/>
          <w:iCs/>
          <w:color w:val="000000" w:themeColor="text1"/>
          <w:sz w:val="32"/>
          <w:szCs w:val="28"/>
        </w:rPr>
        <w:t>Реферат</w:t>
      </w:r>
      <w:r w:rsidRPr="00650D24">
        <w:rPr>
          <w:rFonts w:ascii="Times New Roman" w:hAnsi="Times New Roman" w:cs="Times New Roman"/>
          <w:b/>
          <w:bCs/>
          <w:i/>
          <w:iCs/>
          <w:color w:val="000000" w:themeColor="text1"/>
          <w:sz w:val="36"/>
          <w:szCs w:val="28"/>
        </w:rPr>
        <w:t xml:space="preserve"> </w:t>
      </w:r>
    </w:p>
    <w:p w:rsidR="00856C25" w:rsidRPr="00650D24" w:rsidRDefault="00856C25" w:rsidP="00856C25">
      <w:pPr>
        <w:spacing w:line="360" w:lineRule="auto"/>
        <w:jc w:val="center"/>
        <w:rPr>
          <w:rFonts w:ascii="Times New Roman" w:hAnsi="Times New Roman" w:cs="Times New Roman"/>
          <w:b/>
          <w:bCs/>
          <w:i/>
          <w:iCs/>
          <w:color w:val="000000" w:themeColor="text1"/>
          <w:sz w:val="32"/>
          <w:szCs w:val="28"/>
        </w:rPr>
      </w:pPr>
      <w:r w:rsidRPr="00650D24">
        <w:rPr>
          <w:rFonts w:ascii="Times New Roman" w:hAnsi="Times New Roman" w:cs="Times New Roman"/>
          <w:b/>
          <w:bCs/>
          <w:i/>
          <w:iCs/>
          <w:color w:val="000000" w:themeColor="text1"/>
          <w:sz w:val="32"/>
          <w:szCs w:val="28"/>
        </w:rPr>
        <w:t>Дисциплина: Физкультура</w:t>
      </w:r>
    </w:p>
    <w:p w:rsidR="00856C25" w:rsidRPr="00650D24" w:rsidRDefault="00856C25" w:rsidP="00856C25">
      <w:pPr>
        <w:spacing w:line="360" w:lineRule="auto"/>
        <w:jc w:val="center"/>
        <w:rPr>
          <w:rFonts w:ascii="Times New Roman" w:hAnsi="Times New Roman" w:cs="Times New Roman"/>
          <w:b/>
          <w:bCs/>
          <w:i/>
          <w:iCs/>
          <w:color w:val="000000" w:themeColor="text1"/>
          <w:sz w:val="32"/>
          <w:szCs w:val="28"/>
        </w:rPr>
      </w:pPr>
      <w:r w:rsidRPr="00650D24">
        <w:rPr>
          <w:rFonts w:ascii="Times New Roman" w:hAnsi="Times New Roman" w:cs="Times New Roman"/>
          <w:b/>
          <w:bCs/>
          <w:i/>
          <w:iCs/>
          <w:color w:val="000000" w:themeColor="text1"/>
          <w:sz w:val="32"/>
          <w:szCs w:val="28"/>
        </w:rPr>
        <w:t>тема: «правила игры в</w:t>
      </w:r>
      <w:r>
        <w:rPr>
          <w:rFonts w:ascii="Times New Roman" w:hAnsi="Times New Roman" w:cs="Times New Roman"/>
          <w:b/>
          <w:bCs/>
          <w:i/>
          <w:iCs/>
          <w:color w:val="000000" w:themeColor="text1"/>
          <w:sz w:val="32"/>
          <w:szCs w:val="28"/>
        </w:rPr>
        <w:t>олейбол</w:t>
      </w:r>
      <w:r w:rsidRPr="00650D24">
        <w:rPr>
          <w:rFonts w:ascii="Times New Roman" w:hAnsi="Times New Roman" w:cs="Times New Roman"/>
          <w:b/>
          <w:bCs/>
          <w:i/>
          <w:iCs/>
          <w:color w:val="000000" w:themeColor="text1"/>
          <w:sz w:val="32"/>
          <w:szCs w:val="28"/>
        </w:rPr>
        <w:t>»</w:t>
      </w: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rPr>
      </w:pPr>
    </w:p>
    <w:p w:rsidR="00856C25" w:rsidRPr="00650D24" w:rsidRDefault="00856C25" w:rsidP="00856C25">
      <w:pPr>
        <w:spacing w:line="360" w:lineRule="auto"/>
        <w:rPr>
          <w:rFonts w:ascii="Times New Roman" w:hAnsi="Times New Roman" w:cs="Times New Roman"/>
          <w:b/>
          <w:bCs/>
          <w:i/>
          <w:iCs/>
          <w:color w:val="000000" w:themeColor="text1"/>
          <w:sz w:val="28"/>
          <w:szCs w:val="28"/>
        </w:rPr>
      </w:pPr>
      <w:bookmarkStart w:id="0" w:name="_GoBack"/>
      <w:bookmarkEnd w:id="0"/>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r w:rsidRPr="00650D24">
        <w:rPr>
          <w:rFonts w:ascii="Times New Roman" w:hAnsi="Times New Roman" w:cs="Times New Roman"/>
          <w:b/>
          <w:bCs/>
          <w:i/>
          <w:iCs/>
          <w:color w:val="000000" w:themeColor="text1"/>
          <w:sz w:val="28"/>
          <w:szCs w:val="28"/>
        </w:rPr>
        <w:t>Выполнил обучающийся: Мамонов Антон</w:t>
      </w:r>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r w:rsidRPr="00650D24">
        <w:rPr>
          <w:rFonts w:ascii="Times New Roman" w:hAnsi="Times New Roman" w:cs="Times New Roman"/>
          <w:b/>
          <w:bCs/>
          <w:i/>
          <w:iCs/>
          <w:color w:val="000000" w:themeColor="text1"/>
          <w:sz w:val="28"/>
          <w:szCs w:val="28"/>
        </w:rPr>
        <w:t xml:space="preserve">Группа: 1ИСиП-19-1             </w:t>
      </w:r>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right"/>
        <w:rPr>
          <w:rFonts w:ascii="Times New Roman" w:hAnsi="Times New Roman" w:cs="Times New Roman"/>
          <w:b/>
          <w:bCs/>
          <w:i/>
          <w:iCs/>
          <w:color w:val="000000" w:themeColor="text1"/>
          <w:sz w:val="28"/>
          <w:szCs w:val="28"/>
        </w:rPr>
      </w:pP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u w:val="single"/>
        </w:rPr>
      </w:pPr>
      <w:r w:rsidRPr="00650D24">
        <w:rPr>
          <w:rFonts w:ascii="Times New Roman" w:hAnsi="Times New Roman" w:cs="Times New Roman"/>
          <w:b/>
          <w:bCs/>
          <w:i/>
          <w:iCs/>
          <w:color w:val="000000" w:themeColor="text1"/>
          <w:sz w:val="28"/>
          <w:szCs w:val="28"/>
          <w:u w:val="single"/>
        </w:rPr>
        <w:t>Нижний Новгород</w:t>
      </w:r>
    </w:p>
    <w:p w:rsidR="00856C25" w:rsidRPr="00650D24" w:rsidRDefault="00856C25" w:rsidP="00856C25">
      <w:pPr>
        <w:spacing w:line="360" w:lineRule="auto"/>
        <w:jc w:val="center"/>
        <w:rPr>
          <w:rFonts w:ascii="Times New Roman" w:hAnsi="Times New Roman" w:cs="Times New Roman"/>
          <w:b/>
          <w:bCs/>
          <w:i/>
          <w:iCs/>
          <w:color w:val="000000" w:themeColor="text1"/>
          <w:sz w:val="28"/>
          <w:szCs w:val="28"/>
          <w:u w:val="single"/>
        </w:rPr>
      </w:pPr>
      <w:r w:rsidRPr="00650D24">
        <w:rPr>
          <w:rFonts w:ascii="Times New Roman" w:hAnsi="Times New Roman" w:cs="Times New Roman"/>
          <w:b/>
          <w:bCs/>
          <w:i/>
          <w:iCs/>
          <w:color w:val="000000" w:themeColor="text1"/>
          <w:sz w:val="28"/>
          <w:szCs w:val="28"/>
          <w:u w:val="single"/>
        </w:rPr>
        <w:t>2020 год</w:t>
      </w:r>
    </w:p>
    <w:p w:rsidR="00856C25" w:rsidRDefault="00856C25">
      <w:pPr>
        <w:rPr>
          <w:rFonts w:ascii="Times New Roman" w:eastAsia="Times New Roman" w:hAnsi="Times New Roman" w:cs="Times New Roman"/>
          <w:color w:val="000000" w:themeColor="text1"/>
          <w:sz w:val="28"/>
          <w:szCs w:val="28"/>
          <w:lang w:eastAsia="ru-RU"/>
        </w:rPr>
      </w:pP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В волейбол играют на площадке размером 9х18 метров. Вся площадка разделена на две равные половины средней линией, над которой подвешивается сетка. Высота сетки зависит от возраста и пола играющих. В игре участвуют 12 игроков (по 6 игроков с каждой стороны), и ведётся она мячом весом 250грамм и окружностью 65-68 сантиметров.</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Смысл игры в том, чтобы не дать мячу упасть на своей площадке, прилагая усилия для падения его на стороне противоположной команды. Действия играющих, ограниченные правилами, выполняются игровыми приёмами: подачей, передачей, нападающих ударом и блокированием. Исходными положениями для игровых приёмов будут стойки (при действиях на месте) и перемещения (при действиях в движении).</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Игра состоит из трёх или пяти партий, в каждой счёт ведётся до 15 очков. Побеждает та команда, которая выиграет две партии из трёх или три из пяти. Если первую партию выигрывает одна команда, а вторую другая, то проводится третья, решающая. Аналогичные условия и при игре из пяти партий. После каждой партии команды меняются площадками.</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Расположение игроков на площадке следующее. Три игрока занимают</w:t>
      </w:r>
      <w:r>
        <w:rPr>
          <w:color w:val="000000" w:themeColor="text1"/>
          <w:sz w:val="28"/>
          <w:szCs w:val="28"/>
        </w:rPr>
        <w:t xml:space="preserve"> место на передней линии у сетки</w:t>
      </w:r>
      <w:r w:rsidRPr="005470C0">
        <w:rPr>
          <w:color w:val="000000" w:themeColor="text1"/>
          <w:sz w:val="28"/>
          <w:szCs w:val="28"/>
        </w:rPr>
        <w:t>, остальные - на задней линии, но так, чтобы можно было контролировать всю площадку. Волейболисты, находящиеся на передней линии, участвуют в приеме и передачах мяча, нападают, блокируют, подстраховывают друг друга. Игроки задней линии подают подачу, принимают и передают мяч, подстраховывают, но не имеют права выходить на переднюю линию для атаки и блокирования.</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Игра начинается с подачи мяча одной из команд. Право на первую подачу определяется жеребьевкой, которую проводит судья с капитанами команд. Причем капитан команды, выигравший жребий, получает право на выбор площадки или на первую подачу.</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lastRenderedPageBreak/>
        <w:t>Когда игроки занимают свои места на площадке, судья подает команду начинать игру. На подачу отводится не более 5 секунд. Один игрок выполняет подачи до тех пор, пока его команда не совершит ошибку. Если это произошло, то мяч передается сопернику. В этом случае команда, отыгравшая подачу, производит переход игроков из зоны в зону по часовой стрелке.</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Каждая команда, принимая мяч с подачи соперника, имеет право на три поочередных касания. Если два игрока одной команды одновременно касаются мяча, то засчитывается два касания. Если же мяч задерживается над сеткой между руками игроков разных команд, то игра останавливается. Производится повторная подача для розыгрыша спорного мяча.</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Мяч считается вышедшим из игры, если он пролетел за ограничительными лентами на сетке, которые крепятся над проекцией боковых линий, или коснулся предметов вне площадки. Боковые и лицевые линии (разметка) входят в площадь игрового поля.</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Команда теряет право на подачу или соперник выигрывает очко, если:</w:t>
      </w:r>
      <w:r>
        <w:rPr>
          <w:color w:val="000000" w:themeColor="text1"/>
          <w:sz w:val="28"/>
          <w:szCs w:val="28"/>
        </w:rPr>
        <w:t xml:space="preserve"> </w:t>
      </w:r>
      <w:r w:rsidRPr="005470C0">
        <w:rPr>
          <w:bCs/>
          <w:color w:val="000000" w:themeColor="text1"/>
          <w:sz w:val="28"/>
          <w:szCs w:val="28"/>
        </w:rPr>
        <w:t>мяч падает на своей площадке, команда совершает более трех касаний, игрок касается сетки, игрок совершал два касания подряд, ступня игрока полностью находится на стороне соперника и не касается средней линии, игрок задней линии из площади нападения перебивает на сторону соперника мяч, который находится выше верхнего края сетки, игрок задней линии участвовал в блокировании и коснулся мяча, умышленно затягивается игра;</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Партия считается выигранной, если одна из команд набрала 15 очков с преимуществом не менее 2=х очков. При счете 14:14 игра продолжается до тех пор, пока одна из команд не добьется преимущества в 2 очка (16:14; 17:15 и т.д.)</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Команда имеет право на два перерыва по 30 секунд в каждой партии. Разрешена замена игроков, но не более шести в каждой партии.</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lastRenderedPageBreak/>
        <w:t>Волейболисты должны иметь одинаковую форму. Тапочки не должны иметь каблуков. Игрокам запрещается иметь украшения, которые в ходе игры могут явиться причиной травмы. На майки наносят номера (с 1-го по 99-й), причем в команде не должно быть двух и более игроков с одинаковыми номерами на майках.</w:t>
      </w:r>
    </w:p>
    <w:p w:rsidR="00856C25" w:rsidRPr="005470C0" w:rsidRDefault="00856C25" w:rsidP="00856C25">
      <w:pPr>
        <w:pStyle w:val="a3"/>
        <w:shd w:val="clear" w:color="auto" w:fill="FFFFFF"/>
        <w:spacing w:before="0" w:beforeAutospacing="0" w:after="150" w:afterAutospacing="0" w:line="360" w:lineRule="auto"/>
        <w:jc w:val="both"/>
        <w:rPr>
          <w:color w:val="000000" w:themeColor="text1"/>
          <w:sz w:val="28"/>
          <w:szCs w:val="28"/>
        </w:rPr>
      </w:pPr>
      <w:r w:rsidRPr="005470C0">
        <w:rPr>
          <w:color w:val="000000" w:themeColor="text1"/>
          <w:sz w:val="28"/>
          <w:szCs w:val="28"/>
        </w:rPr>
        <w:t>Во время игры к судье может обращаться только капитан команды. Игрок не имеет права</w:t>
      </w:r>
      <w:r w:rsidRPr="00B645E8">
        <w:rPr>
          <w:color w:val="000000" w:themeColor="text1"/>
          <w:sz w:val="28"/>
          <w:szCs w:val="28"/>
        </w:rPr>
        <w:t xml:space="preserve">: </w:t>
      </w:r>
      <w:r w:rsidRPr="00B645E8">
        <w:rPr>
          <w:bCs/>
          <w:color w:val="000000" w:themeColor="text1"/>
          <w:sz w:val="28"/>
          <w:szCs w:val="28"/>
        </w:rPr>
        <w:t>оспаривать решение судей и делать замечания в их адрес, вести себя нетактично по отношению к сопернику или делать оскорбительные замечания в адрес игроков противоборствующей команды.</w:t>
      </w:r>
    </w:p>
    <w:p w:rsidR="00856C25" w:rsidRPr="00B645E8" w:rsidRDefault="00856C25" w:rsidP="00856C25">
      <w:pPr>
        <w:pStyle w:val="a3"/>
        <w:shd w:val="clear" w:color="auto" w:fill="FFFFFF"/>
        <w:spacing w:before="0" w:beforeAutospacing="0" w:after="150" w:afterAutospacing="0" w:line="360" w:lineRule="auto"/>
        <w:jc w:val="both"/>
        <w:rPr>
          <w:color w:val="000000"/>
          <w:sz w:val="28"/>
          <w:szCs w:val="28"/>
        </w:rPr>
      </w:pPr>
      <w:r w:rsidRPr="00B645E8">
        <w:rPr>
          <w:color w:val="000000"/>
          <w:sz w:val="28"/>
          <w:szCs w:val="28"/>
        </w:rPr>
        <w:t>С учетом своих возможностей каждая избирает систему игры в нападении и защите, которая предусматривает рациональную организацию действий игроков в нападении и защите.</w:t>
      </w:r>
    </w:p>
    <w:p w:rsidR="00856C25" w:rsidRPr="00B645E8" w:rsidRDefault="00856C25" w:rsidP="00856C25">
      <w:pPr>
        <w:pStyle w:val="a3"/>
        <w:shd w:val="clear" w:color="auto" w:fill="FFFFFF"/>
        <w:spacing w:before="0" w:beforeAutospacing="0" w:after="150" w:afterAutospacing="0" w:line="360" w:lineRule="auto"/>
        <w:jc w:val="both"/>
        <w:rPr>
          <w:color w:val="000000"/>
          <w:sz w:val="28"/>
          <w:szCs w:val="28"/>
        </w:rPr>
      </w:pPr>
      <w:r w:rsidRPr="00B645E8">
        <w:rPr>
          <w:color w:val="000000"/>
          <w:sz w:val="28"/>
          <w:szCs w:val="28"/>
        </w:rPr>
        <w:t>Тактические действия в нападении осуществляются посредством подач, передач и собственно нападающих ударов.</w:t>
      </w:r>
    </w:p>
    <w:p w:rsidR="00856C25" w:rsidRPr="00B645E8" w:rsidRDefault="00856C25" w:rsidP="00856C25">
      <w:pPr>
        <w:pStyle w:val="a3"/>
        <w:shd w:val="clear" w:color="auto" w:fill="FFFFFF"/>
        <w:spacing w:before="0" w:beforeAutospacing="0" w:after="150" w:afterAutospacing="0" w:line="360" w:lineRule="auto"/>
        <w:jc w:val="both"/>
        <w:rPr>
          <w:color w:val="000000"/>
          <w:sz w:val="28"/>
          <w:szCs w:val="28"/>
        </w:rPr>
      </w:pPr>
      <w:r w:rsidRPr="00B645E8">
        <w:rPr>
          <w:color w:val="000000"/>
          <w:sz w:val="28"/>
          <w:szCs w:val="28"/>
        </w:rPr>
        <w:t>Тактика подачи имеет основную задачу - ввести мяч в игру, предельно затрудняя его приём и организацию последующих действий противников.</w:t>
      </w:r>
    </w:p>
    <w:p w:rsidR="000402B1" w:rsidRDefault="000402B1"/>
    <w:sectPr w:rsidR="000402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88"/>
    <w:rsid w:val="000402B1"/>
    <w:rsid w:val="00856C25"/>
    <w:rsid w:val="00DD6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5E84"/>
  <w15:chartTrackingRefBased/>
  <w15:docId w15:val="{3CC6F0AF-59AC-460C-9B54-3564C2B5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56C2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4050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2</cp:revision>
  <dcterms:created xsi:type="dcterms:W3CDTF">2020-03-30T16:05:00Z</dcterms:created>
  <dcterms:modified xsi:type="dcterms:W3CDTF">2020-03-30T16:05:00Z</dcterms:modified>
</cp:coreProperties>
</file>