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1B365D"/>
          <w:sz w:val="36"/>
        </w:rPr>
        <w:t>Ethical Hacking Laboratory: Windows Tools Practical Notes</w:t>
      </w:r>
    </w:p>
    <w:p>
      <w:pPr>
        <w:spacing w:before="0" w:after="160"/>
      </w:pPr>
      <w:r>
        <w:rPr>
          <w:rFonts w:ascii="Calibri" w:hAnsi="Calibri"/>
          <w:i/>
          <w:color w:val="646E78"/>
          <w:sz w:val="19"/>
        </w:rPr>
        <w:t>Course: ICS1561 – Ethical Hacking Laboratory  |  Category: 02 Windows and GUI Tools</w:t>
        <w:br/>
        <w:t>Reference Manuals: Week 4 (FOCA), Week 5 (Maltego), Week 2 &amp; Reconnaissance Tools (Sysmon)</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0080"/>
      </w:tblGrid>
      <w:tr>
        <w:tc>
          <w:tcPr>
            <w:tcW w:type="dxa" w:w="10080"/>
            <w:shd w:fill="F8FAFC"/>
            <w:tcMar>
              <w:top w:w="100" w:type="dxa"/>
              <w:bottom w:w="100" w:type="dxa"/>
              <w:left w:w="140" w:type="dxa"/>
              <w:right w:w="140" w:type="dxa"/>
            </w:tcMar>
          </w:tcPr>
          <w:p>
            <w:pPr>
              <w:spacing w:before="0" w:after="40" w:line="276" w:lineRule="auto"/>
            </w:pPr>
            <w:r>
              <w:rPr>
                <w:rFonts w:ascii="Calibri" w:hAnsi="Calibri"/>
                <w:b/>
                <w:color w:val="1B365D"/>
                <w:sz w:val="20"/>
              </w:rPr>
              <w:t>SYLLABUS &amp; PRACTICAL COVERAGE INDEX</w:t>
              <w:br/>
            </w:r>
            <w:r>
              <w:rPr>
                <w:rFonts w:ascii="Calibri" w:hAnsi="Calibri"/>
                <w:color w:val="222222"/>
                <w:sz w:val="19"/>
              </w:rPr>
              <w:t>• Tool 1: FOCA — Document Metadata Harvesting &amp; OSINT Reconnaissance (owasp.org)</w:t>
              <w:br/>
              <w:t>• Tool 2: Maltego — Visual Link Analysis &amp; Relationship Infrastructure Mapping (ssn.edu.in)</w:t>
              <w:br/>
              <w:t>• Tool 3: Sysmon — Windows Endpoint Telemetry &amp; High-Fidelity Activity Monitoring (Event Viewer)</w:t>
              <w:br/>
              <w:t>• Section 4: Combined Revision Table, High-Level Distinctions &amp; Rapid Exam Review</w:t>
            </w:r>
          </w:p>
        </w:tc>
      </w:tr>
    </w:tbl>
    <w:p>
      <w:r>
        <w:br w:type="page"/>
      </w:r>
    </w:p>
    <w:p>
      <w:pPr>
        <w:keepNext/>
        <w:spacing w:before="280" w:after="80"/>
      </w:pPr>
      <w:r>
        <w:rPr>
          <w:rFonts w:ascii="Calibri" w:hAnsi="Calibri"/>
          <w:b/>
          <w:color w:val="1B365D"/>
          <w:sz w:val="30"/>
        </w:rPr>
        <w:t>1. Tool 1: FOCA (Document Metadata Harvesting &amp; OSINT)</w:t>
      </w:r>
    </w:p>
    <w:p>
      <w:pPr>
        <w:spacing w:before="0" w:after="80" w:line="276" w:lineRule="auto"/>
      </w:pPr>
      <w:r>
        <w:rPr>
          <w:rFonts w:ascii="Calibri" w:hAnsi="Calibri"/>
          <w:b/>
          <w:color w:val="2C3E50"/>
          <w:sz w:val="20"/>
        </w:rPr>
        <w:t xml:space="preserve">Reference Context: </w:t>
      </w:r>
      <w:r>
        <w:rPr>
          <w:rFonts w:ascii="Calibri" w:hAnsi="Calibri"/>
          <w:color w:val="222222"/>
          <w:sz w:val="20"/>
        </w:rPr>
        <w:t>Application: FOCA v3.4.7.1 (ElevenPaths)  |  Target Domain: owasp.org  |  Platform: Windows x64</w:t>
      </w:r>
    </w:p>
    <w:p>
      <w:pPr>
        <w:keepNext/>
        <w:spacing w:before="200" w:after="60"/>
      </w:pPr>
      <w:r>
        <w:rPr>
          <w:rFonts w:ascii="Calibri" w:hAnsi="Calibri"/>
          <w:b/>
          <w:color w:val="2B4C7E"/>
          <w:sz w:val="24"/>
        </w:rPr>
        <w:t>Aim</w:t>
      </w:r>
    </w:p>
    <w:p>
      <w:pPr>
        <w:spacing w:before="0" w:after="80" w:line="276" w:lineRule="auto"/>
      </w:pPr>
      <w:r>
        <w:rPr>
          <w:rFonts w:ascii="Calibri" w:hAnsi="Calibri"/>
          <w:color w:val="222222"/>
          <w:sz w:val="20"/>
        </w:rPr>
        <w:t>To discover publicly available documents associated with a target domain (owasp.org) and extract hidden metadata to identify server folders, software versions, usernames, and infrastructure details.</w:t>
      </w:r>
    </w:p>
    <w:p>
      <w:pPr>
        <w:keepNext/>
        <w:spacing w:before="200" w:after="60"/>
      </w:pPr>
      <w:r>
        <w:rPr>
          <w:rFonts w:ascii="Calibri" w:hAnsi="Calibri"/>
          <w:b/>
          <w:color w:val="2B4C7E"/>
          <w:sz w:val="24"/>
        </w:rPr>
        <w:t>Introduction</w:t>
      </w:r>
    </w:p>
    <w:p>
      <w:pPr>
        <w:spacing w:before="0" w:after="80" w:line="276" w:lineRule="auto"/>
      </w:pPr>
      <w:r>
        <w:rPr>
          <w:rFonts w:ascii="Calibri" w:hAnsi="Calibri"/>
          <w:color w:val="222222"/>
          <w:sz w:val="20"/>
        </w:rPr>
        <w:t>FOCA (Fingerprinting Organizations with Collected Archives) is an Open Source Intelligence (OSINT) tool developed to automate the discovery and analysis of public documents published on websites. It queries external search engines to locate files such as PDF, DOCX, XLSX, and PPTX, downloads them, and extracts embedded metadata (EXIF, author properties, software footprints, and internal server paths). Because initial discovery relies strictly on indexed search-engine caches, FOCA functions as a passive reconnaissance tool.</w:t>
      </w:r>
    </w:p>
    <w:p>
      <w:pPr>
        <w:keepNext/>
        <w:spacing w:before="200" w:after="60"/>
      </w:pPr>
      <w:r>
        <w:rPr>
          <w:rFonts w:ascii="Calibri" w:hAnsi="Calibri"/>
          <w:b/>
          <w:color w:val="2B4C7E"/>
          <w:sz w:val="24"/>
        </w:rPr>
        <w:t>Requirements</w:t>
      </w:r>
    </w:p>
    <w:p>
      <w:pPr>
        <w:pStyle w:val="ListBullet"/>
        <w:spacing w:before="0" w:after="50" w:line="276" w:lineRule="auto"/>
      </w:pPr>
      <w:r>
        <w:rPr>
          <w:rFonts w:ascii="Calibri" w:hAnsi="Calibri"/>
          <w:b/>
          <w:color w:val="2C3E50"/>
          <w:sz w:val="20"/>
        </w:rPr>
        <w:t xml:space="preserve">Operating System: </w:t>
      </w:r>
      <w:r>
        <w:rPr>
          <w:rFonts w:ascii="Calibri" w:hAnsi="Calibri"/>
          <w:color w:val="222222"/>
          <w:sz w:val="20"/>
        </w:rPr>
        <w:t>Windows 10 / 11 or Windows Server (x64).</w:t>
      </w:r>
    </w:p>
    <w:p>
      <w:pPr>
        <w:pStyle w:val="ListBullet"/>
        <w:spacing w:before="0" w:after="50" w:line="276" w:lineRule="auto"/>
      </w:pPr>
      <w:r>
        <w:rPr>
          <w:rFonts w:ascii="Calibri" w:hAnsi="Calibri"/>
          <w:b/>
          <w:color w:val="2C3E50"/>
          <w:sz w:val="20"/>
        </w:rPr>
        <w:t xml:space="preserve">Prerequisite Database: </w:t>
      </w:r>
      <w:r>
        <w:rPr>
          <w:rFonts w:ascii="Calibri" w:hAnsi="Calibri"/>
          <w:color w:val="222222"/>
          <w:sz w:val="20"/>
        </w:rPr>
        <w:t>Microsoft SQL Server Express (2014, 2017, or 2019) or SQL Server LocalDB for project data storage.</w:t>
      </w:r>
    </w:p>
    <w:p>
      <w:pPr>
        <w:pStyle w:val="ListBullet"/>
        <w:spacing w:before="0" w:after="50" w:line="276" w:lineRule="auto"/>
      </w:pPr>
      <w:r>
        <w:rPr>
          <w:rFonts w:ascii="Calibri" w:hAnsi="Calibri"/>
          <w:b/>
          <w:color w:val="2C3E50"/>
          <w:sz w:val="20"/>
        </w:rPr>
        <w:t xml:space="preserve">Runtime Framework: </w:t>
      </w:r>
      <w:r>
        <w:rPr>
          <w:rFonts w:ascii="Calibri" w:hAnsi="Calibri"/>
          <w:color w:val="222222"/>
          <w:sz w:val="20"/>
        </w:rPr>
        <w:t>Microsoft .NET Framework 4.7.2 or higher.</w:t>
      </w:r>
    </w:p>
    <w:p>
      <w:pPr>
        <w:pStyle w:val="ListBullet"/>
        <w:spacing w:before="0" w:after="50" w:line="276" w:lineRule="auto"/>
      </w:pPr>
      <w:r>
        <w:rPr>
          <w:rFonts w:ascii="Calibri" w:hAnsi="Calibri"/>
          <w:b/>
          <w:color w:val="2C3E50"/>
          <w:sz w:val="20"/>
        </w:rPr>
        <w:t xml:space="preserve">Application Binary: </w:t>
      </w:r>
      <w:r>
        <w:rPr>
          <w:rFonts w:ascii="Calibri" w:hAnsi="Calibri"/>
          <w:color w:val="222222"/>
          <w:sz w:val="20"/>
        </w:rPr>
        <w:t>FOCA executable (FOCA.exe v3.4.7.1).</w:t>
      </w:r>
    </w:p>
    <w:p>
      <w:pPr>
        <w:pStyle w:val="ListBullet"/>
        <w:spacing w:before="0" w:after="50" w:line="276" w:lineRule="auto"/>
      </w:pPr>
      <w:r>
        <w:rPr>
          <w:rFonts w:ascii="Calibri" w:hAnsi="Calibri"/>
          <w:b/>
          <w:color w:val="2C3E50"/>
          <w:sz w:val="20"/>
        </w:rPr>
        <w:t xml:space="preserve">Network Access: </w:t>
      </w:r>
      <w:r>
        <w:rPr>
          <w:rFonts w:ascii="Calibri" w:hAnsi="Calibri"/>
          <w:color w:val="222222"/>
          <w:sz w:val="20"/>
        </w:rPr>
        <w:t>Outbound HTTP/HTTPS access to search engines and public web servers.</w:t>
      </w:r>
    </w:p>
    <w:p>
      <w:pPr>
        <w:keepNext/>
        <w:spacing w:before="200" w:after="60"/>
      </w:pPr>
      <w:r>
        <w:rPr>
          <w:rFonts w:ascii="Calibri" w:hAnsi="Calibri"/>
          <w:b/>
          <w:color w:val="2B4C7E"/>
          <w:sz w:val="24"/>
        </w:rPr>
        <w:t>Step-by-Step Procedure</w:t>
      </w:r>
    </w:p>
    <w:p>
      <w:pPr>
        <w:keepNext/>
        <w:spacing w:before="140" w:after="40"/>
      </w:pPr>
      <w:r>
        <w:rPr>
          <w:rFonts w:ascii="Calibri" w:hAnsi="Calibri"/>
          <w:b/>
          <w:color w:val="2C3E50"/>
          <w:sz w:val="22"/>
        </w:rPr>
        <w:t>Step 1 — Create the Project</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Launch FOCA: </w:t>
      </w:r>
      <w:r>
        <w:rPr>
          <w:rFonts w:ascii="Calibri" w:hAnsi="Calibri"/>
          <w:color w:val="222222"/>
          <w:sz w:val="20"/>
        </w:rPr>
        <w:t>Open FOCA.exe on the Windows machine.</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New Project: </w:t>
      </w:r>
      <w:r>
        <w:rPr>
          <w:rFonts w:ascii="Calibri" w:hAnsi="Calibri"/>
          <w:color w:val="222222"/>
          <w:sz w:val="20"/>
        </w:rPr>
        <w:t>Click Project -&gt; New Project from the top menu bar.</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Populate Fields: </w:t>
      </w:r>
      <w:r>
        <w:rPr>
          <w:rFonts w:ascii="Calibri" w:hAnsi="Calibri"/>
          <w:color w:val="222222"/>
          <w:sz w:val="20"/>
        </w:rPr>
        <w:t>Enter Project name: FOCA-Lab; Domain website: owasp.org; Alternative domains: Leave blank; Project date: Keep current date; Project notes: Ethical Hacking lab – passive OSINT and document metadata analysis.</w:t>
      </w:r>
    </w:p>
    <w:p>
      <w:pPr>
        <w:spacing w:before="20" w:after="60" w:line="276" w:lineRule="auto"/>
        <w:ind w:left="288"/>
      </w:pPr>
      <w:r>
        <w:rPr>
          <w:rFonts w:ascii="Calibri" w:hAnsi="Calibri"/>
          <w:b/>
          <w:color w:val="1B365D"/>
          <w:sz w:val="20"/>
        </w:rPr>
        <w:t xml:space="preserve">4. </w:t>
      </w:r>
      <w:r>
        <w:rPr>
          <w:rFonts w:ascii="Calibri" w:hAnsi="Calibri"/>
          <w:b/>
          <w:color w:val="2C3E50"/>
          <w:sz w:val="20"/>
        </w:rPr>
        <w:t xml:space="preserve">Set Download Folder: </w:t>
      </w:r>
      <w:r>
        <w:rPr>
          <w:rFonts w:ascii="Calibri" w:hAnsi="Calibri"/>
          <w:color w:val="222222"/>
          <w:sz w:val="20"/>
        </w:rPr>
        <w:t>Browse to Documents, create and select Documents/FOCA-Lab (this folder stores all downloaded documents and extracted tables).</w:t>
      </w:r>
    </w:p>
    <w:p>
      <w:pPr>
        <w:spacing w:before="20" w:after="60" w:line="276" w:lineRule="auto"/>
        <w:ind w:left="288"/>
      </w:pPr>
      <w:r>
        <w:rPr>
          <w:rFonts w:ascii="Calibri" w:hAnsi="Calibri"/>
          <w:b/>
          <w:color w:val="1B365D"/>
          <w:sz w:val="20"/>
        </w:rPr>
        <w:t xml:space="preserve">5. </w:t>
      </w:r>
      <w:r>
        <w:rPr>
          <w:rFonts w:ascii="Calibri" w:hAnsi="Calibri"/>
          <w:b/>
          <w:color w:val="2C3E50"/>
          <w:sz w:val="20"/>
        </w:rPr>
        <w:t xml:space="preserve">Create Project: </w:t>
      </w:r>
      <w:r>
        <w:rPr>
          <w:rFonts w:ascii="Calibri" w:hAnsi="Calibri"/>
          <w:color w:val="222222"/>
          <w:sz w:val="20"/>
        </w:rPr>
        <w:t>Click Create to initialize the project database.</w:t>
      </w:r>
    </w:p>
    <w:p>
      <w:pPr>
        <w:keepNext/>
        <w:spacing w:before="140" w:after="40"/>
      </w:pPr>
      <w:r>
        <w:rPr>
          <w:rFonts w:ascii="Calibri" w:hAnsi="Calibri"/>
          <w:b/>
          <w:color w:val="2C3E50"/>
          <w:sz w:val="22"/>
        </w:rPr>
        <w:t>Step 2 — Search for Public Documents</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Select Search Engines: </w:t>
      </w:r>
      <w:r>
        <w:rPr>
          <w:rFonts w:ascii="Calibri" w:hAnsi="Calibri"/>
          <w:color w:val="222222"/>
          <w:sz w:val="20"/>
        </w:rPr>
        <w:t>Check Google and Bing in the search engine selection list. (DuckDuckGo may also be checked, but document possible search-engine API errors).</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Select Extensions: </w:t>
      </w:r>
      <w:r>
        <w:rPr>
          <w:rFonts w:ascii="Calibri" w:hAnsi="Calibri"/>
          <w:color w:val="222222"/>
          <w:sz w:val="20"/>
        </w:rPr>
        <w:t>Beside Extensions heading, click All to select all document formats (.pdf, .doc, .docx, .xls, .xlsx, .ppt, .pptx).</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Run Search: </w:t>
      </w:r>
      <w:r>
        <w:rPr>
          <w:rFonts w:ascii="Calibri" w:hAnsi="Calibri"/>
          <w:color w:val="222222"/>
          <w:sz w:val="20"/>
        </w:rPr>
        <w:t>Click Search All and wait for the results table to populate with discovered file URLs.</w:t>
      </w:r>
    </w:p>
    <w:p>
      <w:pPr>
        <w:spacing w:before="0" w:after="80" w:line="276" w:lineRule="auto"/>
      </w:pPr>
      <w:r>
        <w:rPr>
          <w:rFonts w:ascii="Calibri" w:hAnsi="Calibri"/>
          <w:color w:val="222222"/>
          <w:sz w:val="20"/>
        </w:rPr>
        <w:t>Results vary because search-engine interfaces and scrapers change. In our actual lab run, logs showed zero direct scrape responses from Google and Bing and an operational error from DuckDuckGo; however, FOCA's parsing engine successfully populated the results table with indexed document URLs. Do not claim all search engines succeeded.</w:t>
      </w:r>
      <w:r>
        <w:rPr>
          <w:rFonts w:ascii="Calibri" w:hAnsi="Calibri"/>
          <w:i/>
          <w:color w:val="646E78"/>
          <w:sz w:val="20"/>
        </w:rPr>
        <w:t xml:space="preserve"> (Practical Note)</w:t>
      </w:r>
    </w:p>
    <w:p>
      <w:pPr>
        <w:keepNext/>
        <w:spacing w:before="140" w:after="40"/>
      </w:pPr>
      <w:r>
        <w:rPr>
          <w:rFonts w:ascii="Calibri" w:hAnsi="Calibri"/>
          <w:b/>
          <w:color w:val="2C3E50"/>
          <w:sz w:val="22"/>
        </w:rPr>
        <w:t>Step 3 — Download Documents</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Select Document Rows: </w:t>
      </w:r>
      <w:r>
        <w:rPr>
          <w:rFonts w:ascii="Calibri" w:hAnsi="Calibri"/>
          <w:color w:val="222222"/>
          <w:sz w:val="20"/>
        </w:rPr>
        <w:t>Focus the results table and select rows (press Ctrl+A to select all selectable rows).</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Download All: </w:t>
      </w:r>
      <w:r>
        <w:rPr>
          <w:rFonts w:ascii="Calibri" w:hAnsi="Calibri"/>
          <w:color w:val="222222"/>
          <w:sz w:val="20"/>
        </w:rPr>
        <w:t>Right-click the selection and choose Download All.</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Check Download Status: </w:t>
      </w:r>
      <w:r>
        <w:rPr>
          <w:rFonts w:ascii="Calibri" w:hAnsi="Calibri"/>
          <w:color w:val="222222"/>
          <w:sz w:val="20"/>
        </w:rPr>
        <w:t>Monitor the progress bar and inspect file sizes and status indicators. A URL in the results table does not prove the document downloaded successfully; verify actual bytes.</w:t>
      </w:r>
    </w:p>
    <w:p>
      <w:pPr>
        <w:keepNext/>
        <w:spacing w:before="140" w:after="40"/>
      </w:pPr>
      <w:r>
        <w:rPr>
          <w:rFonts w:ascii="Calibri" w:hAnsi="Calibri"/>
          <w:b/>
          <w:color w:val="2C3E50"/>
          <w:sz w:val="22"/>
        </w:rPr>
        <w:t>Step 4 — Extract Metadata</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Extract Metadata: </w:t>
      </w:r>
      <w:r>
        <w:rPr>
          <w:rFonts w:ascii="Calibri" w:hAnsi="Calibri"/>
          <w:color w:val="222222"/>
          <w:sz w:val="20"/>
        </w:rPr>
        <w:t>Select the downloaded documents, right-click, and choose Extract Metadata (or Extract All Metadata).</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Wait for Processing: </w:t>
      </w:r>
      <w:r>
        <w:rPr>
          <w:rFonts w:ascii="Calibri" w:hAnsi="Calibri"/>
          <w:color w:val="222222"/>
          <w:sz w:val="20"/>
        </w:rPr>
        <w:t>Allow FOCA to parse binary headers and embedded XML structures.</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Inspect Categories: </w:t>
      </w:r>
      <w:r>
        <w:rPr>
          <w:rFonts w:ascii="Calibri" w:hAnsi="Calibri"/>
          <w:color w:val="222222"/>
          <w:sz w:val="20"/>
        </w:rPr>
        <w:t>Review Document Analysis and Metadata Summary: Folders (filesystem paths), Software (application names and versions), Users (author names/usernames), Printers (network printer paths), and Files (total analyzed documents).</w:t>
      </w:r>
    </w:p>
    <w:p>
      <w:pPr>
        <w:spacing w:before="0" w:after="80" w:line="276" w:lineRule="auto"/>
      </w:pPr>
      <w:r>
        <w:rPr>
          <w:rFonts w:ascii="Calibri" w:hAnsi="Calibri"/>
          <w:color w:val="222222"/>
          <w:sz w:val="20"/>
        </w:rPr>
        <w:t>The completed lab session showed Files (10/10) with 'All documents were analyzed.' The metadata summary showed 17 folders, 8 software entries, 0 users, and 0 printers. One file displayed 0 B and a red X; warn that such a file may not have downloaded correctly and must be verified before treating it as analyzed.</w:t>
      </w:r>
      <w:r>
        <w:rPr>
          <w:rFonts w:ascii="Calibri" w:hAnsi="Calibri"/>
          <w:i/>
          <w:color w:val="646E78"/>
          <w:sz w:val="20"/>
        </w:rPr>
        <w:t xml:space="preserve"> (Run Output &amp; Error Warning)</w:t>
      </w:r>
    </w:p>
    <w:p>
      <w:pPr>
        <w:keepNext/>
        <w:spacing w:before="140" w:after="40"/>
      </w:pPr>
      <w:r>
        <w:rPr>
          <w:rFonts w:ascii="Calibri" w:hAnsi="Calibri"/>
          <w:b/>
          <w:color w:val="2C3E50"/>
          <w:sz w:val="22"/>
        </w:rPr>
        <w:t>Step 5 — Save Evidence and Logs</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Save Log: </w:t>
      </w:r>
      <w:r>
        <w:rPr>
          <w:rFonts w:ascii="Calibri" w:hAnsi="Calibri"/>
          <w:color w:val="222222"/>
          <w:sz w:val="20"/>
        </w:rPr>
        <w:t>Click Save log to File and save the log in Documents/FOCA-Lab.</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Capture Screenshots: </w:t>
      </w:r>
      <w:r>
        <w:rPr>
          <w:rFonts w:ascii="Calibri" w:hAnsi="Calibri"/>
          <w:color w:val="222222"/>
          <w:sz w:val="20"/>
        </w:rPr>
        <w:t>Capture screenshots of Search Results, Metadata Summary, Software breakdown, Folder results, and Completed Analysis.</w:t>
      </w:r>
    </w:p>
    <w:p>
      <w:pPr>
        <w:keepNext/>
        <w:spacing w:before="200" w:after="60"/>
      </w:pPr>
      <w:r>
        <w:rPr>
          <w:rFonts w:ascii="Calibri" w:hAnsi="Calibri"/>
          <w:b/>
          <w:color w:val="2B4C7E"/>
          <w:sz w:val="24"/>
        </w:rPr>
        <w:t>What to Observe</w:t>
      </w:r>
    </w:p>
    <w:p>
      <w:pPr>
        <w:pStyle w:val="ListBullet"/>
        <w:spacing w:before="0" w:after="50" w:line="276" w:lineRule="auto"/>
      </w:pPr>
      <w:r>
        <w:rPr>
          <w:rFonts w:ascii="Calibri" w:hAnsi="Calibri"/>
          <w:b/>
          <w:color w:val="2C3E50"/>
          <w:sz w:val="20"/>
        </w:rPr>
        <w:t xml:space="preserve">Metadata: </w:t>
      </w:r>
      <w:r>
        <w:rPr>
          <w:rFonts w:ascii="Calibri" w:hAnsi="Calibri"/>
          <w:color w:val="222222"/>
          <w:sz w:val="20"/>
        </w:rPr>
        <w:t>Data about data embedded in file headers (author names, creation software, modified dates, internal paths).</w:t>
      </w:r>
    </w:p>
    <w:p>
      <w:pPr>
        <w:pStyle w:val="ListBullet"/>
        <w:spacing w:before="0" w:after="50" w:line="276" w:lineRule="auto"/>
      </w:pPr>
      <w:r>
        <w:rPr>
          <w:rFonts w:ascii="Calibri" w:hAnsi="Calibri"/>
          <w:b/>
          <w:color w:val="2C3E50"/>
          <w:sz w:val="20"/>
        </w:rPr>
        <w:t xml:space="preserve">Folders Category: </w:t>
      </w:r>
      <w:r>
        <w:rPr>
          <w:rFonts w:ascii="Calibri" w:hAnsi="Calibri"/>
          <w:color w:val="222222"/>
          <w:sz w:val="20"/>
        </w:rPr>
        <w:t>Reveals internal file paths, directory structures (e.g., C:\Users\... or /var/www/...), and disk volumes.</w:t>
      </w:r>
    </w:p>
    <w:p>
      <w:pPr>
        <w:pStyle w:val="ListBullet"/>
        <w:spacing w:before="0" w:after="50" w:line="276" w:lineRule="auto"/>
      </w:pPr>
      <w:r>
        <w:rPr>
          <w:rFonts w:ascii="Calibri" w:hAnsi="Calibri"/>
          <w:b/>
          <w:color w:val="2C3E50"/>
          <w:sz w:val="20"/>
        </w:rPr>
        <w:t xml:space="preserve">Software Category: </w:t>
      </w:r>
      <w:r>
        <w:rPr>
          <w:rFonts w:ascii="Calibri" w:hAnsi="Calibri"/>
          <w:color w:val="222222"/>
          <w:sz w:val="20"/>
        </w:rPr>
        <w:t>Identifies client software versions, office suites, and PDF converters used by the organization.</w:t>
      </w:r>
    </w:p>
    <w:p>
      <w:pPr>
        <w:pStyle w:val="ListBullet"/>
        <w:spacing w:before="0" w:after="50" w:line="276" w:lineRule="auto"/>
      </w:pPr>
      <w:r>
        <w:rPr>
          <w:rFonts w:ascii="Calibri" w:hAnsi="Calibri"/>
          <w:b/>
          <w:color w:val="2C3E50"/>
          <w:sz w:val="20"/>
        </w:rPr>
        <w:t xml:space="preserve">Users Category: </w:t>
      </w:r>
      <w:r>
        <w:rPr>
          <w:rFonts w:ascii="Calibri" w:hAnsi="Calibri"/>
          <w:color w:val="222222"/>
          <w:sz w:val="20"/>
        </w:rPr>
        <w:t>Discloses organizational usernames, email conventions, and authors.</w:t>
      </w:r>
    </w:p>
    <w:p>
      <w:pPr>
        <w:pStyle w:val="ListBullet"/>
        <w:spacing w:before="0" w:after="50" w:line="276" w:lineRule="auto"/>
      </w:pPr>
      <w:r>
        <w:rPr>
          <w:rFonts w:ascii="Calibri" w:hAnsi="Calibri"/>
          <w:b/>
          <w:color w:val="2C3E50"/>
          <w:sz w:val="20"/>
        </w:rPr>
        <w:t xml:space="preserve">Printers Category: </w:t>
      </w:r>
      <w:r>
        <w:rPr>
          <w:rFonts w:ascii="Calibri" w:hAnsi="Calibri"/>
          <w:color w:val="222222"/>
          <w:sz w:val="20"/>
        </w:rPr>
        <w:t>Discloses internal printer naming and network queues.</w:t>
      </w:r>
    </w:p>
    <w:p>
      <w:pPr>
        <w:pStyle w:val="ListBullet"/>
        <w:spacing w:before="0" w:after="50" w:line="276" w:lineRule="auto"/>
      </w:pPr>
      <w:r>
        <w:rPr>
          <w:rFonts w:ascii="Calibri" w:hAnsi="Calibri"/>
          <w:b/>
          <w:color w:val="2C3E50"/>
          <w:sz w:val="20"/>
        </w:rPr>
        <w:t xml:space="preserve">0 B File Warning: </w:t>
      </w:r>
      <w:r>
        <w:rPr>
          <w:rFonts w:ascii="Calibri" w:hAnsi="Calibri"/>
          <w:color w:val="222222"/>
          <w:sz w:val="20"/>
        </w:rPr>
        <w:t>A 0-byte file with a red X indicates a broken link or failed download; must not be reported as analyzed data.</w:t>
      </w:r>
    </w:p>
    <w:p>
      <w:pPr>
        <w:keepNext/>
        <w:spacing w:before="200" w:after="60"/>
      </w:pPr>
      <w:r>
        <w:rPr>
          <w:rFonts w:ascii="Calibri" w:hAnsi="Calibri"/>
          <w:b/>
          <w:color w:val="2B4C7E"/>
          <w:sz w:val="24"/>
        </w:rPr>
        <w:t>Observation for the Lab Record</w:t>
      </w:r>
    </w:p>
    <w:tbl>
      <w:tblPr>
        <w:tblW w:type="auto" w:w="0"/>
        <w:jc w:val="center"/>
        <w:tblLook w:firstColumn="1" w:firstRow="1" w:lastColumn="0" w:lastRow="0" w:noHBand="0" w:noVBand="1" w:val="04A0"/>
      </w:tblPr>
      <w:tblGrid>
        <w:gridCol w:w="10080"/>
      </w:tblGrid>
      <w:tr>
        <w:tc>
          <w:tcPr>
            <w:tcW w:type="dxa" w:w="10080"/>
            <w:shd w:fill="F0F4F8"/>
            <w:tcMar>
              <w:top w:w="120" w:type="dxa"/>
              <w:bottom w:w="120" w:type="dxa"/>
              <w:left w:w="180" w:type="dxa"/>
              <w:right w:w="16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OBSERVATION (FOCA LAB RECORD):</w:t>
              <w:br/>
            </w:r>
            <w:r>
              <w:rPr>
                <w:rFonts w:ascii="Calibri" w:hAnsi="Calibri"/>
                <w:i w:val="0"/>
                <w:color w:val="222222"/>
                <w:sz w:val="19"/>
              </w:rPr>
              <w:t>FOCA was used to search for publicly available documents associated with the selected domain (owasp.org). The documents were downloaded and analysed for metadata. The results included folder and software information. The metadata summary showed 17 folders and 8 software entries in this run. One file registered 0 B with a red error indicator, demonstrating that failed downloads must be validated before reporting metadata. (Note: Adjust folder and software counts if a fresh execution produces different values).</w:t>
            </w:r>
          </w:p>
        </w:tc>
      </w:tr>
    </w:tbl>
    <w:p>
      <w:pPr>
        <w:spacing w:before="0" w:after="80"/>
      </w:pPr>
    </w:p>
    <w:p>
      <w:pPr>
        <w:keepNext/>
        <w:spacing w:before="200" w:after="60"/>
      </w:pPr>
      <w:r>
        <w:rPr>
          <w:rFonts w:ascii="Calibri" w:hAnsi="Calibri"/>
          <w:b/>
          <w:color w:val="2B4C7E"/>
          <w:sz w:val="24"/>
        </w:rPr>
        <w:t>Result</w:t>
      </w:r>
    </w:p>
    <w:p>
      <w:pPr>
        <w:spacing w:before="0" w:after="80" w:line="276" w:lineRule="auto"/>
      </w:pPr>
      <w:r>
        <w:rPr>
          <w:rFonts w:ascii="Calibri" w:hAnsi="Calibri"/>
          <w:color w:val="222222"/>
          <w:sz w:val="20"/>
        </w:rPr>
        <w:t>Passive document reconnaissance and metadata extraction for owasp.org were successfully completed using FOCA v3.4.7.1, identifying internal server folder paths and software version signatures without directly contacting the target web server.</w:t>
      </w:r>
    </w:p>
    <w:p>
      <w:pPr>
        <w:keepNext/>
        <w:spacing w:before="200" w:after="60"/>
      </w:pPr>
      <w:r>
        <w:rPr>
          <w:rFonts w:ascii="Calibri" w:hAnsi="Calibri"/>
          <w:b/>
          <w:color w:val="2B4C7E"/>
          <w:sz w:val="24"/>
        </w:rPr>
        <w:t>Viva Questions and Answers</w:t>
      </w:r>
    </w:p>
    <w:p>
      <w:pPr>
        <w:spacing w:before="0" w:after="80" w:line="276" w:lineRule="auto"/>
      </w:pPr>
      <w:r>
        <w:rPr>
          <w:rFonts w:ascii="Calibri" w:hAnsi="Calibri"/>
          <w:b/>
          <w:color w:val="2C3E50"/>
          <w:sz w:val="20"/>
        </w:rPr>
        <w:t>1. What is FOCA?</w:t>
        <w:br/>
      </w:r>
      <w:r>
        <w:rPr>
          <w:rFonts w:ascii="Calibri" w:hAnsi="Calibri"/>
          <w:color w:val="222222"/>
          <w:sz w:val="20"/>
        </w:rPr>
        <w:t>Answer: FOCA (Fingerprinting Organizations with Collected Archives) is an OSINT tool that discovers publicly available documents on websites and extracts their hidden metadata to uncover organizational intelligence.</w:t>
      </w:r>
    </w:p>
    <w:p>
      <w:pPr>
        <w:spacing w:before="0" w:after="80" w:line="276" w:lineRule="auto"/>
      </w:pPr>
      <w:r>
        <w:rPr>
          <w:rFonts w:ascii="Calibri" w:hAnsi="Calibri"/>
          <w:b/>
          <w:color w:val="2C3E50"/>
          <w:sz w:val="20"/>
        </w:rPr>
        <w:t>2. What is metadata?</w:t>
        <w:br/>
      </w:r>
      <w:r>
        <w:rPr>
          <w:rFonts w:ascii="Calibri" w:hAnsi="Calibri"/>
          <w:color w:val="222222"/>
          <w:sz w:val="20"/>
        </w:rPr>
        <w:t>Answer: Metadata is 'data about data' stored inside file headers, such as author names, software versions, creation timestamps, internal file paths, and printer names.</w:t>
      </w:r>
    </w:p>
    <w:p>
      <w:pPr>
        <w:spacing w:before="0" w:after="80" w:line="276" w:lineRule="auto"/>
      </w:pPr>
      <w:r>
        <w:rPr>
          <w:rFonts w:ascii="Calibri" w:hAnsi="Calibri"/>
          <w:b/>
          <w:color w:val="2C3E50"/>
          <w:sz w:val="20"/>
        </w:rPr>
        <w:t>3. What is OSINT?</w:t>
        <w:br/>
      </w:r>
      <w:r>
        <w:rPr>
          <w:rFonts w:ascii="Calibri" w:hAnsi="Calibri"/>
          <w:color w:val="222222"/>
          <w:sz w:val="20"/>
        </w:rPr>
        <w:t>Answer: Open Source Intelligence (OSINT) is the practice of collecting and analyzing publicly accessible data from open sources (search engines, public registries, documents) to assess security exposure without attacking target systems.</w:t>
      </w:r>
    </w:p>
    <w:p>
      <w:pPr>
        <w:spacing w:before="0" w:after="80" w:line="276" w:lineRule="auto"/>
      </w:pPr>
      <w:r>
        <w:rPr>
          <w:rFonts w:ascii="Calibri" w:hAnsi="Calibri"/>
          <w:b/>
          <w:color w:val="2C3E50"/>
          <w:sz w:val="20"/>
        </w:rPr>
        <w:t>4. What information can FOCA extract from documents?</w:t>
        <w:br/>
      </w:r>
      <w:r>
        <w:rPr>
          <w:rFonts w:ascii="Calibri" w:hAnsi="Calibri"/>
          <w:color w:val="222222"/>
          <w:sz w:val="20"/>
        </w:rPr>
        <w:t>Answer: FOCA can extract internal operating system folder paths, software applications and version numbers, usernames/authors, email addresses, and network printer queues.</w:t>
      </w:r>
    </w:p>
    <w:p>
      <w:pPr>
        <w:spacing w:before="0" w:after="80" w:line="276" w:lineRule="auto"/>
      </w:pPr>
      <w:r>
        <w:rPr>
          <w:rFonts w:ascii="Calibri" w:hAnsi="Calibri"/>
          <w:b/>
          <w:color w:val="2C3E50"/>
          <w:sz w:val="20"/>
        </w:rPr>
        <w:t>5. Why must download and extraction errors be checked?</w:t>
        <w:br/>
      </w:r>
      <w:r>
        <w:rPr>
          <w:rFonts w:ascii="Calibri" w:hAnsi="Calibri"/>
          <w:color w:val="222222"/>
          <w:sz w:val="20"/>
        </w:rPr>
        <w:t>Answer: Search engine indexes often include dead links, access-restricted files, or corrupted resources. If a file downloads as 0 bytes (red X), it contains no valid document data and must not be reported as a successful metadata finding.</w:t>
      </w:r>
    </w:p>
    <w:p>
      <w:pPr>
        <w:keepNext/>
        <w:spacing w:before="200" w:after="60"/>
      </w:pPr>
      <w:r>
        <w:rPr>
          <w:rFonts w:ascii="Calibri" w:hAnsi="Calibri"/>
          <w:b/>
          <w:color w:val="2B4C7E"/>
          <w:sz w:val="24"/>
        </w:rPr>
        <w:t>Quick Revision</w:t>
      </w:r>
    </w:p>
    <w:p>
      <w:pPr>
        <w:pStyle w:val="ListBullet"/>
        <w:spacing w:before="0" w:after="50" w:line="276" w:lineRule="auto"/>
      </w:pPr>
      <w:r>
        <w:rPr>
          <w:rFonts w:ascii="Calibri" w:hAnsi="Calibri"/>
          <w:b/>
          <w:color w:val="2C3E50"/>
          <w:sz w:val="20"/>
        </w:rPr>
        <w:t xml:space="preserve">FOCA: </w:t>
      </w:r>
      <w:r>
        <w:rPr>
          <w:rFonts w:ascii="Calibri" w:hAnsi="Calibri"/>
          <w:color w:val="222222"/>
          <w:sz w:val="20"/>
        </w:rPr>
        <w:t>Automated OSINT document metadata harvesting tool by ElevenPaths.</w:t>
      </w:r>
    </w:p>
    <w:p>
      <w:pPr>
        <w:pStyle w:val="ListBullet"/>
        <w:spacing w:before="0" w:after="50" w:line="276" w:lineRule="auto"/>
      </w:pPr>
      <w:r>
        <w:rPr>
          <w:rFonts w:ascii="Calibri" w:hAnsi="Calibri"/>
          <w:b/>
          <w:color w:val="2C3E50"/>
          <w:sz w:val="20"/>
        </w:rPr>
        <w:t xml:space="preserve">Database: </w:t>
      </w:r>
      <w:r>
        <w:rPr>
          <w:rFonts w:ascii="Calibri" w:hAnsi="Calibri"/>
          <w:color w:val="222222"/>
          <w:sz w:val="20"/>
        </w:rPr>
        <w:t>Requires Microsoft SQL Server Express or LocalDB for project storage.</w:t>
      </w:r>
    </w:p>
    <w:p>
      <w:pPr>
        <w:pStyle w:val="ListBullet"/>
        <w:spacing w:before="0" w:after="50" w:line="276" w:lineRule="auto"/>
      </w:pPr>
      <w:r>
        <w:rPr>
          <w:rFonts w:ascii="Calibri" w:hAnsi="Calibri"/>
          <w:b/>
          <w:color w:val="2C3E50"/>
          <w:sz w:val="20"/>
        </w:rPr>
        <w:t xml:space="preserve">Supported Formats: </w:t>
      </w:r>
      <w:r>
        <w:rPr>
          <w:rFonts w:ascii="Calibri" w:hAnsi="Calibri"/>
          <w:color w:val="222222"/>
          <w:sz w:val="20"/>
        </w:rPr>
        <w:t>PDF, DOCX, XLSX, PPTX.</w:t>
      </w:r>
    </w:p>
    <w:p>
      <w:pPr>
        <w:pStyle w:val="ListBullet"/>
        <w:spacing w:before="0" w:after="50" w:line="276" w:lineRule="auto"/>
      </w:pPr>
      <w:r>
        <w:rPr>
          <w:rFonts w:ascii="Calibri" w:hAnsi="Calibri"/>
          <w:b/>
          <w:color w:val="2C3E50"/>
          <w:sz w:val="20"/>
        </w:rPr>
        <w:t xml:space="preserve">Core Metadata Categories: </w:t>
      </w:r>
      <w:r>
        <w:rPr>
          <w:rFonts w:ascii="Calibri" w:hAnsi="Calibri"/>
          <w:color w:val="222222"/>
          <w:sz w:val="20"/>
        </w:rPr>
        <w:t>Folders, Software, Users, Printers, Network.</w:t>
      </w:r>
    </w:p>
    <w:p>
      <w:pPr>
        <w:pStyle w:val="ListBullet"/>
        <w:spacing w:before="0" w:after="50" w:line="276" w:lineRule="auto"/>
      </w:pPr>
      <w:r>
        <w:rPr>
          <w:rFonts w:ascii="Calibri" w:hAnsi="Calibri"/>
          <w:b/>
          <w:color w:val="2C3E50"/>
          <w:sz w:val="20"/>
        </w:rPr>
        <w:t xml:space="preserve">Security Risk: </w:t>
      </w:r>
      <w:r>
        <w:rPr>
          <w:rFonts w:ascii="Calibri" w:hAnsi="Calibri"/>
          <w:color w:val="222222"/>
          <w:sz w:val="20"/>
        </w:rPr>
        <w:t>Exposes internal client software stacks and directory structures.</w:t>
      </w:r>
    </w:p>
    <w:p>
      <w:pPr>
        <w:pStyle w:val="ListBullet"/>
        <w:spacing w:before="0" w:after="50" w:line="276" w:lineRule="auto"/>
      </w:pPr>
      <w:r>
        <w:rPr>
          <w:rFonts w:ascii="Calibri" w:hAnsi="Calibri"/>
          <w:b/>
          <w:color w:val="2C3E50"/>
          <w:sz w:val="20"/>
        </w:rPr>
        <w:t xml:space="preserve">Remediation: </w:t>
      </w:r>
      <w:r>
        <w:rPr>
          <w:rFonts w:ascii="Calibri" w:hAnsi="Calibri"/>
          <w:color w:val="222222"/>
          <w:sz w:val="20"/>
        </w:rPr>
        <w:t>Organizations must sanitize or strip metadata before publishing public documents.</w:t>
      </w:r>
    </w:p>
    <w:p>
      <w:r>
        <w:br w:type="page"/>
      </w:r>
    </w:p>
    <w:p>
      <w:pPr>
        <w:keepNext/>
        <w:spacing w:before="280" w:after="80"/>
      </w:pPr>
      <w:r>
        <w:rPr>
          <w:rFonts w:ascii="Calibri" w:hAnsi="Calibri"/>
          <w:b/>
          <w:color w:val="1B365D"/>
          <w:sz w:val="30"/>
        </w:rPr>
        <w:t>2. Tool 2: Maltego (Visual Link Analysis &amp; OSINT Infrastructure Mapping)</w:t>
      </w:r>
    </w:p>
    <w:p>
      <w:pPr>
        <w:spacing w:before="0" w:after="80" w:line="276" w:lineRule="auto"/>
      </w:pPr>
      <w:r>
        <w:rPr>
          <w:rFonts w:ascii="Calibri" w:hAnsi="Calibri"/>
          <w:b/>
          <w:color w:val="2C3E50"/>
          <w:sz w:val="20"/>
        </w:rPr>
        <w:t xml:space="preserve">Reference Context: </w:t>
      </w:r>
      <w:r>
        <w:rPr>
          <w:rFonts w:ascii="Calibri" w:hAnsi="Calibri"/>
          <w:color w:val="222222"/>
          <w:sz w:val="20"/>
        </w:rPr>
        <w:t>Application: Maltego Community Edition (CE)  |  Target Domain: ssn.edu.in  |  Platform: Windows x64</w:t>
      </w:r>
    </w:p>
    <w:p>
      <w:pPr>
        <w:keepNext/>
        <w:spacing w:before="200" w:after="60"/>
      </w:pPr>
      <w:r>
        <w:rPr>
          <w:rFonts w:ascii="Calibri" w:hAnsi="Calibri"/>
          <w:b/>
          <w:color w:val="2B4C7E"/>
          <w:sz w:val="24"/>
        </w:rPr>
        <w:t>Aim</w:t>
      </w:r>
    </w:p>
    <w:p>
      <w:pPr>
        <w:spacing w:before="0" w:after="80" w:line="276" w:lineRule="auto"/>
      </w:pPr>
      <w:r>
        <w:rPr>
          <w:rFonts w:ascii="Calibri" w:hAnsi="Calibri"/>
          <w:color w:val="222222"/>
          <w:sz w:val="20"/>
        </w:rPr>
        <w:t>To construct a visual Open Source Intelligence (OSINT) relationship graph for the target domain ssn.edu.in using Maltego Community Edition, mapping its subdomains, email infrastructure, and network IP addresses through automated transforms.</w:t>
      </w:r>
    </w:p>
    <w:p>
      <w:pPr>
        <w:keepNext/>
        <w:spacing w:before="200" w:after="60"/>
      </w:pPr>
      <w:r>
        <w:rPr>
          <w:rFonts w:ascii="Calibri" w:hAnsi="Calibri"/>
          <w:b/>
          <w:color w:val="2B4C7E"/>
          <w:sz w:val="24"/>
        </w:rPr>
        <w:t>Introduction</w:t>
      </w:r>
    </w:p>
    <w:p>
      <w:pPr>
        <w:spacing w:before="0" w:after="80" w:line="276" w:lineRule="auto"/>
      </w:pPr>
      <w:r>
        <w:rPr>
          <w:rFonts w:ascii="Calibri" w:hAnsi="Calibri"/>
          <w:color w:val="222222"/>
          <w:sz w:val="20"/>
        </w:rPr>
        <w:t>Maltego is an interactive visual link-analysis platform designed for cyber intelligence, digital forensics, and OSINT reconnaissance. Rather than presenting intelligence as flat text lists, Maltego models information as discrete 'entities' (such as domains, IP addresses, email addresses, and organizations) interconnected by directional relationships on a visual canvas. Analysts execute queries called 'transforms' that query public records and third-party APIs to uncover linked assets.</w:t>
      </w:r>
    </w:p>
    <w:p>
      <w:pPr>
        <w:keepNext/>
        <w:spacing w:before="200" w:after="60"/>
      </w:pPr>
      <w:r>
        <w:rPr>
          <w:rFonts w:ascii="Calibri" w:hAnsi="Calibri"/>
          <w:b/>
          <w:color w:val="2B4C7E"/>
          <w:sz w:val="24"/>
        </w:rPr>
        <w:t>Requirements</w:t>
      </w:r>
    </w:p>
    <w:p>
      <w:pPr>
        <w:pStyle w:val="ListBullet"/>
        <w:spacing w:before="0" w:after="50" w:line="276" w:lineRule="auto"/>
      </w:pPr>
      <w:r>
        <w:rPr>
          <w:rFonts w:ascii="Calibri" w:hAnsi="Calibri"/>
          <w:b/>
          <w:color w:val="2C3E50"/>
          <w:sz w:val="20"/>
        </w:rPr>
        <w:t xml:space="preserve">Operating System: </w:t>
      </w:r>
      <w:r>
        <w:rPr>
          <w:rFonts w:ascii="Calibri" w:hAnsi="Calibri"/>
          <w:color w:val="222222"/>
          <w:sz w:val="20"/>
        </w:rPr>
        <w:t>Windows 10 / 11, Linux, or macOS.</w:t>
      </w:r>
    </w:p>
    <w:p>
      <w:pPr>
        <w:pStyle w:val="ListBullet"/>
        <w:spacing w:before="0" w:after="50" w:line="276" w:lineRule="auto"/>
      </w:pPr>
      <w:r>
        <w:rPr>
          <w:rFonts w:ascii="Calibri" w:hAnsi="Calibri"/>
          <w:b/>
          <w:color w:val="2C3E50"/>
          <w:sz w:val="20"/>
        </w:rPr>
        <w:t xml:space="preserve">Java Runtime: </w:t>
      </w:r>
      <w:r>
        <w:rPr>
          <w:rFonts w:ascii="Calibri" w:hAnsi="Calibri"/>
          <w:color w:val="222222"/>
          <w:sz w:val="20"/>
        </w:rPr>
        <w:t>Java Development Kit (JDK) or JRE 11 or 17 (x64).</w:t>
      </w:r>
    </w:p>
    <w:p>
      <w:pPr>
        <w:pStyle w:val="ListBullet"/>
        <w:spacing w:before="0" w:after="50" w:line="276" w:lineRule="auto"/>
      </w:pPr>
      <w:r>
        <w:rPr>
          <w:rFonts w:ascii="Calibri" w:hAnsi="Calibri"/>
          <w:b/>
          <w:color w:val="2C3E50"/>
          <w:sz w:val="20"/>
        </w:rPr>
        <w:t xml:space="preserve">Account: </w:t>
      </w:r>
      <w:r>
        <w:rPr>
          <w:rFonts w:ascii="Calibri" w:hAnsi="Calibri"/>
          <w:color w:val="222222"/>
          <w:sz w:val="20"/>
        </w:rPr>
        <w:t>Registered free Maltego Community Edition account (maltego.com).</w:t>
      </w:r>
    </w:p>
    <w:p>
      <w:pPr>
        <w:pStyle w:val="ListBullet"/>
        <w:spacing w:before="0" w:after="50" w:line="276" w:lineRule="auto"/>
      </w:pPr>
      <w:r>
        <w:rPr>
          <w:rFonts w:ascii="Calibri" w:hAnsi="Calibri"/>
          <w:b/>
          <w:color w:val="2C3E50"/>
          <w:sz w:val="20"/>
        </w:rPr>
        <w:t xml:space="preserve">Software: </w:t>
      </w:r>
      <w:r>
        <w:rPr>
          <w:rFonts w:ascii="Calibri" w:hAnsi="Calibri"/>
          <w:color w:val="222222"/>
          <w:sz w:val="20"/>
        </w:rPr>
        <w:t>Maltego Desktop client.</w:t>
      </w:r>
    </w:p>
    <w:p>
      <w:pPr>
        <w:pStyle w:val="ListBullet"/>
        <w:spacing w:before="0" w:after="50" w:line="276" w:lineRule="auto"/>
      </w:pPr>
      <w:r>
        <w:rPr>
          <w:rFonts w:ascii="Calibri" w:hAnsi="Calibri"/>
          <w:b/>
          <w:color w:val="2C3E50"/>
          <w:sz w:val="20"/>
        </w:rPr>
        <w:t xml:space="preserve">Network Access: </w:t>
      </w:r>
      <w:r>
        <w:rPr>
          <w:rFonts w:ascii="Calibri" w:hAnsi="Calibri"/>
          <w:color w:val="222222"/>
          <w:sz w:val="20"/>
        </w:rPr>
        <w:t>Outbound HTTPS access to Maltego public transform servers.</w:t>
      </w:r>
    </w:p>
    <w:p>
      <w:pPr>
        <w:keepNext/>
        <w:spacing w:before="200" w:after="60"/>
      </w:pPr>
      <w:r>
        <w:rPr>
          <w:rFonts w:ascii="Calibri" w:hAnsi="Calibri"/>
          <w:b/>
          <w:color w:val="2B4C7E"/>
          <w:sz w:val="24"/>
        </w:rPr>
        <w:t>Step-by-Step Procedure</w:t>
      </w:r>
    </w:p>
    <w:p>
      <w:pPr>
        <w:keepNext/>
        <w:spacing w:before="140" w:after="40"/>
      </w:pPr>
      <w:r>
        <w:rPr>
          <w:rFonts w:ascii="Calibri" w:hAnsi="Calibri"/>
          <w:b/>
          <w:color w:val="2C3E50"/>
          <w:sz w:val="22"/>
        </w:rPr>
        <w:t>Step 1 — Create a Graph</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Open Maltego: </w:t>
      </w:r>
      <w:r>
        <w:rPr>
          <w:rFonts w:ascii="Calibri" w:hAnsi="Calibri"/>
          <w:color w:val="222222"/>
          <w:sz w:val="20"/>
        </w:rPr>
        <w:t>Launch Maltego Desktop and sign in to your Community Edition account if required.</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New Graph: </w:t>
      </w:r>
      <w:r>
        <w:rPr>
          <w:rFonts w:ascii="Calibri" w:hAnsi="Calibri"/>
          <w:color w:val="222222"/>
          <w:sz w:val="20"/>
        </w:rPr>
        <w:t>Click File -&gt; New Graph (or click the New Graph icon). Wait for the blank canvas to load.</w:t>
      </w:r>
    </w:p>
    <w:p>
      <w:pPr>
        <w:keepNext/>
        <w:spacing w:before="140" w:after="40"/>
      </w:pPr>
      <w:r>
        <w:rPr>
          <w:rFonts w:ascii="Calibri" w:hAnsi="Calibri"/>
          <w:b/>
          <w:color w:val="2C3E50"/>
          <w:sz w:val="22"/>
        </w:rPr>
        <w:t>Step 2 — Add a Domain Entity</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Entity Palette: </w:t>
      </w:r>
      <w:r>
        <w:rPr>
          <w:rFonts w:ascii="Calibri" w:hAnsi="Calibri"/>
          <w:color w:val="222222"/>
          <w:sz w:val="20"/>
        </w:rPr>
        <w:t>Locate the Entity Palette panel on the left.</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Drag Domain: </w:t>
      </w:r>
      <w:r>
        <w:rPr>
          <w:rFonts w:ascii="Calibri" w:hAnsi="Calibri"/>
          <w:color w:val="222222"/>
          <w:sz w:val="20"/>
        </w:rPr>
        <w:t>Drag a Domain entity icon onto the canvas.</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Configure Domain: </w:t>
      </w:r>
      <w:r>
        <w:rPr>
          <w:rFonts w:ascii="Calibri" w:hAnsi="Calibri"/>
          <w:color w:val="222222"/>
          <w:sz w:val="20"/>
        </w:rPr>
        <w:t>Double-click the entity text, enter ssn.edu.in, and press Enter.</w:t>
      </w:r>
    </w:p>
    <w:p>
      <w:pPr>
        <w:spacing w:before="0" w:after="80" w:line="276" w:lineRule="auto"/>
      </w:pPr>
      <w:r>
        <w:rPr>
          <w:rFonts w:ascii="Calibri" w:hAnsi="Calibri"/>
          <w:color w:val="222222"/>
          <w:sz w:val="20"/>
        </w:rPr>
        <w:t>An entity is a standardized data node representing an asset (such as a Domain, DNS Name, Email Address, Person, or IP Address) with distinct properties and icons.</w:t>
      </w:r>
      <w:r>
        <w:rPr>
          <w:rFonts w:ascii="Calibri" w:hAnsi="Calibri"/>
          <w:i/>
          <w:color w:val="646E78"/>
          <w:sz w:val="20"/>
        </w:rPr>
        <w:t xml:space="preserve"> (Concept Note)</w:t>
      </w:r>
    </w:p>
    <w:p>
      <w:pPr>
        <w:keepNext/>
        <w:spacing w:before="140" w:after="40"/>
      </w:pPr>
      <w:r>
        <w:rPr>
          <w:rFonts w:ascii="Calibri" w:hAnsi="Calibri"/>
          <w:b/>
          <w:color w:val="2C3E50"/>
          <w:sz w:val="22"/>
        </w:rPr>
        <w:t>Step 3 — Discover DNS Names</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Open Transform Menu: </w:t>
      </w:r>
      <w:r>
        <w:rPr>
          <w:rFonts w:ascii="Calibri" w:hAnsi="Calibri"/>
          <w:color w:val="222222"/>
          <w:sz w:val="20"/>
        </w:rPr>
        <w:t>Right-click the ssn.edu.in Domain entity on the canvas.</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Search Transform: </w:t>
      </w:r>
      <w:r>
        <w:rPr>
          <w:rFonts w:ascii="Calibri" w:hAnsi="Calibri"/>
          <w:color w:val="222222"/>
          <w:sz w:val="20"/>
        </w:rPr>
        <w:t>In the transform search bar, type dns.</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Select Transform: </w:t>
      </w:r>
      <w:r>
        <w:rPr>
          <w:rFonts w:ascii="Calibri" w:hAnsi="Calibri"/>
          <w:color w:val="222222"/>
          <w:sz w:val="20"/>
        </w:rPr>
        <w:t>Select the relevant DNS transform: [Utilities] To DNS Name (interesting) [SecurityTrails] (or closest available DNS transform such as To DNS Name - [DNS]).</w:t>
      </w:r>
    </w:p>
    <w:p>
      <w:pPr>
        <w:spacing w:before="20" w:after="60" w:line="276" w:lineRule="auto"/>
        <w:ind w:left="288"/>
      </w:pPr>
      <w:r>
        <w:rPr>
          <w:rFonts w:ascii="Calibri" w:hAnsi="Calibri"/>
          <w:b/>
          <w:color w:val="1B365D"/>
          <w:sz w:val="20"/>
        </w:rPr>
        <w:t xml:space="preserve">4. </w:t>
      </w:r>
      <w:r>
        <w:rPr>
          <w:rFonts w:ascii="Calibri" w:hAnsi="Calibri"/>
          <w:b/>
          <w:color w:val="2C3E50"/>
          <w:sz w:val="20"/>
        </w:rPr>
        <w:t xml:space="preserve">Run Transform: </w:t>
      </w:r>
      <w:r>
        <w:rPr>
          <w:rFonts w:ascii="Calibri" w:hAnsi="Calibri"/>
          <w:color w:val="222222"/>
          <w:sz w:val="20"/>
        </w:rPr>
        <w:t>Click the Run (play) button and wait for completion.</w:t>
      </w:r>
    </w:p>
    <w:p>
      <w:pPr>
        <w:spacing w:before="20" w:after="60" w:line="276" w:lineRule="auto"/>
        <w:ind w:left="288"/>
      </w:pPr>
      <w:r>
        <w:rPr>
          <w:rFonts w:ascii="Calibri" w:hAnsi="Calibri"/>
          <w:b/>
          <w:color w:val="1B365D"/>
          <w:sz w:val="20"/>
        </w:rPr>
        <w:t xml:space="preserve">5. </w:t>
      </w:r>
      <w:r>
        <w:rPr>
          <w:rFonts w:ascii="Calibri" w:hAnsi="Calibri"/>
          <w:b/>
          <w:color w:val="2C3E50"/>
          <w:sz w:val="20"/>
        </w:rPr>
        <w:t xml:space="preserve">Inspect Results: </w:t>
      </w:r>
      <w:r>
        <w:rPr>
          <w:rFonts w:ascii="Calibri" w:hAnsi="Calibri"/>
          <w:color w:val="222222"/>
          <w:sz w:val="20"/>
        </w:rPr>
        <w:t>Inspect the newly populated DNS Name entities (blue/orange sphere icons) linked by directional arrows to the parent domain.</w:t>
      </w:r>
    </w:p>
    <w:p>
      <w:pPr>
        <w:spacing w:before="0" w:after="80" w:line="276" w:lineRule="auto"/>
      </w:pPr>
      <w:r>
        <w:rPr>
          <w:rFonts w:ascii="Calibri" w:hAnsi="Calibri"/>
          <w:color w:val="222222"/>
          <w:sz w:val="20"/>
        </w:rPr>
        <w:t>Transform availability and counts depend on installed versions, transform hubs, credits, and external service availability. If the SecurityTrails transform is unavailable, use the closest relevant DNS transform.</w:t>
      </w:r>
      <w:r>
        <w:rPr>
          <w:rFonts w:ascii="Calibri" w:hAnsi="Calibri"/>
          <w:i/>
          <w:color w:val="646E78"/>
          <w:sz w:val="20"/>
        </w:rPr>
        <w:t xml:space="preserve"> (Operational Note)</w:t>
      </w:r>
    </w:p>
    <w:p>
      <w:pPr>
        <w:keepNext/>
        <w:spacing w:before="140" w:after="40"/>
      </w:pPr>
      <w:r>
        <w:rPr>
          <w:rFonts w:ascii="Calibri" w:hAnsi="Calibri"/>
          <w:b/>
          <w:color w:val="2C3E50"/>
          <w:sz w:val="22"/>
        </w:rPr>
        <w:t>Step 4 — Discover Email Addresses</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Select Domain: </w:t>
      </w:r>
      <w:r>
        <w:rPr>
          <w:rFonts w:ascii="Calibri" w:hAnsi="Calibri"/>
          <w:color w:val="222222"/>
          <w:sz w:val="20"/>
        </w:rPr>
        <w:t>Right-click the original ssn.edu.in Domain entity again.</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Search Transform: </w:t>
      </w:r>
      <w:r>
        <w:rPr>
          <w:rFonts w:ascii="Calibri" w:hAnsi="Calibri"/>
          <w:color w:val="222222"/>
          <w:sz w:val="20"/>
        </w:rPr>
        <w:t>Search for email in the transform menu.</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Run Email Transform: </w:t>
      </w:r>
      <w:r>
        <w:rPr>
          <w:rFonts w:ascii="Calibri" w:hAnsi="Calibri"/>
          <w:color w:val="222222"/>
          <w:sz w:val="20"/>
        </w:rPr>
        <w:t>Select the relevant To Email Address transform (choose the second available option in our workflow) and click Run.</w:t>
      </w:r>
    </w:p>
    <w:p>
      <w:pPr>
        <w:spacing w:before="20" w:after="60" w:line="276" w:lineRule="auto"/>
        <w:ind w:left="288"/>
      </w:pPr>
      <w:r>
        <w:rPr>
          <w:rFonts w:ascii="Calibri" w:hAnsi="Calibri"/>
          <w:b/>
          <w:color w:val="1B365D"/>
          <w:sz w:val="20"/>
        </w:rPr>
        <w:t xml:space="preserve">4. </w:t>
      </w:r>
      <w:r>
        <w:rPr>
          <w:rFonts w:ascii="Calibri" w:hAnsi="Calibri"/>
          <w:b/>
          <w:color w:val="2C3E50"/>
          <w:sz w:val="20"/>
        </w:rPr>
        <w:t xml:space="preserve">Inspect Results: </w:t>
      </w:r>
      <w:r>
        <w:rPr>
          <w:rFonts w:ascii="Calibri" w:hAnsi="Calibri"/>
          <w:color w:val="222222"/>
          <w:sz w:val="20"/>
        </w:rPr>
        <w:t>Inspect email-address entities represented by @ icons. Note that transforms may return zero results; never invent email addresses.</w:t>
      </w:r>
    </w:p>
    <w:p>
      <w:pPr>
        <w:keepNext/>
        <w:spacing w:before="140" w:after="40"/>
      </w:pPr>
      <w:r>
        <w:rPr>
          <w:rFonts w:ascii="Calibri" w:hAnsi="Calibri"/>
          <w:b/>
          <w:color w:val="2C3E50"/>
          <w:sz w:val="22"/>
        </w:rPr>
        <w:t>Step 5 — Find IP Infrastructure</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Select DNS Entity: </w:t>
      </w:r>
      <w:r>
        <w:rPr>
          <w:rFonts w:ascii="Calibri" w:hAnsi="Calibri"/>
          <w:color w:val="222222"/>
          <w:sz w:val="20"/>
        </w:rPr>
        <w:t>Select an orange/blue DNS Name entity (not an email or domain entity), e.g., mail.somca.ssn.edu.in if present in your graph (or another returned DNS entity).</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Run IP Transform: </w:t>
      </w:r>
      <w:r>
        <w:rPr>
          <w:rFonts w:ascii="Calibri" w:hAnsi="Calibri"/>
          <w:color w:val="222222"/>
          <w:sz w:val="20"/>
        </w:rPr>
        <w:t>Right-click that DNS entity -&gt; Run Transform -&gt; search IP -&gt; select relevant IP-address transform -&gt; click Run.</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Inspect Results: </w:t>
      </w:r>
      <w:r>
        <w:rPr>
          <w:rFonts w:ascii="Calibri" w:hAnsi="Calibri"/>
          <w:color w:val="222222"/>
          <w:sz w:val="20"/>
        </w:rPr>
        <w:t>Inspect the returned IP Address entities linked directly to the selected DNS hostname.</w:t>
      </w:r>
    </w:p>
    <w:p>
      <w:pPr>
        <w:keepNext/>
        <w:spacing w:before="140" w:after="40"/>
      </w:pPr>
      <w:r>
        <w:rPr>
          <w:rFonts w:ascii="Calibri" w:hAnsi="Calibri"/>
          <w:b/>
          <w:color w:val="2C3E50"/>
          <w:sz w:val="22"/>
        </w:rPr>
        <w:t>Step 6 — Explain the Final Graph</w:t>
      </w:r>
    </w:p>
    <w:p>
      <w:pPr>
        <w:spacing w:before="0" w:after="80" w:line="276" w:lineRule="auto"/>
      </w:pPr>
      <w:r>
        <w:rPr>
          <w:rFonts w:ascii="Calibri" w:hAnsi="Calibri"/>
          <w:b/>
          <w:color w:val="2C3E50"/>
          <w:sz w:val="20"/>
        </w:rPr>
        <w:t xml:space="preserve">Topology Representation: </w:t>
      </w:r>
      <w:r>
        <w:rPr>
          <w:rFonts w:ascii="Calibri" w:hAnsi="Calibri"/>
          <w:color w:val="222222"/>
          <w:sz w:val="20"/>
        </w:rPr>
        <w:t>The completed graph maps the multi-tier relationship topology:</w:t>
      </w:r>
    </w:p>
    <w:p>
      <w:pPr>
        <w:pStyle w:val="ListBullet"/>
        <w:spacing w:before="0" w:after="50" w:line="276" w:lineRule="auto"/>
      </w:pPr>
      <w:r>
        <w:rPr>
          <w:rFonts w:ascii="Calibri" w:hAnsi="Calibri"/>
          <w:color w:val="222222"/>
          <w:sz w:val="20"/>
        </w:rPr>
        <w:t>ssn.edu.in -&gt; Discovered DNS names / subdomains.</w:t>
      </w:r>
    </w:p>
    <w:p>
      <w:pPr>
        <w:pStyle w:val="ListBullet"/>
        <w:spacing w:before="0" w:after="50" w:line="276" w:lineRule="auto"/>
      </w:pPr>
      <w:r>
        <w:rPr>
          <w:rFonts w:ascii="Calibri" w:hAnsi="Calibri"/>
          <w:color w:val="222222"/>
          <w:sz w:val="20"/>
        </w:rPr>
        <w:t>ssn.edu.in -&gt; Discovered email addresses (@).</w:t>
      </w:r>
    </w:p>
    <w:p>
      <w:pPr>
        <w:pStyle w:val="ListBullet"/>
        <w:spacing w:before="0" w:after="50" w:line="276" w:lineRule="auto"/>
      </w:pPr>
      <w:r>
        <w:rPr>
          <w:rFonts w:ascii="Calibri" w:hAnsi="Calibri"/>
          <w:color w:val="222222"/>
          <w:sz w:val="20"/>
        </w:rPr>
        <w:t>DNS names -&gt; Associated IP addresses.</w:t>
      </w:r>
    </w:p>
    <w:p>
      <w:pPr>
        <w:pStyle w:val="ListBullet"/>
        <w:spacing w:before="0" w:after="50" w:line="276" w:lineRule="auto"/>
      </w:pPr>
      <w:r>
        <w:rPr>
          <w:rFonts w:ascii="Calibri" w:hAnsi="Calibri"/>
          <w:b/>
          <w:color w:val="2C3E50"/>
          <w:sz w:val="20"/>
        </w:rPr>
        <w:t xml:space="preserve">Entity: </w:t>
      </w:r>
      <w:r>
        <w:rPr>
          <w:rFonts w:ascii="Calibri" w:hAnsi="Calibri"/>
          <w:color w:val="222222"/>
          <w:sz w:val="20"/>
        </w:rPr>
        <w:t>A piece of information represented as a node on the canvas.</w:t>
      </w:r>
    </w:p>
    <w:p>
      <w:pPr>
        <w:pStyle w:val="ListBullet"/>
        <w:spacing w:before="0" w:after="50" w:line="276" w:lineRule="auto"/>
      </w:pPr>
      <w:r>
        <w:rPr>
          <w:rFonts w:ascii="Calibri" w:hAnsi="Calibri"/>
          <w:b/>
          <w:color w:val="2C3E50"/>
          <w:sz w:val="20"/>
        </w:rPr>
        <w:t xml:space="preserve">Transform: </w:t>
      </w:r>
      <w:r>
        <w:rPr>
          <w:rFonts w:ascii="Calibri" w:hAnsi="Calibri"/>
          <w:color w:val="222222"/>
          <w:sz w:val="20"/>
        </w:rPr>
        <w:t>An automated query that takes an input entity and discovers related child entities.</w:t>
      </w:r>
    </w:p>
    <w:p>
      <w:pPr>
        <w:pStyle w:val="ListBullet"/>
        <w:spacing w:before="0" w:after="50" w:line="276" w:lineRule="auto"/>
      </w:pPr>
      <w:r>
        <w:rPr>
          <w:rFonts w:ascii="Calibri" w:hAnsi="Calibri"/>
          <w:b/>
          <w:color w:val="2C3E50"/>
          <w:sz w:val="20"/>
        </w:rPr>
        <w:t xml:space="preserve">Graph: </w:t>
      </w:r>
      <w:r>
        <w:rPr>
          <w:rFonts w:ascii="Calibri" w:hAnsi="Calibri"/>
          <w:color w:val="222222"/>
          <w:sz w:val="20"/>
        </w:rPr>
        <w:t>The visual network of interconnected entities and directional relationships.</w:t>
      </w:r>
    </w:p>
    <w:p>
      <w:pPr>
        <w:keepNext/>
        <w:spacing w:before="200" w:after="60"/>
      </w:pPr>
      <w:r>
        <w:rPr>
          <w:rFonts w:ascii="Calibri" w:hAnsi="Calibri"/>
          <w:b/>
          <w:color w:val="2B4C7E"/>
          <w:sz w:val="24"/>
        </w:rPr>
        <w:t>What to Observe</w:t>
      </w:r>
    </w:p>
    <w:p>
      <w:pPr>
        <w:pStyle w:val="ListBullet"/>
        <w:spacing w:before="0" w:after="50" w:line="276" w:lineRule="auto"/>
      </w:pPr>
      <w:r>
        <w:rPr>
          <w:rFonts w:ascii="Calibri" w:hAnsi="Calibri"/>
          <w:b/>
          <w:color w:val="2C3E50"/>
          <w:sz w:val="20"/>
        </w:rPr>
        <w:t xml:space="preserve">Entity Nodes: </w:t>
      </w:r>
      <w:r>
        <w:rPr>
          <w:rFonts w:ascii="Calibri" w:hAnsi="Calibri"/>
          <w:color w:val="222222"/>
          <w:sz w:val="20"/>
        </w:rPr>
        <w:t>Icons reflect asset categories (globe for Domain, sphere for DNS Name, envelope for Email, rack for IP Address).</w:t>
      </w:r>
    </w:p>
    <w:p>
      <w:pPr>
        <w:pStyle w:val="ListBullet"/>
        <w:spacing w:before="0" w:after="50" w:line="276" w:lineRule="auto"/>
      </w:pPr>
      <w:r>
        <w:rPr>
          <w:rFonts w:ascii="Calibri" w:hAnsi="Calibri"/>
          <w:b/>
          <w:color w:val="2C3E50"/>
          <w:sz w:val="20"/>
        </w:rPr>
        <w:t xml:space="preserve">Relationships: </w:t>
      </w:r>
      <w:r>
        <w:rPr>
          <w:rFonts w:ascii="Calibri" w:hAnsi="Calibri"/>
          <w:color w:val="222222"/>
          <w:sz w:val="20"/>
        </w:rPr>
        <w:t>Directed arrows illustrate discovery lineage and hierarchy.</w:t>
      </w:r>
    </w:p>
    <w:p>
      <w:pPr>
        <w:pStyle w:val="ListBullet"/>
        <w:spacing w:before="0" w:after="50" w:line="276" w:lineRule="auto"/>
      </w:pPr>
      <w:r>
        <w:rPr>
          <w:rFonts w:ascii="Calibri" w:hAnsi="Calibri"/>
          <w:b/>
          <w:color w:val="2C3E50"/>
          <w:sz w:val="20"/>
        </w:rPr>
        <w:t xml:space="preserve">Shared Infrastructure: </w:t>
      </w:r>
      <w:r>
        <w:rPr>
          <w:rFonts w:ascii="Calibri" w:hAnsi="Calibri"/>
          <w:color w:val="222222"/>
          <w:sz w:val="20"/>
        </w:rPr>
        <w:t>Multiple subdomains resolving to a single IP entity highlight shared hosting or server consolidation.</w:t>
      </w:r>
    </w:p>
    <w:p>
      <w:pPr>
        <w:pStyle w:val="ListBullet"/>
        <w:spacing w:before="0" w:after="50" w:line="276" w:lineRule="auto"/>
      </w:pPr>
      <w:r>
        <w:rPr>
          <w:rFonts w:ascii="Calibri" w:hAnsi="Calibri"/>
          <w:b/>
          <w:color w:val="2C3E50"/>
          <w:sz w:val="20"/>
        </w:rPr>
        <w:t xml:space="preserve">External Data: </w:t>
      </w:r>
      <w:r>
        <w:rPr>
          <w:rFonts w:ascii="Calibri" w:hAnsi="Calibri"/>
          <w:color w:val="222222"/>
          <w:sz w:val="20"/>
        </w:rPr>
        <w:t>Community Edition transforms rely on public third-party APIs and may reflect cached or rate-limited data.</w:t>
      </w:r>
    </w:p>
    <w:p>
      <w:pPr>
        <w:keepNext/>
        <w:spacing w:before="200" w:after="60"/>
      </w:pPr>
      <w:r>
        <w:rPr>
          <w:rFonts w:ascii="Calibri" w:hAnsi="Calibri"/>
          <w:b/>
          <w:color w:val="2B4C7E"/>
          <w:sz w:val="24"/>
        </w:rPr>
        <w:t>Observation for the Lab Record</w:t>
      </w:r>
    </w:p>
    <w:tbl>
      <w:tblPr>
        <w:tblW w:type="auto" w:w="0"/>
        <w:jc w:val="center"/>
        <w:tblLook w:firstColumn="1" w:firstRow="1" w:lastColumn="0" w:lastRow="0" w:noHBand="0" w:noVBand="1" w:val="04A0"/>
      </w:tblPr>
      <w:tblGrid>
        <w:gridCol w:w="10080"/>
      </w:tblGrid>
      <w:tr>
        <w:tc>
          <w:tcPr>
            <w:tcW w:type="dxa" w:w="10080"/>
            <w:shd w:fill="F0F4F8"/>
            <w:tcMar>
              <w:top w:w="120" w:type="dxa"/>
              <w:bottom w:w="120" w:type="dxa"/>
              <w:left w:w="180" w:type="dxa"/>
              <w:right w:w="16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OBSERVATION (MALTEGO LAB RECORD):</w:t>
              <w:br/>
            </w:r>
            <w:r>
              <w:rPr>
                <w:rFonts w:ascii="Calibri" w:hAnsi="Calibri"/>
                <w:i w:val="0"/>
                <w:color w:val="222222"/>
                <w:sz w:val="19"/>
              </w:rPr>
              <w:t>Maltego was used to create a Domain entity for ssn.edu.in. DNS and email transforms were executed to discover related entities. An IP-address transform was then run on a DNS-name entity. The resulting graph displayed the relationships between the domain, the discovered DNS names, available email addresses and related IP addresses. (Note: Adjust this observation if a particular transform returned no results in your session).</w:t>
            </w:r>
          </w:p>
        </w:tc>
      </w:tr>
    </w:tbl>
    <w:p>
      <w:pPr>
        <w:spacing w:before="0" w:after="80"/>
      </w:pPr>
    </w:p>
    <w:p>
      <w:pPr>
        <w:keepNext/>
        <w:spacing w:before="200" w:after="60"/>
      </w:pPr>
      <w:r>
        <w:rPr>
          <w:rFonts w:ascii="Calibri" w:hAnsi="Calibri"/>
          <w:b/>
          <w:color w:val="2B4C7E"/>
          <w:sz w:val="24"/>
        </w:rPr>
        <w:t>Result</w:t>
      </w:r>
    </w:p>
    <w:p>
      <w:pPr>
        <w:spacing w:before="0" w:after="80" w:line="276" w:lineRule="auto"/>
      </w:pPr>
      <w:r>
        <w:rPr>
          <w:rFonts w:ascii="Calibri" w:hAnsi="Calibri"/>
          <w:color w:val="222222"/>
          <w:sz w:val="20"/>
        </w:rPr>
        <w:t>Visual OSINT relationship mapping for ssn.edu.in was successfully conducted using Maltego Community Edition, generating an interactive graph connecting domain assets, subdomains, and host IP addresses without active target probing.</w:t>
      </w:r>
    </w:p>
    <w:p>
      <w:pPr>
        <w:keepNext/>
        <w:spacing w:before="200" w:after="60"/>
      </w:pPr>
      <w:r>
        <w:rPr>
          <w:rFonts w:ascii="Calibri" w:hAnsi="Calibri"/>
          <w:b/>
          <w:color w:val="2B4C7E"/>
          <w:sz w:val="24"/>
        </w:rPr>
        <w:t>Viva Questions and Answers</w:t>
      </w:r>
    </w:p>
    <w:p>
      <w:pPr>
        <w:spacing w:before="0" w:after="80" w:line="276" w:lineRule="auto"/>
      </w:pPr>
      <w:r>
        <w:rPr>
          <w:rFonts w:ascii="Calibri" w:hAnsi="Calibri"/>
          <w:b/>
          <w:color w:val="2C3E50"/>
          <w:sz w:val="20"/>
        </w:rPr>
        <w:t>1. What is Maltego?</w:t>
        <w:br/>
      </w:r>
      <w:r>
        <w:rPr>
          <w:rFonts w:ascii="Calibri" w:hAnsi="Calibri"/>
          <w:color w:val="222222"/>
          <w:sz w:val="20"/>
        </w:rPr>
        <w:t>Answer: Maltego is an OSINT and visual link-analysis tool that queries public data sources to map relationships between digital entities, organizations, and infrastructure.</w:t>
      </w:r>
    </w:p>
    <w:p>
      <w:pPr>
        <w:spacing w:before="0" w:after="80" w:line="276" w:lineRule="auto"/>
      </w:pPr>
      <w:r>
        <w:rPr>
          <w:rFonts w:ascii="Calibri" w:hAnsi="Calibri"/>
          <w:b/>
          <w:color w:val="2C3E50"/>
          <w:sz w:val="20"/>
        </w:rPr>
        <w:t>2. What is OSINT?</w:t>
        <w:br/>
      </w:r>
      <w:r>
        <w:rPr>
          <w:rFonts w:ascii="Calibri" w:hAnsi="Calibri"/>
          <w:color w:val="222222"/>
          <w:sz w:val="20"/>
        </w:rPr>
        <w:t>Answer: Open Source Intelligence (OSINT) involves collecting, analyzing, and correlating publicly available data to evaluate a target's attack surface without engaging in unauthorized or invasive probing.</w:t>
      </w:r>
    </w:p>
    <w:p>
      <w:pPr>
        <w:spacing w:before="0" w:after="80" w:line="276" w:lineRule="auto"/>
      </w:pPr>
      <w:r>
        <w:rPr>
          <w:rFonts w:ascii="Calibri" w:hAnsi="Calibri"/>
          <w:b/>
          <w:color w:val="2C3E50"/>
          <w:sz w:val="20"/>
        </w:rPr>
        <w:t>3. What is an entity?</w:t>
        <w:br/>
      </w:r>
      <w:r>
        <w:rPr>
          <w:rFonts w:ascii="Calibri" w:hAnsi="Calibri"/>
          <w:color w:val="222222"/>
          <w:sz w:val="20"/>
        </w:rPr>
        <w:t>Answer: An entity is a standardized data object represented as a node on the Maltego canvas (e.g., Domain, DNS Name, IP Address, Person).</w:t>
      </w:r>
    </w:p>
    <w:p>
      <w:pPr>
        <w:spacing w:before="0" w:after="80" w:line="276" w:lineRule="auto"/>
      </w:pPr>
      <w:r>
        <w:rPr>
          <w:rFonts w:ascii="Calibri" w:hAnsi="Calibri"/>
          <w:b/>
          <w:color w:val="2C3E50"/>
          <w:sz w:val="20"/>
        </w:rPr>
        <w:t>4. What is a transform?</w:t>
        <w:br/>
      </w:r>
      <w:r>
        <w:rPr>
          <w:rFonts w:ascii="Calibri" w:hAnsi="Calibri"/>
          <w:color w:val="222222"/>
          <w:sz w:val="20"/>
        </w:rPr>
        <w:t>Answer: A transform is a query script that takes an existing entity as input, executes lookups against external databases, and returns related output entities onto the graph.</w:t>
      </w:r>
    </w:p>
    <w:p>
      <w:pPr>
        <w:spacing w:before="0" w:after="80" w:line="276" w:lineRule="auto"/>
      </w:pPr>
      <w:r>
        <w:rPr>
          <w:rFonts w:ascii="Calibri" w:hAnsi="Calibri"/>
          <w:b/>
          <w:color w:val="2C3E50"/>
          <w:sz w:val="20"/>
        </w:rPr>
        <w:t>5. What is the purpose of a graph in Maltego?</w:t>
        <w:br/>
      </w:r>
      <w:r>
        <w:rPr>
          <w:rFonts w:ascii="Calibri" w:hAnsi="Calibri"/>
          <w:color w:val="222222"/>
          <w:sz w:val="20"/>
        </w:rPr>
        <w:t>Answer: The graph visually connects disparate digital assets, making it easy to identify shared hosting, exposed subdomains, email naming patterns, and infrastructure relationships.</w:t>
      </w:r>
    </w:p>
    <w:p>
      <w:pPr>
        <w:keepNext/>
        <w:spacing w:before="200" w:after="60"/>
      </w:pPr>
      <w:r>
        <w:rPr>
          <w:rFonts w:ascii="Calibri" w:hAnsi="Calibri"/>
          <w:b/>
          <w:color w:val="2B4C7E"/>
          <w:sz w:val="24"/>
        </w:rPr>
        <w:t>Quick Revision</w:t>
      </w:r>
    </w:p>
    <w:p>
      <w:pPr>
        <w:pStyle w:val="ListBullet"/>
        <w:spacing w:before="0" w:after="50" w:line="276" w:lineRule="auto"/>
      </w:pPr>
      <w:r>
        <w:rPr>
          <w:rFonts w:ascii="Calibri" w:hAnsi="Calibri"/>
          <w:b/>
          <w:color w:val="2C3E50"/>
          <w:sz w:val="20"/>
        </w:rPr>
        <w:t xml:space="preserve">Maltego: </w:t>
      </w:r>
      <w:r>
        <w:rPr>
          <w:rFonts w:ascii="Calibri" w:hAnsi="Calibri"/>
          <w:color w:val="222222"/>
          <w:sz w:val="20"/>
        </w:rPr>
        <w:t>Visual link analysis and OSINT graph platform.</w:t>
      </w:r>
    </w:p>
    <w:p>
      <w:pPr>
        <w:pStyle w:val="ListBullet"/>
        <w:spacing w:before="0" w:after="50" w:line="276" w:lineRule="auto"/>
      </w:pPr>
      <w:r>
        <w:rPr>
          <w:rFonts w:ascii="Calibri" w:hAnsi="Calibri"/>
          <w:b/>
          <w:color w:val="2C3E50"/>
          <w:sz w:val="20"/>
        </w:rPr>
        <w:t xml:space="preserve">Entity: </w:t>
      </w:r>
      <w:r>
        <w:rPr>
          <w:rFonts w:ascii="Calibri" w:hAnsi="Calibri"/>
          <w:color w:val="222222"/>
          <w:sz w:val="20"/>
        </w:rPr>
        <w:t>Node representing a data object (Domain, DNS Name, IP, Email).</w:t>
      </w:r>
    </w:p>
    <w:p>
      <w:pPr>
        <w:pStyle w:val="ListBullet"/>
        <w:spacing w:before="0" w:after="50" w:line="276" w:lineRule="auto"/>
      </w:pPr>
      <w:r>
        <w:rPr>
          <w:rFonts w:ascii="Calibri" w:hAnsi="Calibri"/>
          <w:b/>
          <w:color w:val="2C3E50"/>
          <w:sz w:val="20"/>
        </w:rPr>
        <w:t xml:space="preserve">Transform: </w:t>
      </w:r>
      <w:r>
        <w:rPr>
          <w:rFonts w:ascii="Calibri" w:hAnsi="Calibri"/>
          <w:color w:val="222222"/>
          <w:sz w:val="20"/>
        </w:rPr>
        <w:t>API query that expands entities into related entities.</w:t>
      </w:r>
    </w:p>
    <w:p>
      <w:pPr>
        <w:pStyle w:val="ListBullet"/>
        <w:spacing w:before="0" w:after="50" w:line="276" w:lineRule="auto"/>
      </w:pPr>
      <w:r>
        <w:rPr>
          <w:rFonts w:ascii="Calibri" w:hAnsi="Calibri"/>
          <w:b/>
          <w:color w:val="2C3E50"/>
          <w:sz w:val="20"/>
        </w:rPr>
        <w:t xml:space="preserve">Graph: </w:t>
      </w:r>
      <w:r>
        <w:rPr>
          <w:rFonts w:ascii="Calibri" w:hAnsi="Calibri"/>
          <w:color w:val="222222"/>
          <w:sz w:val="20"/>
        </w:rPr>
        <w:t>Multi-node relational map showing connections.</w:t>
      </w:r>
    </w:p>
    <w:p>
      <w:pPr>
        <w:pStyle w:val="ListBullet"/>
        <w:spacing w:before="0" w:after="50" w:line="276" w:lineRule="auto"/>
      </w:pPr>
      <w:r>
        <w:rPr>
          <w:rFonts w:ascii="Calibri" w:hAnsi="Calibri"/>
          <w:b/>
          <w:color w:val="2C3E50"/>
          <w:sz w:val="20"/>
        </w:rPr>
        <w:t xml:space="preserve">Target: </w:t>
      </w:r>
      <w:r>
        <w:rPr>
          <w:rFonts w:ascii="Calibri" w:hAnsi="Calibri"/>
          <w:color w:val="222222"/>
          <w:sz w:val="20"/>
        </w:rPr>
        <w:t>ssn.edu.in.</w:t>
      </w:r>
    </w:p>
    <w:p>
      <w:pPr>
        <w:pStyle w:val="ListBullet"/>
        <w:spacing w:before="0" w:after="50" w:line="276" w:lineRule="auto"/>
      </w:pPr>
      <w:r>
        <w:rPr>
          <w:rFonts w:ascii="Calibri" w:hAnsi="Calibri"/>
          <w:b/>
          <w:color w:val="2C3E50"/>
          <w:sz w:val="20"/>
        </w:rPr>
        <w:t xml:space="preserve">Layouts: </w:t>
      </w:r>
      <w:r>
        <w:rPr>
          <w:rFonts w:ascii="Calibri" w:hAnsi="Calibri"/>
          <w:color w:val="222222"/>
          <w:sz w:val="20"/>
        </w:rPr>
        <w:t>Hierarchical, Organic, Circular layouts for clarity.</w:t>
      </w:r>
    </w:p>
    <w:p>
      <w:pPr>
        <w:pStyle w:val="ListBullet"/>
        <w:spacing w:before="0" w:after="50" w:line="276" w:lineRule="auto"/>
      </w:pPr>
      <w:r>
        <w:rPr>
          <w:rFonts w:ascii="Calibri" w:hAnsi="Calibri"/>
          <w:b/>
          <w:color w:val="2C3E50"/>
          <w:sz w:val="20"/>
        </w:rPr>
        <w:t xml:space="preserve">Safety: </w:t>
      </w:r>
      <w:r>
        <w:rPr>
          <w:rFonts w:ascii="Calibri" w:hAnsi="Calibri"/>
          <w:color w:val="222222"/>
          <w:sz w:val="20"/>
        </w:rPr>
        <w:t>Strictly passive relationship mapping; no unauthorized exploitation.</w:t>
      </w:r>
    </w:p>
    <w:p>
      <w:r>
        <w:br w:type="page"/>
      </w:r>
    </w:p>
    <w:p>
      <w:pPr>
        <w:keepNext/>
        <w:spacing w:before="280" w:after="80"/>
      </w:pPr>
      <w:r>
        <w:rPr>
          <w:rFonts w:ascii="Calibri" w:hAnsi="Calibri"/>
          <w:b/>
          <w:color w:val="1B365D"/>
          <w:sz w:val="30"/>
        </w:rPr>
        <w:t>3. Tool 3: Sysmon (System Monitor &amp; Endpoint Activity Logging)</w:t>
      </w:r>
    </w:p>
    <w:p>
      <w:pPr>
        <w:spacing w:before="0" w:after="80" w:line="276" w:lineRule="auto"/>
      </w:pPr>
      <w:r>
        <w:rPr>
          <w:rFonts w:ascii="Calibri" w:hAnsi="Calibri"/>
          <w:b/>
          <w:color w:val="2C3E50"/>
          <w:sz w:val="20"/>
        </w:rPr>
        <w:t xml:space="preserve">Reference Context: </w:t>
      </w:r>
      <w:r>
        <w:rPr>
          <w:rFonts w:ascii="Calibri" w:hAnsi="Calibri"/>
          <w:color w:val="222222"/>
          <w:sz w:val="20"/>
        </w:rPr>
        <w:t>Utility: Microsoft Sysinternals Sysmon64  |  Config: SwiftOnSecurity sysmon-config  |  Platform: Windows x64</w:t>
      </w:r>
    </w:p>
    <w:p>
      <w:pPr>
        <w:keepNext/>
        <w:spacing w:before="200" w:after="60"/>
      </w:pPr>
      <w:r>
        <w:rPr>
          <w:rFonts w:ascii="Calibri" w:hAnsi="Calibri"/>
          <w:b/>
          <w:color w:val="2B4C7E"/>
          <w:sz w:val="24"/>
        </w:rPr>
        <w:t>Aim</w:t>
      </w:r>
    </w:p>
    <w:p>
      <w:pPr>
        <w:spacing w:before="0" w:after="80" w:line="276" w:lineRule="auto"/>
      </w:pPr>
      <w:r>
        <w:rPr>
          <w:rFonts w:ascii="Calibri" w:hAnsi="Calibri"/>
          <w:color w:val="222222"/>
          <w:sz w:val="20"/>
        </w:rPr>
        <w:t>To configure Microsoft Sysmon (System Monitor) on a Windows system using the SwiftOnSecurity configuration template and monitor detailed endpoint security events via the Windows Event Viewer.</w:t>
      </w:r>
    </w:p>
    <w:p>
      <w:pPr>
        <w:keepNext/>
        <w:spacing w:before="200" w:after="60"/>
      </w:pPr>
      <w:r>
        <w:rPr>
          <w:rFonts w:ascii="Calibri" w:hAnsi="Calibri"/>
          <w:b/>
          <w:color w:val="2B4C7E"/>
          <w:sz w:val="24"/>
        </w:rPr>
        <w:t>Introduction</w:t>
      </w:r>
    </w:p>
    <w:p>
      <w:pPr>
        <w:spacing w:before="0" w:after="80" w:line="276" w:lineRule="auto"/>
      </w:pPr>
      <w:r>
        <w:rPr>
          <w:rFonts w:ascii="Calibri" w:hAnsi="Calibri"/>
          <w:color w:val="222222"/>
          <w:sz w:val="20"/>
        </w:rPr>
        <w:t>Sysmon (System Monitor) is a Microsoft Sysinternals utility that runs as a background Windows service and device driver to monitor and log security-critical system activity to the Windows Event Log. Unlike standard Windows audit policies, Sysmon provides granular tracking of process execution, command-line arguments, network sockets, file modifications, driver loads, and DNS queries. It serves as an essential endpoint detection and response (EDR) data source for threat hunting and blue-team analysis.</w:t>
      </w:r>
    </w:p>
    <w:p>
      <w:pPr>
        <w:keepNext/>
        <w:spacing w:before="200" w:after="60"/>
      </w:pPr>
      <w:r>
        <w:rPr>
          <w:rFonts w:ascii="Calibri" w:hAnsi="Calibri"/>
          <w:b/>
          <w:color w:val="2B4C7E"/>
          <w:sz w:val="24"/>
        </w:rPr>
        <w:t>Requirements</w:t>
      </w:r>
    </w:p>
    <w:p>
      <w:pPr>
        <w:pStyle w:val="ListBullet"/>
        <w:spacing w:before="0" w:after="50" w:line="276" w:lineRule="auto"/>
      </w:pPr>
      <w:r>
        <w:rPr>
          <w:rFonts w:ascii="Calibri" w:hAnsi="Calibri"/>
          <w:b/>
          <w:color w:val="2C3E50"/>
          <w:sz w:val="20"/>
        </w:rPr>
        <w:t xml:space="preserve">Operating System: </w:t>
      </w:r>
      <w:r>
        <w:rPr>
          <w:rFonts w:ascii="Calibri" w:hAnsi="Calibri"/>
          <w:color w:val="222222"/>
          <w:sz w:val="20"/>
        </w:rPr>
        <w:t>Windows 10, 11, or Windows Server (x64).</w:t>
      </w:r>
    </w:p>
    <w:p>
      <w:pPr>
        <w:pStyle w:val="ListBullet"/>
        <w:spacing w:before="0" w:after="50" w:line="276" w:lineRule="auto"/>
      </w:pPr>
      <w:r>
        <w:rPr>
          <w:rFonts w:ascii="Calibri" w:hAnsi="Calibri"/>
          <w:b/>
          <w:color w:val="2C3E50"/>
          <w:sz w:val="20"/>
        </w:rPr>
        <w:t xml:space="preserve">Privileges: </w:t>
      </w:r>
      <w:r>
        <w:rPr>
          <w:rFonts w:ascii="Calibri" w:hAnsi="Calibri"/>
          <w:color w:val="222222"/>
          <w:sz w:val="20"/>
        </w:rPr>
        <w:t>Elevated local administrator rights (required for service and driver management).</w:t>
      </w:r>
    </w:p>
    <w:p>
      <w:pPr>
        <w:pStyle w:val="ListBullet"/>
        <w:spacing w:before="0" w:after="50" w:line="276" w:lineRule="auto"/>
      </w:pPr>
      <w:r>
        <w:rPr>
          <w:rFonts w:ascii="Calibri" w:hAnsi="Calibri"/>
          <w:b/>
          <w:color w:val="2C3E50"/>
          <w:sz w:val="20"/>
        </w:rPr>
        <w:t xml:space="preserve">Shell: </w:t>
      </w:r>
      <w:r>
        <w:rPr>
          <w:rFonts w:ascii="Calibri" w:hAnsi="Calibri"/>
          <w:color w:val="222222"/>
          <w:sz w:val="20"/>
        </w:rPr>
        <w:t>Windows PowerShell (Run as Administrator) or Elevated Command Prompt.</w:t>
      </w:r>
    </w:p>
    <w:p>
      <w:pPr>
        <w:pStyle w:val="ListBullet"/>
        <w:spacing w:before="0" w:after="50" w:line="276" w:lineRule="auto"/>
      </w:pPr>
      <w:r>
        <w:rPr>
          <w:rFonts w:ascii="Calibri" w:hAnsi="Calibri"/>
          <w:b/>
          <w:color w:val="2C3E50"/>
          <w:sz w:val="20"/>
        </w:rPr>
        <w:t xml:space="preserve">Binary: </w:t>
      </w:r>
      <w:r>
        <w:rPr>
          <w:rFonts w:ascii="Calibri" w:hAnsi="Calibri"/>
          <w:color w:val="222222"/>
          <w:sz w:val="20"/>
        </w:rPr>
        <w:t>Sysmon64.exe (Microsoft Sysinternals).</w:t>
      </w:r>
    </w:p>
    <w:p>
      <w:pPr>
        <w:pStyle w:val="ListBullet"/>
        <w:spacing w:before="0" w:after="50" w:line="276" w:lineRule="auto"/>
      </w:pPr>
      <w:r>
        <w:rPr>
          <w:rFonts w:ascii="Calibri" w:hAnsi="Calibri"/>
          <w:b/>
          <w:color w:val="2C3E50"/>
          <w:sz w:val="20"/>
        </w:rPr>
        <w:t xml:space="preserve">Configuration: </w:t>
      </w:r>
      <w:r>
        <w:rPr>
          <w:rFonts w:ascii="Calibri" w:hAnsi="Calibri"/>
          <w:color w:val="222222"/>
          <w:sz w:val="20"/>
        </w:rPr>
        <w:t>SwiftOnSecurity sysmonconfig-export.xml.</w:t>
      </w:r>
    </w:p>
    <w:p>
      <w:pPr>
        <w:pStyle w:val="ListBullet"/>
        <w:spacing w:before="0" w:after="50" w:line="276" w:lineRule="auto"/>
      </w:pPr>
      <w:r>
        <w:rPr>
          <w:rFonts w:ascii="Calibri" w:hAnsi="Calibri"/>
          <w:b/>
          <w:color w:val="2C3E50"/>
          <w:sz w:val="20"/>
        </w:rPr>
        <w:t xml:space="preserve">Tools: </w:t>
      </w:r>
      <w:r>
        <w:rPr>
          <w:rFonts w:ascii="Calibri" w:hAnsi="Calibri"/>
          <w:color w:val="222222"/>
          <w:sz w:val="20"/>
        </w:rPr>
        <w:t>Git for Windows (or manual browser download).</w:t>
      </w:r>
    </w:p>
    <w:p>
      <w:pPr>
        <w:keepNext/>
        <w:spacing w:before="200" w:after="60"/>
      </w:pPr>
      <w:r>
        <w:rPr>
          <w:rFonts w:ascii="Calibri" w:hAnsi="Calibri"/>
          <w:b/>
          <w:color w:val="2B4C7E"/>
          <w:sz w:val="24"/>
        </w:rPr>
        <w:t>Step-by-Step Procedure</w:t>
      </w:r>
    </w:p>
    <w:p>
      <w:pPr>
        <w:keepNext/>
        <w:spacing w:before="140" w:after="40"/>
      </w:pPr>
      <w:r>
        <w:rPr>
          <w:rFonts w:ascii="Calibri" w:hAnsi="Calibri"/>
          <w:b/>
          <w:color w:val="2C3E50"/>
          <w:sz w:val="22"/>
        </w:rPr>
        <w:t>Step 1 — Prepare the Configuration Folder</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Open Elevated PowerShell: </w:t>
      </w:r>
      <w:r>
        <w:rPr>
          <w:rFonts w:ascii="Calibri" w:hAnsi="Calibri"/>
          <w:color w:val="222222"/>
          <w:sz w:val="20"/>
        </w:rPr>
        <w:t>Click Start, search PowerShell, right-click, and select Run as Administrator.</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Create Working Directory: </w:t>
      </w:r>
      <w:r>
        <w:rPr>
          <w:rFonts w:ascii="Calibri" w:hAnsi="Calibri"/>
          <w:color w:val="222222"/>
          <w:sz w:val="20"/>
        </w:rPr>
        <w:t>Execute the following commands to create and enter C:\sys:</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40" w:type="dxa"/>
              <w:right w:w="14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New-Item -ItemType Directory -Path C:\sys -Force</w:t>
              <w:br/>
              <w:t>Set-Location C:\sys</w:t>
            </w:r>
          </w:p>
        </w:tc>
      </w:tr>
    </w:tbl>
    <w:p>
      <w:pPr>
        <w:spacing w:before="0" w:after="80"/>
      </w:pPr>
    </w:p>
    <w:p>
      <w:pPr>
        <w:spacing w:before="0" w:after="80" w:line="276" w:lineRule="auto"/>
      </w:pPr>
      <w:r>
        <w:rPr>
          <w:rFonts w:ascii="Calibri" w:hAnsi="Calibri"/>
          <w:color w:val="222222"/>
          <w:sz w:val="20"/>
        </w:rPr>
        <w:t>If the directory C:\sys already exists, the -Force parameter avoids errors and Set-Location navigates directly into it rather than creating a nested folder.</w:t>
      </w:r>
      <w:r>
        <w:rPr>
          <w:rFonts w:ascii="Calibri" w:hAnsi="Calibri"/>
          <w:i/>
          <w:color w:val="646E78"/>
          <w:sz w:val="20"/>
        </w:rPr>
        <w:t xml:space="preserve"> (Folder Handling)</w:t>
      </w:r>
    </w:p>
    <w:p>
      <w:pPr>
        <w:keepNext/>
        <w:spacing w:before="140" w:after="40"/>
      </w:pPr>
      <w:r>
        <w:rPr>
          <w:rFonts w:ascii="Calibri" w:hAnsi="Calibri"/>
          <w:b/>
          <w:color w:val="2C3E50"/>
          <w:sz w:val="22"/>
        </w:rPr>
        <w:t>Step 2 — Download the SwiftOnSecurity Configuration</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Clone Config Repository: </w:t>
      </w:r>
      <w:r>
        <w:rPr>
          <w:rFonts w:ascii="Calibri" w:hAnsi="Calibri"/>
          <w:color w:val="222222"/>
          <w:sz w:val="20"/>
        </w:rPr>
        <w:t>Run the Git clone command in the elevated prompt:</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40" w:type="dxa"/>
              <w:right w:w="14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git clone https://github.com/SwiftOnSecurity/sysmon-config.git</w:t>
            </w:r>
          </w:p>
        </w:tc>
      </w:tr>
    </w:tbl>
    <w:p>
      <w:pPr>
        <w:spacing w:before="0" w:after="80"/>
      </w:pP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Verify Repository: </w:t>
      </w:r>
      <w:r>
        <w:rPr>
          <w:rFonts w:ascii="Calibri" w:hAnsi="Calibri"/>
          <w:color w:val="222222"/>
          <w:sz w:val="20"/>
        </w:rPr>
        <w:t>Verify that the repository downloaded into C:\sys\sysmon-config:</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40" w:type="dxa"/>
              <w:right w:w="14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Get-ChildItem C:\sys\sysmon-config</w:t>
            </w:r>
          </w:p>
        </w:tc>
      </w:tr>
    </w:tbl>
    <w:p>
      <w:pPr>
        <w:spacing w:before="0" w:after="80"/>
      </w:pPr>
    </w:p>
    <w:p>
      <w:pPr>
        <w:spacing w:before="0" w:after="80" w:line="276" w:lineRule="auto"/>
      </w:pPr>
      <w:r>
        <w:rPr>
          <w:rFonts w:ascii="Calibri" w:hAnsi="Calibri"/>
          <w:color w:val="222222"/>
          <w:sz w:val="20"/>
        </w:rPr>
        <w:t>If Git reports that the destination folder already exists, do not delete it automatically; inspect the existing folder and update it with git pull if appropriate.</w:t>
      </w:r>
      <w:r>
        <w:rPr>
          <w:rFonts w:ascii="Calibri" w:hAnsi="Calibri"/>
          <w:i/>
          <w:color w:val="646E78"/>
          <w:sz w:val="20"/>
        </w:rPr>
        <w:t xml:space="preserve"> (Existing Repo Note)</w:t>
      </w:r>
    </w:p>
    <w:p>
      <w:pPr>
        <w:keepNext/>
        <w:spacing w:before="140" w:after="40"/>
      </w:pPr>
      <w:r>
        <w:rPr>
          <w:rFonts w:ascii="Calibri" w:hAnsi="Calibri"/>
          <w:b/>
          <w:color w:val="2C3E50"/>
          <w:sz w:val="22"/>
        </w:rPr>
        <w:t>Step 3 — Apply the Configuration</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Update Config Command: </w:t>
      </w:r>
      <w:r>
        <w:rPr>
          <w:rFonts w:ascii="Calibri" w:hAnsi="Calibri"/>
          <w:color w:val="222222"/>
          <w:sz w:val="20"/>
        </w:rPr>
        <w:t>Run the configuration update command:</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40" w:type="dxa"/>
              <w:right w:w="14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Sysmon64.exe -c .\sysmon-config\sysmonconfig-export.xml</w:t>
            </w:r>
          </w:p>
        </w:tc>
      </w:tr>
    </w:tbl>
    <w:p>
      <w:pPr>
        <w:spacing w:before="0" w:after="80"/>
      </w:pP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Verify Output: </w:t>
      </w:r>
      <w:r>
        <w:rPr>
          <w:rFonts w:ascii="Calibri" w:hAnsi="Calibri"/>
          <w:color w:val="222222"/>
          <w:sz w:val="20"/>
        </w:rPr>
        <w:t>Confirm the terminal reports: Configuration file validated. / Configuration updated.</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Understand -c Option: </w:t>
      </w:r>
      <w:r>
        <w:rPr>
          <w:rFonts w:ascii="Calibri" w:hAnsi="Calibri"/>
          <w:color w:val="222222"/>
          <w:sz w:val="20"/>
        </w:rPr>
        <w:t>The -c switch updates the configuration rules of an already installed and running Sysmon service without reinstalling or restarting the service.</w:t>
      </w:r>
    </w:p>
    <w:p>
      <w:pPr>
        <w:spacing w:before="20" w:after="60" w:line="276" w:lineRule="auto"/>
        <w:ind w:left="288"/>
      </w:pPr>
      <w:r>
        <w:rPr>
          <w:rFonts w:ascii="Calibri" w:hAnsi="Calibri"/>
          <w:b/>
          <w:color w:val="1B365D"/>
          <w:sz w:val="20"/>
        </w:rPr>
        <w:t xml:space="preserve">4. </w:t>
      </w:r>
      <w:r>
        <w:rPr>
          <w:rFonts w:ascii="Calibri" w:hAnsi="Calibri"/>
          <w:b/>
          <w:color w:val="2C3E50"/>
          <w:sz w:val="20"/>
        </w:rPr>
        <w:t xml:space="preserve">Path Handling: </w:t>
      </w:r>
      <w:r>
        <w:rPr>
          <w:rFonts w:ascii="Calibri" w:hAnsi="Calibri"/>
          <w:color w:val="222222"/>
          <w:sz w:val="20"/>
        </w:rPr>
        <w:t>Sysmon64.exe must be accessible from the current directory or PATH. If located in C:\Sysmon, use absolute paths:</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40" w:type="dxa"/>
              <w:right w:w="14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C:\Sysmon\Sysmon64.exe -c C:\sys\sysmon-config\sysmonconfig-export.xml</w:t>
            </w:r>
          </w:p>
        </w:tc>
      </w:tr>
    </w:tbl>
    <w:p>
      <w:pPr>
        <w:spacing w:before="0" w:after="80"/>
      </w:pPr>
    </w:p>
    <w:p>
      <w:pPr>
        <w:spacing w:before="0" w:after="80" w:line="276" w:lineRule="auto"/>
      </w:pPr>
      <w:r>
        <w:rPr>
          <w:rFonts w:ascii="Calibri" w:hAnsi="Calibri"/>
          <w:color w:val="222222"/>
          <w:sz w:val="20"/>
        </w:rPr>
        <w:t>Important: The -c command updates an existing installation; it does not install Sysmon. If Sysmon has not been installed, perform the initial installation first: Sysmon64.exe -accepteula -i C:\sys\sysmon-config\sysmonconfig-export.xml.</w:t>
      </w:r>
      <w:r>
        <w:rPr>
          <w:rFonts w:ascii="Calibri" w:hAnsi="Calibri"/>
          <w:i/>
          <w:color w:val="646E78"/>
          <w:sz w:val="20"/>
        </w:rPr>
        <w:t xml:space="preserve"> (Install vs Update Distinction)</w:t>
      </w:r>
    </w:p>
    <w:p>
      <w:pPr>
        <w:keepNext/>
        <w:spacing w:before="140" w:after="40"/>
      </w:pPr>
      <w:r>
        <w:rPr>
          <w:rFonts w:ascii="Calibri" w:hAnsi="Calibri"/>
          <w:b/>
          <w:color w:val="2C3E50"/>
          <w:sz w:val="22"/>
        </w:rPr>
        <w:t>Step 4 — Open Event Viewer</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Open Run Dialog: </w:t>
      </w:r>
      <w:r>
        <w:rPr>
          <w:rFonts w:ascii="Calibri" w:hAnsi="Calibri"/>
          <w:color w:val="222222"/>
          <w:sz w:val="20"/>
        </w:rPr>
        <w:t>Press Win+R.</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Launch Event Viewer: </w:t>
      </w:r>
      <w:r>
        <w:rPr>
          <w:rFonts w:ascii="Calibri" w:hAnsi="Calibri"/>
          <w:color w:val="222222"/>
          <w:sz w:val="20"/>
        </w:rPr>
        <w:t>Type eventvwr.msc and press Enter.</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Navigate to Sysmon Log: </w:t>
      </w:r>
      <w:r>
        <w:rPr>
          <w:rFonts w:ascii="Calibri" w:hAnsi="Calibri"/>
          <w:color w:val="222222"/>
          <w:sz w:val="20"/>
        </w:rPr>
        <w:t>Expand Applications and Services Logs -&gt; Microsoft -&gt; Windows -&gt; Sysmon -&gt; Operational.</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40" w:type="dxa"/>
              <w:right w:w="14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Event Viewer -&gt; Applications and Services Logs -&gt; Microsoft -&gt; Windows -&gt; Sysmon -&gt; Operational</w:t>
            </w:r>
          </w:p>
        </w:tc>
      </w:tr>
    </w:tbl>
    <w:p>
      <w:pPr>
        <w:spacing w:before="0" w:after="80"/>
      </w:pPr>
    </w:p>
    <w:p>
      <w:pPr>
        <w:keepNext/>
        <w:spacing w:before="140" w:after="40"/>
      </w:pPr>
      <w:r>
        <w:rPr>
          <w:rFonts w:ascii="Calibri" w:hAnsi="Calibri"/>
          <w:b/>
          <w:color w:val="2C3E50"/>
          <w:sz w:val="22"/>
        </w:rPr>
        <w:t>Step 5 — Inspect System Events</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Review Event Stream: </w:t>
      </w:r>
      <w:r>
        <w:rPr>
          <w:rFonts w:ascii="Calibri" w:hAnsi="Calibri"/>
          <w:color w:val="222222"/>
          <w:sz w:val="20"/>
        </w:rPr>
        <w:t>Inspect the chronological list of recorded system events in the upper pane.</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General Tab: </w:t>
      </w:r>
      <w:r>
        <w:rPr>
          <w:rFonts w:ascii="Calibri" w:hAnsi="Calibri"/>
          <w:color w:val="222222"/>
          <w:sz w:val="20"/>
        </w:rPr>
        <w:t>Select an event and read the General tab for process names, command-line arguments, user accounts, and timestamps.</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Details Tab: </w:t>
      </w:r>
      <w:r>
        <w:rPr>
          <w:rFonts w:ascii="Calibri" w:hAnsi="Calibri"/>
          <w:color w:val="222222"/>
          <w:sz w:val="20"/>
        </w:rPr>
        <w:t>Open Details to inspect structured XML fields (hashes, parent process ID, session ID).</w:t>
      </w:r>
    </w:p>
    <w:p>
      <w:pPr>
        <w:spacing w:before="20" w:after="60" w:line="276" w:lineRule="auto"/>
        <w:ind w:left="288"/>
      </w:pPr>
      <w:r>
        <w:rPr>
          <w:rFonts w:ascii="Calibri" w:hAnsi="Calibri"/>
          <w:b/>
          <w:color w:val="1B365D"/>
          <w:sz w:val="20"/>
        </w:rPr>
        <w:t xml:space="preserve">4. </w:t>
      </w:r>
      <w:r>
        <w:rPr>
          <w:rFonts w:ascii="Calibri" w:hAnsi="Calibri"/>
          <w:b/>
          <w:color w:val="2C3E50"/>
          <w:sz w:val="20"/>
        </w:rPr>
        <w:t xml:space="preserve">Identify Common Event IDs: </w:t>
      </w:r>
      <w:r>
        <w:rPr>
          <w:rFonts w:ascii="Calibri" w:hAnsi="Calibri"/>
          <w:color w:val="222222"/>
          <w:sz w:val="20"/>
        </w:rPr>
        <w:t>Process Creation (Event ID 1), Network Connection (Event ID 3), File Creation (Event ID 11), Registry Modifications (Event ID 13), and DNS Queries (Event ID 22).</w:t>
      </w:r>
    </w:p>
    <w:p>
      <w:pPr>
        <w:keepNext/>
        <w:spacing w:before="200" w:after="60"/>
      </w:pPr>
      <w:r>
        <w:rPr>
          <w:rFonts w:ascii="Calibri" w:hAnsi="Calibri"/>
          <w:b/>
          <w:color w:val="2B4C7E"/>
          <w:sz w:val="24"/>
        </w:rPr>
        <w:t>What to Observe</w:t>
      </w:r>
    </w:p>
    <w:p>
      <w:pPr>
        <w:pStyle w:val="ListBullet"/>
        <w:spacing w:before="0" w:after="50" w:line="276" w:lineRule="auto"/>
      </w:pPr>
      <w:r>
        <w:rPr>
          <w:rFonts w:ascii="Calibri" w:hAnsi="Calibri"/>
          <w:b/>
          <w:color w:val="2C3E50"/>
          <w:sz w:val="20"/>
        </w:rPr>
        <w:t xml:space="preserve">Event ID 1 (Process Creation): </w:t>
      </w:r>
      <w:r>
        <w:rPr>
          <w:rFonts w:ascii="Calibri" w:hAnsi="Calibri"/>
          <w:color w:val="222222"/>
          <w:sz w:val="20"/>
        </w:rPr>
        <w:t>Tracks new processes, exact command lines, parent processes, and cryptographic binary hashes.</w:t>
      </w:r>
    </w:p>
    <w:p>
      <w:pPr>
        <w:pStyle w:val="ListBullet"/>
        <w:spacing w:before="0" w:after="50" w:line="276" w:lineRule="auto"/>
      </w:pPr>
      <w:r>
        <w:rPr>
          <w:rFonts w:ascii="Calibri" w:hAnsi="Calibri"/>
          <w:b/>
          <w:color w:val="2C3E50"/>
          <w:sz w:val="20"/>
        </w:rPr>
        <w:t xml:space="preserve">Event ID 3 (Network Connection): </w:t>
      </w:r>
      <w:r>
        <w:rPr>
          <w:rFonts w:ascii="Calibri" w:hAnsi="Calibri"/>
          <w:color w:val="222222"/>
          <w:sz w:val="20"/>
        </w:rPr>
        <w:t>Tracks TCP/UDP network connections, initiating processes, destination IPs, and ports.</w:t>
      </w:r>
    </w:p>
    <w:p>
      <w:pPr>
        <w:pStyle w:val="ListBullet"/>
        <w:spacing w:before="0" w:after="50" w:line="276" w:lineRule="auto"/>
      </w:pPr>
      <w:r>
        <w:rPr>
          <w:rFonts w:ascii="Calibri" w:hAnsi="Calibri"/>
          <w:b/>
          <w:color w:val="2C3E50"/>
          <w:sz w:val="20"/>
        </w:rPr>
        <w:t xml:space="preserve">Event ID 11 (File Create): </w:t>
      </w:r>
      <w:r>
        <w:rPr>
          <w:rFonts w:ascii="Calibri" w:hAnsi="Calibri"/>
          <w:color w:val="222222"/>
          <w:sz w:val="20"/>
        </w:rPr>
        <w:t>Logs file creation and overwrites, detecting malware staging.</w:t>
      </w:r>
    </w:p>
    <w:p>
      <w:pPr>
        <w:pStyle w:val="ListBullet"/>
        <w:spacing w:before="0" w:after="50" w:line="276" w:lineRule="auto"/>
      </w:pPr>
      <w:r>
        <w:rPr>
          <w:rFonts w:ascii="Calibri" w:hAnsi="Calibri"/>
          <w:b/>
          <w:color w:val="2C3E50"/>
          <w:sz w:val="20"/>
        </w:rPr>
        <w:t xml:space="preserve">Event ID 13 (Registry Event): </w:t>
      </w:r>
      <w:r>
        <w:rPr>
          <w:rFonts w:ascii="Calibri" w:hAnsi="Calibri"/>
          <w:color w:val="222222"/>
          <w:sz w:val="20"/>
        </w:rPr>
        <w:t>Captures persistence modifications in Windows autorun registry keys.</w:t>
      </w:r>
    </w:p>
    <w:p>
      <w:pPr>
        <w:pStyle w:val="ListBullet"/>
        <w:spacing w:before="0" w:after="50" w:line="276" w:lineRule="auto"/>
      </w:pPr>
      <w:r>
        <w:rPr>
          <w:rFonts w:ascii="Calibri" w:hAnsi="Calibri"/>
          <w:b/>
          <w:color w:val="2C3E50"/>
          <w:sz w:val="20"/>
        </w:rPr>
        <w:t xml:space="preserve">Event ID 22 (DNS Query): </w:t>
      </w:r>
      <w:r>
        <w:rPr>
          <w:rFonts w:ascii="Calibri" w:hAnsi="Calibri"/>
          <w:color w:val="222222"/>
          <w:sz w:val="20"/>
        </w:rPr>
        <w:t>Logs outbound DNS lookups, identifying suspicious domains and C2 beacons.</w:t>
      </w:r>
    </w:p>
    <w:p>
      <w:pPr>
        <w:keepNext/>
        <w:spacing w:before="200" w:after="60"/>
      </w:pPr>
      <w:r>
        <w:rPr>
          <w:rFonts w:ascii="Calibri" w:hAnsi="Calibri"/>
          <w:b/>
          <w:color w:val="2B4C7E"/>
          <w:sz w:val="24"/>
        </w:rPr>
        <w:t>Observation for the Lab Record</w:t>
      </w:r>
    </w:p>
    <w:tbl>
      <w:tblPr>
        <w:tblW w:type="auto" w:w="0"/>
        <w:jc w:val="center"/>
        <w:tblLook w:firstColumn="1" w:firstRow="1" w:lastColumn="0" w:lastRow="0" w:noHBand="0" w:noVBand="1" w:val="04A0"/>
      </w:tblPr>
      <w:tblGrid>
        <w:gridCol w:w="10080"/>
      </w:tblGrid>
      <w:tr>
        <w:tc>
          <w:tcPr>
            <w:tcW w:type="dxa" w:w="10080"/>
            <w:shd w:fill="F0F4F8"/>
            <w:tcMar>
              <w:top w:w="120" w:type="dxa"/>
              <w:bottom w:w="120" w:type="dxa"/>
              <w:left w:w="180" w:type="dxa"/>
              <w:right w:w="16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OBSERVATION (SYSMON LAB RECORD):</w:t>
              <w:br/>
            </w:r>
            <w:r>
              <w:rPr>
                <w:rFonts w:ascii="Calibri" w:hAnsi="Calibri"/>
                <w:i w:val="0"/>
                <w:color w:val="222222"/>
                <w:sz w:val="19"/>
              </w:rPr>
              <w:t>Sysmon was configured using the SwiftOnSecurity configuration file. The configuration was validated and updated successfully. Windows Event Viewer was opened to inspect events under Sysmon → Operational. The available events were reviewed to observe recorded system activity, verifying process creation (Event ID 1) and system events.</w:t>
            </w:r>
          </w:p>
        </w:tc>
      </w:tr>
    </w:tbl>
    <w:p>
      <w:pPr>
        <w:spacing w:before="0" w:after="80"/>
      </w:pPr>
    </w:p>
    <w:p>
      <w:pPr>
        <w:keepNext/>
        <w:spacing w:before="200" w:after="60"/>
      </w:pPr>
      <w:r>
        <w:rPr>
          <w:rFonts w:ascii="Calibri" w:hAnsi="Calibri"/>
          <w:b/>
          <w:color w:val="2B4C7E"/>
          <w:sz w:val="24"/>
        </w:rPr>
        <w:t>Result</w:t>
      </w:r>
    </w:p>
    <w:p>
      <w:pPr>
        <w:spacing w:before="0" w:after="80" w:line="276" w:lineRule="auto"/>
      </w:pPr>
      <w:r>
        <w:rPr>
          <w:rFonts w:ascii="Calibri" w:hAnsi="Calibri"/>
          <w:color w:val="222222"/>
          <w:sz w:val="20"/>
        </w:rPr>
        <w:t>Microsoft Sysmon was successfully configured and updated with customized XML telemetry rules, and endpoint monitoring was verified through real-time event log inspection in Windows Event Viewer.</w:t>
      </w:r>
    </w:p>
    <w:p>
      <w:pPr>
        <w:keepNext/>
        <w:spacing w:before="200" w:after="60"/>
      </w:pPr>
      <w:r>
        <w:rPr>
          <w:rFonts w:ascii="Calibri" w:hAnsi="Calibri"/>
          <w:b/>
          <w:color w:val="2B4C7E"/>
          <w:sz w:val="24"/>
        </w:rPr>
        <w:t>Viva Questions and Answers</w:t>
      </w:r>
    </w:p>
    <w:p>
      <w:pPr>
        <w:spacing w:before="0" w:after="80" w:line="276" w:lineRule="auto"/>
      </w:pPr>
      <w:r>
        <w:rPr>
          <w:rFonts w:ascii="Calibri" w:hAnsi="Calibri"/>
          <w:b/>
          <w:color w:val="2C3E50"/>
          <w:sz w:val="20"/>
        </w:rPr>
        <w:t>1. What is Sysmon?</w:t>
        <w:br/>
      </w:r>
      <w:r>
        <w:rPr>
          <w:rFonts w:ascii="Calibri" w:hAnsi="Calibri"/>
          <w:color w:val="222222"/>
          <w:sz w:val="20"/>
        </w:rPr>
        <w:t>Answer: Sysmon (System Monitor) is a Microsoft Sysinternals tool that runs as a background service and device driver to log detailed security events (process creation, network sockets, file modifications) in the Windows Event Log.</w:t>
      </w:r>
    </w:p>
    <w:p>
      <w:pPr>
        <w:spacing w:before="0" w:after="80" w:line="276" w:lineRule="auto"/>
      </w:pPr>
      <w:r>
        <w:rPr>
          <w:rFonts w:ascii="Calibri" w:hAnsi="Calibri"/>
          <w:b/>
          <w:color w:val="2C3E50"/>
          <w:sz w:val="20"/>
        </w:rPr>
        <w:t>2. What is the purpose of the configuration file?</w:t>
        <w:br/>
      </w:r>
      <w:r>
        <w:rPr>
          <w:rFonts w:ascii="Calibri" w:hAnsi="Calibri"/>
          <w:color w:val="222222"/>
          <w:sz w:val="20"/>
        </w:rPr>
        <w:t>Answer: The XML configuration file defines filtering rules (include/exclude logic) to eliminate benign system noise and focus logging on high-value security events and attack techniques.</w:t>
      </w:r>
    </w:p>
    <w:p>
      <w:pPr>
        <w:spacing w:before="0" w:after="80" w:line="276" w:lineRule="auto"/>
      </w:pPr>
      <w:r>
        <w:rPr>
          <w:rFonts w:ascii="Calibri" w:hAnsi="Calibri"/>
          <w:b/>
          <w:color w:val="2C3E50"/>
          <w:sz w:val="20"/>
        </w:rPr>
        <w:t>3. What does the -c option do?</w:t>
        <w:br/>
      </w:r>
      <w:r>
        <w:rPr>
          <w:rFonts w:ascii="Calibri" w:hAnsi="Calibri"/>
          <w:color w:val="222222"/>
          <w:sz w:val="20"/>
        </w:rPr>
        <w:t>Answer: The -c option updates the configuration of an already installed and active Sysmon service without requiring re-installation.</w:t>
      </w:r>
    </w:p>
    <w:p>
      <w:pPr>
        <w:spacing w:before="0" w:after="80" w:line="276" w:lineRule="auto"/>
      </w:pPr>
      <w:r>
        <w:rPr>
          <w:rFonts w:ascii="Calibri" w:hAnsi="Calibri"/>
          <w:b/>
          <w:color w:val="2C3E50"/>
          <w:sz w:val="20"/>
        </w:rPr>
        <w:t>4. Where are Sysmon events stored?</w:t>
        <w:br/>
      </w:r>
      <w:r>
        <w:rPr>
          <w:rFonts w:ascii="Calibri" w:hAnsi="Calibri"/>
          <w:color w:val="222222"/>
          <w:sz w:val="20"/>
        </w:rPr>
        <w:t>Answer: Sysmon events are stored in the Windows Event Log under: Applications and Services Logs -&gt; Microsoft -&gt; Windows -&gt; Sysmon -&gt; Operational.</w:t>
      </w:r>
    </w:p>
    <w:p>
      <w:pPr>
        <w:spacing w:before="0" w:after="80" w:line="276" w:lineRule="auto"/>
      </w:pPr>
      <w:r>
        <w:rPr>
          <w:rFonts w:ascii="Calibri" w:hAnsi="Calibri"/>
          <w:b/>
          <w:color w:val="2C3E50"/>
          <w:sz w:val="20"/>
        </w:rPr>
        <w:t>5. What is the difference between Sysmon and Event Viewer?</w:t>
        <w:br/>
      </w:r>
      <w:r>
        <w:rPr>
          <w:rFonts w:ascii="Calibri" w:hAnsi="Calibri"/>
          <w:color w:val="222222"/>
          <w:sz w:val="20"/>
        </w:rPr>
        <w:t>Answer: Sysmon is an endpoint monitoring agent/driver that produces system events; Event Viewer is the administrative graphical viewer used to inspect and analyze those events.</w:t>
      </w:r>
    </w:p>
    <w:p>
      <w:pPr>
        <w:keepNext/>
        <w:spacing w:before="200" w:after="60"/>
      </w:pPr>
      <w:r>
        <w:rPr>
          <w:rFonts w:ascii="Calibri" w:hAnsi="Calibri"/>
          <w:b/>
          <w:color w:val="2B4C7E"/>
          <w:sz w:val="24"/>
        </w:rPr>
        <w:t>Quick Revision</w:t>
      </w:r>
    </w:p>
    <w:p>
      <w:pPr>
        <w:pStyle w:val="ListBullet"/>
        <w:spacing w:before="0" w:after="50" w:line="276" w:lineRule="auto"/>
      </w:pPr>
      <w:r>
        <w:rPr>
          <w:rFonts w:ascii="Calibri" w:hAnsi="Calibri"/>
          <w:b/>
          <w:color w:val="2C3E50"/>
          <w:sz w:val="20"/>
        </w:rPr>
        <w:t xml:space="preserve">Sysmon: </w:t>
      </w:r>
      <w:r>
        <w:rPr>
          <w:rFonts w:ascii="Calibri" w:hAnsi="Calibri"/>
          <w:color w:val="222222"/>
          <w:sz w:val="20"/>
        </w:rPr>
        <w:t>Microsoft Sysinternals endpoint telemetry service and kernel driver.</w:t>
      </w:r>
    </w:p>
    <w:p>
      <w:pPr>
        <w:pStyle w:val="ListBullet"/>
        <w:spacing w:before="0" w:after="50" w:line="276" w:lineRule="auto"/>
      </w:pPr>
      <w:r>
        <w:rPr>
          <w:rFonts w:ascii="Calibri" w:hAnsi="Calibri"/>
          <w:b/>
          <w:color w:val="2C3E50"/>
          <w:sz w:val="20"/>
        </w:rPr>
        <w:t xml:space="preserve">Log Channel: </w:t>
      </w:r>
      <w:r>
        <w:rPr>
          <w:rFonts w:ascii="Calibri" w:hAnsi="Calibri"/>
          <w:color w:val="222222"/>
          <w:sz w:val="20"/>
        </w:rPr>
        <w:t>Applications and Services Logs \ Microsoft \ Windows \ Sysmon \ Operational.</w:t>
      </w:r>
    </w:p>
    <w:p>
      <w:pPr>
        <w:pStyle w:val="ListBullet"/>
        <w:spacing w:before="0" w:after="50" w:line="276" w:lineRule="auto"/>
      </w:pPr>
      <w:r>
        <w:rPr>
          <w:rFonts w:ascii="Calibri" w:hAnsi="Calibri"/>
          <w:b/>
          <w:color w:val="2C3E50"/>
          <w:sz w:val="20"/>
        </w:rPr>
        <w:t xml:space="preserve">Update Config: </w:t>
      </w:r>
      <w:r>
        <w:rPr>
          <w:rFonts w:ascii="Calibri" w:hAnsi="Calibri"/>
          <w:color w:val="222222"/>
          <w:sz w:val="20"/>
        </w:rPr>
        <w:t>Sysmon64.exe -c &lt;config.xml&gt;.</w:t>
      </w:r>
    </w:p>
    <w:p>
      <w:pPr>
        <w:pStyle w:val="ListBullet"/>
        <w:spacing w:before="0" w:after="50" w:line="276" w:lineRule="auto"/>
      </w:pPr>
      <w:r>
        <w:rPr>
          <w:rFonts w:ascii="Calibri" w:hAnsi="Calibri"/>
          <w:b/>
          <w:color w:val="2C3E50"/>
          <w:sz w:val="20"/>
        </w:rPr>
        <w:t xml:space="preserve">Initial Install: </w:t>
      </w:r>
      <w:r>
        <w:rPr>
          <w:rFonts w:ascii="Calibri" w:hAnsi="Calibri"/>
          <w:color w:val="222222"/>
          <w:sz w:val="20"/>
        </w:rPr>
        <w:t>Sysmon64.exe -accepteula -i &lt;config.xml&gt;.</w:t>
      </w:r>
    </w:p>
    <w:p>
      <w:pPr>
        <w:pStyle w:val="ListBullet"/>
        <w:spacing w:before="0" w:after="50" w:line="276" w:lineRule="auto"/>
      </w:pPr>
      <w:r>
        <w:rPr>
          <w:rFonts w:ascii="Calibri" w:hAnsi="Calibri"/>
          <w:b/>
          <w:color w:val="2C3E50"/>
          <w:sz w:val="20"/>
        </w:rPr>
        <w:t xml:space="preserve">Core Event IDs: </w:t>
      </w:r>
      <w:r>
        <w:rPr>
          <w:rFonts w:ascii="Calibri" w:hAnsi="Calibri"/>
          <w:color w:val="222222"/>
          <w:sz w:val="20"/>
        </w:rPr>
        <w:t>Process Create (1), Network Connect (3), File Create (11), Registry (13), DNS (22).</w:t>
      </w:r>
    </w:p>
    <w:p>
      <w:pPr>
        <w:pStyle w:val="ListBullet"/>
        <w:spacing w:before="0" w:after="50" w:line="276" w:lineRule="auto"/>
      </w:pPr>
      <w:r>
        <w:rPr>
          <w:rFonts w:ascii="Calibri" w:hAnsi="Calibri"/>
          <w:b/>
          <w:color w:val="2C3E50"/>
          <w:sz w:val="20"/>
        </w:rPr>
        <w:t xml:space="preserve">Rule Set: </w:t>
      </w:r>
      <w:r>
        <w:rPr>
          <w:rFonts w:ascii="Calibri" w:hAnsi="Calibri"/>
          <w:color w:val="222222"/>
          <w:sz w:val="20"/>
        </w:rPr>
        <w:t>SwiftOnSecurity configuration balances visibility with low noise.</w:t>
      </w:r>
    </w:p>
    <w:p>
      <w:r>
        <w:br w:type="page"/>
      </w:r>
    </w:p>
    <w:p>
      <w:pPr>
        <w:keepNext/>
        <w:spacing w:before="280" w:after="80"/>
      </w:pPr>
      <w:r>
        <w:rPr>
          <w:rFonts w:ascii="Calibri" w:hAnsi="Calibri"/>
          <w:b/>
          <w:color w:val="1B365D"/>
          <w:sz w:val="30"/>
        </w:rPr>
        <w:t>4. Combined Revision Section</w:t>
      </w:r>
    </w:p>
    <w:p>
      <w:pPr>
        <w:keepNext/>
        <w:spacing w:before="200" w:after="60"/>
      </w:pPr>
      <w:r>
        <w:rPr>
          <w:rFonts w:ascii="Calibri" w:hAnsi="Calibri"/>
          <w:b/>
          <w:color w:val="2B4C7E"/>
          <w:sz w:val="24"/>
        </w:rPr>
        <w:t>Overall Tool Comparison Matrix</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360"/>
        <w:gridCol w:w="3360"/>
        <w:gridCol w:w="3360"/>
      </w:tblGrid>
      <w:tr>
        <w:tc>
          <w:tcPr>
            <w:tcW w:type="dxa" w:w="2592"/>
            <w:shd w:fill="1B365D"/>
            <w:tcMar>
              <w:top w:w="100" w:type="dxa"/>
              <w:bottom w:w="100" w:type="dxa"/>
              <w:left w:w="100" w:type="dxa"/>
              <w:right w:w="100" w:type="dxa"/>
            </w:tcMar>
          </w:tcPr>
          <w:p>
            <w:pPr>
              <w:spacing w:before="0" w:after="0"/>
            </w:pPr>
            <w:r>
              <w:rPr>
                <w:rFonts w:ascii="Calibri" w:hAnsi="Calibri"/>
                <w:b/>
                <w:color w:val="FFFFFF"/>
                <w:sz w:val="19"/>
              </w:rPr>
              <w:t>Tool</w:t>
            </w:r>
          </w:p>
        </w:tc>
        <w:tc>
          <w:tcPr>
            <w:tcW w:type="dxa" w:w="3744"/>
            <w:shd w:fill="1B365D"/>
            <w:tcMar>
              <w:top w:w="100" w:type="dxa"/>
              <w:bottom w:w="100" w:type="dxa"/>
              <w:left w:w="100" w:type="dxa"/>
              <w:right w:w="100" w:type="dxa"/>
            </w:tcMar>
          </w:tcPr>
          <w:p>
            <w:pPr>
              <w:spacing w:before="0" w:after="0"/>
            </w:pPr>
            <w:r>
              <w:rPr>
                <w:rFonts w:ascii="Calibri" w:hAnsi="Calibri"/>
                <w:b/>
                <w:color w:val="FFFFFF"/>
                <w:sz w:val="19"/>
              </w:rPr>
              <w:t>Main Task</w:t>
            </w:r>
          </w:p>
        </w:tc>
        <w:tc>
          <w:tcPr>
            <w:tcW w:type="dxa" w:w="3744"/>
            <w:shd w:fill="1B365D"/>
            <w:tcMar>
              <w:top w:w="100" w:type="dxa"/>
              <w:bottom w:w="100" w:type="dxa"/>
              <w:left w:w="100" w:type="dxa"/>
              <w:right w:w="100" w:type="dxa"/>
            </w:tcMar>
          </w:tcPr>
          <w:p>
            <w:pPr>
              <w:spacing w:before="0" w:after="0"/>
            </w:pPr>
            <w:r>
              <w:rPr>
                <w:rFonts w:ascii="Calibri" w:hAnsi="Calibri"/>
                <w:b/>
                <w:color w:val="FFFFFF"/>
                <w:sz w:val="19"/>
              </w:rPr>
              <w:t>Main Output</w:t>
            </w:r>
          </w:p>
        </w:tc>
      </w:tr>
      <w:tr>
        <w:tc>
          <w:tcPr>
            <w:tcW w:type="dxa" w:w="2592"/>
            <w:shd w:fill="FFFFFF"/>
            <w:tcMar>
              <w:top w:w="80" w:type="dxa"/>
              <w:bottom w:w="80" w:type="dxa"/>
              <w:left w:w="100" w:type="dxa"/>
              <w:right w:w="100" w:type="dxa"/>
            </w:tcMar>
          </w:tcPr>
          <w:p>
            <w:pPr>
              <w:spacing w:before="0" w:after="0"/>
            </w:pPr>
            <w:r>
              <w:rPr>
                <w:rFonts w:ascii="Calibri" w:hAnsi="Calibri"/>
                <w:b/>
                <w:color w:val="1B365D"/>
                <w:sz w:val="18"/>
              </w:rPr>
              <w:t>FOCA</w:t>
            </w:r>
          </w:p>
        </w:tc>
        <w:tc>
          <w:tcPr>
            <w:tcW w:type="dxa" w:w="3744"/>
            <w:shd w:fill="FFFFFF"/>
            <w:tcMar>
              <w:top w:w="80" w:type="dxa"/>
              <w:bottom w:w="80" w:type="dxa"/>
              <w:left w:w="100" w:type="dxa"/>
              <w:right w:w="100" w:type="dxa"/>
            </w:tcMar>
          </w:tcPr>
          <w:p>
            <w:pPr>
              <w:spacing w:before="0" w:after="0"/>
            </w:pPr>
            <w:r>
              <w:rPr>
                <w:rFonts w:ascii="Calibri" w:hAnsi="Calibri"/>
                <w:color w:val="222222"/>
                <w:sz w:val="18"/>
              </w:rPr>
              <w:t>Find public documents and extract metadata</w:t>
            </w:r>
          </w:p>
        </w:tc>
        <w:tc>
          <w:tcPr>
            <w:tcW w:type="dxa" w:w="3744"/>
            <w:shd w:fill="FFFFFF"/>
            <w:tcMar>
              <w:top w:w="80" w:type="dxa"/>
              <w:bottom w:w="80" w:type="dxa"/>
              <w:left w:w="100" w:type="dxa"/>
              <w:right w:w="100" w:type="dxa"/>
            </w:tcMar>
          </w:tcPr>
          <w:p>
            <w:pPr>
              <w:spacing w:before="0" w:after="0"/>
            </w:pPr>
            <w:r>
              <w:rPr>
                <w:rFonts w:ascii="Calibri" w:hAnsi="Calibri"/>
                <w:color w:val="222222"/>
                <w:sz w:val="18"/>
              </w:rPr>
              <w:t>Document metadata, folder and software information</w:t>
            </w:r>
          </w:p>
        </w:tc>
      </w:tr>
      <w:tr>
        <w:tc>
          <w:tcPr>
            <w:tcW w:type="dxa" w:w="2592"/>
            <w:shd w:fill="F8FAFC"/>
            <w:tcMar>
              <w:top w:w="80" w:type="dxa"/>
              <w:bottom w:w="80" w:type="dxa"/>
              <w:left w:w="100" w:type="dxa"/>
              <w:right w:w="100" w:type="dxa"/>
            </w:tcMar>
          </w:tcPr>
          <w:p>
            <w:pPr>
              <w:spacing w:before="0" w:after="0"/>
            </w:pPr>
            <w:r>
              <w:rPr>
                <w:rFonts w:ascii="Calibri" w:hAnsi="Calibri"/>
                <w:b/>
                <w:color w:val="1B365D"/>
                <w:sz w:val="18"/>
              </w:rPr>
              <w:t>Maltego</w:t>
            </w:r>
          </w:p>
        </w:tc>
        <w:tc>
          <w:tcPr>
            <w:tcW w:type="dxa" w:w="3744"/>
            <w:shd w:fill="F8FAFC"/>
            <w:tcMar>
              <w:top w:w="80" w:type="dxa"/>
              <w:bottom w:w="80" w:type="dxa"/>
              <w:left w:w="100" w:type="dxa"/>
              <w:right w:w="100" w:type="dxa"/>
            </w:tcMar>
          </w:tcPr>
          <w:p>
            <w:pPr>
              <w:spacing w:before="0" w:after="0"/>
            </w:pPr>
            <w:r>
              <w:rPr>
                <w:rFonts w:ascii="Calibri" w:hAnsi="Calibri"/>
                <w:color w:val="222222"/>
                <w:sz w:val="18"/>
              </w:rPr>
              <w:t>Build a relationship graph using transforms</w:t>
            </w:r>
          </w:p>
        </w:tc>
        <w:tc>
          <w:tcPr>
            <w:tcW w:type="dxa" w:w="3744"/>
            <w:shd w:fill="F8FAFC"/>
            <w:tcMar>
              <w:top w:w="80" w:type="dxa"/>
              <w:bottom w:w="80" w:type="dxa"/>
              <w:left w:w="100" w:type="dxa"/>
              <w:right w:w="100" w:type="dxa"/>
            </w:tcMar>
          </w:tcPr>
          <w:p>
            <w:pPr>
              <w:spacing w:before="0" w:after="0"/>
            </w:pPr>
            <w:r>
              <w:rPr>
                <w:rFonts w:ascii="Calibri" w:hAnsi="Calibri"/>
                <w:color w:val="222222"/>
                <w:sz w:val="18"/>
              </w:rPr>
              <w:t>Connected domains, DNS names, emails and IPs</w:t>
            </w:r>
          </w:p>
        </w:tc>
      </w:tr>
      <w:tr>
        <w:tc>
          <w:tcPr>
            <w:tcW w:type="dxa" w:w="2592"/>
            <w:shd w:fill="FFFFFF"/>
            <w:tcMar>
              <w:top w:w="80" w:type="dxa"/>
              <w:bottom w:w="80" w:type="dxa"/>
              <w:left w:w="100" w:type="dxa"/>
              <w:right w:w="100" w:type="dxa"/>
            </w:tcMar>
          </w:tcPr>
          <w:p>
            <w:pPr>
              <w:spacing w:before="0" w:after="0"/>
            </w:pPr>
            <w:r>
              <w:rPr>
                <w:rFonts w:ascii="Calibri" w:hAnsi="Calibri"/>
                <w:b/>
                <w:color w:val="1B365D"/>
                <w:sz w:val="18"/>
              </w:rPr>
              <w:t>Sysmon</w:t>
            </w:r>
          </w:p>
        </w:tc>
        <w:tc>
          <w:tcPr>
            <w:tcW w:type="dxa" w:w="3744"/>
            <w:shd w:fill="FFFFFF"/>
            <w:tcMar>
              <w:top w:w="80" w:type="dxa"/>
              <w:bottom w:w="80" w:type="dxa"/>
              <w:left w:w="100" w:type="dxa"/>
              <w:right w:w="100" w:type="dxa"/>
            </w:tcMar>
          </w:tcPr>
          <w:p>
            <w:pPr>
              <w:spacing w:before="0" w:after="0"/>
            </w:pPr>
            <w:r>
              <w:rPr>
                <w:rFonts w:ascii="Calibri" w:hAnsi="Calibri"/>
                <w:color w:val="222222"/>
                <w:sz w:val="18"/>
              </w:rPr>
              <w:t>Monitor Windows activity</w:t>
            </w:r>
          </w:p>
        </w:tc>
        <w:tc>
          <w:tcPr>
            <w:tcW w:type="dxa" w:w="3744"/>
            <w:shd w:fill="FFFFFF"/>
            <w:tcMar>
              <w:top w:w="80" w:type="dxa"/>
              <w:bottom w:w="80" w:type="dxa"/>
              <w:left w:w="100" w:type="dxa"/>
              <w:right w:w="100" w:type="dxa"/>
            </w:tcMar>
          </w:tcPr>
          <w:p>
            <w:pPr>
              <w:spacing w:before="0" w:after="0"/>
            </w:pPr>
            <w:r>
              <w:rPr>
                <w:rFonts w:ascii="Calibri" w:hAnsi="Calibri"/>
                <w:color w:val="222222"/>
                <w:sz w:val="18"/>
              </w:rPr>
              <w:t>System activity events in the Windows Event Log</w:t>
            </w:r>
          </w:p>
        </w:tc>
      </w:tr>
    </w:tbl>
    <w:p>
      <w:pPr>
        <w:spacing w:before="0" w:after="120"/>
      </w:pPr>
    </w:p>
    <w:p>
      <w:pPr>
        <w:keepNext/>
        <w:spacing w:before="200" w:after="60"/>
      </w:pPr>
      <w:r>
        <w:rPr>
          <w:rFonts w:ascii="Calibri" w:hAnsi="Calibri"/>
          <w:b/>
          <w:color w:val="2B4C7E"/>
          <w:sz w:val="24"/>
        </w:rPr>
        <w:t>High-Level Functional Distinction</w:t>
      </w:r>
    </w:p>
    <w:p>
      <w:pPr>
        <w:pStyle w:val="ListBullet"/>
        <w:spacing w:before="0" w:after="50" w:line="276" w:lineRule="auto"/>
      </w:pPr>
      <w:r>
        <w:rPr>
          <w:rFonts w:ascii="Calibri" w:hAnsi="Calibri"/>
          <w:b/>
          <w:color w:val="2C3E50"/>
          <w:sz w:val="20"/>
        </w:rPr>
        <w:t xml:space="preserve">• </w:t>
      </w:r>
      <w:r>
        <w:rPr>
          <w:rFonts w:ascii="Calibri" w:hAnsi="Calibri"/>
          <w:color w:val="222222"/>
          <w:sz w:val="20"/>
        </w:rPr>
        <w:t>FOCA examines document metadata.</w:t>
      </w:r>
    </w:p>
    <w:p>
      <w:pPr>
        <w:pStyle w:val="ListBullet"/>
        <w:spacing w:before="0" w:after="50" w:line="276" w:lineRule="auto"/>
      </w:pPr>
      <w:r>
        <w:rPr>
          <w:rFonts w:ascii="Calibri" w:hAnsi="Calibri"/>
          <w:b/>
          <w:color w:val="2C3E50"/>
          <w:sz w:val="20"/>
        </w:rPr>
        <w:t xml:space="preserve">• </w:t>
      </w:r>
      <w:r>
        <w:rPr>
          <w:rFonts w:ascii="Calibri" w:hAnsi="Calibri"/>
          <w:color w:val="222222"/>
          <w:sz w:val="20"/>
        </w:rPr>
        <w:t>Maltego maps relationships between OSINT entities.</w:t>
      </w:r>
    </w:p>
    <w:p>
      <w:pPr>
        <w:pStyle w:val="ListBullet"/>
        <w:spacing w:before="0" w:after="50" w:line="276" w:lineRule="auto"/>
      </w:pPr>
      <w:r>
        <w:rPr>
          <w:rFonts w:ascii="Calibri" w:hAnsi="Calibri"/>
          <w:b/>
          <w:color w:val="2C3E50"/>
          <w:sz w:val="20"/>
        </w:rPr>
        <w:t xml:space="preserve">• </w:t>
      </w:r>
      <w:r>
        <w:rPr>
          <w:rFonts w:ascii="Calibri" w:hAnsi="Calibri"/>
          <w:color w:val="222222"/>
          <w:sz w:val="20"/>
        </w:rPr>
        <w:t>Sysmon monitors activity on a Windows system.</w:t>
      </w:r>
    </w:p>
    <w:p>
      <w:pPr>
        <w:keepNext/>
        <w:spacing w:before="200" w:after="60"/>
      </w:pPr>
      <w:r>
        <w:rPr>
          <w:rFonts w:ascii="Calibri" w:hAnsi="Calibri"/>
          <w:b/>
          <w:color w:val="2B4C7E"/>
          <w:sz w:val="24"/>
        </w:rPr>
        <w:t>One-Minute Record Summary (Aim, Procedure, Observation, Result)</w:t>
      </w:r>
    </w:p>
    <w:p>
      <w:pPr>
        <w:keepNext/>
        <w:spacing w:before="140" w:after="40"/>
      </w:pPr>
      <w:r>
        <w:rPr>
          <w:rFonts w:ascii="Calibri" w:hAnsi="Calibri"/>
          <w:b/>
          <w:color w:val="2C3E50"/>
          <w:sz w:val="22"/>
        </w:rPr>
        <w:t>Tool 1: FOCA</w:t>
      </w:r>
    </w:p>
    <w:p>
      <w:pPr>
        <w:pStyle w:val="ListBullet"/>
        <w:spacing w:before="0" w:after="50" w:line="276" w:lineRule="auto"/>
      </w:pPr>
      <w:r>
        <w:rPr>
          <w:rFonts w:ascii="Calibri" w:hAnsi="Calibri"/>
          <w:b/>
          <w:color w:val="2C3E50"/>
          <w:sz w:val="20"/>
        </w:rPr>
        <w:t xml:space="preserve">Aim: </w:t>
      </w:r>
      <w:r>
        <w:rPr>
          <w:rFonts w:ascii="Calibri" w:hAnsi="Calibri"/>
          <w:color w:val="222222"/>
          <w:sz w:val="20"/>
        </w:rPr>
        <w:t>To extract hidden metadata from publicly available documents of a target domain (owasp.org) using FOCA.</w:t>
      </w:r>
    </w:p>
    <w:p>
      <w:pPr>
        <w:pStyle w:val="ListBullet"/>
        <w:spacing w:before="0" w:after="50" w:line="276" w:lineRule="auto"/>
      </w:pPr>
      <w:r>
        <w:rPr>
          <w:rFonts w:ascii="Calibri" w:hAnsi="Calibri"/>
          <w:b/>
          <w:color w:val="2C3E50"/>
          <w:sz w:val="20"/>
        </w:rPr>
        <w:t xml:space="preserve">Procedure: </w:t>
      </w:r>
      <w:r>
        <w:rPr>
          <w:rFonts w:ascii="Calibri" w:hAnsi="Calibri"/>
          <w:color w:val="222222"/>
          <w:sz w:val="20"/>
        </w:rPr>
        <w:t>Open FOCA 3.4.7.1, create project FOCA-Lab with download folder Documents/FOCA-Lab, search documents using Google and Bing, download discovered files, extract metadata, and inspect Folders, Software, Users, and Printers.</w:t>
      </w:r>
    </w:p>
    <w:p>
      <w:pPr>
        <w:pStyle w:val="ListBullet"/>
        <w:spacing w:before="0" w:after="50" w:line="276" w:lineRule="auto"/>
      </w:pPr>
      <w:r>
        <w:rPr>
          <w:rFonts w:ascii="Calibri" w:hAnsi="Calibri"/>
          <w:b/>
          <w:color w:val="2C3E50"/>
          <w:sz w:val="20"/>
        </w:rPr>
        <w:t xml:space="preserve">Observation: </w:t>
      </w:r>
      <w:r>
        <w:rPr>
          <w:rFonts w:ascii="Calibri" w:hAnsi="Calibri"/>
          <w:color w:val="222222"/>
          <w:sz w:val="20"/>
        </w:rPr>
        <w:t>FOCA searched and analyzed public documents for owasp.org; metadata summary revealed 17 folders and 8 software entries in this run, while a 0 B file with a red X highlighted the need to verify downloads.</w:t>
      </w:r>
    </w:p>
    <w:p>
      <w:pPr>
        <w:pStyle w:val="ListBullet"/>
        <w:spacing w:before="0" w:after="50" w:line="276" w:lineRule="auto"/>
      </w:pPr>
      <w:r>
        <w:rPr>
          <w:rFonts w:ascii="Calibri" w:hAnsi="Calibri"/>
          <w:b/>
          <w:color w:val="2C3E50"/>
          <w:sz w:val="20"/>
        </w:rPr>
        <w:t xml:space="preserve">Result: </w:t>
      </w:r>
      <w:r>
        <w:rPr>
          <w:rFonts w:ascii="Calibri" w:hAnsi="Calibri"/>
          <w:color w:val="222222"/>
          <w:sz w:val="20"/>
        </w:rPr>
        <w:t>Document metadata extraction was successfully executed, revealing internal filesystem paths and software versions.</w:t>
      </w:r>
    </w:p>
    <w:p>
      <w:pPr>
        <w:keepNext/>
        <w:spacing w:before="140" w:after="40"/>
      </w:pPr>
      <w:r>
        <w:rPr>
          <w:rFonts w:ascii="Calibri" w:hAnsi="Calibri"/>
          <w:b/>
          <w:color w:val="2C3E50"/>
          <w:sz w:val="22"/>
        </w:rPr>
        <w:t>Tool 2: Maltego</w:t>
      </w:r>
    </w:p>
    <w:p>
      <w:pPr>
        <w:pStyle w:val="ListBullet"/>
        <w:spacing w:before="0" w:after="50" w:line="276" w:lineRule="auto"/>
      </w:pPr>
      <w:r>
        <w:rPr>
          <w:rFonts w:ascii="Calibri" w:hAnsi="Calibri"/>
          <w:b/>
          <w:color w:val="2C3E50"/>
          <w:sz w:val="20"/>
        </w:rPr>
        <w:t xml:space="preserve">Aim: </w:t>
      </w:r>
      <w:r>
        <w:rPr>
          <w:rFonts w:ascii="Calibri" w:hAnsi="Calibri"/>
          <w:color w:val="222222"/>
          <w:sz w:val="20"/>
        </w:rPr>
        <w:t>To map visual OSINT relationships for target domain ssn.edu.in using Maltego Community Edition.</w:t>
      </w:r>
    </w:p>
    <w:p>
      <w:pPr>
        <w:pStyle w:val="ListBullet"/>
        <w:spacing w:before="0" w:after="50" w:line="276" w:lineRule="auto"/>
      </w:pPr>
      <w:r>
        <w:rPr>
          <w:rFonts w:ascii="Calibri" w:hAnsi="Calibri"/>
          <w:b/>
          <w:color w:val="2C3E50"/>
          <w:sz w:val="20"/>
        </w:rPr>
        <w:t xml:space="preserve">Procedure: </w:t>
      </w:r>
      <w:r>
        <w:rPr>
          <w:rFonts w:ascii="Calibri" w:hAnsi="Calibri"/>
          <w:color w:val="222222"/>
          <w:sz w:val="20"/>
        </w:rPr>
        <w:t>Open Maltego, create a New Graph, add a Domain entity for ssn.edu.in, run DNS transforms to discover subdomains, run email transforms to locate addresses, and run IP transforms on a DNS entity.</w:t>
      </w:r>
    </w:p>
    <w:p>
      <w:pPr>
        <w:pStyle w:val="ListBullet"/>
        <w:spacing w:before="0" w:after="50" w:line="276" w:lineRule="auto"/>
      </w:pPr>
      <w:r>
        <w:rPr>
          <w:rFonts w:ascii="Calibri" w:hAnsi="Calibri"/>
          <w:b/>
          <w:color w:val="2C3E50"/>
          <w:sz w:val="20"/>
        </w:rPr>
        <w:t xml:space="preserve">Observation: </w:t>
      </w:r>
      <w:r>
        <w:rPr>
          <w:rFonts w:ascii="Calibri" w:hAnsi="Calibri"/>
          <w:color w:val="222222"/>
          <w:sz w:val="20"/>
        </w:rPr>
        <w:t>Maltego mapped ssn.edu.in to its DNS names, available email entities, and host IP addresses, visually depicting infrastructure interconnections.</w:t>
      </w:r>
    </w:p>
    <w:p>
      <w:pPr>
        <w:pStyle w:val="ListBullet"/>
        <w:spacing w:before="0" w:after="50" w:line="276" w:lineRule="auto"/>
      </w:pPr>
      <w:r>
        <w:rPr>
          <w:rFonts w:ascii="Calibri" w:hAnsi="Calibri"/>
          <w:b/>
          <w:color w:val="2C3E50"/>
          <w:sz w:val="20"/>
        </w:rPr>
        <w:t xml:space="preserve">Result: </w:t>
      </w:r>
      <w:r>
        <w:rPr>
          <w:rFonts w:ascii="Calibri" w:hAnsi="Calibri"/>
          <w:color w:val="222222"/>
          <w:sz w:val="20"/>
        </w:rPr>
        <w:t>Visual link analysis successfully mapped the target domain's digital assets into an interactive graph.</w:t>
      </w:r>
    </w:p>
    <w:p>
      <w:pPr>
        <w:keepNext/>
        <w:spacing w:before="140" w:after="40"/>
      </w:pPr>
      <w:r>
        <w:rPr>
          <w:rFonts w:ascii="Calibri" w:hAnsi="Calibri"/>
          <w:b/>
          <w:color w:val="2C3E50"/>
          <w:sz w:val="22"/>
        </w:rPr>
        <w:t>Tool 3: Sysmon</w:t>
      </w:r>
    </w:p>
    <w:p>
      <w:pPr>
        <w:pStyle w:val="ListBullet"/>
        <w:spacing w:before="0" w:after="50" w:line="276" w:lineRule="auto"/>
      </w:pPr>
      <w:r>
        <w:rPr>
          <w:rFonts w:ascii="Calibri" w:hAnsi="Calibri"/>
          <w:b/>
          <w:color w:val="2C3E50"/>
          <w:sz w:val="20"/>
        </w:rPr>
        <w:t xml:space="preserve">Aim: </w:t>
      </w:r>
      <w:r>
        <w:rPr>
          <w:rFonts w:ascii="Calibri" w:hAnsi="Calibri"/>
          <w:color w:val="222222"/>
          <w:sz w:val="20"/>
        </w:rPr>
        <w:t>To configure Microsoft Sysmon with the SwiftOnSecurity template and inspect system activity events in Event Viewer.</w:t>
      </w:r>
    </w:p>
    <w:p>
      <w:pPr>
        <w:pStyle w:val="ListBullet"/>
        <w:spacing w:before="0" w:after="50" w:line="276" w:lineRule="auto"/>
      </w:pPr>
      <w:r>
        <w:rPr>
          <w:rFonts w:ascii="Calibri" w:hAnsi="Calibri"/>
          <w:b/>
          <w:color w:val="2C3E50"/>
          <w:sz w:val="20"/>
        </w:rPr>
        <w:t xml:space="preserve">Procedure: </w:t>
      </w:r>
      <w:r>
        <w:rPr>
          <w:rFonts w:ascii="Calibri" w:hAnsi="Calibri"/>
          <w:color w:val="222222"/>
          <w:sz w:val="20"/>
        </w:rPr>
        <w:t>Create C:\sys, clone sysmon-config, update configuration using Sysmon64.exe -c .\sysmon-config\sysmonconfig-export.xml, open eventvwr.msc, navigate to Microsoft-Windows-Sysmon/Operational, and inspect event properties.</w:t>
      </w:r>
    </w:p>
    <w:p>
      <w:pPr>
        <w:pStyle w:val="ListBullet"/>
        <w:spacing w:before="0" w:after="50" w:line="276" w:lineRule="auto"/>
      </w:pPr>
      <w:r>
        <w:rPr>
          <w:rFonts w:ascii="Calibri" w:hAnsi="Calibri"/>
          <w:b/>
          <w:color w:val="2C3E50"/>
          <w:sz w:val="20"/>
        </w:rPr>
        <w:t xml:space="preserve">Observation: </w:t>
      </w:r>
      <w:r>
        <w:rPr>
          <w:rFonts w:ascii="Calibri" w:hAnsi="Calibri"/>
          <w:color w:val="222222"/>
          <w:sz w:val="20"/>
        </w:rPr>
        <w:t>Sysmon configuration was validated and updated successfully; Event Viewer recorded endpoint events including Process Creation (Event ID 1).</w:t>
      </w:r>
    </w:p>
    <w:p>
      <w:pPr>
        <w:pStyle w:val="ListBullet"/>
        <w:spacing w:before="0" w:after="50" w:line="276" w:lineRule="auto"/>
      </w:pPr>
      <w:r>
        <w:rPr>
          <w:rFonts w:ascii="Calibri" w:hAnsi="Calibri"/>
          <w:b/>
          <w:color w:val="2C3E50"/>
          <w:sz w:val="20"/>
        </w:rPr>
        <w:t xml:space="preserve">Result: </w:t>
      </w:r>
      <w:r>
        <w:rPr>
          <w:rFonts w:ascii="Calibri" w:hAnsi="Calibri"/>
          <w:color w:val="222222"/>
          <w:sz w:val="20"/>
        </w:rPr>
        <w:t>Windows endpoint telemetry logging was successfully configured and verified using Event Viewer.</w:t>
      </w:r>
    </w:p>
    <w:sectPr w:rsidR="00FC693F" w:rsidRPr="0006063C" w:rsidSect="00034616">
      <w:headerReference w:type="default" r:id="rId9"/>
      <w:footerReference w:type="default" r:id="rId10"/>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8C"/>
        <w:sz w:val="17"/>
      </w:rPr>
      <w:t xml:space="preserve">Windows Tools Practical Manual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8C"/>
        <w:sz w:val="17"/>
      </w:rPr>
      <w:t>ICS1561 – Ethical Hacking Laboratory  |  Windows Tools Practical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