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B365D"/>
          <w:sz w:val="36"/>
        </w:rPr>
        <w:t>Ethical Hacking Laboratory: Browser-Based &amp; Web-Interface Tools</w:t>
      </w:r>
    </w:p>
    <w:p>
      <w:pPr>
        <w:spacing w:before="0" w:after="160"/>
      </w:pPr>
      <w:r>
        <w:rPr>
          <w:rFonts w:ascii="Calibri" w:hAnsi="Calibri"/>
          <w:i/>
          <w:color w:val="646E78"/>
          <w:sz w:val="19"/>
        </w:rPr>
        <w:t>Course: ICS1561 – Ethical Hacking Laboratory  |  Target Scope: Browser &amp; Web-Interface Practicals</w:t>
        <w:br/>
        <w:t>Reference Manuals: Week 4 (Google Dorking), Week 5 (Shodan), Week 7 (Nessus), Week 8 (Robtex)</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0080"/>
      </w:tblGrid>
      <w:tr>
        <w:tc>
          <w:tcPr>
            <w:tcW w:type="dxa" w:w="10080"/>
            <w:shd w:fill="F8FAFC"/>
            <w:tcMar>
              <w:top w:w="100" w:type="dxa"/>
              <w:bottom w:w="100" w:type="dxa"/>
              <w:left w:w="140" w:type="dxa"/>
              <w:right w:w="140" w:type="dxa"/>
            </w:tcMar>
          </w:tcPr>
          <w:p>
            <w:pPr>
              <w:spacing w:before="0" w:after="40" w:line="276" w:lineRule="auto"/>
            </w:pPr>
            <w:r>
              <w:rPr>
                <w:rFonts w:ascii="Calibri" w:hAnsi="Calibri"/>
                <w:b/>
                <w:color w:val="1B365D"/>
                <w:sz w:val="20"/>
              </w:rPr>
              <w:t>SYLLABUS &amp; PRACTICAL COVERAGE INDEX</w:t>
              <w:br/>
            </w:r>
            <w:r>
              <w:rPr>
                <w:rFonts w:ascii="Calibri" w:hAnsi="Calibri"/>
                <w:color w:val="222222"/>
                <w:sz w:val="19"/>
              </w:rPr>
              <w:t>• Tool 1: Robtex — Passive DNS Footprinting &amp; Network Intelligence (ssn.edu.in)</w:t>
              <w:br/>
              <w:t>• Tool 2: Shodan — Search Engine for Publicly Observed Devices &amp; Banners (8.8.8.8)</w:t>
              <w:br/>
              <w:t>• Tool 3: Google Dorking — Advanced Search Operators for Public Reconnaissance (owasp.org)</w:t>
              <w:br/>
              <w:t>• Tool 4: Nessus Essentials — Automated Vulnerability Assessment &amp; CVE Analysis (localhost:8834)</w:t>
              <w:br/>
              <w:t>• Tool 5: Overall Comparison Table &amp; Comprehensive Practical Examination Revision</w:t>
            </w:r>
          </w:p>
        </w:tc>
      </w:tr>
    </w:tbl>
    <w:p>
      <w:r>
        <w:br w:type="page"/>
      </w:r>
    </w:p>
    <w:p>
      <w:pPr>
        <w:keepNext/>
        <w:spacing w:before="280" w:after="80"/>
      </w:pPr>
      <w:r>
        <w:rPr>
          <w:rFonts w:ascii="Calibri" w:hAnsi="Calibri"/>
          <w:b/>
          <w:color w:val="1B365D"/>
          <w:sz w:val="30"/>
        </w:rPr>
        <w:t>1. Tool 1: Robtex (Passive DNS &amp; Network Intelligence)</w:t>
      </w:r>
    </w:p>
    <w:p>
      <w:pPr>
        <w:spacing w:before="0" w:after="80" w:line="276" w:lineRule="auto"/>
      </w:pPr>
      <w:r>
        <w:rPr>
          <w:rFonts w:ascii="Calibri" w:hAnsi="Calibri"/>
          <w:b/>
          <w:color w:val="2C3E50"/>
          <w:sz w:val="20"/>
        </w:rPr>
        <w:t xml:space="preserve">Reference Context: </w:t>
      </w:r>
      <w:r>
        <w:rPr>
          <w:rFonts w:ascii="Calibri" w:hAnsi="Calibri"/>
          <w:color w:val="222222"/>
          <w:sz w:val="20"/>
        </w:rPr>
        <w:t>Website: https://www.robtex.com  |  Target Domain: ssn.edu.in  |  Mode: Passive Web Reconnaissance</w:t>
      </w:r>
    </w:p>
    <w:p>
      <w:pPr>
        <w:keepNext/>
        <w:spacing w:before="200" w:after="60"/>
      </w:pPr>
      <w:r>
        <w:rPr>
          <w:rFonts w:ascii="Calibri" w:hAnsi="Calibri"/>
          <w:b/>
          <w:color w:val="2B4C7E"/>
          <w:sz w:val="24"/>
        </w:rPr>
        <w:t>A. Aim</w:t>
      </w:r>
    </w:p>
    <w:p>
      <w:pPr>
        <w:spacing w:before="0" w:after="80" w:line="276" w:lineRule="auto"/>
      </w:pPr>
      <w:r>
        <w:rPr>
          <w:rFonts w:ascii="Calibri" w:hAnsi="Calibri"/>
          <w:color w:val="222222"/>
          <w:sz w:val="20"/>
        </w:rPr>
        <w:t>To perform passive domain footprinting and gather DNS and network intelligence for the target domain ssn.edu.in using the web-based Robtex tool.</w:t>
      </w:r>
    </w:p>
    <w:p>
      <w:pPr>
        <w:keepNext/>
        <w:spacing w:before="200" w:after="60"/>
      </w:pPr>
      <w:r>
        <w:rPr>
          <w:rFonts w:ascii="Calibri" w:hAnsi="Calibri"/>
          <w:b/>
          <w:color w:val="2B4C7E"/>
          <w:sz w:val="24"/>
        </w:rPr>
        <w:t>B. What is the Tool?</w:t>
      </w:r>
    </w:p>
    <w:p>
      <w:pPr>
        <w:spacing w:before="0" w:after="80" w:line="276" w:lineRule="auto"/>
      </w:pPr>
      <w:r>
        <w:rPr>
          <w:rFonts w:ascii="Calibri" w:hAnsi="Calibri"/>
          <w:color w:val="222222"/>
          <w:sz w:val="20"/>
        </w:rPr>
        <w:t>Robtex (robtex.com) is a free, web-based network and DNS intelligence tool that aggregates publicly available DNS records, BGP routing information, and network registration data into a single searchable interface. It provides visual graphs and structured tables showing relationships between a target domain, its name servers, mail exchangers, IP addresses, and neighbouring domains on shared hosting. Because Robtex queries its own accumulated database rather than interacting directly with the target infrastructure, it is a purely passive reconnaissance tool.</w:t>
      </w:r>
    </w:p>
    <w:p>
      <w:pPr>
        <w:keepNext/>
        <w:spacing w:before="200" w:after="60"/>
      </w:pPr>
      <w:r>
        <w:rPr>
          <w:rFonts w:ascii="Calibri" w:hAnsi="Calibri"/>
          <w:b/>
          <w:color w:val="2B4C7E"/>
          <w:sz w:val="24"/>
        </w:rPr>
        <w:t>C. Step-by-Step Procedure</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Open Robtex in a Browser: </w:t>
      </w:r>
      <w:r>
        <w:rPr>
          <w:rFonts w:ascii="Calibri" w:hAnsi="Calibri"/>
          <w:color w:val="222222"/>
          <w:sz w:val="20"/>
        </w:rPr>
        <w:t>Navigate to https://www.robtex.com in any standard browser. No software installation or account registration is required.</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Enter the Target Domain: </w:t>
      </w:r>
      <w:r>
        <w:rPr>
          <w:rFonts w:ascii="Calibri" w:hAnsi="Calibri"/>
          <w:color w:val="222222"/>
          <w:sz w:val="20"/>
        </w:rPr>
        <w:t>In the primary search bar on the homepage, enter ssn.edu.in and press Enter or click the search icon.</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Select the DNS Result: </w:t>
      </w:r>
      <w:r>
        <w:rPr>
          <w:rFonts w:ascii="Calibri" w:hAnsi="Calibri"/>
          <w:color w:val="222222"/>
          <w:sz w:val="20"/>
        </w:rPr>
        <w:t>From the search results and dropdown suggestions, select the DNS result for ssn.edu.in (do not select the Reputation result).</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Examine DNS Summary and Records: </w:t>
      </w:r>
      <w:r>
        <w:rPr>
          <w:rFonts w:ascii="Calibri" w:hAnsi="Calibri"/>
          <w:color w:val="222222"/>
          <w:sz w:val="20"/>
        </w:rPr>
        <w:t>Review the initial summary card showing the domain's resolved IP address, hosting provider, authoritative name servers, and mail servers.</w:t>
      </w:r>
    </w:p>
    <w:p>
      <w:pPr>
        <w:spacing w:before="20" w:after="60" w:line="276" w:lineRule="auto"/>
        <w:ind w:left="288"/>
      </w:pPr>
      <w:r>
        <w:rPr>
          <w:rFonts w:ascii="Calibri" w:hAnsi="Calibri"/>
          <w:b/>
          <w:color w:val="1B365D"/>
          <w:sz w:val="20"/>
        </w:rPr>
        <w:t xml:space="preserve">5. </w:t>
      </w:r>
      <w:r>
        <w:rPr>
          <w:rFonts w:ascii="Calibri" w:hAnsi="Calibri"/>
          <w:b/>
          <w:color w:val="2C3E50"/>
          <w:sz w:val="20"/>
        </w:rPr>
        <w:t xml:space="preserve">Identify Key DNS Record Types: </w:t>
      </w:r>
      <w:r>
        <w:rPr>
          <w:rFonts w:ascii="Calibri" w:hAnsi="Calibri"/>
          <w:color w:val="222222"/>
          <w:sz w:val="20"/>
        </w:rPr>
        <w:t>Inspect the individual DNS record sections: A records (IPv4 addresses), MX records (mail servers), NS records (authoritative name servers), TXT records (SPF and domain verification strings), PTR records (reverse DNS mapping), and the SOA record (zone administrative parameters).</w:t>
      </w:r>
    </w:p>
    <w:p>
      <w:pPr>
        <w:spacing w:before="20" w:after="60" w:line="276" w:lineRule="auto"/>
        <w:ind w:left="288"/>
      </w:pPr>
      <w:r>
        <w:rPr>
          <w:rFonts w:ascii="Calibri" w:hAnsi="Calibri"/>
          <w:b/>
          <w:color w:val="1B365D"/>
          <w:sz w:val="20"/>
        </w:rPr>
        <w:t xml:space="preserve">6. </w:t>
      </w:r>
      <w:r>
        <w:rPr>
          <w:rFonts w:ascii="Calibri" w:hAnsi="Calibri"/>
          <w:b/>
          <w:color w:val="2C3E50"/>
          <w:sz w:val="20"/>
        </w:rPr>
        <w:t xml:space="preserve">Open Subdomains Section: </w:t>
      </w:r>
      <w:r>
        <w:rPr>
          <w:rFonts w:ascii="Calibri" w:hAnsi="Calibri"/>
          <w:color w:val="222222"/>
          <w:sz w:val="20"/>
        </w:rPr>
        <w:t>Scroll to the Subdomains section and inspect the list of publicly indexed hostnames (such as lms.ssn.edu.in, www.ssn.edu.in, and coe.ssn.edu.in).</w:t>
      </w:r>
    </w:p>
    <w:p>
      <w:pPr>
        <w:spacing w:before="20" w:after="60" w:line="276" w:lineRule="auto"/>
        <w:ind w:left="288"/>
      </w:pPr>
      <w:r>
        <w:rPr>
          <w:rFonts w:ascii="Calibri" w:hAnsi="Calibri"/>
          <w:b/>
          <w:color w:val="1B365D"/>
          <w:sz w:val="20"/>
        </w:rPr>
        <w:t xml:space="preserve">7. </w:t>
      </w:r>
      <w:r>
        <w:rPr>
          <w:rFonts w:ascii="Calibri" w:hAnsi="Calibri"/>
          <w:b/>
          <w:color w:val="2C3E50"/>
          <w:sz w:val="20"/>
        </w:rPr>
        <w:t xml:space="preserve">Open DNS History: </w:t>
      </w:r>
      <w:r>
        <w:rPr>
          <w:rFonts w:ascii="Calibri" w:hAnsi="Calibri"/>
          <w:color w:val="222222"/>
          <w:sz w:val="20"/>
        </w:rPr>
        <w:t>Click on the DNS History tab and examine active vs. former records to understand how the domain's infrastructure has changed over time.</w:t>
      </w:r>
    </w:p>
    <w:p>
      <w:pPr>
        <w:spacing w:before="20" w:after="60" w:line="276" w:lineRule="auto"/>
        <w:ind w:left="288"/>
      </w:pPr>
      <w:r>
        <w:rPr>
          <w:rFonts w:ascii="Calibri" w:hAnsi="Calibri"/>
          <w:b/>
          <w:color w:val="1B365D"/>
          <w:sz w:val="20"/>
        </w:rPr>
        <w:t xml:space="preserve">8. </w:t>
      </w:r>
      <w:r>
        <w:rPr>
          <w:rFonts w:ascii="Calibri" w:hAnsi="Calibri"/>
          <w:b/>
          <w:color w:val="2C3E50"/>
          <w:sz w:val="20"/>
        </w:rPr>
        <w:t xml:space="preserve">Open DNS Trace: </w:t>
      </w:r>
      <w:r>
        <w:rPr>
          <w:rFonts w:ascii="Calibri" w:hAnsi="Calibri"/>
          <w:color w:val="222222"/>
          <w:sz w:val="20"/>
        </w:rPr>
        <w:t>Navigate to the DNS Trace tab to inspect the root-to-authoritative delegation chain, the authoritative server response, the DNSSEC status, query response timing, and record count summary.</w:t>
      </w:r>
    </w:p>
    <w:p>
      <w:pPr>
        <w:spacing w:before="20" w:after="60" w:line="276" w:lineRule="auto"/>
        <w:ind w:left="288"/>
      </w:pPr>
      <w:r>
        <w:rPr>
          <w:rFonts w:ascii="Calibri" w:hAnsi="Calibri"/>
          <w:b/>
          <w:color w:val="1B365D"/>
          <w:sz w:val="20"/>
        </w:rPr>
        <w:t xml:space="preserve">9. </w:t>
      </w:r>
      <w:r>
        <w:rPr>
          <w:rFonts w:ascii="Calibri" w:hAnsi="Calibri"/>
          <w:b/>
          <w:color w:val="2C3E50"/>
          <w:sz w:val="20"/>
        </w:rPr>
        <w:t xml:space="preserve">Use IP Lookup: </w:t>
      </w:r>
      <w:r>
        <w:rPr>
          <w:rFonts w:ascii="Calibri" w:hAnsi="Calibri"/>
          <w:color w:val="222222"/>
          <w:sz w:val="20"/>
        </w:rPr>
        <w:t>Click on any resolved IP address (or use IP Lookup in the search bar) to examine its Autonomous System Number (ASN), IP network range, ISP ownership, and neighbouring domains.</w:t>
      </w:r>
    </w:p>
    <w:p>
      <w:pPr>
        <w:keepNext/>
        <w:spacing w:before="200" w:after="60"/>
      </w:pPr>
      <w:r>
        <w:rPr>
          <w:rFonts w:ascii="Calibri" w:hAnsi="Calibri"/>
          <w:b/>
          <w:color w:val="2B4C7E"/>
          <w:sz w:val="24"/>
        </w:rPr>
        <w:t>D. What to Observe</w:t>
      </w:r>
    </w:p>
    <w:p>
      <w:pPr>
        <w:pStyle w:val="ListBullet"/>
        <w:spacing w:before="0" w:after="50" w:line="276" w:lineRule="auto"/>
      </w:pPr>
      <w:r>
        <w:rPr>
          <w:rFonts w:ascii="Calibri" w:hAnsi="Calibri"/>
          <w:b/>
          <w:color w:val="2C3E50"/>
          <w:sz w:val="20"/>
        </w:rPr>
        <w:t xml:space="preserve">A (Address) Record: </w:t>
      </w:r>
      <w:r>
        <w:rPr>
          <w:rFonts w:ascii="Calibri" w:hAnsi="Calibri"/>
          <w:color w:val="222222"/>
          <w:sz w:val="20"/>
        </w:rPr>
        <w:t>Maps a fully qualified domain name (FQDN) to a 32-bit IPv4 address (forward lookup).</w:t>
      </w:r>
    </w:p>
    <w:p>
      <w:pPr>
        <w:pStyle w:val="ListBullet"/>
        <w:spacing w:before="0" w:after="50" w:line="276" w:lineRule="auto"/>
      </w:pPr>
      <w:r>
        <w:rPr>
          <w:rFonts w:ascii="Calibri" w:hAnsi="Calibri"/>
          <w:b/>
          <w:color w:val="2C3E50"/>
          <w:sz w:val="20"/>
        </w:rPr>
        <w:t xml:space="preserve">MX (Mail Exchange) Record: </w:t>
      </w:r>
      <w:r>
        <w:rPr>
          <w:rFonts w:ascii="Calibri" w:hAnsi="Calibri"/>
          <w:color w:val="222222"/>
          <w:sz w:val="20"/>
        </w:rPr>
        <w:t>Identifies the mail server(s) responsible for accepting incoming email for the domain, with assigned priority levels.</w:t>
      </w:r>
    </w:p>
    <w:p>
      <w:pPr>
        <w:pStyle w:val="ListBullet"/>
        <w:spacing w:before="0" w:after="50" w:line="276" w:lineRule="auto"/>
      </w:pPr>
      <w:r>
        <w:rPr>
          <w:rFonts w:ascii="Calibri" w:hAnsi="Calibri"/>
          <w:b/>
          <w:color w:val="2C3E50"/>
          <w:sz w:val="20"/>
        </w:rPr>
        <w:t xml:space="preserve">NS (Name Server) Record: </w:t>
      </w:r>
      <w:r>
        <w:rPr>
          <w:rFonts w:ascii="Calibri" w:hAnsi="Calibri"/>
          <w:color w:val="222222"/>
          <w:sz w:val="20"/>
        </w:rPr>
        <w:t>Identifies the authoritative name servers that hold and publish the official DNS records for the zone.</w:t>
      </w:r>
    </w:p>
    <w:p>
      <w:pPr>
        <w:pStyle w:val="ListBullet"/>
        <w:spacing w:before="0" w:after="50" w:line="276" w:lineRule="auto"/>
      </w:pPr>
      <w:r>
        <w:rPr>
          <w:rFonts w:ascii="Calibri" w:hAnsi="Calibri"/>
          <w:b/>
          <w:color w:val="2C3E50"/>
          <w:sz w:val="20"/>
        </w:rPr>
        <w:t xml:space="preserve">TXT (Text) Record: </w:t>
      </w:r>
      <w:r>
        <w:rPr>
          <w:rFonts w:ascii="Calibri" w:hAnsi="Calibri"/>
          <w:color w:val="222222"/>
          <w:sz w:val="20"/>
        </w:rPr>
        <w:t>Stores text strings used for email authentication policies (such as SPF v=spf1 and DKIM) and third-party domain verification.</w:t>
      </w:r>
    </w:p>
    <w:p>
      <w:pPr>
        <w:pStyle w:val="ListBullet"/>
        <w:spacing w:before="0" w:after="50" w:line="276" w:lineRule="auto"/>
      </w:pPr>
      <w:r>
        <w:rPr>
          <w:rFonts w:ascii="Calibri" w:hAnsi="Calibri"/>
          <w:b/>
          <w:color w:val="2C3E50"/>
          <w:sz w:val="20"/>
        </w:rPr>
        <w:t xml:space="preserve">PTR (Pointer) Record: </w:t>
      </w:r>
      <w:r>
        <w:rPr>
          <w:rFonts w:ascii="Calibri" w:hAnsi="Calibri"/>
          <w:color w:val="222222"/>
          <w:sz w:val="20"/>
        </w:rPr>
        <w:t>Maps an IP address back to its canonical hostname in reverse DNS resolution (in-addr.arpa).</w:t>
      </w:r>
    </w:p>
    <w:p>
      <w:pPr>
        <w:pStyle w:val="ListBullet"/>
        <w:spacing w:before="0" w:after="50" w:line="276" w:lineRule="auto"/>
      </w:pPr>
      <w:r>
        <w:rPr>
          <w:rFonts w:ascii="Calibri" w:hAnsi="Calibri"/>
          <w:b/>
          <w:color w:val="2C3E50"/>
          <w:sz w:val="20"/>
        </w:rPr>
        <w:t xml:space="preserve">SOA Record: </w:t>
      </w:r>
      <w:r>
        <w:rPr>
          <w:rFonts w:ascii="Calibri" w:hAnsi="Calibri"/>
          <w:color w:val="222222"/>
          <w:sz w:val="20"/>
        </w:rPr>
        <w:t>Start of Authority record containing zone administration details (primary master server, administrator email, serial number, and refresh/retry timers).</w:t>
      </w:r>
    </w:p>
    <w:p>
      <w:pPr>
        <w:pStyle w:val="ListBullet"/>
        <w:spacing w:before="0" w:after="50" w:line="276" w:lineRule="auto"/>
      </w:pPr>
      <w:r>
        <w:rPr>
          <w:rFonts w:ascii="Calibri" w:hAnsi="Calibri"/>
          <w:b/>
          <w:color w:val="2C3E50"/>
          <w:sz w:val="20"/>
        </w:rPr>
        <w:t xml:space="preserve">DNS History: </w:t>
      </w:r>
      <w:r>
        <w:rPr>
          <w:rFonts w:ascii="Calibri" w:hAnsi="Calibri"/>
          <w:color w:val="222222"/>
          <w:sz w:val="20"/>
        </w:rPr>
        <w:t>Chronological log of DNS records indexed by Robtex over time, categorized into active and former records.</w:t>
      </w:r>
    </w:p>
    <w:p>
      <w:pPr>
        <w:pStyle w:val="ListBullet"/>
        <w:spacing w:before="0" w:after="50" w:line="276" w:lineRule="auto"/>
      </w:pPr>
      <w:r>
        <w:rPr>
          <w:rFonts w:ascii="Calibri" w:hAnsi="Calibri"/>
          <w:b/>
          <w:color w:val="2C3E50"/>
          <w:sz w:val="20"/>
        </w:rPr>
        <w:t xml:space="preserve">DNS Trace: </w:t>
      </w:r>
      <w:r>
        <w:rPr>
          <w:rFonts w:ascii="Calibri" w:hAnsi="Calibri"/>
          <w:color w:val="222222"/>
          <w:sz w:val="20"/>
        </w:rPr>
        <w:t>Hierarchical view of the DNS delegation path from root (.) down to authoritative servers, reporting query latency and DNSSEC validation status.</w:t>
      </w:r>
    </w:p>
    <w:p>
      <w:pPr>
        <w:pStyle w:val="ListBullet"/>
        <w:spacing w:before="0" w:after="50" w:line="276" w:lineRule="auto"/>
      </w:pPr>
      <w:r>
        <w:rPr>
          <w:rFonts w:ascii="Calibri" w:hAnsi="Calibri"/>
          <w:b/>
          <w:color w:val="2C3E50"/>
          <w:sz w:val="20"/>
        </w:rPr>
        <w:t xml:space="preserve">ASN: </w:t>
      </w:r>
      <w:r>
        <w:rPr>
          <w:rFonts w:ascii="Calibri" w:hAnsi="Calibri"/>
          <w:color w:val="222222"/>
          <w:sz w:val="20"/>
        </w:rPr>
        <w:t>Autonomous System Number; a globally unique number identifying an independently routed network or ISP (e.g., Bharti Airtel, Vodafone Idea).</w:t>
      </w:r>
    </w:p>
    <w:p>
      <w:pPr>
        <w:keepNext/>
        <w:spacing w:before="200" w:after="60"/>
      </w:pPr>
      <w:r>
        <w:rPr>
          <w:rFonts w:ascii="Calibri" w:hAnsi="Calibri"/>
          <w:b/>
          <w:color w:val="2B4C7E"/>
          <w:sz w:val="24"/>
        </w:rPr>
        <w:t>E. Observation — Write in the Lab Record</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6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(SSN.EDU.IN LOOKUP):</w:t>
              <w:br/>
            </w:r>
            <w:r>
              <w:rPr>
                <w:rFonts w:ascii="Calibri" w:hAnsi="Calibri"/>
                <w:i w:val="0"/>
                <w:color w:val="222222"/>
                <w:sz w:val="19"/>
              </w:rPr>
              <w:t>Passive DNS reconnaissance of ssn.edu.in was conducted using Robtex. The domain's authoritative name servers were observed as pdns.ssn.edu.in, sdns.ssn.edu.in, and tdns.ssn.edu.in, with pdns resolving to 182.75.25.254 (announced via Bharti Airtel / Vodafone Idea network blocks). Mail routing (MX) is handled by Google Workspace (aspmx.l.google.com and alternate servers alt1.aspmx.l.google.com through alt4.aspmx.l.google.com), supported by an SPF TXT record referencing _spf.google.com. The Subdomains section revealed publicly indexed hosts including lms.ssn.edu.in, www.ssn.edu.in, and coe.ssn.edu.in. In DNS Trace, the domain was reported as unsigned (DNSSEC not enabled / Insecure, no DS record in parent delegation), with an observed query response time of 482 ms. The DNS History panel recorded 12 total entries (8 active records and 4 former records at the time of access). Note that DNS History active/former counts and response times represent specific test observations rather than permanent facts.</w:t>
            </w:r>
          </w:p>
        </w:tc>
      </w:tr>
    </w:tbl>
    <w:p>
      <w:pPr>
        <w:spacing w:before="0" w:after="80"/>
      </w:pPr>
    </w:p>
    <w:p>
      <w:pPr>
        <w:keepNext/>
        <w:spacing w:before="200" w:after="60"/>
      </w:pPr>
      <w:r>
        <w:rPr>
          <w:rFonts w:ascii="Calibri" w:hAnsi="Calibri"/>
          <w:b/>
          <w:color w:val="2B4C7E"/>
          <w:sz w:val="24"/>
        </w:rPr>
        <w:t>F. Result</w:t>
      </w:r>
    </w:p>
    <w:p>
      <w:pPr>
        <w:spacing w:before="0" w:after="80" w:line="276" w:lineRule="auto"/>
      </w:pPr>
      <w:r>
        <w:rPr>
          <w:rFonts w:ascii="Calibri" w:hAnsi="Calibri"/>
          <w:color w:val="222222"/>
          <w:sz w:val="20"/>
        </w:rPr>
        <w:t>Passive domain footprinting and DNS intelligence gathering for ssn.edu.in were successfully performed using Robtex, identifying its authoritative name servers, mail exchangers, subdomains, network ASN routing, and DNSSEC status without sending traffic to the target.</w:t>
      </w:r>
    </w:p>
    <w:p>
      <w:pPr>
        <w:keepNext/>
        <w:spacing w:before="200" w:after="60"/>
      </w:pPr>
      <w:r>
        <w:rPr>
          <w:rFonts w:ascii="Calibri" w:hAnsi="Calibri"/>
          <w:b/>
          <w:color w:val="2B4C7E"/>
          <w:sz w:val="24"/>
        </w:rPr>
        <w:t>G. Viva Questions</w:t>
      </w:r>
    </w:p>
    <w:p>
      <w:pPr>
        <w:spacing w:before="0" w:after="80" w:line="276" w:lineRule="auto"/>
      </w:pPr>
      <w:r>
        <w:rPr>
          <w:rFonts w:ascii="Calibri" w:hAnsi="Calibri"/>
          <w:b/>
          <w:color w:val="2C3E50"/>
          <w:sz w:val="20"/>
        </w:rPr>
        <w:t>1. What is Robtex and why is it considered passive reconnaissance?</w:t>
        <w:br/>
      </w:r>
      <w:r>
        <w:rPr>
          <w:rFonts w:ascii="Calibri" w:hAnsi="Calibri"/>
          <w:color w:val="222222"/>
          <w:sz w:val="20"/>
        </w:rPr>
        <w:t>Answer: Robtex is a web-based DNS and routing intelligence tool. It is passive because it queries its own accumulated database of public DNS records, BGP tables, and historical scans, without sending probe packets directly to the target organization's servers.</w:t>
      </w:r>
    </w:p>
    <w:p>
      <w:pPr>
        <w:spacing w:before="0" w:after="80" w:line="276" w:lineRule="auto"/>
      </w:pPr>
      <w:r>
        <w:rPr>
          <w:rFonts w:ascii="Calibri" w:hAnsi="Calibri"/>
          <w:b/>
          <w:color w:val="2C3E50"/>
          <w:sz w:val="20"/>
        </w:rPr>
        <w:t>2. What is the difference between an A record and a PTR record?</w:t>
        <w:br/>
      </w:r>
      <w:r>
        <w:rPr>
          <w:rFonts w:ascii="Calibri" w:hAnsi="Calibri"/>
          <w:color w:val="222222"/>
          <w:sz w:val="20"/>
        </w:rPr>
        <w:t>Answer: An A record performs forward resolution by mapping a hostname to an IPv4 address. A PTR record performs reverse resolution by mapping an IP address back to its associated domain name.</w:t>
      </w:r>
    </w:p>
    <w:p>
      <w:pPr>
        <w:spacing w:before="0" w:after="80" w:line="276" w:lineRule="auto"/>
      </w:pPr>
      <w:r>
        <w:rPr>
          <w:rFonts w:ascii="Calibri" w:hAnsi="Calibri"/>
          <w:b/>
          <w:color w:val="2C3E50"/>
          <w:sz w:val="20"/>
        </w:rPr>
        <w:t>3. What is an Autonomous System Number (ASN) and why is it useful in footprinting?</w:t>
        <w:br/>
      </w:r>
      <w:r>
        <w:rPr>
          <w:rFonts w:ascii="Calibri" w:hAnsi="Calibri"/>
          <w:color w:val="222222"/>
          <w:sz w:val="20"/>
        </w:rPr>
        <w:t>Answer: An ASN is a unique number identifying an independently routed network managed by an ISP or enterprise. In footprinting, it reveals the target's hosting provider, network address blocks, and infrastructure ownership.</w:t>
      </w:r>
    </w:p>
    <w:p>
      <w:pPr>
        <w:spacing w:before="0" w:after="80" w:line="276" w:lineRule="auto"/>
      </w:pPr>
      <w:r>
        <w:rPr>
          <w:rFonts w:ascii="Calibri" w:hAnsi="Calibri"/>
          <w:b/>
          <w:color w:val="2C3E50"/>
          <w:sz w:val="20"/>
        </w:rPr>
        <w:t>4. Does the presence of a former record in DNS History indicate that the server is currently vulnerable?</w:t>
        <w:br/>
      </w:r>
      <w:r>
        <w:rPr>
          <w:rFonts w:ascii="Calibri" w:hAnsi="Calibri"/>
          <w:color w:val="222222"/>
          <w:sz w:val="20"/>
        </w:rPr>
        <w:t>Answer: No. Former records represent historical DNS entries observed in the past that may have since been decommissioned, migrated, or replaced. They provide historical context and must be verified against current live setups.</w:t>
      </w:r>
    </w:p>
    <w:p>
      <w:pPr>
        <w:spacing w:before="0" w:after="80" w:line="276" w:lineRule="auto"/>
      </w:pPr>
      <w:r>
        <w:rPr>
          <w:rFonts w:ascii="Calibri" w:hAnsi="Calibri"/>
          <w:b/>
          <w:color w:val="2C3E50"/>
          <w:sz w:val="20"/>
        </w:rPr>
        <w:t>5. What does an 'unsigned' or 'insecure' DNSSEC status mean in a DNS Trace report?</w:t>
        <w:br/>
      </w:r>
      <w:r>
        <w:rPr>
          <w:rFonts w:ascii="Calibri" w:hAnsi="Calibri"/>
          <w:color w:val="222222"/>
          <w:sz w:val="20"/>
        </w:rPr>
        <w:t>Answer: It indicates that the domain has not implemented DNS Security Extensions (DNSSEC) with cryptographic signatures and DS records in the parent zone, leaving client DNS lookups open to DNS spoofing or cache poisoning attacks.</w:t>
      </w:r>
    </w:p>
    <w:p>
      <w:pPr>
        <w:keepNext/>
        <w:spacing w:before="200" w:after="60"/>
      </w:pPr>
      <w:r>
        <w:rPr>
          <w:rFonts w:ascii="Calibri" w:hAnsi="Calibri"/>
          <w:b/>
          <w:color w:val="2B4C7E"/>
          <w:sz w:val="24"/>
        </w:rPr>
        <w:t>H. Quick Revision</w:t>
      </w:r>
    </w:p>
    <w:p>
      <w:pPr>
        <w:pStyle w:val="ListBullet"/>
        <w:spacing w:before="0" w:after="50" w:line="276" w:lineRule="auto"/>
      </w:pPr>
      <w:r>
        <w:rPr>
          <w:rFonts w:ascii="Calibri" w:hAnsi="Calibri"/>
          <w:b/>
          <w:color w:val="2C3E50"/>
          <w:sz w:val="20"/>
        </w:rPr>
        <w:t xml:space="preserve">Robtex: </w:t>
      </w:r>
      <w:r>
        <w:rPr>
          <w:rFonts w:ascii="Calibri" w:hAnsi="Calibri"/>
          <w:color w:val="222222"/>
          <w:sz w:val="20"/>
        </w:rPr>
        <w:t>Free web-based DNS and BGP network intelligence tool (robtex.com).</w:t>
      </w:r>
    </w:p>
    <w:p>
      <w:pPr>
        <w:pStyle w:val="ListBullet"/>
        <w:spacing w:before="0" w:after="50" w:line="276" w:lineRule="auto"/>
      </w:pPr>
      <w:r>
        <w:rPr>
          <w:rFonts w:ascii="Calibri" w:hAnsi="Calibri"/>
          <w:b/>
          <w:color w:val="2C3E50"/>
          <w:sz w:val="20"/>
        </w:rPr>
        <w:t xml:space="preserve">A Record: </w:t>
      </w:r>
      <w:r>
        <w:rPr>
          <w:rFonts w:ascii="Calibri" w:hAnsi="Calibri"/>
          <w:color w:val="222222"/>
          <w:sz w:val="20"/>
        </w:rPr>
        <w:t>Hostname -&gt; IPv4 address mapping.</w:t>
      </w:r>
    </w:p>
    <w:p>
      <w:pPr>
        <w:pStyle w:val="ListBullet"/>
        <w:spacing w:before="0" w:after="50" w:line="276" w:lineRule="auto"/>
      </w:pPr>
      <w:r>
        <w:rPr>
          <w:rFonts w:ascii="Calibri" w:hAnsi="Calibri"/>
          <w:b/>
          <w:color w:val="2C3E50"/>
          <w:sz w:val="20"/>
        </w:rPr>
        <w:t xml:space="preserve">MX Record: </w:t>
      </w:r>
      <w:r>
        <w:rPr>
          <w:rFonts w:ascii="Calibri" w:hAnsi="Calibri"/>
          <w:color w:val="222222"/>
          <w:sz w:val="20"/>
        </w:rPr>
        <w:t>Mail server locator with assigned priority numbers.</w:t>
      </w:r>
    </w:p>
    <w:p>
      <w:pPr>
        <w:pStyle w:val="ListBullet"/>
        <w:spacing w:before="0" w:after="50" w:line="276" w:lineRule="auto"/>
      </w:pPr>
      <w:r>
        <w:rPr>
          <w:rFonts w:ascii="Calibri" w:hAnsi="Calibri"/>
          <w:b/>
          <w:color w:val="2C3E50"/>
          <w:sz w:val="20"/>
        </w:rPr>
        <w:t xml:space="preserve">NS Record: </w:t>
      </w:r>
      <w:r>
        <w:rPr>
          <w:rFonts w:ascii="Calibri" w:hAnsi="Calibri"/>
          <w:color w:val="222222"/>
          <w:sz w:val="20"/>
        </w:rPr>
        <w:t>Authoritative DNS server for the zone.</w:t>
      </w:r>
    </w:p>
    <w:p>
      <w:pPr>
        <w:pStyle w:val="ListBullet"/>
        <w:spacing w:before="0" w:after="50" w:line="276" w:lineRule="auto"/>
      </w:pPr>
      <w:r>
        <w:rPr>
          <w:rFonts w:ascii="Calibri" w:hAnsi="Calibri"/>
          <w:b/>
          <w:color w:val="2C3E50"/>
          <w:sz w:val="20"/>
        </w:rPr>
        <w:t xml:space="preserve">TXT Record: </w:t>
      </w:r>
      <w:r>
        <w:rPr>
          <w:rFonts w:ascii="Calibri" w:hAnsi="Calibri"/>
          <w:color w:val="222222"/>
          <w:sz w:val="20"/>
        </w:rPr>
        <w:t>Holds SPF (v=spf1), DKIM, and domain ownership verification strings.</w:t>
      </w:r>
    </w:p>
    <w:p>
      <w:pPr>
        <w:pStyle w:val="ListBullet"/>
        <w:spacing w:before="0" w:after="50" w:line="276" w:lineRule="auto"/>
      </w:pPr>
      <w:r>
        <w:rPr>
          <w:rFonts w:ascii="Calibri" w:hAnsi="Calibri"/>
          <w:b/>
          <w:color w:val="2C3E50"/>
          <w:sz w:val="20"/>
        </w:rPr>
        <w:t xml:space="preserve">PTR Record: </w:t>
      </w:r>
      <w:r>
        <w:rPr>
          <w:rFonts w:ascii="Calibri" w:hAnsi="Calibri"/>
          <w:color w:val="222222"/>
          <w:sz w:val="20"/>
        </w:rPr>
        <w:t>IPv4 address -&gt; Canonical hostname mapping (reverse DNS).</w:t>
      </w:r>
    </w:p>
    <w:p>
      <w:pPr>
        <w:pStyle w:val="ListBullet"/>
        <w:spacing w:before="0" w:after="50" w:line="276" w:lineRule="auto"/>
      </w:pPr>
      <w:r>
        <w:rPr>
          <w:rFonts w:ascii="Calibri" w:hAnsi="Calibri"/>
          <w:b/>
          <w:color w:val="2C3E50"/>
          <w:sz w:val="20"/>
        </w:rPr>
        <w:t xml:space="preserve">SOA: </w:t>
      </w:r>
      <w:r>
        <w:rPr>
          <w:rFonts w:ascii="Calibri" w:hAnsi="Calibri"/>
          <w:color w:val="222222"/>
          <w:sz w:val="20"/>
        </w:rPr>
        <w:t>Zone administrative authority and zone synchronization timers.</w:t>
      </w:r>
    </w:p>
    <w:p>
      <w:pPr>
        <w:pStyle w:val="ListBullet"/>
        <w:spacing w:before="0" w:after="50" w:line="276" w:lineRule="auto"/>
      </w:pPr>
      <w:r>
        <w:rPr>
          <w:rFonts w:ascii="Calibri" w:hAnsi="Calibri"/>
          <w:b/>
          <w:color w:val="2C3E50"/>
          <w:sz w:val="20"/>
        </w:rPr>
        <w:t xml:space="preserve">DNS History: </w:t>
      </w:r>
      <w:r>
        <w:rPr>
          <w:rFonts w:ascii="Calibri" w:hAnsi="Calibri"/>
          <w:color w:val="222222"/>
          <w:sz w:val="20"/>
        </w:rPr>
        <w:t>Snapshot of active vs. decommissioned DNS records over time.</w:t>
      </w:r>
    </w:p>
    <w:p>
      <w:pPr>
        <w:pStyle w:val="ListBullet"/>
        <w:spacing w:before="0" w:after="50" w:line="276" w:lineRule="auto"/>
      </w:pPr>
      <w:r>
        <w:rPr>
          <w:rFonts w:ascii="Calibri" w:hAnsi="Calibri"/>
          <w:b/>
          <w:color w:val="2C3E50"/>
          <w:sz w:val="20"/>
        </w:rPr>
        <w:t xml:space="preserve">DNS Trace: </w:t>
      </w:r>
      <w:r>
        <w:rPr>
          <w:rFonts w:ascii="Calibri" w:hAnsi="Calibri"/>
          <w:color w:val="222222"/>
          <w:sz w:val="20"/>
        </w:rPr>
        <w:t>Root-to-authoritative DNS hierarchy, response timing, and DNSSEC validation.</w:t>
      </w:r>
    </w:p>
    <w:p>
      <w:pPr>
        <w:pStyle w:val="ListBullet"/>
        <w:spacing w:before="0" w:after="50" w:line="276" w:lineRule="auto"/>
      </w:pPr>
      <w:r>
        <w:rPr>
          <w:rFonts w:ascii="Calibri" w:hAnsi="Calibri"/>
          <w:b/>
          <w:color w:val="2C3E50"/>
          <w:sz w:val="20"/>
        </w:rPr>
        <w:t xml:space="preserve">ASN: </w:t>
      </w:r>
      <w:r>
        <w:rPr>
          <w:rFonts w:ascii="Calibri" w:hAnsi="Calibri"/>
          <w:color w:val="222222"/>
          <w:sz w:val="20"/>
        </w:rPr>
        <w:t>Autonomous System Number identifying network routing ownership.</w:t>
      </w:r>
    </w:p>
    <w:p>
      <w:r>
        <w:br w:type="page"/>
      </w:r>
    </w:p>
    <w:p>
      <w:pPr>
        <w:keepNext/>
        <w:spacing w:before="280" w:after="80"/>
      </w:pPr>
      <w:r>
        <w:rPr>
          <w:rFonts w:ascii="Calibri" w:hAnsi="Calibri"/>
          <w:b/>
          <w:color w:val="1B365D"/>
          <w:sz w:val="30"/>
        </w:rPr>
        <w:t>2. Tool 2: Shodan (Internet-Connected Device Intelligence)</w:t>
      </w:r>
    </w:p>
    <w:p>
      <w:pPr>
        <w:spacing w:before="0" w:after="80" w:line="276" w:lineRule="auto"/>
      </w:pPr>
      <w:r>
        <w:rPr>
          <w:rFonts w:ascii="Calibri" w:hAnsi="Calibri"/>
          <w:b/>
          <w:color w:val="2C3E50"/>
          <w:sz w:val="20"/>
        </w:rPr>
        <w:t xml:space="preserve">Reference Context: </w:t>
      </w:r>
      <w:r>
        <w:rPr>
          <w:rFonts w:ascii="Calibri" w:hAnsi="Calibri"/>
          <w:color w:val="222222"/>
          <w:sz w:val="20"/>
        </w:rPr>
        <w:t>Website: https://www.shodan.io  |  Target IP: 8.8.8.8 (Google Public DNS)  |  Mode: Passive Device Reconnaissance</w:t>
      </w:r>
    </w:p>
    <w:p>
      <w:pPr>
        <w:keepNext/>
        <w:spacing w:before="200" w:after="60"/>
      </w:pPr>
      <w:r>
        <w:rPr>
          <w:rFonts w:ascii="Calibri" w:hAnsi="Calibri"/>
          <w:b/>
          <w:color w:val="2B4C7E"/>
          <w:sz w:val="24"/>
        </w:rPr>
        <w:t>A. Aim</w:t>
      </w:r>
    </w:p>
    <w:p>
      <w:pPr>
        <w:spacing w:before="0" w:after="80" w:line="276" w:lineRule="auto"/>
      </w:pPr>
      <w:r>
        <w:rPr>
          <w:rFonts w:ascii="Calibri" w:hAnsi="Calibri"/>
          <w:color w:val="222222"/>
          <w:sz w:val="20"/>
        </w:rPr>
        <w:t>To gather open-source device intelligence, identify open network ports, and analyze publicly observed service banners for the target IP 8.8.8.8 using Shodan.</w:t>
      </w:r>
    </w:p>
    <w:p>
      <w:pPr>
        <w:keepNext/>
        <w:spacing w:before="200" w:after="60"/>
      </w:pPr>
      <w:r>
        <w:rPr>
          <w:rFonts w:ascii="Calibri" w:hAnsi="Calibri"/>
          <w:b/>
          <w:color w:val="2B4C7E"/>
          <w:sz w:val="24"/>
        </w:rPr>
        <w:t>B. What is the Tool?</w:t>
      </w:r>
    </w:p>
    <w:p>
      <w:pPr>
        <w:spacing w:before="0" w:after="80" w:line="276" w:lineRule="auto"/>
      </w:pPr>
      <w:r>
        <w:rPr>
          <w:rFonts w:ascii="Calibri" w:hAnsi="Calibri"/>
          <w:color w:val="222222"/>
          <w:sz w:val="20"/>
        </w:rPr>
        <w:t>Shodan (shodan.io) is a specialized search engine that continuously scans the public IPv4 internet, indexing banners and configuration metadata returned by internet-connected devices such as servers, routers, webcams, and industrial control systems. Unlike traditional search engines that index web page text, Shodan interacts with listening network ports and stores the raw service banners returned. Querying Shodan represents passive reconnaissance because users query Shodan's collected database rather than actively probing the target host.</w:t>
      </w:r>
    </w:p>
    <w:p>
      <w:pPr>
        <w:keepNext/>
        <w:spacing w:before="200" w:after="60"/>
      </w:pPr>
      <w:r>
        <w:rPr>
          <w:rFonts w:ascii="Calibri" w:hAnsi="Calibri"/>
          <w:b/>
          <w:color w:val="2B4C7E"/>
          <w:sz w:val="24"/>
        </w:rPr>
        <w:t>C. Step-by-Step Procedure</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Open Shodan in a Browser: </w:t>
      </w:r>
      <w:r>
        <w:rPr>
          <w:rFonts w:ascii="Calibri" w:hAnsi="Calibri"/>
          <w:color w:val="222222"/>
          <w:sz w:val="20"/>
        </w:rPr>
        <w:t>Navigate to https://www.shodan.io in any standard web browser.</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Enter the Target IP Address: </w:t>
      </w:r>
      <w:r>
        <w:rPr>
          <w:rFonts w:ascii="Calibri" w:hAnsi="Calibri"/>
          <w:color w:val="222222"/>
          <w:sz w:val="20"/>
        </w:rPr>
        <w:t>In the main search bar, type 8.8.8.8 (the lab manual's standard example IP address representing Google Public DNS).</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Initiate the Search: </w:t>
      </w:r>
      <w:r>
        <w:rPr>
          <w:rFonts w:ascii="Calibri" w:hAnsi="Calibri"/>
          <w:color w:val="222222"/>
          <w:sz w:val="20"/>
        </w:rPr>
        <w:t>Press Enter or click the search magnifying glass icon.</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Examine General Host Overview: </w:t>
      </w:r>
      <w:r>
        <w:rPr>
          <w:rFonts w:ascii="Calibri" w:hAnsi="Calibri"/>
          <w:color w:val="222222"/>
          <w:sz w:val="20"/>
        </w:rPr>
        <w:t>Review the host summary panel on the left displaying the target IP address, reverse hostname, organization/ISP, and geographical location (country, city).</w:t>
      </w:r>
    </w:p>
    <w:p>
      <w:pPr>
        <w:spacing w:before="20" w:after="60" w:line="276" w:lineRule="auto"/>
        <w:ind w:left="288"/>
      </w:pPr>
      <w:r>
        <w:rPr>
          <w:rFonts w:ascii="Calibri" w:hAnsi="Calibri"/>
          <w:b/>
          <w:color w:val="1B365D"/>
          <w:sz w:val="20"/>
        </w:rPr>
        <w:t xml:space="preserve">5. </w:t>
      </w:r>
      <w:r>
        <w:rPr>
          <w:rFonts w:ascii="Calibri" w:hAnsi="Calibri"/>
          <w:b/>
          <w:color w:val="2C3E50"/>
          <w:sz w:val="20"/>
        </w:rPr>
        <w:t xml:space="preserve">Locate the Open Ports Section: </w:t>
      </w:r>
      <w:r>
        <w:rPr>
          <w:rFonts w:ascii="Calibri" w:hAnsi="Calibri"/>
          <w:color w:val="222222"/>
          <w:sz w:val="20"/>
        </w:rPr>
        <w:t>Inspect the list of open TCP and UDP ports detected and indexed by Shodan's scanners.</w:t>
      </w:r>
    </w:p>
    <w:p>
      <w:pPr>
        <w:spacing w:before="20" w:after="60" w:line="276" w:lineRule="auto"/>
        <w:ind w:left="288"/>
      </w:pPr>
      <w:r>
        <w:rPr>
          <w:rFonts w:ascii="Calibri" w:hAnsi="Calibri"/>
          <w:b/>
          <w:color w:val="1B365D"/>
          <w:sz w:val="20"/>
        </w:rPr>
        <w:t xml:space="preserve">6. </w:t>
      </w:r>
      <w:r>
        <w:rPr>
          <w:rFonts w:ascii="Calibri" w:hAnsi="Calibri"/>
          <w:b/>
          <w:color w:val="2C3E50"/>
          <w:sz w:val="20"/>
        </w:rPr>
        <w:t xml:space="preserve">Inspect Associated Services and Banners: </w:t>
      </w:r>
      <w:r>
        <w:rPr>
          <w:rFonts w:ascii="Calibri" w:hAnsi="Calibri"/>
          <w:color w:val="222222"/>
          <w:sz w:val="20"/>
        </w:rPr>
        <w:t>For each detected open port, review the identified service protocol (e.g., DNS on port 53, HTTPS on port 443) and read the associated service banner containing protocol headers and daemon version information.</w:t>
      </w:r>
    </w:p>
    <w:p>
      <w:pPr>
        <w:spacing w:before="20" w:after="60" w:line="276" w:lineRule="auto"/>
        <w:ind w:left="288"/>
      </w:pPr>
      <w:r>
        <w:rPr>
          <w:rFonts w:ascii="Calibri" w:hAnsi="Calibri"/>
          <w:b/>
          <w:color w:val="1B365D"/>
          <w:sz w:val="20"/>
        </w:rPr>
        <w:t xml:space="preserve">7. </w:t>
      </w:r>
      <w:r>
        <w:rPr>
          <w:rFonts w:ascii="Calibri" w:hAnsi="Calibri"/>
          <w:b/>
          <w:color w:val="2C3E50"/>
          <w:sz w:val="20"/>
        </w:rPr>
        <w:t xml:space="preserve">Record Findings: </w:t>
      </w:r>
      <w:r>
        <w:rPr>
          <w:rFonts w:ascii="Calibri" w:hAnsi="Calibri"/>
          <w:color w:val="222222"/>
          <w:sz w:val="20"/>
        </w:rPr>
        <w:t>Document the observed hostname, organization, country/location, open ports, and services actually shown.</w:t>
      </w:r>
    </w:p>
    <w:p>
      <w:pPr>
        <w:spacing w:before="20" w:after="60" w:line="276" w:lineRule="auto"/>
        <w:ind w:left="288"/>
      </w:pPr>
      <w:r>
        <w:rPr>
          <w:rFonts w:ascii="Calibri" w:hAnsi="Calibri"/>
          <w:b/>
          <w:color w:val="1B365D"/>
          <w:sz w:val="20"/>
        </w:rPr>
        <w:t xml:space="preserve">8. </w:t>
      </w:r>
      <w:r>
        <w:rPr>
          <w:rFonts w:ascii="Calibri" w:hAnsi="Calibri"/>
          <w:b/>
          <w:color w:val="2C3E50"/>
          <w:sz w:val="20"/>
        </w:rPr>
        <w:t xml:space="preserve">Assess Information Currency: </w:t>
      </w:r>
      <w:r>
        <w:rPr>
          <w:rFonts w:ascii="Calibri" w:hAnsi="Calibri"/>
          <w:color w:val="222222"/>
          <w:sz w:val="20"/>
        </w:rPr>
        <w:t>Note that Shodan presents previously gathered data; the results reflect Shodan's last crawler scan and may not represent the target's current live state.</w:t>
      </w:r>
    </w:p>
    <w:p>
      <w:pPr>
        <w:keepNext/>
        <w:spacing w:before="200" w:after="60"/>
      </w:pPr>
      <w:r>
        <w:rPr>
          <w:rFonts w:ascii="Calibri" w:hAnsi="Calibri"/>
          <w:b/>
          <w:color w:val="2B4C7E"/>
          <w:sz w:val="24"/>
        </w:rPr>
        <w:t>D. What to Observe</w:t>
      </w:r>
    </w:p>
    <w:p>
      <w:pPr>
        <w:pStyle w:val="ListBullet"/>
        <w:spacing w:before="0" w:after="50" w:line="276" w:lineRule="auto"/>
      </w:pPr>
      <w:r>
        <w:rPr>
          <w:rFonts w:ascii="Calibri" w:hAnsi="Calibri"/>
          <w:b/>
          <w:color w:val="2C3E50"/>
          <w:sz w:val="20"/>
        </w:rPr>
        <w:t xml:space="preserve">IP Address: </w:t>
      </w:r>
      <w:r>
        <w:rPr>
          <w:rFonts w:ascii="Calibri" w:hAnsi="Calibri"/>
          <w:color w:val="222222"/>
          <w:sz w:val="20"/>
        </w:rPr>
        <w:t>The unique 32-bit numerical identifier assigned to the host on the public internet (8.8.8.8).</w:t>
      </w:r>
    </w:p>
    <w:p>
      <w:pPr>
        <w:pStyle w:val="ListBullet"/>
        <w:spacing w:before="0" w:after="50" w:line="276" w:lineRule="auto"/>
      </w:pPr>
      <w:r>
        <w:rPr>
          <w:rFonts w:ascii="Calibri" w:hAnsi="Calibri"/>
          <w:b/>
          <w:color w:val="2C3E50"/>
          <w:sz w:val="20"/>
        </w:rPr>
        <w:t xml:space="preserve">Hostname: </w:t>
      </w:r>
      <w:r>
        <w:rPr>
          <w:rFonts w:ascii="Calibri" w:hAnsi="Calibri"/>
          <w:color w:val="222222"/>
          <w:sz w:val="20"/>
        </w:rPr>
        <w:t>The reverse DNS domain name associated with the IP address (e.g., dns.google).</w:t>
      </w:r>
    </w:p>
    <w:p>
      <w:pPr>
        <w:pStyle w:val="ListBullet"/>
        <w:spacing w:before="0" w:after="50" w:line="276" w:lineRule="auto"/>
      </w:pPr>
      <w:r>
        <w:rPr>
          <w:rFonts w:ascii="Calibri" w:hAnsi="Calibri"/>
          <w:b/>
          <w:color w:val="2C3E50"/>
          <w:sz w:val="20"/>
        </w:rPr>
        <w:t xml:space="preserve">Open Port: </w:t>
      </w:r>
      <w:r>
        <w:rPr>
          <w:rFonts w:ascii="Calibri" w:hAnsi="Calibri"/>
          <w:color w:val="222222"/>
          <w:sz w:val="20"/>
        </w:rPr>
        <w:t>A communication endpoint on the target host that is actively accepting incoming network connections.</w:t>
      </w:r>
    </w:p>
    <w:p>
      <w:pPr>
        <w:pStyle w:val="ListBullet"/>
        <w:spacing w:before="0" w:after="50" w:line="276" w:lineRule="auto"/>
      </w:pPr>
      <w:r>
        <w:rPr>
          <w:rFonts w:ascii="Calibri" w:hAnsi="Calibri"/>
          <w:b/>
          <w:color w:val="2C3E50"/>
          <w:sz w:val="20"/>
        </w:rPr>
        <w:t xml:space="preserve">Service: </w:t>
      </w:r>
      <w:r>
        <w:rPr>
          <w:rFonts w:ascii="Calibri" w:hAnsi="Calibri"/>
          <w:color w:val="222222"/>
          <w:sz w:val="20"/>
        </w:rPr>
        <w:t>The network protocol or application daemon operating on an open port (e.g., DNS, HTTPS, SSH).</w:t>
      </w:r>
    </w:p>
    <w:p>
      <w:pPr>
        <w:pStyle w:val="ListBullet"/>
        <w:spacing w:before="0" w:after="50" w:line="276" w:lineRule="auto"/>
      </w:pPr>
      <w:r>
        <w:rPr>
          <w:rFonts w:ascii="Calibri" w:hAnsi="Calibri"/>
          <w:b/>
          <w:color w:val="2C3E50"/>
          <w:sz w:val="20"/>
        </w:rPr>
        <w:t xml:space="preserve">Service Banner: </w:t>
      </w:r>
      <w:r>
        <w:rPr>
          <w:rFonts w:ascii="Calibri" w:hAnsi="Calibri"/>
          <w:color w:val="222222"/>
          <w:sz w:val="20"/>
        </w:rPr>
        <w:t>The raw textual greeting or HTTP header returned by a service upon connection, which often discloses server software, version numbers, and operating system attributes.</w:t>
      </w:r>
    </w:p>
    <w:p>
      <w:pPr>
        <w:pStyle w:val="ListBullet"/>
        <w:spacing w:before="0" w:after="50" w:line="276" w:lineRule="auto"/>
      </w:pPr>
      <w:r>
        <w:rPr>
          <w:rFonts w:ascii="Calibri" w:hAnsi="Calibri"/>
          <w:b/>
          <w:color w:val="2C3E50"/>
          <w:sz w:val="20"/>
        </w:rPr>
        <w:t xml:space="preserve">Organisation: </w:t>
      </w:r>
      <w:r>
        <w:rPr>
          <w:rFonts w:ascii="Calibri" w:hAnsi="Calibri"/>
          <w:color w:val="222222"/>
          <w:sz w:val="20"/>
        </w:rPr>
        <w:t>The registered company, university, or ISP that owns the IP address block and Autonomous System (e.g., Google LLC).</w:t>
      </w:r>
    </w:p>
    <w:p>
      <w:pPr>
        <w:pStyle w:val="ListBullet"/>
        <w:spacing w:before="0" w:after="50" w:line="276" w:lineRule="auto"/>
      </w:pPr>
      <w:r>
        <w:rPr>
          <w:rFonts w:ascii="Calibri" w:hAnsi="Calibri"/>
          <w:b/>
          <w:color w:val="2C3E50"/>
          <w:sz w:val="20"/>
        </w:rPr>
        <w:t xml:space="preserve">Location: </w:t>
      </w:r>
      <w:r>
        <w:rPr>
          <w:rFonts w:ascii="Calibri" w:hAnsi="Calibri"/>
          <w:color w:val="222222"/>
          <w:sz w:val="20"/>
        </w:rPr>
        <w:t>The physical or registered geographic location of the host, including country, city, and approximate coordinates.</w:t>
      </w:r>
    </w:p>
    <w:p>
      <w:pPr>
        <w:keepNext/>
        <w:spacing w:before="200" w:after="60"/>
      </w:pPr>
      <w:r>
        <w:rPr>
          <w:rFonts w:ascii="Calibri" w:hAnsi="Calibri"/>
          <w:b/>
          <w:color w:val="2B4C7E"/>
          <w:sz w:val="24"/>
        </w:rPr>
        <w:t>E. Observation — Write in the Lab Record</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6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(SHODAN HOST LOOKUP):</w:t>
              <w:br/>
            </w:r>
            <w:r>
              <w:rPr>
                <w:rFonts w:ascii="Calibri" w:hAnsi="Calibri"/>
                <w:i w:val="0"/>
                <w:color w:val="222222"/>
                <w:sz w:val="19"/>
              </w:rPr>
              <w:t>A passive device and service search was performed on Shodan for the public IP address 8.8.8.8. The host summary identified the reverse hostname as dns.google, the organization as Google LLC, and the geographical location as United States. The Open Ports section displayed listening services on ports [observed open ports, e.g., 53, 443], corresponding to services [observed services, e.g., DNS, HTTPS]. Service banners disclosed service response metadata. Because Shodan retrieves information gathered by its distributed crawlers over time, the observed results represent Shodan's indexed repository snapshot and may not reflect the target's current live state.</w:t>
            </w:r>
          </w:p>
        </w:tc>
      </w:tr>
    </w:tbl>
    <w:p>
      <w:pPr>
        <w:spacing w:before="0" w:after="80"/>
      </w:pPr>
    </w:p>
    <w:p>
      <w:pPr>
        <w:keepNext/>
        <w:spacing w:before="200" w:after="60"/>
      </w:pPr>
      <w:r>
        <w:rPr>
          <w:rFonts w:ascii="Calibri" w:hAnsi="Calibri"/>
          <w:b/>
          <w:color w:val="2B4C7E"/>
          <w:sz w:val="24"/>
        </w:rPr>
        <w:t>F. Result</w:t>
      </w:r>
    </w:p>
    <w:p>
      <w:pPr>
        <w:spacing w:before="0" w:after="80" w:line="276" w:lineRule="auto"/>
      </w:pPr>
      <w:r>
        <w:rPr>
          <w:rFonts w:ascii="Calibri" w:hAnsi="Calibri"/>
          <w:color w:val="222222"/>
          <w:sz w:val="20"/>
        </w:rPr>
        <w:t>Passive device intelligence and banner information for the target IP address 8.8.8.8 were successfully retrieved using Shodan, identifying its registered organization, reverse hostname, listening ports, and service metadata without sending active packets to the host.</w:t>
      </w:r>
    </w:p>
    <w:p>
      <w:pPr>
        <w:keepNext/>
        <w:spacing w:before="200" w:after="60"/>
      </w:pPr>
      <w:r>
        <w:rPr>
          <w:rFonts w:ascii="Calibri" w:hAnsi="Calibri"/>
          <w:b/>
          <w:color w:val="2B4C7E"/>
          <w:sz w:val="24"/>
        </w:rPr>
        <w:t>G. Viva Questions</w:t>
      </w:r>
    </w:p>
    <w:p>
      <w:pPr>
        <w:spacing w:before="0" w:after="80" w:line="276" w:lineRule="auto"/>
      </w:pPr>
      <w:r>
        <w:rPr>
          <w:rFonts w:ascii="Calibri" w:hAnsi="Calibri"/>
          <w:b/>
          <w:color w:val="2C3E50"/>
          <w:sz w:val="20"/>
        </w:rPr>
        <w:t>1. What is Shodan and how does it fundamentally differ from Google?</w:t>
        <w:br/>
      </w:r>
      <w:r>
        <w:rPr>
          <w:rFonts w:ascii="Calibri" w:hAnsi="Calibri"/>
          <w:color w:val="222222"/>
          <w:sz w:val="20"/>
        </w:rPr>
        <w:t>Answer: Shodan indexes internet-connected devices, open ports, and service banners across servers, routers, and IoT hardware. Google indexes hyperlinked World Wide Web content (HTML pages, text, and documents).</w:t>
      </w:r>
    </w:p>
    <w:p>
      <w:pPr>
        <w:spacing w:before="0" w:after="80" w:line="276" w:lineRule="auto"/>
      </w:pPr>
      <w:r>
        <w:rPr>
          <w:rFonts w:ascii="Calibri" w:hAnsi="Calibri"/>
          <w:b/>
          <w:color w:val="2C3E50"/>
          <w:sz w:val="20"/>
        </w:rPr>
        <w:t>2. Why is querying Shodan considered passive reconnaissance?</w:t>
        <w:br/>
      </w:r>
      <w:r>
        <w:rPr>
          <w:rFonts w:ascii="Calibri" w:hAnsi="Calibri"/>
          <w:color w:val="222222"/>
          <w:sz w:val="20"/>
        </w:rPr>
        <w:t>Answer: Because the analyst queries Shodan's pre-collected database of crawler scans; no probe packets or network traffic are transmitted from the analyst's machine to the target.</w:t>
      </w:r>
    </w:p>
    <w:p>
      <w:pPr>
        <w:spacing w:before="0" w:after="80" w:line="276" w:lineRule="auto"/>
      </w:pPr>
      <w:r>
        <w:rPr>
          <w:rFonts w:ascii="Calibri" w:hAnsi="Calibri"/>
          <w:b/>
          <w:color w:val="2C3E50"/>
          <w:sz w:val="20"/>
        </w:rPr>
        <w:t>3. What is a service banner and why is it valuable to an ethical hacker?</w:t>
        <w:br/>
      </w:r>
      <w:r>
        <w:rPr>
          <w:rFonts w:ascii="Calibri" w:hAnsi="Calibri"/>
          <w:color w:val="222222"/>
          <w:sz w:val="20"/>
        </w:rPr>
        <w:t>Answer: A service banner is the introductory greeting or HTTP header sent by a network service upon receiving a connection. It often reveals the exact software brand, version number, and OS type, allowing testers to quickly identify known vulnerabilities.</w:t>
      </w:r>
    </w:p>
    <w:p>
      <w:pPr>
        <w:spacing w:before="0" w:after="80" w:line="276" w:lineRule="auto"/>
      </w:pPr>
      <w:r>
        <w:rPr>
          <w:rFonts w:ascii="Calibri" w:hAnsi="Calibri"/>
          <w:b/>
          <w:color w:val="2C3E50"/>
          <w:sz w:val="20"/>
        </w:rPr>
        <w:t>4. Can Shodan's data be outdated or inaccurate?</w:t>
        <w:br/>
      </w:r>
      <w:r>
        <w:rPr>
          <w:rFonts w:ascii="Calibri" w:hAnsi="Calibri"/>
          <w:color w:val="222222"/>
          <w:sz w:val="20"/>
        </w:rPr>
        <w:t>Answer: Shodan indexes devices when its automated crawlers scan them, which may have occurred days or weeks earlier. Firewall rule changes, port closures, or software patches applied since that scan will not appear until Shodan rescans the IP.</w:t>
      </w:r>
    </w:p>
    <w:p>
      <w:pPr>
        <w:spacing w:before="0" w:after="80" w:line="276" w:lineRule="auto"/>
      </w:pPr>
      <w:r>
        <w:rPr>
          <w:rFonts w:ascii="Calibri" w:hAnsi="Calibri"/>
          <w:b/>
          <w:color w:val="2C3E50"/>
          <w:sz w:val="20"/>
        </w:rPr>
        <w:t>5. What is the difference between active port scanning with Nmap and searching an IP on Shodan?</w:t>
        <w:br/>
      </w:r>
      <w:r>
        <w:rPr>
          <w:rFonts w:ascii="Calibri" w:hAnsi="Calibri"/>
          <w:color w:val="222222"/>
          <w:sz w:val="20"/>
        </w:rPr>
        <w:t>Answer: Nmap sends live probe packets directly across the network to the target to detect current port states in real time (active reconnaissance), whereas Shodan queries historical scan results stored in its cloud database with zero direct contact (passive reconnaissance).</w:t>
      </w:r>
    </w:p>
    <w:p>
      <w:pPr>
        <w:keepNext/>
        <w:spacing w:before="200" w:after="60"/>
      </w:pPr>
      <w:r>
        <w:rPr>
          <w:rFonts w:ascii="Calibri" w:hAnsi="Calibri"/>
          <w:b/>
          <w:color w:val="2B4C7E"/>
          <w:sz w:val="24"/>
        </w:rPr>
        <w:t>H. Quick Revision</w:t>
      </w:r>
    </w:p>
    <w:p>
      <w:pPr>
        <w:pStyle w:val="ListBullet"/>
        <w:spacing w:before="0" w:after="50" w:line="276" w:lineRule="auto"/>
      </w:pPr>
      <w:r>
        <w:rPr>
          <w:rFonts w:ascii="Calibri" w:hAnsi="Calibri"/>
          <w:b/>
          <w:color w:val="2C3E50"/>
          <w:sz w:val="20"/>
        </w:rPr>
        <w:t xml:space="preserve">Shodan: </w:t>
      </w:r>
      <w:r>
        <w:rPr>
          <w:rFonts w:ascii="Calibri" w:hAnsi="Calibri"/>
          <w:color w:val="222222"/>
          <w:sz w:val="20"/>
        </w:rPr>
        <w:t>Search engine for internet-connected devices, servers, and IoT (shodan.io).</w:t>
      </w:r>
    </w:p>
    <w:p>
      <w:pPr>
        <w:pStyle w:val="ListBullet"/>
        <w:spacing w:before="0" w:after="50" w:line="276" w:lineRule="auto"/>
      </w:pPr>
      <w:r>
        <w:rPr>
          <w:rFonts w:ascii="Calibri" w:hAnsi="Calibri"/>
          <w:b/>
          <w:color w:val="2C3E50"/>
          <w:sz w:val="20"/>
        </w:rPr>
        <w:t xml:space="preserve">Service Banner: </w:t>
      </w:r>
      <w:r>
        <w:rPr>
          <w:rFonts w:ascii="Calibri" w:hAnsi="Calibri"/>
          <w:color w:val="222222"/>
          <w:sz w:val="20"/>
        </w:rPr>
        <w:t>Text header emitted by an open service disclosing software brand and version.</w:t>
      </w:r>
    </w:p>
    <w:p>
      <w:pPr>
        <w:pStyle w:val="ListBullet"/>
        <w:spacing w:before="0" w:after="50" w:line="276" w:lineRule="auto"/>
      </w:pPr>
      <w:r>
        <w:rPr>
          <w:rFonts w:ascii="Calibri" w:hAnsi="Calibri"/>
          <w:b/>
          <w:color w:val="2C3E50"/>
          <w:sz w:val="20"/>
        </w:rPr>
        <w:t xml:space="preserve">Open Port: </w:t>
      </w:r>
      <w:r>
        <w:rPr>
          <w:rFonts w:ascii="Calibri" w:hAnsi="Calibri"/>
          <w:color w:val="222222"/>
          <w:sz w:val="20"/>
        </w:rPr>
        <w:t>Listening TCP/UDP network communication endpoint.</w:t>
      </w:r>
    </w:p>
    <w:p>
      <w:pPr>
        <w:pStyle w:val="ListBullet"/>
        <w:spacing w:before="0" w:after="50" w:line="276" w:lineRule="auto"/>
      </w:pPr>
      <w:r>
        <w:rPr>
          <w:rFonts w:ascii="Calibri" w:hAnsi="Calibri"/>
          <w:b/>
          <w:color w:val="2C3E50"/>
          <w:sz w:val="20"/>
        </w:rPr>
        <w:t xml:space="preserve">Hostname: </w:t>
      </w:r>
      <w:r>
        <w:rPr>
          <w:rFonts w:ascii="Calibri" w:hAnsi="Calibri"/>
          <w:color w:val="222222"/>
          <w:sz w:val="20"/>
        </w:rPr>
        <w:t>Reverse DNS identifier mapped to an IP address (dns.google).</w:t>
      </w:r>
    </w:p>
    <w:p>
      <w:pPr>
        <w:pStyle w:val="ListBullet"/>
        <w:spacing w:before="0" w:after="50" w:line="276" w:lineRule="auto"/>
      </w:pPr>
      <w:r>
        <w:rPr>
          <w:rFonts w:ascii="Calibri" w:hAnsi="Calibri"/>
          <w:b/>
          <w:color w:val="2C3E50"/>
          <w:sz w:val="20"/>
        </w:rPr>
        <w:t xml:space="preserve">Organization / ISP: </w:t>
      </w:r>
      <w:r>
        <w:rPr>
          <w:rFonts w:ascii="Calibri" w:hAnsi="Calibri"/>
          <w:color w:val="222222"/>
          <w:sz w:val="20"/>
        </w:rPr>
        <w:t>Registered owner of the Autonomous System and IP address block.</w:t>
      </w:r>
    </w:p>
    <w:p>
      <w:pPr>
        <w:pStyle w:val="ListBullet"/>
        <w:spacing w:before="0" w:after="50" w:line="276" w:lineRule="auto"/>
      </w:pPr>
      <w:r>
        <w:rPr>
          <w:rFonts w:ascii="Calibri" w:hAnsi="Calibri"/>
          <w:b/>
          <w:color w:val="2C3E50"/>
          <w:sz w:val="20"/>
        </w:rPr>
        <w:t xml:space="preserve">Passive Nature: </w:t>
      </w:r>
      <w:r>
        <w:rPr>
          <w:rFonts w:ascii="Calibri" w:hAnsi="Calibri"/>
          <w:color w:val="222222"/>
          <w:sz w:val="20"/>
        </w:rPr>
        <w:t>Relies entirely on Shodan's crawler index; zero direct probes to target.</w:t>
      </w:r>
    </w:p>
    <w:p>
      <w:pPr>
        <w:pStyle w:val="ListBullet"/>
        <w:spacing w:before="0" w:after="50" w:line="276" w:lineRule="auto"/>
      </w:pPr>
      <w:r>
        <w:rPr>
          <w:rFonts w:ascii="Calibri" w:hAnsi="Calibri"/>
          <w:b/>
          <w:color w:val="2C3E50"/>
          <w:sz w:val="20"/>
        </w:rPr>
        <w:t xml:space="preserve">Limitation: </w:t>
      </w:r>
      <w:r>
        <w:rPr>
          <w:rFonts w:ascii="Calibri" w:hAnsi="Calibri"/>
          <w:color w:val="222222"/>
          <w:sz w:val="20"/>
        </w:rPr>
        <w:t>Results reflect the crawler's last scan timestamp, not necessarily real-time state.</w:t>
      </w:r>
    </w:p>
    <w:p>
      <w:r>
        <w:br w:type="page"/>
      </w:r>
    </w:p>
    <w:p>
      <w:pPr>
        <w:keepNext/>
        <w:spacing w:before="280" w:after="80"/>
      </w:pPr>
      <w:r>
        <w:rPr>
          <w:rFonts w:ascii="Calibri" w:hAnsi="Calibri"/>
          <w:b/>
          <w:color w:val="1B365D"/>
          <w:sz w:val="30"/>
        </w:rPr>
        <w:t>3. Tool 3: Google Dorking (Advanced Search Operators)</w:t>
      </w:r>
    </w:p>
    <w:p>
      <w:pPr>
        <w:spacing w:before="0" w:after="80" w:line="276" w:lineRule="auto"/>
      </w:pPr>
      <w:r>
        <w:rPr>
          <w:rFonts w:ascii="Calibri" w:hAnsi="Calibri"/>
          <w:b/>
          <w:color w:val="2C3E50"/>
          <w:sz w:val="20"/>
        </w:rPr>
        <w:t xml:space="preserve">Reference Context: </w:t>
      </w:r>
      <w:r>
        <w:rPr>
          <w:rFonts w:ascii="Calibri" w:hAnsi="Calibri"/>
          <w:color w:val="222222"/>
          <w:sz w:val="20"/>
        </w:rPr>
        <w:t>Website: https://www.google.com  |  Target Scope: owasp.org (Public Documentation)  |  Mode: Passive Web Reconnaissance</w:t>
      </w:r>
    </w:p>
    <w:p>
      <w:pPr>
        <w:keepNext/>
        <w:spacing w:before="200" w:after="60"/>
      </w:pPr>
      <w:r>
        <w:rPr>
          <w:rFonts w:ascii="Calibri" w:hAnsi="Calibri"/>
          <w:b/>
          <w:color w:val="2B4C7E"/>
          <w:sz w:val="24"/>
        </w:rPr>
        <w:t>A. Aim</w:t>
      </w:r>
    </w:p>
    <w:p>
      <w:pPr>
        <w:spacing w:before="0" w:after="80" w:line="276" w:lineRule="auto"/>
      </w:pPr>
      <w:r>
        <w:rPr>
          <w:rFonts w:ascii="Calibri" w:hAnsi="Calibri"/>
          <w:color w:val="222222"/>
          <w:sz w:val="20"/>
        </w:rPr>
        <w:t>To perform passive reconnaissance on public domain documentation using advanced Google search operators (Google Dorking) to isolate specific indexed file formats, page titles, and URL structures without contacting the target web server.</w:t>
      </w:r>
    </w:p>
    <w:p>
      <w:pPr>
        <w:keepNext/>
        <w:spacing w:before="200" w:after="60"/>
      </w:pPr>
      <w:r>
        <w:rPr>
          <w:rFonts w:ascii="Calibri" w:hAnsi="Calibri"/>
          <w:b/>
          <w:color w:val="2B4C7E"/>
          <w:sz w:val="24"/>
        </w:rPr>
        <w:t>B. What is the Tool?</w:t>
      </w:r>
    </w:p>
    <w:p>
      <w:pPr>
        <w:spacing w:before="0" w:after="80" w:line="276" w:lineRule="auto"/>
      </w:pPr>
      <w:r>
        <w:rPr>
          <w:rFonts w:ascii="Calibri" w:hAnsi="Calibri"/>
          <w:color w:val="222222"/>
          <w:sz w:val="20"/>
        </w:rPr>
        <w:t>Google Dorking (also known as Google Hacking) is a passive reconnaissance technique that uses advanced search operators to filter and query Google's massive index of public web content. By structuring specific search parameters, security analysts can locate publicly exposed documentation, unlinked administration portals, configuration guides, and specific file types that web crawlers have indexed. Because queries are executed strictly against Google's search index servers, no packets or HTTP requests are sent to the target organization's infrastructure.</w:t>
      </w:r>
    </w:p>
    <w:p>
      <w:pPr>
        <w:keepNext/>
        <w:spacing w:before="200" w:after="60"/>
      </w:pPr>
      <w:r>
        <w:rPr>
          <w:rFonts w:ascii="Calibri" w:hAnsi="Calibri"/>
          <w:b/>
          <w:color w:val="2B4C7E"/>
          <w:sz w:val="24"/>
        </w:rPr>
        <w:t>C. Step-by-Step Procedure</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Open Google in a Browser: </w:t>
      </w:r>
      <w:r>
        <w:rPr>
          <w:rFonts w:ascii="Calibri" w:hAnsi="Calibri"/>
          <w:color w:val="222222"/>
          <w:sz w:val="20"/>
        </w:rPr>
        <w:t>Launch any standard web browser and navigate to https://www.google.com.</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Execute Domain Restriction Query: </w:t>
      </w:r>
      <w:r>
        <w:rPr>
          <w:rFonts w:ascii="Calibri" w:hAnsi="Calibri"/>
          <w:color w:val="222222"/>
          <w:sz w:val="20"/>
        </w:rPr>
        <w:t>In the search input box, enter site:owasp.org, press Enter, and confirm that all returned results originate strictly from owasp.org or its subdomains.</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Search for Specific Indexed Documents: </w:t>
      </w:r>
      <w:r>
        <w:rPr>
          <w:rFonts w:ascii="Calibri" w:hAnsi="Calibri"/>
          <w:color w:val="222222"/>
          <w:sz w:val="20"/>
        </w:rPr>
        <w:t>Enter filetype:pdf site:owasp.org cybersecurity, press Enter, and observe that Google filters the output to only publicly indexed PDF documents containing the term 'cybersecurity' on owasp.org.</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Search for Specific Page Titles: </w:t>
      </w:r>
      <w:r>
        <w:rPr>
          <w:rFonts w:ascii="Calibri" w:hAnsi="Calibri"/>
          <w:color w:val="222222"/>
          <w:sz w:val="20"/>
        </w:rPr>
        <w:t>Enter intitle:"cheat sheet" site:owasp.org, press Enter, and verify that all matching results contain the exact phrase 'cheat sheet' in their HTML title tags.</w:t>
      </w:r>
    </w:p>
    <w:p>
      <w:pPr>
        <w:spacing w:before="20" w:after="60" w:line="276" w:lineRule="auto"/>
        <w:ind w:left="288"/>
      </w:pPr>
      <w:r>
        <w:rPr>
          <w:rFonts w:ascii="Calibri" w:hAnsi="Calibri"/>
          <w:b/>
          <w:color w:val="1B365D"/>
          <w:sz w:val="20"/>
        </w:rPr>
        <w:t xml:space="preserve">5. </w:t>
      </w:r>
      <w:r>
        <w:rPr>
          <w:rFonts w:ascii="Calibri" w:hAnsi="Calibri"/>
          <w:b/>
          <w:color w:val="2C3E50"/>
          <w:sz w:val="20"/>
        </w:rPr>
        <w:t xml:space="preserve">Search for Specific URL Strings: </w:t>
      </w:r>
      <w:r>
        <w:rPr>
          <w:rFonts w:ascii="Calibri" w:hAnsi="Calibri"/>
          <w:color w:val="222222"/>
          <w:sz w:val="20"/>
        </w:rPr>
        <w:t>Enter inurl:testing-guide site:owasp.org, press Enter, and verify that returned web pages contain the substring 'testing-guide' in their URL paths.</w:t>
      </w:r>
    </w:p>
    <w:p>
      <w:pPr>
        <w:spacing w:before="20" w:after="60" w:line="276" w:lineRule="auto"/>
        <w:ind w:left="288"/>
      </w:pPr>
      <w:r>
        <w:rPr>
          <w:rFonts w:ascii="Calibri" w:hAnsi="Calibri"/>
          <w:b/>
          <w:color w:val="1B365D"/>
          <w:sz w:val="20"/>
        </w:rPr>
        <w:t xml:space="preserve">6. </w:t>
      </w:r>
      <w:r>
        <w:rPr>
          <w:rFonts w:ascii="Calibri" w:hAnsi="Calibri"/>
          <w:b/>
          <w:color w:val="2C3E50"/>
          <w:sz w:val="20"/>
        </w:rPr>
        <w:t xml:space="preserve">Experiment with Additional Advanced Operators: </w:t>
      </w:r>
      <w:r>
        <w:rPr>
          <w:rFonts w:ascii="Calibri" w:hAnsi="Calibri"/>
          <w:color w:val="222222"/>
          <w:sz w:val="20"/>
        </w:rPr>
        <w:t>Execute queries combining intext:"vulnerability" (body text search), -inurl:blog (term exclusion), "threat modeling" (exact phrase match), and (filetype:pdf OR filetype:pptx) (logical OR matching).</w:t>
      </w:r>
    </w:p>
    <w:p>
      <w:pPr>
        <w:spacing w:before="20" w:after="60" w:line="276" w:lineRule="auto"/>
        <w:ind w:left="288"/>
      </w:pPr>
      <w:r>
        <w:rPr>
          <w:rFonts w:ascii="Calibri" w:hAnsi="Calibri"/>
          <w:b/>
          <w:color w:val="1B365D"/>
          <w:sz w:val="20"/>
        </w:rPr>
        <w:t xml:space="preserve">7. </w:t>
      </w:r>
      <w:r>
        <w:rPr>
          <w:rFonts w:ascii="Calibri" w:hAnsi="Calibri"/>
          <w:b/>
          <w:color w:val="2C3E50"/>
          <w:sz w:val="20"/>
        </w:rPr>
        <w:t xml:space="preserve">Record Findings Ethically: </w:t>
      </w:r>
      <w:r>
        <w:rPr>
          <w:rFonts w:ascii="Calibri" w:hAnsi="Calibri"/>
          <w:color w:val="222222"/>
          <w:sz w:val="20"/>
        </w:rPr>
        <w:t>Document the types and structure of public documentation discovered. Do not use search operators to hunt for real credentials, sensitive personal data, or exposed third-party secrets.</w:t>
      </w:r>
    </w:p>
    <w:p>
      <w:pPr>
        <w:keepNext/>
        <w:spacing w:before="200" w:after="60"/>
      </w:pPr>
      <w:r>
        <w:rPr>
          <w:rFonts w:ascii="Calibri" w:hAnsi="Calibri"/>
          <w:b/>
          <w:color w:val="2B4C7E"/>
          <w:sz w:val="24"/>
        </w:rPr>
        <w:t>D. What to Observe</w:t>
      </w:r>
    </w:p>
    <w:p>
      <w:pPr>
        <w:spacing w:before="0" w:after="80" w:line="276" w:lineRule="auto"/>
      </w:pPr>
      <w:r>
        <w:rPr>
          <w:rFonts w:ascii="Calibri" w:hAnsi="Calibri"/>
          <w:b/>
          <w:color w:val="2C3E50"/>
          <w:sz w:val="20"/>
        </w:rPr>
        <w:t xml:space="preserve">Core Practical Operators: </w:t>
      </w:r>
      <w:r>
        <w:rPr>
          <w:rFonts w:ascii="Calibri" w:hAnsi="Calibri"/>
          <w:color w:val="222222"/>
          <w:sz w:val="20"/>
        </w:rPr>
        <w:t>The following table summarizes the primary Google search operators used during practical reconnaissance:</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3600"/>
            <w:shd w:fill="1B365D"/>
            <w:tcMar>
              <w:top w:w="100" w:type="dxa"/>
              <w:bottom w:w="100" w:type="dxa"/>
              <w:left w:w="120" w:type="dxa"/>
              <w:right w:w="120" w:type="dxa"/>
            </w:tcMar>
          </w:tcPr>
          <w:p>
            <w:pPr>
              <w:spacing w:before="0" w:after="0"/>
            </w:pPr>
            <w:r>
              <w:rPr>
                <w:rFonts w:ascii="Calibri" w:hAnsi="Calibri"/>
                <w:b/>
                <w:color w:val="FFFFFF"/>
                <w:sz w:val="19"/>
              </w:rPr>
              <w:t>Operator / Query</w:t>
            </w:r>
          </w:p>
        </w:tc>
        <w:tc>
          <w:tcPr>
            <w:tcW w:type="dxa" w:w="3168"/>
            <w:shd w:fill="1B365D"/>
            <w:tcMar>
              <w:top w:w="100" w:type="dxa"/>
              <w:bottom w:w="100" w:type="dxa"/>
              <w:left w:w="120" w:type="dxa"/>
              <w:right w:w="120" w:type="dxa"/>
            </w:tcMar>
          </w:tcPr>
          <w:p>
            <w:pPr>
              <w:spacing w:before="0" w:after="0"/>
            </w:pPr>
            <w:r>
              <w:rPr>
                <w:rFonts w:ascii="Calibri" w:hAnsi="Calibri"/>
                <w:b/>
                <w:color w:val="FFFFFF"/>
                <w:sz w:val="19"/>
              </w:rPr>
              <w:t>Purpose</w:t>
            </w:r>
          </w:p>
        </w:tc>
        <w:tc>
          <w:tcPr>
            <w:tcW w:type="dxa" w:w="3312"/>
            <w:shd w:fill="1B365D"/>
            <w:tcMar>
              <w:top w:w="100" w:type="dxa"/>
              <w:bottom w:w="100" w:type="dxa"/>
              <w:left w:w="120" w:type="dxa"/>
              <w:right w:w="120" w:type="dxa"/>
            </w:tcMar>
          </w:tcPr>
          <w:p>
            <w:pPr>
              <w:spacing w:before="0" w:after="0"/>
            </w:pPr>
            <w:r>
              <w:rPr>
                <w:rFonts w:ascii="Calibri" w:hAnsi="Calibri"/>
                <w:b/>
                <w:color w:val="FFFFFF"/>
                <w:sz w:val="19"/>
              </w:rPr>
              <w:t>Technical Observation</w:t>
            </w:r>
          </w:p>
        </w:tc>
      </w:tr>
      <w:tr>
        <w:tc>
          <w:tcPr>
            <w:tcW w:type="dxa" w:w="3600"/>
            <w:shd w:fill="FFFFFF"/>
            <w:tcMar>
              <w:top w:w="80" w:type="dxa"/>
              <w:bottom w:w="80" w:type="dxa"/>
              <w:left w:w="120" w:type="dxa"/>
              <w:right w:w="120" w:type="dxa"/>
            </w:tcMar>
          </w:tcPr>
          <w:p>
            <w:pPr>
              <w:spacing w:before="0" w:after="0"/>
            </w:pPr>
            <w:r>
              <w:rPr>
                <w:rFonts w:ascii="Consolas" w:hAnsi="Consolas"/>
                <w:b/>
                <w:color w:val="1B365D"/>
                <w:sz w:val="17"/>
              </w:rPr>
              <w:t>site:owasp.org</w:t>
            </w:r>
          </w:p>
        </w:tc>
        <w:tc>
          <w:tcPr>
            <w:tcW w:type="dxa" w:w="3168"/>
            <w:shd w:fill="FFFFFF"/>
            <w:tcMar>
              <w:top w:w="80" w:type="dxa"/>
              <w:bottom w:w="80" w:type="dxa"/>
              <w:left w:w="120" w:type="dxa"/>
              <w:right w:w="120" w:type="dxa"/>
            </w:tcMar>
          </w:tcPr>
          <w:p>
            <w:pPr>
              <w:spacing w:before="0" w:after="0"/>
            </w:pPr>
            <w:r>
              <w:rPr>
                <w:rFonts w:ascii="Calibri" w:hAnsi="Calibri"/>
                <w:color w:val="222222"/>
                <w:sz w:val="18"/>
              </w:rPr>
              <w:t>Restricts results to a particular domain</w:t>
            </w:r>
          </w:p>
        </w:tc>
        <w:tc>
          <w:tcPr>
            <w:tcW w:type="dxa" w:w="3312"/>
            <w:shd w:fill="FFFFFF"/>
            <w:tcMar>
              <w:top w:w="80" w:type="dxa"/>
              <w:bottom w:w="80" w:type="dxa"/>
              <w:left w:w="120" w:type="dxa"/>
              <w:right w:w="120" w:type="dxa"/>
            </w:tcMar>
          </w:tcPr>
          <w:p>
            <w:pPr>
              <w:spacing w:before="0" w:after="0"/>
            </w:pPr>
            <w:r>
              <w:rPr>
                <w:rFonts w:ascii="Calibri" w:hAnsi="Calibri"/>
                <w:color w:val="222222"/>
                <w:sz w:val="18"/>
              </w:rPr>
              <w:t>All returned links originate strictly from owasp.org and its subdomains, eliminating noise from external websites.</w:t>
            </w:r>
          </w:p>
        </w:tc>
      </w:tr>
      <w:tr>
        <w:tc>
          <w:tcPr>
            <w:tcW w:type="dxa" w:w="3600"/>
            <w:shd w:fill="F8FAFC"/>
            <w:tcMar>
              <w:top w:w="80" w:type="dxa"/>
              <w:bottom w:w="80" w:type="dxa"/>
              <w:left w:w="120" w:type="dxa"/>
              <w:right w:w="120" w:type="dxa"/>
            </w:tcMar>
          </w:tcPr>
          <w:p>
            <w:pPr>
              <w:spacing w:before="0" w:after="0"/>
            </w:pPr>
            <w:r>
              <w:rPr>
                <w:rFonts w:ascii="Consolas" w:hAnsi="Consolas"/>
                <w:b/>
                <w:color w:val="1B365D"/>
                <w:sz w:val="17"/>
              </w:rPr>
              <w:t>filetype:pdf site:owasp.org cybersecurity</w:t>
            </w:r>
          </w:p>
        </w:tc>
        <w:tc>
          <w:tcPr>
            <w:tcW w:type="dxa" w:w="3168"/>
            <w:shd w:fill="F8FAFC"/>
            <w:tcMar>
              <w:top w:w="80" w:type="dxa"/>
              <w:bottom w:w="80" w:type="dxa"/>
              <w:left w:w="120" w:type="dxa"/>
              <w:right w:w="120" w:type="dxa"/>
            </w:tcMar>
          </w:tcPr>
          <w:p>
            <w:pPr>
              <w:spacing w:before="0" w:after="0"/>
            </w:pPr>
            <w:r>
              <w:rPr>
                <w:rFonts w:ascii="Calibri" w:hAnsi="Calibri"/>
                <w:color w:val="222222"/>
                <w:sz w:val="18"/>
              </w:rPr>
              <w:t>Searches for indexed PDF files related to cybersecurity</w:t>
            </w:r>
          </w:p>
        </w:tc>
        <w:tc>
          <w:tcPr>
            <w:tcW w:type="dxa" w:w="3312"/>
            <w:shd w:fill="F8FAFC"/>
            <w:tcMar>
              <w:top w:w="80" w:type="dxa"/>
              <w:bottom w:w="80" w:type="dxa"/>
              <w:left w:w="120" w:type="dxa"/>
              <w:right w:w="120" w:type="dxa"/>
            </w:tcMar>
          </w:tcPr>
          <w:p>
            <w:pPr>
              <w:spacing w:before="0" w:after="0"/>
            </w:pPr>
            <w:r>
              <w:rPr>
                <w:rFonts w:ascii="Calibri" w:hAnsi="Calibri"/>
                <w:color w:val="222222"/>
                <w:sz w:val="18"/>
              </w:rPr>
              <w:t>Filters out standard HTML pages, returning only downloadable technical PDF documents indexed by Google.</w:t>
            </w:r>
          </w:p>
        </w:tc>
      </w:tr>
      <w:tr>
        <w:tc>
          <w:tcPr>
            <w:tcW w:type="dxa" w:w="3600"/>
            <w:shd w:fill="FFFFFF"/>
            <w:tcMar>
              <w:top w:w="80" w:type="dxa"/>
              <w:bottom w:w="80" w:type="dxa"/>
              <w:left w:w="120" w:type="dxa"/>
              <w:right w:w="120" w:type="dxa"/>
            </w:tcMar>
          </w:tcPr>
          <w:p>
            <w:pPr>
              <w:spacing w:before="0" w:after="0"/>
            </w:pPr>
            <w:r>
              <w:rPr>
                <w:rFonts w:ascii="Consolas" w:hAnsi="Consolas"/>
                <w:b/>
                <w:color w:val="1B365D"/>
                <w:sz w:val="17"/>
              </w:rPr>
              <w:t>intitle:"cheat sheet" site:owasp.org</w:t>
            </w:r>
          </w:p>
        </w:tc>
        <w:tc>
          <w:tcPr>
            <w:tcW w:type="dxa" w:w="3168"/>
            <w:shd w:fill="FFFFFF"/>
            <w:tcMar>
              <w:top w:w="80" w:type="dxa"/>
              <w:bottom w:w="80" w:type="dxa"/>
              <w:left w:w="120" w:type="dxa"/>
              <w:right w:w="120" w:type="dxa"/>
            </w:tcMar>
          </w:tcPr>
          <w:p>
            <w:pPr>
              <w:spacing w:before="0" w:after="0"/>
            </w:pPr>
            <w:r>
              <w:rPr>
                <w:rFonts w:ascii="Calibri" w:hAnsi="Calibri"/>
                <w:color w:val="222222"/>
                <w:sz w:val="18"/>
              </w:rPr>
              <w:t>Searches for pages with the specified phrase in their titles</w:t>
            </w:r>
          </w:p>
        </w:tc>
        <w:tc>
          <w:tcPr>
            <w:tcW w:type="dxa" w:w="3312"/>
            <w:shd w:fill="FFFFFF"/>
            <w:tcMar>
              <w:top w:w="80" w:type="dxa"/>
              <w:bottom w:w="80" w:type="dxa"/>
              <w:left w:w="120" w:type="dxa"/>
              <w:right w:w="120" w:type="dxa"/>
            </w:tcMar>
          </w:tcPr>
          <w:p>
            <w:pPr>
              <w:spacing w:before="0" w:after="0"/>
            </w:pPr>
            <w:r>
              <w:rPr>
                <w:rFonts w:ascii="Calibri" w:hAnsi="Calibri"/>
                <w:color w:val="222222"/>
                <w:sz w:val="18"/>
              </w:rPr>
              <w:t>Matches only pages where the exact phrase 'cheat sheet' appears in the HTML &lt;title&gt; tag of the document.</w:t>
            </w:r>
          </w:p>
        </w:tc>
      </w:tr>
      <w:tr>
        <w:tc>
          <w:tcPr>
            <w:tcW w:type="dxa" w:w="3600"/>
            <w:shd w:fill="F8FAFC"/>
            <w:tcMar>
              <w:top w:w="80" w:type="dxa"/>
              <w:bottom w:w="80" w:type="dxa"/>
              <w:left w:w="120" w:type="dxa"/>
              <w:right w:w="120" w:type="dxa"/>
            </w:tcMar>
          </w:tcPr>
          <w:p>
            <w:pPr>
              <w:spacing w:before="0" w:after="0"/>
            </w:pPr>
            <w:r>
              <w:rPr>
                <w:rFonts w:ascii="Consolas" w:hAnsi="Consolas"/>
                <w:b/>
                <w:color w:val="1B365D"/>
                <w:sz w:val="17"/>
              </w:rPr>
              <w:t>inurl:testing-guide site:owasp.org</w:t>
            </w:r>
          </w:p>
        </w:tc>
        <w:tc>
          <w:tcPr>
            <w:tcW w:type="dxa" w:w="3168"/>
            <w:shd w:fill="F8FAFC"/>
            <w:tcMar>
              <w:top w:w="80" w:type="dxa"/>
              <w:bottom w:w="80" w:type="dxa"/>
              <w:left w:w="120" w:type="dxa"/>
              <w:right w:w="120" w:type="dxa"/>
            </w:tcMar>
          </w:tcPr>
          <w:p>
            <w:pPr>
              <w:spacing w:before="0" w:after="0"/>
            </w:pPr>
            <w:r>
              <w:rPr>
                <w:rFonts w:ascii="Calibri" w:hAnsi="Calibri"/>
                <w:color w:val="222222"/>
                <w:sz w:val="18"/>
              </w:rPr>
              <w:t>Searches for indexed URLs containing testing-guide</w:t>
            </w:r>
          </w:p>
        </w:tc>
        <w:tc>
          <w:tcPr>
            <w:tcW w:type="dxa" w:w="3312"/>
            <w:shd w:fill="F8FAFC"/>
            <w:tcMar>
              <w:top w:w="80" w:type="dxa"/>
              <w:bottom w:w="80" w:type="dxa"/>
              <w:left w:w="120" w:type="dxa"/>
              <w:right w:w="120" w:type="dxa"/>
            </w:tcMar>
          </w:tcPr>
          <w:p>
            <w:pPr>
              <w:spacing w:before="0" w:after="0"/>
            </w:pPr>
            <w:r>
              <w:rPr>
                <w:rFonts w:ascii="Calibri" w:hAnsi="Calibri"/>
                <w:color w:val="222222"/>
                <w:sz w:val="18"/>
              </w:rPr>
              <w:t>Returns pages whose URL path contains the specific directory or file keyword 'testing-guide'.</w:t>
            </w:r>
          </w:p>
        </w:tc>
      </w:tr>
    </w:tbl>
    <w:p>
      <w:pPr>
        <w:spacing w:before="0" w:after="80"/>
      </w:pPr>
    </w:p>
    <w:p>
      <w:pPr>
        <w:spacing w:before="0" w:after="80" w:line="276" w:lineRule="auto"/>
      </w:pPr>
      <w:r>
        <w:rPr>
          <w:rFonts w:ascii="Calibri" w:hAnsi="Calibri"/>
          <w:b/>
          <w:color w:val="2C3E50"/>
          <w:sz w:val="20"/>
        </w:rPr>
        <w:t xml:space="preserve">Supplementary Search Operators: </w:t>
      </w:r>
      <w:r>
        <w:rPr>
          <w:rFonts w:ascii="Calibri" w:hAnsi="Calibri"/>
          <w:color w:val="222222"/>
          <w:sz w:val="20"/>
        </w:rPr>
        <w:t>Explanation of Additional Operators:</w:t>
      </w:r>
    </w:p>
    <w:p>
      <w:pPr>
        <w:pStyle w:val="ListBullet"/>
        <w:spacing w:before="0" w:after="50" w:line="276" w:lineRule="auto"/>
      </w:pPr>
      <w:r>
        <w:rPr>
          <w:rFonts w:ascii="Calibri" w:hAnsi="Calibri"/>
          <w:b/>
          <w:color w:val="2C3E50"/>
          <w:sz w:val="20"/>
        </w:rPr>
        <w:t xml:space="preserve">intext: — </w:t>
      </w:r>
      <w:r>
        <w:rPr>
          <w:rFonts w:ascii="Calibri" w:hAnsi="Calibri"/>
          <w:color w:val="222222"/>
          <w:sz w:val="20"/>
        </w:rPr>
        <w:t>Searches for specific keywords or phrases specifically within the visible body text of web pages, ignoring page titles and URLs.</w:t>
      </w:r>
    </w:p>
    <w:p>
      <w:pPr>
        <w:pStyle w:val="ListBullet"/>
        <w:spacing w:before="0" w:after="50" w:line="276" w:lineRule="auto"/>
      </w:pPr>
      <w:r>
        <w:rPr>
          <w:rFonts w:ascii="Calibri" w:hAnsi="Calibri"/>
          <w:b/>
          <w:color w:val="2C3E50"/>
          <w:sz w:val="20"/>
        </w:rPr>
        <w:t xml:space="preserve">- (Minus / Exclusion) — </w:t>
      </w:r>
      <w:r>
        <w:rPr>
          <w:rFonts w:ascii="Calibri" w:hAnsi="Calibri"/>
          <w:color w:val="222222"/>
          <w:sz w:val="20"/>
        </w:rPr>
        <w:t>Excludes search results that contain the designated word, phrase, or operator parameter (e.g., site:owasp.org -inurl:blog).</w:t>
      </w:r>
    </w:p>
    <w:p>
      <w:pPr>
        <w:pStyle w:val="ListBullet"/>
        <w:spacing w:before="0" w:after="50" w:line="276" w:lineRule="auto"/>
      </w:pPr>
      <w:r>
        <w:rPr>
          <w:rFonts w:ascii="Calibri" w:hAnsi="Calibri"/>
          <w:b/>
          <w:color w:val="2C3E50"/>
          <w:sz w:val="20"/>
        </w:rPr>
        <w:t xml:space="preserve">" " (Double Quotes) — </w:t>
      </w:r>
      <w:r>
        <w:rPr>
          <w:rFonts w:ascii="Calibri" w:hAnsi="Calibri"/>
          <w:color w:val="222222"/>
          <w:sz w:val="20"/>
        </w:rPr>
        <w:t>Forces Google to search for the exact phrase in the precise word order specified without synonym substitution.</w:t>
      </w:r>
    </w:p>
    <w:p>
      <w:pPr>
        <w:pStyle w:val="ListBullet"/>
        <w:spacing w:before="0" w:after="50" w:line="276" w:lineRule="auto"/>
      </w:pPr>
      <w:r>
        <w:rPr>
          <w:rFonts w:ascii="Calibri" w:hAnsi="Calibri"/>
          <w:b/>
          <w:color w:val="2C3E50"/>
          <w:sz w:val="20"/>
        </w:rPr>
        <w:t xml:space="preserve">OR (or |) — </w:t>
      </w:r>
      <w:r>
        <w:rPr>
          <w:rFonts w:ascii="Calibri" w:hAnsi="Calibri"/>
          <w:color w:val="222222"/>
          <w:sz w:val="20"/>
        </w:rPr>
        <w:t>Logical disjunction operator that returns results matching either the left operand or the right operand (e.g., filetype:pdf OR filetype:pptx).</w:t>
      </w:r>
    </w:p>
    <w:p>
      <w:pPr>
        <w:keepNext/>
        <w:spacing w:before="200" w:after="60"/>
      </w:pPr>
      <w:r>
        <w:rPr>
          <w:rFonts w:ascii="Calibri" w:hAnsi="Calibri"/>
          <w:b/>
          <w:color w:val="2B4C7E"/>
          <w:sz w:val="24"/>
        </w:rPr>
        <w:t>E. Observation — Write in the Lab Record</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6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(GOOGLE DORKING ON PUBLIC SCOPE):</w:t>
              <w:br/>
            </w:r>
            <w:r>
              <w:rPr>
                <w:rFonts w:ascii="Calibri" w:hAnsi="Calibri"/>
                <w:i w:val="0"/>
                <w:color w:val="222222"/>
                <w:sz w:val="19"/>
              </w:rPr>
              <w:t>Advanced Google search operators were applied to the public domain owasp.org to perform passive reconnaissance without generating traffic against the target's servers. The site:owasp.org query successfully restricted all results to the target domain. Combining this with filetype:pdf and the keyword cybersecurity filtered results to return only publicly indexed technical PDF files. The query intitle:"cheat sheet" isolated specific Cheat Sheet series pages containing the phrase in their HTML title tags, and inurl:testing-guide isolated the Web Security Testing Guide URL paths. All lookups were processed entirely against Google's search engine index, ensuring zero direct engagement with the target organization.</w:t>
            </w:r>
          </w:p>
        </w:tc>
      </w:tr>
    </w:tbl>
    <w:p>
      <w:pPr>
        <w:spacing w:before="0" w:after="80"/>
      </w:pPr>
    </w:p>
    <w:p>
      <w:pPr>
        <w:keepNext/>
        <w:spacing w:before="200" w:after="60"/>
      </w:pPr>
      <w:r>
        <w:rPr>
          <w:rFonts w:ascii="Calibri" w:hAnsi="Calibri"/>
          <w:b/>
          <w:color w:val="2B4C7E"/>
          <w:sz w:val="24"/>
        </w:rPr>
        <w:t>F. Result</w:t>
      </w:r>
    </w:p>
    <w:p>
      <w:pPr>
        <w:spacing w:before="0" w:after="80" w:line="276" w:lineRule="auto"/>
      </w:pPr>
      <w:r>
        <w:rPr>
          <w:rFonts w:ascii="Calibri" w:hAnsi="Calibri"/>
          <w:color w:val="222222"/>
          <w:sz w:val="20"/>
        </w:rPr>
        <w:t>Passive reconnaissance using advanced Google search operators was successfully demonstrated on public documentation, isolating targeted file types, document titles, and URL paths without sending network traffic to the target web server.</w:t>
      </w:r>
    </w:p>
    <w:p>
      <w:pPr>
        <w:keepNext/>
        <w:spacing w:before="200" w:after="60"/>
      </w:pPr>
      <w:r>
        <w:rPr>
          <w:rFonts w:ascii="Calibri" w:hAnsi="Calibri"/>
          <w:b/>
          <w:color w:val="2B4C7E"/>
          <w:sz w:val="24"/>
        </w:rPr>
        <w:t>G. Viva Questions</w:t>
      </w:r>
    </w:p>
    <w:p>
      <w:pPr>
        <w:spacing w:before="0" w:after="80" w:line="276" w:lineRule="auto"/>
      </w:pPr>
      <w:r>
        <w:rPr>
          <w:rFonts w:ascii="Calibri" w:hAnsi="Calibri"/>
          <w:b/>
          <w:color w:val="2C3E50"/>
          <w:sz w:val="20"/>
        </w:rPr>
        <w:t>1. What is Google Dorking and why is it considered a passive footprinting technique?</w:t>
        <w:br/>
      </w:r>
      <w:r>
        <w:rPr>
          <w:rFonts w:ascii="Calibri" w:hAnsi="Calibri"/>
          <w:color w:val="222222"/>
          <w:sz w:val="20"/>
        </w:rPr>
        <w:t>Answer: Google Dorking is the use of advanced search operators to filter Google's web index for specialized information. It is passive because all queries are processed solely against Google's cached index; no requests or probe packets are sent to the target web server.</w:t>
      </w:r>
    </w:p>
    <w:p>
      <w:pPr>
        <w:spacing w:before="0" w:after="80" w:line="276" w:lineRule="auto"/>
      </w:pPr>
      <w:r>
        <w:rPr>
          <w:rFonts w:ascii="Calibri" w:hAnsi="Calibri"/>
          <w:b/>
          <w:color w:val="2C3E50"/>
          <w:sz w:val="20"/>
        </w:rPr>
        <w:t>2. What is the difference between the site: operator and the inurl: operator?</w:t>
        <w:br/>
      </w:r>
      <w:r>
        <w:rPr>
          <w:rFonts w:ascii="Calibri" w:hAnsi="Calibri"/>
          <w:color w:val="222222"/>
          <w:sz w:val="20"/>
        </w:rPr>
        <w:t>Answer: site: restricts search results to a specific domain or host (e.g., site:owasp.org), whereas inurl: searches for specific keywords or file paths located anywhere within the URL string (e.g., inurl:login).</w:t>
      </w:r>
    </w:p>
    <w:p>
      <w:pPr>
        <w:spacing w:before="0" w:after="80" w:line="276" w:lineRule="auto"/>
      </w:pPr>
      <w:r>
        <w:rPr>
          <w:rFonts w:ascii="Calibri" w:hAnsi="Calibri"/>
          <w:b/>
          <w:color w:val="2C3E50"/>
          <w:sz w:val="20"/>
        </w:rPr>
        <w:t>3. How does the filetype: operator assist an ethical hacker during reconnaissance?</w:t>
        <w:br/>
      </w:r>
      <w:r>
        <w:rPr>
          <w:rFonts w:ascii="Calibri" w:hAnsi="Calibri"/>
          <w:color w:val="222222"/>
          <w:sz w:val="20"/>
        </w:rPr>
        <w:t>Answer: It enables testers to discover publicly accessible files of specific formats (such as .pdf, .docx, .xlsx, .conf, or .sql) that may contain architectural diagrams, policy documents, employee lists, or accidental metadata disclosures.</w:t>
      </w:r>
    </w:p>
    <w:p>
      <w:pPr>
        <w:spacing w:before="0" w:after="80" w:line="276" w:lineRule="auto"/>
      </w:pPr>
      <w:r>
        <w:rPr>
          <w:rFonts w:ascii="Calibri" w:hAnsi="Calibri"/>
          <w:b/>
          <w:color w:val="2C3E50"/>
          <w:sz w:val="20"/>
        </w:rPr>
        <w:t>4. How does the exclusion operator (-) improve search precision?</w:t>
        <w:br/>
      </w:r>
      <w:r>
        <w:rPr>
          <w:rFonts w:ascii="Calibri" w:hAnsi="Calibri"/>
          <w:color w:val="222222"/>
          <w:sz w:val="20"/>
        </w:rPr>
        <w:t>Answer: Placing a minus sign immediately before a term or operator excludes all pages containing that term, allowing the tester to eliminate noise (e.g., excluding common forum or blog pages with -inurl:forum).</w:t>
      </w:r>
    </w:p>
    <w:p>
      <w:pPr>
        <w:spacing w:before="0" w:after="80" w:line="276" w:lineRule="auto"/>
      </w:pPr>
      <w:r>
        <w:rPr>
          <w:rFonts w:ascii="Calibri" w:hAnsi="Calibri"/>
          <w:b/>
          <w:color w:val="2C3E50"/>
          <w:sz w:val="20"/>
        </w:rPr>
        <w:t>5. What ethical and legal boundaries must be respected when practicing Google Dorking?</w:t>
        <w:br/>
      </w:r>
      <w:r>
        <w:rPr>
          <w:rFonts w:ascii="Calibri" w:hAnsi="Calibri"/>
          <w:color w:val="222222"/>
          <w:sz w:val="20"/>
        </w:rPr>
        <w:t>Answer: Queries must be restricted to authorized targets, educational research, and legitimate public documentation. Testers must never use dorks to search for, download, or exploit private user records, unauthorized credentials, financial data, or exposed administrative portals belonging to third parties.</w:t>
      </w:r>
    </w:p>
    <w:p>
      <w:pPr>
        <w:keepNext/>
        <w:spacing w:before="200" w:after="60"/>
      </w:pPr>
      <w:r>
        <w:rPr>
          <w:rFonts w:ascii="Calibri" w:hAnsi="Calibri"/>
          <w:b/>
          <w:color w:val="2B4C7E"/>
          <w:sz w:val="24"/>
        </w:rPr>
        <w:t>H. Quick Revision</w:t>
      </w:r>
    </w:p>
    <w:p>
      <w:pPr>
        <w:pStyle w:val="ListBullet"/>
        <w:spacing w:before="0" w:after="50" w:line="276" w:lineRule="auto"/>
      </w:pPr>
      <w:r>
        <w:rPr>
          <w:rFonts w:ascii="Calibri" w:hAnsi="Calibri"/>
          <w:b/>
          <w:color w:val="2C3E50"/>
          <w:sz w:val="20"/>
        </w:rPr>
        <w:t xml:space="preserve">Google Dorking: </w:t>
      </w:r>
      <w:r>
        <w:rPr>
          <w:rFonts w:ascii="Calibri" w:hAnsi="Calibri"/>
          <w:color w:val="222222"/>
          <w:sz w:val="20"/>
        </w:rPr>
        <w:t>Querying Google's search index using specialized operators.</w:t>
      </w:r>
    </w:p>
    <w:p>
      <w:pPr>
        <w:pStyle w:val="ListBullet"/>
        <w:spacing w:before="0" w:after="50" w:line="276" w:lineRule="auto"/>
      </w:pPr>
      <w:r>
        <w:rPr>
          <w:rFonts w:ascii="Calibri" w:hAnsi="Calibri"/>
          <w:b/>
          <w:color w:val="2C3E50"/>
          <w:sz w:val="20"/>
        </w:rPr>
        <w:t xml:space="preserve">site: </w:t>
      </w:r>
      <w:r>
        <w:rPr>
          <w:rFonts w:ascii="Calibri" w:hAnsi="Calibri"/>
          <w:color w:val="222222"/>
          <w:sz w:val="20"/>
        </w:rPr>
        <w:t>Limits results to a specific domain (site:domain.com).</w:t>
      </w:r>
    </w:p>
    <w:p>
      <w:pPr>
        <w:pStyle w:val="ListBullet"/>
        <w:spacing w:before="0" w:after="50" w:line="276" w:lineRule="auto"/>
      </w:pPr>
      <w:r>
        <w:rPr>
          <w:rFonts w:ascii="Calibri" w:hAnsi="Calibri"/>
          <w:b/>
          <w:color w:val="2C3E50"/>
          <w:sz w:val="20"/>
        </w:rPr>
        <w:t xml:space="preserve">filetype: </w:t>
      </w:r>
      <w:r>
        <w:rPr>
          <w:rFonts w:ascii="Calibri" w:hAnsi="Calibri"/>
          <w:color w:val="222222"/>
          <w:sz w:val="20"/>
        </w:rPr>
        <w:t>Limits results to a specific file extension (pdf, docx, xlsx, conf).</w:t>
      </w:r>
    </w:p>
    <w:p>
      <w:pPr>
        <w:pStyle w:val="ListBullet"/>
        <w:spacing w:before="0" w:after="50" w:line="276" w:lineRule="auto"/>
      </w:pPr>
      <w:r>
        <w:rPr>
          <w:rFonts w:ascii="Calibri" w:hAnsi="Calibri"/>
          <w:b/>
          <w:color w:val="2C3E50"/>
          <w:sz w:val="20"/>
        </w:rPr>
        <w:t xml:space="preserve">intitle: </w:t>
      </w:r>
      <w:r>
        <w:rPr>
          <w:rFonts w:ascii="Calibri" w:hAnsi="Calibri"/>
          <w:color w:val="222222"/>
          <w:sz w:val="20"/>
        </w:rPr>
        <w:t>Matches keywords inside the HTML &lt;title&gt; tag.</w:t>
      </w:r>
    </w:p>
    <w:p>
      <w:pPr>
        <w:pStyle w:val="ListBullet"/>
        <w:spacing w:before="0" w:after="50" w:line="276" w:lineRule="auto"/>
      </w:pPr>
      <w:r>
        <w:rPr>
          <w:rFonts w:ascii="Calibri" w:hAnsi="Calibri"/>
          <w:b/>
          <w:color w:val="2C3E50"/>
          <w:sz w:val="20"/>
        </w:rPr>
        <w:t xml:space="preserve">inurl: </w:t>
      </w:r>
      <w:r>
        <w:rPr>
          <w:rFonts w:ascii="Calibri" w:hAnsi="Calibri"/>
          <w:color w:val="222222"/>
          <w:sz w:val="20"/>
        </w:rPr>
        <w:t>Matches keywords inside the web page URL path.</w:t>
      </w:r>
    </w:p>
    <w:p>
      <w:pPr>
        <w:pStyle w:val="ListBullet"/>
        <w:spacing w:before="0" w:after="50" w:line="276" w:lineRule="auto"/>
      </w:pPr>
      <w:r>
        <w:rPr>
          <w:rFonts w:ascii="Calibri" w:hAnsi="Calibri"/>
          <w:b/>
          <w:color w:val="2C3E50"/>
          <w:sz w:val="20"/>
        </w:rPr>
        <w:t xml:space="preserve">intext: </w:t>
      </w:r>
      <w:r>
        <w:rPr>
          <w:rFonts w:ascii="Calibri" w:hAnsi="Calibri"/>
          <w:color w:val="222222"/>
          <w:sz w:val="20"/>
        </w:rPr>
        <w:t>Matches keywords inside the visible page body text.</w:t>
      </w:r>
    </w:p>
    <w:p>
      <w:pPr>
        <w:pStyle w:val="ListBullet"/>
        <w:spacing w:before="0" w:after="50" w:line="276" w:lineRule="auto"/>
      </w:pPr>
      <w:r>
        <w:rPr>
          <w:rFonts w:ascii="Calibri" w:hAnsi="Calibri"/>
          <w:b/>
          <w:color w:val="2C3E50"/>
          <w:sz w:val="20"/>
        </w:rPr>
        <w:t xml:space="preserve">- (Minus): </w:t>
      </w:r>
      <w:r>
        <w:rPr>
          <w:rFonts w:ascii="Calibri" w:hAnsi="Calibri"/>
          <w:color w:val="222222"/>
          <w:sz w:val="20"/>
        </w:rPr>
        <w:t>Excludes pages containing the specified term or filter.</w:t>
      </w:r>
    </w:p>
    <w:p>
      <w:pPr>
        <w:pStyle w:val="ListBullet"/>
        <w:spacing w:before="0" w:after="50" w:line="276" w:lineRule="auto"/>
      </w:pPr>
      <w:r>
        <w:rPr>
          <w:rFonts w:ascii="Calibri" w:hAnsi="Calibri"/>
          <w:b/>
          <w:color w:val="2C3E50"/>
          <w:sz w:val="20"/>
        </w:rPr>
        <w:t xml:space="preserve">" " (Quotes): </w:t>
      </w:r>
      <w:r>
        <w:rPr>
          <w:rFonts w:ascii="Calibri" w:hAnsi="Calibri"/>
          <w:color w:val="222222"/>
          <w:sz w:val="20"/>
        </w:rPr>
        <w:t>Enforces strict, exact-phrase matching.</w:t>
      </w:r>
    </w:p>
    <w:p>
      <w:pPr>
        <w:pStyle w:val="ListBullet"/>
        <w:spacing w:before="0" w:after="50" w:line="276" w:lineRule="auto"/>
      </w:pPr>
      <w:r>
        <w:rPr>
          <w:rFonts w:ascii="Calibri" w:hAnsi="Calibri"/>
          <w:b/>
          <w:color w:val="2C3E50"/>
          <w:sz w:val="20"/>
        </w:rPr>
        <w:t xml:space="preserve">OR: </w:t>
      </w:r>
      <w:r>
        <w:rPr>
          <w:rFonts w:ascii="Calibri" w:hAnsi="Calibri"/>
          <w:color w:val="222222"/>
          <w:sz w:val="20"/>
        </w:rPr>
        <w:t>Matches either of the alternate query terms.</w:t>
      </w:r>
    </w:p>
    <w:p>
      <w:pPr>
        <w:pStyle w:val="ListBullet"/>
        <w:spacing w:before="0" w:after="50" w:line="276" w:lineRule="auto"/>
      </w:pPr>
      <w:r>
        <w:rPr>
          <w:rFonts w:ascii="Calibri" w:hAnsi="Calibri"/>
          <w:b/>
          <w:color w:val="2C3E50"/>
          <w:sz w:val="20"/>
        </w:rPr>
        <w:t xml:space="preserve">Ethical Scope: </w:t>
      </w:r>
      <w:r>
        <w:rPr>
          <w:rFonts w:ascii="Calibri" w:hAnsi="Calibri"/>
          <w:color w:val="222222"/>
          <w:sz w:val="20"/>
        </w:rPr>
        <w:t>Queries must target legitimate public security documentation, never sensitive private data.</w:t>
      </w:r>
    </w:p>
    <w:p>
      <w:r>
        <w:br w:type="page"/>
      </w:r>
    </w:p>
    <w:p>
      <w:pPr>
        <w:keepNext/>
        <w:spacing w:before="280" w:after="80"/>
      </w:pPr>
      <w:r>
        <w:rPr>
          <w:rFonts w:ascii="Calibri" w:hAnsi="Calibri"/>
          <w:b/>
          <w:color w:val="1B365D"/>
          <w:sz w:val="30"/>
        </w:rPr>
        <w:t>4. Tool 4: Nessus Essentials (Automated Vulnerability Assessment)</w:t>
      </w:r>
    </w:p>
    <w:p>
      <w:pPr>
        <w:spacing w:before="0" w:after="80" w:line="276" w:lineRule="auto"/>
      </w:pPr>
      <w:r>
        <w:rPr>
          <w:rFonts w:ascii="Calibri" w:hAnsi="Calibri"/>
          <w:b/>
          <w:color w:val="2C3E50"/>
          <w:sz w:val="20"/>
        </w:rPr>
        <w:t xml:space="preserve">Reference Context: </w:t>
      </w:r>
      <w:r>
        <w:rPr>
          <w:rFonts w:ascii="Calibri" w:hAnsi="Calibri"/>
          <w:color w:val="222222"/>
          <w:sz w:val="20"/>
        </w:rPr>
        <w:t>Local Access URL: https://localhost:8834  |  Target Scope: Authorized Lab Target (DVWA / Metasploitable)  |  Mode: Automated Vulnerability Assessment</w:t>
      </w:r>
    </w:p>
    <w:p>
      <w:pPr>
        <w:keepNext/>
        <w:spacing w:before="200" w:after="60"/>
      </w:pPr>
      <w:r>
        <w:rPr>
          <w:rFonts w:ascii="Calibri" w:hAnsi="Calibri"/>
          <w:b/>
          <w:color w:val="2B4C7E"/>
          <w:sz w:val="24"/>
        </w:rPr>
        <w:t>A. Aim</w:t>
      </w:r>
    </w:p>
    <w:p>
      <w:pPr>
        <w:spacing w:before="0" w:after="80" w:line="276" w:lineRule="auto"/>
      </w:pPr>
      <w:r>
        <w:rPr>
          <w:rFonts w:ascii="Calibri" w:hAnsi="Calibri"/>
          <w:color w:val="222222"/>
          <w:sz w:val="20"/>
        </w:rPr>
        <w:t>To perform an automated vulnerability assessment on an authorized target host using Nessus Essentials, categorize identified security weaknesses by severity, and evaluate associated CVE references and remediation measures.</w:t>
      </w:r>
    </w:p>
    <w:p>
      <w:pPr>
        <w:keepNext/>
        <w:spacing w:before="200" w:after="60"/>
      </w:pPr>
      <w:r>
        <w:rPr>
          <w:rFonts w:ascii="Calibri" w:hAnsi="Calibri"/>
          <w:b/>
          <w:color w:val="2B4C7E"/>
          <w:sz w:val="24"/>
        </w:rPr>
        <w:t>B. What is the Tool?</w:t>
      </w:r>
    </w:p>
    <w:p>
      <w:pPr>
        <w:spacing w:before="0" w:after="80" w:line="276" w:lineRule="auto"/>
      </w:pPr>
      <w:r>
        <w:rPr>
          <w:rFonts w:ascii="Calibri" w:hAnsi="Calibri"/>
          <w:color w:val="222222"/>
          <w:sz w:val="20"/>
        </w:rPr>
        <w:t>Nessus Essentials is a free, entry-level automated vulnerability scanner developed by Tenable that allows security professionals and students to audit up to 16 IP addresses. It operates by scanning target systems across thousands of modular vulnerability check scripts known as plugins, evaluating network services for missing security patches, dangerous default configurations, weak credentials, and compliance issues. Nessus runs locally as a background operating system service and is accessed and controlled via a web browser interface at https://localhost:8834.</w:t>
      </w:r>
    </w:p>
    <w:p>
      <w:pPr>
        <w:keepNext/>
        <w:spacing w:before="200" w:after="60"/>
      </w:pPr>
      <w:r>
        <w:rPr>
          <w:rFonts w:ascii="Calibri" w:hAnsi="Calibri"/>
          <w:b/>
          <w:color w:val="2B4C7E"/>
          <w:sz w:val="24"/>
        </w:rPr>
        <w:t>C. Step-by-Step Procedure</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Open Nessus in the Browser: </w:t>
      </w:r>
      <w:r>
        <w:rPr>
          <w:rFonts w:ascii="Calibri" w:hAnsi="Calibri"/>
          <w:color w:val="222222"/>
          <w:sz w:val="20"/>
        </w:rPr>
        <w:t>Verify that the Tenable Nessus service is running locally (net start "Tenable Nessus"). Open a browser and navigate to https://localhost:8834.</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Accept Certificate Warning: </w:t>
      </w:r>
      <w:r>
        <w:rPr>
          <w:rFonts w:ascii="Calibri" w:hAnsi="Calibri"/>
          <w:color w:val="222222"/>
          <w:sz w:val="20"/>
        </w:rPr>
        <w:t>If prompted with a self-signed SSL certificate warning, click Advanced and proceed to localhost.</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Sign In: </w:t>
      </w:r>
      <w:r>
        <w:rPr>
          <w:rFonts w:ascii="Calibri" w:hAnsi="Calibri"/>
          <w:color w:val="222222"/>
          <w:sz w:val="20"/>
        </w:rPr>
        <w:t>Enter the supplied lab login username and password, then click Sign In. (Do not write down or commit passwords).</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Open My Scans: </w:t>
      </w:r>
      <w:r>
        <w:rPr>
          <w:rFonts w:ascii="Calibri" w:hAnsi="Calibri"/>
          <w:color w:val="222222"/>
          <w:sz w:val="20"/>
        </w:rPr>
        <w:t>In the left-hand navigation pane under Scans, click on My Scans.</w:t>
      </w:r>
    </w:p>
    <w:p>
      <w:pPr>
        <w:spacing w:before="20" w:after="60" w:line="276" w:lineRule="auto"/>
        <w:ind w:left="288"/>
      </w:pPr>
      <w:r>
        <w:rPr>
          <w:rFonts w:ascii="Calibri" w:hAnsi="Calibri"/>
          <w:b/>
          <w:color w:val="1B365D"/>
          <w:sz w:val="20"/>
        </w:rPr>
        <w:t xml:space="preserve">5. </w:t>
      </w:r>
      <w:r>
        <w:rPr>
          <w:rFonts w:ascii="Calibri" w:hAnsi="Calibri"/>
          <w:b/>
          <w:color w:val="2C3E50"/>
          <w:sz w:val="20"/>
        </w:rPr>
        <w:t xml:space="preserve">Create a New Scan: </w:t>
      </w:r>
      <w:r>
        <w:rPr>
          <w:rFonts w:ascii="Calibri" w:hAnsi="Calibri"/>
          <w:color w:val="222222"/>
          <w:sz w:val="20"/>
        </w:rPr>
        <w:t>In the upper-right corner of the interface, click the blue New Scan button.</w:t>
      </w:r>
    </w:p>
    <w:p>
      <w:pPr>
        <w:spacing w:before="20" w:after="60" w:line="276" w:lineRule="auto"/>
        <w:ind w:left="288"/>
      </w:pPr>
      <w:r>
        <w:rPr>
          <w:rFonts w:ascii="Calibri" w:hAnsi="Calibri"/>
          <w:b/>
          <w:color w:val="1B365D"/>
          <w:sz w:val="20"/>
        </w:rPr>
        <w:t xml:space="preserve">6. </w:t>
      </w:r>
      <w:r>
        <w:rPr>
          <w:rFonts w:ascii="Calibri" w:hAnsi="Calibri"/>
          <w:b/>
          <w:color w:val="2C3E50"/>
          <w:sz w:val="20"/>
        </w:rPr>
        <w:t xml:space="preserve">Choose Scan Template: </w:t>
      </w:r>
      <w:r>
        <w:rPr>
          <w:rFonts w:ascii="Calibri" w:hAnsi="Calibri"/>
          <w:color w:val="222222"/>
          <w:sz w:val="20"/>
        </w:rPr>
        <w:t>From the scan template library, choose Basic Network Scan (a full-system scan suitable for all hosts).</w:t>
      </w:r>
    </w:p>
    <w:p>
      <w:pPr>
        <w:spacing w:before="20" w:after="60" w:line="276" w:lineRule="auto"/>
        <w:ind w:left="288"/>
      </w:pPr>
      <w:r>
        <w:rPr>
          <w:rFonts w:ascii="Calibri" w:hAnsi="Calibri"/>
          <w:b/>
          <w:color w:val="1B365D"/>
          <w:sz w:val="20"/>
        </w:rPr>
        <w:t xml:space="preserve">7. </w:t>
      </w:r>
      <w:r>
        <w:rPr>
          <w:rFonts w:ascii="Calibri" w:hAnsi="Calibri"/>
          <w:b/>
          <w:color w:val="2C3E50"/>
          <w:sz w:val="20"/>
        </w:rPr>
        <w:t xml:space="preserve">Enter Scan Name: </w:t>
      </w:r>
      <w:r>
        <w:rPr>
          <w:rFonts w:ascii="Calibri" w:hAnsi="Calibri"/>
          <w:color w:val="222222"/>
          <w:sz w:val="20"/>
        </w:rPr>
        <w:t>Enter a descriptive name such as Lab Vulnerability Assessment.</w:t>
      </w:r>
    </w:p>
    <w:p>
      <w:pPr>
        <w:spacing w:before="20" w:after="60" w:line="276" w:lineRule="auto"/>
        <w:ind w:left="288"/>
      </w:pPr>
      <w:r>
        <w:rPr>
          <w:rFonts w:ascii="Calibri" w:hAnsi="Calibri"/>
          <w:b/>
          <w:color w:val="1B365D"/>
          <w:sz w:val="20"/>
        </w:rPr>
        <w:t xml:space="preserve">8. </w:t>
      </w:r>
      <w:r>
        <w:rPr>
          <w:rFonts w:ascii="Calibri" w:hAnsi="Calibri"/>
          <w:b/>
          <w:color w:val="2C3E50"/>
          <w:sz w:val="20"/>
        </w:rPr>
        <w:t xml:space="preserve">Select Destination Folder: </w:t>
      </w:r>
      <w:r>
        <w:rPr>
          <w:rFonts w:ascii="Calibri" w:hAnsi="Calibri"/>
          <w:color w:val="222222"/>
          <w:sz w:val="20"/>
        </w:rPr>
        <w:t>Confirm the folder selection is set to My Scans.</w:t>
      </w:r>
    </w:p>
    <w:p>
      <w:pPr>
        <w:spacing w:before="20" w:after="60" w:line="276" w:lineRule="auto"/>
        <w:ind w:left="288"/>
      </w:pPr>
      <w:r>
        <w:rPr>
          <w:rFonts w:ascii="Calibri" w:hAnsi="Calibri"/>
          <w:b/>
          <w:color w:val="1B365D"/>
          <w:sz w:val="20"/>
        </w:rPr>
        <w:t xml:space="preserve">9. </w:t>
      </w:r>
      <w:r>
        <w:rPr>
          <w:rFonts w:ascii="Calibri" w:hAnsi="Calibri"/>
          <w:b/>
          <w:color w:val="2C3E50"/>
          <w:sz w:val="20"/>
        </w:rPr>
        <w:t xml:space="preserve">Enter Authorized Target IP: </w:t>
      </w:r>
      <w:r>
        <w:rPr>
          <w:rFonts w:ascii="Calibri" w:hAnsi="Calibri"/>
          <w:color w:val="222222"/>
          <w:sz w:val="20"/>
        </w:rPr>
        <w:t>In the Targets field, enter the confirmed IP address of an authorized lab target (such as a designated DVWA or Metasploitable VM). Do not scan arbitrary or public IP addresses.</w:t>
      </w:r>
    </w:p>
    <w:p>
      <w:pPr>
        <w:spacing w:before="20" w:after="60" w:line="276" w:lineRule="auto"/>
        <w:ind w:left="288"/>
      </w:pPr>
      <w:r>
        <w:rPr>
          <w:rFonts w:ascii="Calibri" w:hAnsi="Calibri"/>
          <w:b/>
          <w:color w:val="1B365D"/>
          <w:sz w:val="20"/>
        </w:rPr>
        <w:t xml:space="preserve">10. </w:t>
      </w:r>
      <w:r>
        <w:rPr>
          <w:rFonts w:ascii="Calibri" w:hAnsi="Calibri"/>
          <w:b/>
          <w:color w:val="2C3E50"/>
          <w:sz w:val="20"/>
        </w:rPr>
        <w:t xml:space="preserve">Save Scan Configuration: </w:t>
      </w:r>
      <w:r>
        <w:rPr>
          <w:rFonts w:ascii="Calibri" w:hAnsi="Calibri"/>
          <w:color w:val="222222"/>
          <w:sz w:val="20"/>
        </w:rPr>
        <w:t>Click Save at the bottom of the page to store the configured scan.</w:t>
      </w:r>
    </w:p>
    <w:p>
      <w:pPr>
        <w:spacing w:before="20" w:after="60" w:line="276" w:lineRule="auto"/>
        <w:ind w:left="288"/>
      </w:pPr>
      <w:r>
        <w:rPr>
          <w:rFonts w:ascii="Calibri" w:hAnsi="Calibri"/>
          <w:b/>
          <w:color w:val="1B365D"/>
          <w:sz w:val="20"/>
        </w:rPr>
        <w:t xml:space="preserve">11. </w:t>
      </w:r>
      <w:r>
        <w:rPr>
          <w:rFonts w:ascii="Calibri" w:hAnsi="Calibri"/>
          <w:b/>
          <w:color w:val="2C3E50"/>
          <w:sz w:val="20"/>
        </w:rPr>
        <w:t xml:space="preserve">Launch the Scan: </w:t>
      </w:r>
      <w:r>
        <w:rPr>
          <w:rFonts w:ascii="Calibri" w:hAnsi="Calibri"/>
          <w:color w:val="222222"/>
          <w:sz w:val="20"/>
        </w:rPr>
        <w:t>Return to My Scans, locate the saved scan, and click the green Play / Launch icon beside it.</w:t>
      </w:r>
    </w:p>
    <w:p>
      <w:pPr>
        <w:spacing w:before="20" w:after="60" w:line="276" w:lineRule="auto"/>
        <w:ind w:left="288"/>
      </w:pPr>
      <w:r>
        <w:rPr>
          <w:rFonts w:ascii="Calibri" w:hAnsi="Calibri"/>
          <w:b/>
          <w:color w:val="1B365D"/>
          <w:sz w:val="20"/>
        </w:rPr>
        <w:t xml:space="preserve">12. </w:t>
      </w:r>
      <w:r>
        <w:rPr>
          <w:rFonts w:ascii="Calibri" w:hAnsi="Calibri"/>
          <w:b/>
          <w:color w:val="2C3E50"/>
          <w:sz w:val="20"/>
        </w:rPr>
        <w:t xml:space="preserve">Wait for Completion: </w:t>
      </w:r>
      <w:r>
        <w:rPr>
          <w:rFonts w:ascii="Calibri" w:hAnsi="Calibri"/>
          <w:color w:val="222222"/>
          <w:sz w:val="20"/>
        </w:rPr>
        <w:t>Monitor progress until the scan finishes execution (indicated by a green checkmark or completed status).</w:t>
      </w:r>
    </w:p>
    <w:p>
      <w:pPr>
        <w:spacing w:before="20" w:after="60" w:line="276" w:lineRule="auto"/>
        <w:ind w:left="288"/>
      </w:pPr>
      <w:r>
        <w:rPr>
          <w:rFonts w:ascii="Calibri" w:hAnsi="Calibri"/>
          <w:b/>
          <w:color w:val="1B365D"/>
          <w:sz w:val="20"/>
        </w:rPr>
        <w:t xml:space="preserve">13. </w:t>
      </w:r>
      <w:r>
        <w:rPr>
          <w:rFonts w:ascii="Calibri" w:hAnsi="Calibri"/>
          <w:b/>
          <w:color w:val="2C3E50"/>
          <w:sz w:val="20"/>
        </w:rPr>
        <w:t xml:space="preserve">Open Completed Scan: </w:t>
      </w:r>
      <w:r>
        <w:rPr>
          <w:rFonts w:ascii="Calibri" w:hAnsi="Calibri"/>
          <w:color w:val="222222"/>
          <w:sz w:val="20"/>
        </w:rPr>
        <w:t>Click on the scan name to inspect the Hosts tab, Vulnerabilities tab, and available scan details.</w:t>
      </w:r>
    </w:p>
    <w:p>
      <w:pPr>
        <w:spacing w:before="20" w:after="60" w:line="276" w:lineRule="auto"/>
        <w:ind w:left="288"/>
      </w:pPr>
      <w:r>
        <w:rPr>
          <w:rFonts w:ascii="Calibri" w:hAnsi="Calibri"/>
          <w:b/>
          <w:color w:val="1B365D"/>
          <w:sz w:val="20"/>
        </w:rPr>
        <w:t xml:space="preserve">14. </w:t>
      </w:r>
      <w:r>
        <w:rPr>
          <w:rFonts w:ascii="Calibri" w:hAnsi="Calibri"/>
          <w:b/>
          <w:color w:val="2C3E50"/>
          <w:sz w:val="20"/>
        </w:rPr>
        <w:t xml:space="preserve">Examine Severity Distribution: </w:t>
      </w:r>
      <w:r>
        <w:rPr>
          <w:rFonts w:ascii="Calibri" w:hAnsi="Calibri"/>
          <w:color w:val="222222"/>
          <w:sz w:val="20"/>
        </w:rPr>
        <w:t>Review the reported findings categorized across the five severity levels: Critical, High, Medium, Low, and Info.</w:t>
      </w:r>
    </w:p>
    <w:p>
      <w:pPr>
        <w:spacing w:before="20" w:after="60" w:line="276" w:lineRule="auto"/>
        <w:ind w:left="288"/>
      </w:pPr>
      <w:r>
        <w:rPr>
          <w:rFonts w:ascii="Calibri" w:hAnsi="Calibri"/>
          <w:b/>
          <w:color w:val="1B365D"/>
          <w:sz w:val="20"/>
        </w:rPr>
        <w:t xml:space="preserve">15. </w:t>
      </w:r>
      <w:r>
        <w:rPr>
          <w:rFonts w:ascii="Calibri" w:hAnsi="Calibri"/>
          <w:b/>
          <w:color w:val="2C3E50"/>
          <w:sz w:val="20"/>
        </w:rPr>
        <w:t xml:space="preserve">Inspect Finding Details &amp; CVE References: </w:t>
      </w:r>
      <w:r>
        <w:rPr>
          <w:rFonts w:ascii="Calibri" w:hAnsi="Calibri"/>
          <w:color w:val="222222"/>
          <w:sz w:val="20"/>
        </w:rPr>
        <w:t>Click on an identified finding (e.g., Critical or High item) to review its Description, Evidence/Plugin Output, Solution, Plugin Details, and CVE references.</w:t>
      </w:r>
    </w:p>
    <w:p>
      <w:pPr>
        <w:spacing w:before="20" w:after="60" w:line="276" w:lineRule="auto"/>
        <w:ind w:left="288"/>
      </w:pPr>
      <w:r>
        <w:rPr>
          <w:rFonts w:ascii="Calibri" w:hAnsi="Calibri"/>
          <w:b/>
          <w:color w:val="1B365D"/>
          <w:sz w:val="20"/>
        </w:rPr>
        <w:t xml:space="preserve">16. </w:t>
      </w:r>
      <w:r>
        <w:rPr>
          <w:rFonts w:ascii="Calibri" w:hAnsi="Calibri"/>
          <w:b/>
          <w:color w:val="2C3E50"/>
          <w:sz w:val="20"/>
        </w:rPr>
        <w:t xml:space="preserve">Research CVE &amp; Export Report: </w:t>
      </w:r>
      <w:r>
        <w:rPr>
          <w:rFonts w:ascii="Calibri" w:hAnsi="Calibri"/>
          <w:color w:val="222222"/>
          <w:sz w:val="20"/>
        </w:rPr>
        <w:t>Research any reported CVE on cve.org or nvd.nist.gov to inspect CVSS metrics and remediation guidance. Use Export (if available) to save the report in HTML, PDF, or CSV format.</w:t>
      </w:r>
    </w:p>
    <w:p>
      <w:pPr>
        <w:keepNext/>
        <w:spacing w:before="200" w:after="60"/>
      </w:pPr>
      <w:r>
        <w:rPr>
          <w:rFonts w:ascii="Calibri" w:hAnsi="Calibri"/>
          <w:b/>
          <w:color w:val="2B4C7E"/>
          <w:sz w:val="24"/>
        </w:rPr>
        <w:t>D. What to Observe</w:t>
      </w:r>
    </w:p>
    <w:p>
      <w:pPr>
        <w:pStyle w:val="ListBullet"/>
        <w:spacing w:before="0" w:after="50" w:line="276" w:lineRule="auto"/>
      </w:pPr>
      <w:r>
        <w:rPr>
          <w:rFonts w:ascii="Calibri" w:hAnsi="Calibri"/>
          <w:b/>
          <w:color w:val="2C3E50"/>
          <w:sz w:val="20"/>
        </w:rPr>
        <w:t xml:space="preserve">Vulnerability Assessment (VA): </w:t>
      </w:r>
      <w:r>
        <w:rPr>
          <w:rFonts w:ascii="Calibri" w:hAnsi="Calibri"/>
          <w:color w:val="222222"/>
          <w:sz w:val="20"/>
        </w:rPr>
        <w:t>The automated, systematic process of identifying, cataloguing, and prioritizing security weaknesses in computing assets without actively weaponizing them.</w:t>
      </w:r>
    </w:p>
    <w:p>
      <w:pPr>
        <w:pStyle w:val="ListBullet"/>
        <w:spacing w:before="0" w:after="50" w:line="276" w:lineRule="auto"/>
      </w:pPr>
      <w:r>
        <w:rPr>
          <w:rFonts w:ascii="Calibri" w:hAnsi="Calibri"/>
          <w:b/>
          <w:color w:val="2C3E50"/>
          <w:sz w:val="20"/>
        </w:rPr>
        <w:t xml:space="preserve">Basic Network Scan: </w:t>
      </w:r>
      <w:r>
        <w:rPr>
          <w:rFonts w:ascii="Calibri" w:hAnsi="Calibri"/>
          <w:color w:val="222222"/>
          <w:sz w:val="20"/>
        </w:rPr>
        <w:t>A full-system Nessus scanning template that inspects open ports, running services, missing OS patches, misconfigurations, and known application vulnerabilities.</w:t>
      </w:r>
    </w:p>
    <w:p>
      <w:pPr>
        <w:pStyle w:val="ListBullet"/>
        <w:spacing w:before="0" w:after="50" w:line="276" w:lineRule="auto"/>
      </w:pPr>
      <w:r>
        <w:rPr>
          <w:rFonts w:ascii="Calibri" w:hAnsi="Calibri"/>
          <w:b/>
          <w:color w:val="2C3E50"/>
          <w:sz w:val="20"/>
        </w:rPr>
        <w:t xml:space="preserve">Nessus Plugin: </w:t>
      </w:r>
      <w:r>
        <w:rPr>
          <w:rFonts w:ascii="Calibri" w:hAnsi="Calibri"/>
          <w:color w:val="222222"/>
          <w:sz w:val="20"/>
        </w:rPr>
        <w:t>An individual, modular test script written in Tenable's NASL (Nessus Attack Scripting Language) designed to check for one specific vulnerability, software version, or configuration flaw.</w:t>
      </w:r>
    </w:p>
    <w:p>
      <w:pPr>
        <w:pStyle w:val="ListBullet"/>
        <w:spacing w:before="0" w:after="50" w:line="276" w:lineRule="auto"/>
      </w:pPr>
      <w:r>
        <w:rPr>
          <w:rFonts w:ascii="Calibri" w:hAnsi="Calibri"/>
          <w:b/>
          <w:color w:val="2C3E50"/>
          <w:sz w:val="20"/>
        </w:rPr>
        <w:t xml:space="preserve">CVE: </w:t>
      </w:r>
      <w:r>
        <w:rPr>
          <w:rFonts w:ascii="Calibri" w:hAnsi="Calibri"/>
          <w:color w:val="222222"/>
          <w:sz w:val="20"/>
        </w:rPr>
        <w:t>Common Vulnerabilities and Exposures; a standardized, globally unique alphanumeric identifier (e.g., CVE-2021-34527) assigned to a publicly known security flaw.</w:t>
      </w:r>
    </w:p>
    <w:p>
      <w:pPr>
        <w:pStyle w:val="ListBullet"/>
        <w:spacing w:before="0" w:after="50" w:line="276" w:lineRule="auto"/>
      </w:pPr>
      <w:r>
        <w:rPr>
          <w:rFonts w:ascii="Calibri" w:hAnsi="Calibri"/>
          <w:b/>
          <w:color w:val="2C3E50"/>
          <w:sz w:val="20"/>
        </w:rPr>
        <w:t xml:space="preserve">Remediation: </w:t>
      </w:r>
      <w:r>
        <w:rPr>
          <w:rFonts w:ascii="Calibri" w:hAnsi="Calibri"/>
          <w:color w:val="222222"/>
          <w:sz w:val="20"/>
        </w:rPr>
        <w:t>The prescribed corrective action (such as applying a software patch, updating firmware, or modifying configuration settings) to fix an identified vulnerability.</w:t>
      </w:r>
    </w:p>
    <w:p>
      <w:pPr>
        <w:pStyle w:val="ListBullet"/>
        <w:spacing w:before="0" w:after="50" w:line="276" w:lineRule="auto"/>
      </w:pPr>
      <w:r>
        <w:rPr>
          <w:rFonts w:ascii="Calibri" w:hAnsi="Calibri"/>
          <w:b/>
          <w:color w:val="2C3E50"/>
          <w:sz w:val="20"/>
        </w:rPr>
        <w:t xml:space="preserve">False Positive: </w:t>
      </w:r>
      <w:r>
        <w:rPr>
          <w:rFonts w:ascii="Calibri" w:hAnsi="Calibri"/>
          <w:color w:val="222222"/>
          <w:sz w:val="20"/>
        </w:rPr>
        <w:t>An incorrect scan finding where a vulnerability scanner reports a security flaw that does not actually exist or is not exploitable in the target's current configuration.</w:t>
      </w:r>
    </w:p>
    <w:p>
      <w:pPr>
        <w:keepNext/>
        <w:spacing w:before="140" w:after="40"/>
      </w:pPr>
      <w:r>
        <w:rPr>
          <w:rFonts w:ascii="Calibri" w:hAnsi="Calibri"/>
          <w:b/>
          <w:color w:val="2C3E50"/>
          <w:sz w:val="22"/>
        </w:rPr>
        <w:t>Nessus Severity Levels Table</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016"/>
            <w:shd w:fill="1B365D"/>
            <w:tcMar>
              <w:top w:w="100" w:type="dxa"/>
              <w:bottom w:w="100" w:type="dxa"/>
              <w:left w:w="100" w:type="dxa"/>
              <w:right w:w="100" w:type="dxa"/>
            </w:tcMar>
          </w:tcPr>
          <w:p>
            <w:pPr>
              <w:spacing w:before="0" w:after="0"/>
            </w:pPr>
            <w:r>
              <w:rPr>
                <w:rFonts w:ascii="Calibri" w:hAnsi="Calibri"/>
                <w:b/>
                <w:color w:val="FFFFFF"/>
                <w:sz w:val="19"/>
              </w:rPr>
              <w:t>Severity Level</w:t>
            </w:r>
          </w:p>
        </w:tc>
        <w:tc>
          <w:tcPr>
            <w:tcW w:type="dxa" w:w="1584"/>
            <w:shd w:fill="1B365D"/>
            <w:tcMar>
              <w:top w:w="100" w:type="dxa"/>
              <w:bottom w:w="100" w:type="dxa"/>
              <w:left w:w="100" w:type="dxa"/>
              <w:right w:w="100" w:type="dxa"/>
            </w:tcMar>
          </w:tcPr>
          <w:p>
            <w:pPr>
              <w:spacing w:before="0" w:after="0"/>
            </w:pPr>
            <w:r>
              <w:rPr>
                <w:rFonts w:ascii="Calibri" w:hAnsi="Calibri"/>
                <w:b/>
                <w:color w:val="FFFFFF"/>
                <w:sz w:val="19"/>
              </w:rPr>
              <w:t>Color Code</w:t>
            </w:r>
          </w:p>
        </w:tc>
        <w:tc>
          <w:tcPr>
            <w:tcW w:type="dxa" w:w="1584"/>
            <w:shd w:fill="1B365D"/>
            <w:tcMar>
              <w:top w:w="100" w:type="dxa"/>
              <w:bottom w:w="100" w:type="dxa"/>
              <w:left w:w="100" w:type="dxa"/>
              <w:right w:w="100" w:type="dxa"/>
            </w:tcMar>
          </w:tcPr>
          <w:p>
            <w:pPr>
              <w:spacing w:before="0" w:after="0"/>
            </w:pPr>
            <w:r>
              <w:rPr>
                <w:rFonts w:ascii="Calibri" w:hAnsi="Calibri"/>
                <w:b/>
                <w:color w:val="FFFFFF"/>
                <w:sz w:val="19"/>
              </w:rPr>
              <w:t>CVSS Score</w:t>
            </w:r>
          </w:p>
        </w:tc>
        <w:tc>
          <w:tcPr>
            <w:tcW w:type="dxa" w:w="4896"/>
            <w:shd w:fill="1B365D"/>
            <w:tcMar>
              <w:top w:w="100" w:type="dxa"/>
              <w:bottom w:w="100" w:type="dxa"/>
              <w:left w:w="100" w:type="dxa"/>
              <w:right w:w="100" w:type="dxa"/>
            </w:tcMar>
          </w:tcPr>
          <w:p>
            <w:pPr>
              <w:spacing w:before="0" w:after="0"/>
            </w:pPr>
            <w:r>
              <w:rPr>
                <w:rFonts w:ascii="Calibri" w:hAnsi="Calibri"/>
                <w:b/>
                <w:color w:val="FFFFFF"/>
                <w:sz w:val="19"/>
              </w:rPr>
              <w:t>Practical Significance &amp; Impact</w:t>
            </w:r>
          </w:p>
        </w:tc>
      </w:tr>
      <w:tr>
        <w:tc>
          <w:tcPr>
            <w:tcW w:type="dxa" w:w="2016"/>
            <w:shd w:fill="FFFFFF"/>
            <w:tcMar>
              <w:top w:w="80" w:type="dxa"/>
              <w:bottom w:w="80" w:type="dxa"/>
              <w:left w:w="100" w:type="dxa"/>
              <w:right w:w="100" w:type="dxa"/>
            </w:tcMar>
          </w:tcPr>
          <w:p>
            <w:pPr>
              <w:spacing w:before="0" w:after="0"/>
            </w:pPr>
            <w:r>
              <w:rPr>
                <w:rFonts w:ascii="Calibri" w:hAnsi="Calibri"/>
                <w:b/>
                <w:color w:val="B42828"/>
                <w:sz w:val="18"/>
              </w:rPr>
              <w:t>Critical</w:t>
            </w:r>
          </w:p>
        </w:tc>
        <w:tc>
          <w:tcPr>
            <w:tcW w:type="dxa" w:w="1584"/>
            <w:shd w:fill="FFFFFF"/>
            <w:tcMar>
              <w:top w:w="80" w:type="dxa"/>
              <w:bottom w:w="80" w:type="dxa"/>
              <w:left w:w="100" w:type="dxa"/>
              <w:right w:w="100" w:type="dxa"/>
            </w:tcMar>
          </w:tcPr>
          <w:p>
            <w:pPr>
              <w:spacing w:before="0" w:after="0"/>
            </w:pPr>
            <w:r>
              <w:rPr>
                <w:rFonts w:ascii="Calibri" w:hAnsi="Calibri"/>
                <w:color w:val="222222"/>
                <w:sz w:val="18"/>
              </w:rPr>
              <w:t>Red</w:t>
            </w:r>
          </w:p>
        </w:tc>
        <w:tc>
          <w:tcPr>
            <w:tcW w:type="dxa" w:w="1584"/>
            <w:shd w:fill="FFFFFF"/>
            <w:tcMar>
              <w:top w:w="80" w:type="dxa"/>
              <w:bottom w:w="80" w:type="dxa"/>
              <w:left w:w="100" w:type="dxa"/>
              <w:right w:w="100" w:type="dxa"/>
            </w:tcMar>
          </w:tcPr>
          <w:p>
            <w:pPr>
              <w:spacing w:before="0" w:after="0"/>
            </w:pPr>
            <w:r>
              <w:rPr>
                <w:rFonts w:ascii="Calibri" w:hAnsi="Calibri"/>
                <w:color w:val="222222"/>
                <w:sz w:val="18"/>
              </w:rPr>
              <w:t>9.0 – 10.0</w:t>
            </w:r>
          </w:p>
        </w:tc>
        <w:tc>
          <w:tcPr>
            <w:tcW w:type="dxa" w:w="4896"/>
            <w:shd w:fill="FFFFFF"/>
            <w:tcMar>
              <w:top w:w="80" w:type="dxa"/>
              <w:bottom w:w="80" w:type="dxa"/>
              <w:left w:w="100" w:type="dxa"/>
              <w:right w:w="100" w:type="dxa"/>
            </w:tcMar>
          </w:tcPr>
          <w:p>
            <w:pPr>
              <w:spacing w:before="0" w:after="0"/>
            </w:pPr>
            <w:r>
              <w:rPr>
                <w:rFonts w:ascii="Calibri" w:hAnsi="Calibri"/>
                <w:color w:val="222222"/>
                <w:sz w:val="18"/>
              </w:rPr>
              <w:t>Extremely serious potential risk; allows complete system compromise, remote code execution (RCE), or unauthenticated administrative access. Requires immediate mitigation.</w:t>
            </w:r>
          </w:p>
        </w:tc>
      </w:tr>
      <w:tr>
        <w:tc>
          <w:tcPr>
            <w:tcW w:type="dxa" w:w="2016"/>
            <w:shd w:fill="F8FAFC"/>
            <w:tcMar>
              <w:top w:w="80" w:type="dxa"/>
              <w:bottom w:w="80" w:type="dxa"/>
              <w:left w:w="100" w:type="dxa"/>
              <w:right w:w="100" w:type="dxa"/>
            </w:tcMar>
          </w:tcPr>
          <w:p>
            <w:pPr>
              <w:spacing w:before="0" w:after="0"/>
            </w:pPr>
            <w:r>
              <w:rPr>
                <w:rFonts w:ascii="Calibri" w:hAnsi="Calibri"/>
                <w:b/>
                <w:color w:val="D2691E"/>
                <w:sz w:val="18"/>
              </w:rPr>
              <w:t>High</w:t>
            </w:r>
          </w:p>
        </w:tc>
        <w:tc>
          <w:tcPr>
            <w:tcW w:type="dxa" w:w="1584"/>
            <w:shd w:fill="F8FAFC"/>
            <w:tcMar>
              <w:top w:w="80" w:type="dxa"/>
              <w:bottom w:w="80" w:type="dxa"/>
              <w:left w:w="100" w:type="dxa"/>
              <w:right w:w="100" w:type="dxa"/>
            </w:tcMar>
          </w:tcPr>
          <w:p>
            <w:pPr>
              <w:spacing w:before="0" w:after="0"/>
            </w:pPr>
            <w:r>
              <w:rPr>
                <w:rFonts w:ascii="Calibri" w:hAnsi="Calibri"/>
                <w:color w:val="222222"/>
                <w:sz w:val="18"/>
              </w:rPr>
              <w:t>Orange</w:t>
            </w:r>
          </w:p>
        </w:tc>
        <w:tc>
          <w:tcPr>
            <w:tcW w:type="dxa" w:w="1584"/>
            <w:shd w:fill="F8FAFC"/>
            <w:tcMar>
              <w:top w:w="80" w:type="dxa"/>
              <w:bottom w:w="80" w:type="dxa"/>
              <w:left w:w="100" w:type="dxa"/>
              <w:right w:w="100" w:type="dxa"/>
            </w:tcMar>
          </w:tcPr>
          <w:p>
            <w:pPr>
              <w:spacing w:before="0" w:after="0"/>
            </w:pPr>
            <w:r>
              <w:rPr>
                <w:rFonts w:ascii="Calibri" w:hAnsi="Calibri"/>
                <w:color w:val="222222"/>
                <w:sz w:val="18"/>
              </w:rPr>
              <w:t>7.0 – 8.9</w:t>
            </w:r>
          </w:p>
        </w:tc>
        <w:tc>
          <w:tcPr>
            <w:tcW w:type="dxa" w:w="4896"/>
            <w:shd w:fill="F8FAFC"/>
            <w:tcMar>
              <w:top w:w="80" w:type="dxa"/>
              <w:bottom w:w="80" w:type="dxa"/>
              <w:left w:w="100" w:type="dxa"/>
              <w:right w:w="100" w:type="dxa"/>
            </w:tcMar>
          </w:tcPr>
          <w:p>
            <w:pPr>
              <w:spacing w:before="0" w:after="0"/>
            </w:pPr>
            <w:r>
              <w:rPr>
                <w:rFonts w:ascii="Calibri" w:hAnsi="Calibri"/>
                <w:color w:val="222222"/>
                <w:sz w:val="18"/>
              </w:rPr>
              <w:t>Significant security risk; allows unauthorized data access, privilege escalation, or substantial service disruption with minimal user interaction.</w:t>
            </w:r>
          </w:p>
        </w:tc>
      </w:tr>
      <w:tr>
        <w:tc>
          <w:tcPr>
            <w:tcW w:type="dxa" w:w="2016"/>
            <w:shd w:fill="FFFFFF"/>
            <w:tcMar>
              <w:top w:w="80" w:type="dxa"/>
              <w:bottom w:w="80" w:type="dxa"/>
              <w:left w:w="100" w:type="dxa"/>
              <w:right w:w="100" w:type="dxa"/>
            </w:tcMar>
          </w:tcPr>
          <w:p>
            <w:pPr>
              <w:spacing w:before="0" w:after="0"/>
            </w:pPr>
            <w:r>
              <w:rPr>
                <w:rFonts w:ascii="Calibri" w:hAnsi="Calibri"/>
                <w:b/>
                <w:color w:val="A08200"/>
                <w:sz w:val="18"/>
              </w:rPr>
              <w:t>Medium</w:t>
            </w:r>
          </w:p>
        </w:tc>
        <w:tc>
          <w:tcPr>
            <w:tcW w:type="dxa" w:w="1584"/>
            <w:shd w:fill="FFFFFF"/>
            <w:tcMar>
              <w:top w:w="80" w:type="dxa"/>
              <w:bottom w:w="80" w:type="dxa"/>
              <w:left w:w="100" w:type="dxa"/>
              <w:right w:w="100" w:type="dxa"/>
            </w:tcMar>
          </w:tcPr>
          <w:p>
            <w:pPr>
              <w:spacing w:before="0" w:after="0"/>
            </w:pPr>
            <w:r>
              <w:rPr>
                <w:rFonts w:ascii="Calibri" w:hAnsi="Calibri"/>
                <w:color w:val="222222"/>
                <w:sz w:val="18"/>
              </w:rPr>
              <w:t>Yellow</w:t>
            </w:r>
          </w:p>
        </w:tc>
        <w:tc>
          <w:tcPr>
            <w:tcW w:type="dxa" w:w="1584"/>
            <w:shd w:fill="FFFFFF"/>
            <w:tcMar>
              <w:top w:w="80" w:type="dxa"/>
              <w:bottom w:w="80" w:type="dxa"/>
              <w:left w:w="100" w:type="dxa"/>
              <w:right w:w="100" w:type="dxa"/>
            </w:tcMar>
          </w:tcPr>
          <w:p>
            <w:pPr>
              <w:spacing w:before="0" w:after="0"/>
            </w:pPr>
            <w:r>
              <w:rPr>
                <w:rFonts w:ascii="Calibri" w:hAnsi="Calibri"/>
                <w:color w:val="222222"/>
                <w:sz w:val="18"/>
              </w:rPr>
              <w:t>4.0 – 6.9</w:t>
            </w:r>
          </w:p>
        </w:tc>
        <w:tc>
          <w:tcPr>
            <w:tcW w:type="dxa" w:w="4896"/>
            <w:shd w:fill="FFFFFF"/>
            <w:tcMar>
              <w:top w:w="80" w:type="dxa"/>
              <w:bottom w:w="80" w:type="dxa"/>
              <w:left w:w="100" w:type="dxa"/>
              <w:right w:w="100" w:type="dxa"/>
            </w:tcMar>
          </w:tcPr>
          <w:p>
            <w:pPr>
              <w:spacing w:before="0" w:after="0"/>
            </w:pPr>
            <w:r>
              <w:rPr>
                <w:rFonts w:ascii="Calibri" w:hAnsi="Calibri"/>
                <w:color w:val="222222"/>
                <w:sz w:val="18"/>
              </w:rPr>
              <w:t>Moderate risk; typically requires conditional access, local network positioning, or specific user interaction to exploit successfully.</w:t>
            </w:r>
          </w:p>
        </w:tc>
      </w:tr>
      <w:tr>
        <w:tc>
          <w:tcPr>
            <w:tcW w:type="dxa" w:w="2016"/>
            <w:shd w:fill="F8FAFC"/>
            <w:tcMar>
              <w:top w:w="80" w:type="dxa"/>
              <w:bottom w:w="80" w:type="dxa"/>
              <w:left w:w="100" w:type="dxa"/>
              <w:right w:w="100" w:type="dxa"/>
            </w:tcMar>
          </w:tcPr>
          <w:p>
            <w:pPr>
              <w:spacing w:before="0" w:after="0"/>
            </w:pPr>
            <w:r>
              <w:rPr>
                <w:rFonts w:ascii="Calibri" w:hAnsi="Calibri"/>
                <w:b/>
                <w:color w:val="228B22"/>
                <w:sz w:val="18"/>
              </w:rPr>
              <w:t>Low</w:t>
            </w:r>
          </w:p>
        </w:tc>
        <w:tc>
          <w:tcPr>
            <w:tcW w:type="dxa" w:w="1584"/>
            <w:shd w:fill="F8FAFC"/>
            <w:tcMar>
              <w:top w:w="80" w:type="dxa"/>
              <w:bottom w:w="80" w:type="dxa"/>
              <w:left w:w="100" w:type="dxa"/>
              <w:right w:w="100" w:type="dxa"/>
            </w:tcMar>
          </w:tcPr>
          <w:p>
            <w:pPr>
              <w:spacing w:before="0" w:after="0"/>
            </w:pPr>
            <w:r>
              <w:rPr>
                <w:rFonts w:ascii="Calibri" w:hAnsi="Calibri"/>
                <w:color w:val="222222"/>
                <w:sz w:val="18"/>
              </w:rPr>
              <w:t>Green</w:t>
            </w:r>
          </w:p>
        </w:tc>
        <w:tc>
          <w:tcPr>
            <w:tcW w:type="dxa" w:w="1584"/>
            <w:shd w:fill="F8FAFC"/>
            <w:tcMar>
              <w:top w:w="80" w:type="dxa"/>
              <w:bottom w:w="80" w:type="dxa"/>
              <w:left w:w="100" w:type="dxa"/>
              <w:right w:w="100" w:type="dxa"/>
            </w:tcMar>
          </w:tcPr>
          <w:p>
            <w:pPr>
              <w:spacing w:before="0" w:after="0"/>
            </w:pPr>
            <w:r>
              <w:rPr>
                <w:rFonts w:ascii="Calibri" w:hAnsi="Calibri"/>
                <w:color w:val="222222"/>
                <w:sz w:val="18"/>
              </w:rPr>
              <w:t>0.1 – 3.9</w:t>
            </w:r>
          </w:p>
        </w:tc>
        <w:tc>
          <w:tcPr>
            <w:tcW w:type="dxa" w:w="4896"/>
            <w:shd w:fill="F8FAFC"/>
            <w:tcMar>
              <w:top w:w="80" w:type="dxa"/>
              <w:bottom w:w="80" w:type="dxa"/>
              <w:left w:w="100" w:type="dxa"/>
              <w:right w:w="100" w:type="dxa"/>
            </w:tcMar>
          </w:tcPr>
          <w:p>
            <w:pPr>
              <w:spacing w:before="0" w:after="0"/>
            </w:pPr>
            <w:r>
              <w:rPr>
                <w:rFonts w:ascii="Calibri" w:hAnsi="Calibri"/>
                <w:color w:val="222222"/>
                <w:sz w:val="18"/>
              </w:rPr>
              <w:t>Lower-severity issue; includes minor protocol weaknesses, information disclosure, or configuration discrepancies with low practical exploitability.</w:t>
            </w:r>
          </w:p>
        </w:tc>
      </w:tr>
      <w:tr>
        <w:tc>
          <w:tcPr>
            <w:tcW w:type="dxa" w:w="2016"/>
            <w:shd w:fill="FFFFFF"/>
            <w:tcMar>
              <w:top w:w="80" w:type="dxa"/>
              <w:bottom w:w="80" w:type="dxa"/>
              <w:left w:w="100" w:type="dxa"/>
              <w:right w:w="100" w:type="dxa"/>
            </w:tcMar>
          </w:tcPr>
          <w:p>
            <w:pPr>
              <w:spacing w:before="0" w:after="0"/>
            </w:pPr>
            <w:r>
              <w:rPr>
                <w:rFonts w:ascii="Calibri" w:hAnsi="Calibri"/>
                <w:b/>
                <w:color w:val="1E64B4"/>
                <w:sz w:val="18"/>
              </w:rPr>
              <w:t>Info</w:t>
            </w:r>
          </w:p>
        </w:tc>
        <w:tc>
          <w:tcPr>
            <w:tcW w:type="dxa" w:w="1584"/>
            <w:shd w:fill="FFFFFF"/>
            <w:tcMar>
              <w:top w:w="80" w:type="dxa"/>
              <w:bottom w:w="80" w:type="dxa"/>
              <w:left w:w="100" w:type="dxa"/>
              <w:right w:w="100" w:type="dxa"/>
            </w:tcMar>
          </w:tcPr>
          <w:p>
            <w:pPr>
              <w:spacing w:before="0" w:after="0"/>
            </w:pPr>
            <w:r>
              <w:rPr>
                <w:rFonts w:ascii="Calibri" w:hAnsi="Calibri"/>
                <w:color w:val="222222"/>
                <w:sz w:val="18"/>
              </w:rPr>
              <w:t>Blue</w:t>
            </w:r>
          </w:p>
        </w:tc>
        <w:tc>
          <w:tcPr>
            <w:tcW w:type="dxa" w:w="1584"/>
            <w:shd w:fill="FFFFFF"/>
            <w:tcMar>
              <w:top w:w="80" w:type="dxa"/>
              <w:bottom w:w="80" w:type="dxa"/>
              <w:left w:w="100" w:type="dxa"/>
              <w:right w:w="100" w:type="dxa"/>
            </w:tcMar>
          </w:tcPr>
          <w:p>
            <w:pPr>
              <w:spacing w:before="0" w:after="0"/>
            </w:pPr>
            <w:r>
              <w:rPr>
                <w:rFonts w:ascii="Calibri" w:hAnsi="Calibri"/>
                <w:color w:val="222222"/>
                <w:sz w:val="18"/>
              </w:rPr>
              <w:t>0.0 (None)</w:t>
            </w:r>
          </w:p>
        </w:tc>
        <w:tc>
          <w:tcPr>
            <w:tcW w:type="dxa" w:w="4896"/>
            <w:shd w:fill="FFFFFF"/>
            <w:tcMar>
              <w:top w:w="80" w:type="dxa"/>
              <w:bottom w:w="80" w:type="dxa"/>
              <w:left w:w="100" w:type="dxa"/>
              <w:right w:w="100" w:type="dxa"/>
            </w:tcMar>
          </w:tcPr>
          <w:p>
            <w:pPr>
              <w:spacing w:before="0" w:after="0"/>
            </w:pPr>
            <w:r>
              <w:rPr>
                <w:rFonts w:ascii="Calibri" w:hAnsi="Calibri"/>
                <w:color w:val="222222"/>
                <w:sz w:val="18"/>
              </w:rPr>
              <w:t>Informational observation; non-vulnerable contextual findings gathered during discovery, such as open port lists, MAC addresses, and web server software banners.</w:t>
            </w:r>
          </w:p>
        </w:tc>
      </w:tr>
    </w:tbl>
    <w:p>
      <w:pPr>
        <w:spacing w:before="0" w:after="80"/>
      </w:pPr>
    </w:p>
    <w:p>
      <w:pPr>
        <w:keepNext/>
        <w:spacing w:before="200" w:after="60"/>
      </w:pPr>
      <w:r>
        <w:rPr>
          <w:rFonts w:ascii="Calibri" w:hAnsi="Calibri"/>
          <w:b/>
          <w:color w:val="2B4C7E"/>
          <w:sz w:val="24"/>
        </w:rPr>
        <w:t>E. Observation — Write in the Lab Record</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6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(NESSUS ASSESSMENT):</w:t>
              <w:br/>
            </w:r>
            <w:r>
              <w:rPr>
                <w:rFonts w:ascii="Calibri" w:hAnsi="Calibri"/>
                <w:i w:val="0"/>
                <w:color w:val="222222"/>
                <w:sz w:val="19"/>
              </w:rPr>
              <w:t>An automated vulnerability assessment was conducted using Nessus Essentials against the authorized lab target IP [observed target IP address, e.g., 192.168.56.102]. The Basic Network Scan completed successfully and reported a total of [observed total count] findings categorized into [observed Critical count] Critical, [observed High count] High, [observed Medium count] Medium, [observed Low count] Low, and [observed Info count] Informational items. Analysis of finding [observed finding name] (Plugin ID [observed Plugin ID]) revealed vulnerability details and remediation steps. The associated identifier [observed CVE ID, e.g., CVE-YYYY-NNNNN] was cross-referenced in the National Vulnerability Database (NVD) to review its CVSS score and attack vector metrics.</w:t>
            </w:r>
          </w:p>
        </w:tc>
      </w:tr>
    </w:tbl>
    <w:p>
      <w:pPr>
        <w:spacing w:before="0" w:after="80"/>
      </w:pPr>
    </w:p>
    <w:p>
      <w:pPr>
        <w:keepNext/>
        <w:spacing w:before="200" w:after="60"/>
      </w:pPr>
      <w:r>
        <w:rPr>
          <w:rFonts w:ascii="Calibri" w:hAnsi="Calibri"/>
          <w:b/>
          <w:color w:val="2B4C7E"/>
          <w:sz w:val="24"/>
        </w:rPr>
        <w:t>F. Result</w:t>
      </w:r>
    </w:p>
    <w:p>
      <w:pPr>
        <w:spacing w:before="0" w:after="80" w:line="276" w:lineRule="auto"/>
      </w:pPr>
      <w:r>
        <w:rPr>
          <w:rFonts w:ascii="Calibri" w:hAnsi="Calibri"/>
          <w:color w:val="222222"/>
          <w:sz w:val="20"/>
        </w:rPr>
        <w:t>An automated vulnerability assessment was successfully performed on the authorized lab host using Nessus Essentials, categorizing detected security flaws by severity, evaluating CVE references, and generating remediation guidance.</w:t>
      </w:r>
    </w:p>
    <w:p>
      <w:pPr>
        <w:keepNext/>
        <w:spacing w:before="200" w:after="60"/>
      </w:pPr>
      <w:r>
        <w:rPr>
          <w:rFonts w:ascii="Calibri" w:hAnsi="Calibri"/>
          <w:b/>
          <w:color w:val="2B4C7E"/>
          <w:sz w:val="24"/>
        </w:rPr>
        <w:t>G. Viva Questions</w:t>
      </w:r>
    </w:p>
    <w:p>
      <w:pPr>
        <w:spacing w:before="0" w:after="80" w:line="276" w:lineRule="auto"/>
      </w:pPr>
      <w:r>
        <w:rPr>
          <w:rFonts w:ascii="Calibri" w:hAnsi="Calibri"/>
          <w:b/>
          <w:color w:val="2C3E50"/>
          <w:sz w:val="20"/>
        </w:rPr>
        <w:t>1. What is Nessus?</w:t>
        <w:br/>
      </w:r>
      <w:r>
        <w:rPr>
          <w:rFonts w:ascii="Calibri" w:hAnsi="Calibri"/>
          <w:color w:val="222222"/>
          <w:sz w:val="20"/>
        </w:rPr>
        <w:t>Answer: Nessus is a leading commercial automated vulnerability scanner developed by Tenable that audits computers, servers, and network devices for known software vulnerabilities, missing patches, default passwords, and configuration errors.</w:t>
      </w:r>
    </w:p>
    <w:p>
      <w:pPr>
        <w:spacing w:before="0" w:after="80" w:line="276" w:lineRule="auto"/>
      </w:pPr>
      <w:r>
        <w:rPr>
          <w:rFonts w:ascii="Calibri" w:hAnsi="Calibri"/>
          <w:b/>
          <w:color w:val="2C3E50"/>
          <w:sz w:val="20"/>
        </w:rPr>
        <w:t>2. What is Nessus Essentials?</w:t>
        <w:br/>
      </w:r>
      <w:r>
        <w:rPr>
          <w:rFonts w:ascii="Calibri" w:hAnsi="Calibri"/>
          <w:color w:val="222222"/>
          <w:sz w:val="20"/>
        </w:rPr>
        <w:t>Answer: Nessus Essentials is the free, non-commercial edition of Nessus provided by Tenable. It offers complete vulnerability scanning capabilities for up to 16 IP addresses per installation, making it ideal for educational and lab training.</w:t>
      </w:r>
    </w:p>
    <w:p>
      <w:pPr>
        <w:spacing w:before="0" w:after="80" w:line="276" w:lineRule="auto"/>
      </w:pPr>
      <w:r>
        <w:rPr>
          <w:rFonts w:ascii="Calibri" w:hAnsi="Calibri"/>
          <w:b/>
          <w:color w:val="2C3E50"/>
          <w:sz w:val="20"/>
        </w:rPr>
        <w:t>3. What is a Nessus plugin?</w:t>
        <w:br/>
      </w:r>
      <w:r>
        <w:rPr>
          <w:rFonts w:ascii="Calibri" w:hAnsi="Calibri"/>
          <w:color w:val="222222"/>
          <w:sz w:val="20"/>
        </w:rPr>
        <w:t>Answer: A Nessus plugin is an independent script written in NASL (Nessus Attack Scripting Language) that tests for a specific vulnerability, version flaw, or misconfiguration. Nessus automatically downloads and compiles thousands of plugins to keep its checks current.</w:t>
      </w:r>
    </w:p>
    <w:p>
      <w:pPr>
        <w:spacing w:before="0" w:after="80" w:line="276" w:lineRule="auto"/>
      </w:pPr>
      <w:r>
        <w:rPr>
          <w:rFonts w:ascii="Calibri" w:hAnsi="Calibri"/>
          <w:b/>
          <w:color w:val="2C3E50"/>
          <w:sz w:val="20"/>
        </w:rPr>
        <w:t>4. What is a CVE?</w:t>
        <w:br/>
      </w:r>
      <w:r>
        <w:rPr>
          <w:rFonts w:ascii="Calibri" w:hAnsi="Calibri"/>
          <w:color w:val="222222"/>
          <w:sz w:val="20"/>
        </w:rPr>
        <w:t>Answer: CVE stands for Common Vulnerabilities and Exposures. It is a globally standardized dictionary of unique reference numbers (e.g., CVE-2021-34527) maintained by MITRE to ensure security researchers and tools refer to the same specific vulnerability unambiguously.</w:t>
      </w:r>
    </w:p>
    <w:p>
      <w:pPr>
        <w:spacing w:before="0" w:after="80" w:line="276" w:lineRule="auto"/>
      </w:pPr>
      <w:r>
        <w:rPr>
          <w:rFonts w:ascii="Calibri" w:hAnsi="Calibri"/>
          <w:b/>
          <w:color w:val="2C3E50"/>
          <w:sz w:val="20"/>
        </w:rPr>
        <w:t>5. What is the difference between Nmap and Nessus?</w:t>
        <w:br/>
      </w:r>
      <w:r>
        <w:rPr>
          <w:rFonts w:ascii="Calibri" w:hAnsi="Calibri"/>
          <w:color w:val="222222"/>
          <w:sz w:val="20"/>
        </w:rPr>
        <w:t>Answer: Nmap is primarily an active network discovery and port scanner used to discover live hosts, open ports, and running service versions. Nessus is a vulnerability assessment platform that goes further by testing those open services against thousands of plugin checks, scoring vulnerability severity with CVSS, and providing structured remediation solutions.</w:t>
      </w:r>
    </w:p>
    <w:p>
      <w:pPr>
        <w:keepNext/>
        <w:spacing w:before="200" w:after="60"/>
      </w:pPr>
      <w:r>
        <w:rPr>
          <w:rFonts w:ascii="Calibri" w:hAnsi="Calibri"/>
          <w:b/>
          <w:color w:val="2B4C7E"/>
          <w:sz w:val="24"/>
        </w:rPr>
        <w:t>H. Quick Revision</w:t>
      </w:r>
    </w:p>
    <w:p>
      <w:pPr>
        <w:pStyle w:val="ListBullet"/>
        <w:spacing w:before="0" w:after="50" w:line="276" w:lineRule="auto"/>
      </w:pPr>
      <w:r>
        <w:rPr>
          <w:rFonts w:ascii="Calibri" w:hAnsi="Calibri"/>
          <w:b/>
          <w:color w:val="2C3E50"/>
          <w:sz w:val="20"/>
        </w:rPr>
        <w:t xml:space="preserve">Nessus Essentials: </w:t>
      </w:r>
      <w:r>
        <w:rPr>
          <w:rFonts w:ascii="Calibri" w:hAnsi="Calibri"/>
          <w:color w:val="222222"/>
          <w:sz w:val="20"/>
        </w:rPr>
        <w:t>Free vulnerability assessment tool for up to 16 target IP addresses.</w:t>
      </w:r>
    </w:p>
    <w:p>
      <w:pPr>
        <w:pStyle w:val="ListBullet"/>
        <w:spacing w:before="0" w:after="50" w:line="276" w:lineRule="auto"/>
      </w:pPr>
      <w:r>
        <w:rPr>
          <w:rFonts w:ascii="Calibri" w:hAnsi="Calibri"/>
          <w:b/>
          <w:color w:val="2C3E50"/>
          <w:sz w:val="20"/>
        </w:rPr>
        <w:t xml:space="preserve">Local Access URL: </w:t>
      </w:r>
      <w:r>
        <w:rPr>
          <w:rFonts w:ascii="Calibri" w:hAnsi="Calibri"/>
          <w:color w:val="222222"/>
          <w:sz w:val="20"/>
        </w:rPr>
        <w:t>https://localhost:8834 (requires local Tenable Nessus service to be running).</w:t>
      </w:r>
    </w:p>
    <w:p>
      <w:pPr>
        <w:pStyle w:val="ListBullet"/>
        <w:spacing w:before="0" w:after="50" w:line="276" w:lineRule="auto"/>
      </w:pPr>
      <w:r>
        <w:rPr>
          <w:rFonts w:ascii="Calibri" w:hAnsi="Calibri"/>
          <w:b/>
          <w:color w:val="2C3E50"/>
          <w:sz w:val="20"/>
        </w:rPr>
        <w:t xml:space="preserve">Basic Network Scan: </w:t>
      </w:r>
      <w:r>
        <w:rPr>
          <w:rFonts w:ascii="Calibri" w:hAnsi="Calibri"/>
          <w:color w:val="222222"/>
          <w:sz w:val="20"/>
        </w:rPr>
        <w:t>General-purpose network vulnerability scanning template.</w:t>
      </w:r>
    </w:p>
    <w:p>
      <w:pPr>
        <w:pStyle w:val="ListBullet"/>
        <w:spacing w:before="0" w:after="50" w:line="276" w:lineRule="auto"/>
      </w:pPr>
      <w:r>
        <w:rPr>
          <w:rFonts w:ascii="Calibri" w:hAnsi="Calibri"/>
          <w:b/>
          <w:color w:val="2C3E50"/>
          <w:sz w:val="20"/>
        </w:rPr>
        <w:t xml:space="preserve">Plugin: </w:t>
      </w:r>
      <w:r>
        <w:rPr>
          <w:rFonts w:ascii="Calibri" w:hAnsi="Calibri"/>
          <w:color w:val="222222"/>
          <w:sz w:val="20"/>
        </w:rPr>
        <w:t>Scripted test checking for a specific vulnerability or configuration flaw (written in NASL).</w:t>
      </w:r>
    </w:p>
    <w:p>
      <w:pPr>
        <w:pStyle w:val="ListBullet"/>
        <w:spacing w:before="0" w:after="50" w:line="276" w:lineRule="auto"/>
      </w:pPr>
      <w:r>
        <w:rPr>
          <w:rFonts w:ascii="Calibri" w:hAnsi="Calibri"/>
          <w:b/>
          <w:color w:val="2C3E50"/>
          <w:sz w:val="20"/>
        </w:rPr>
        <w:t xml:space="preserve">CVE: </w:t>
      </w:r>
      <w:r>
        <w:rPr>
          <w:rFonts w:ascii="Calibri" w:hAnsi="Calibri"/>
          <w:color w:val="222222"/>
          <w:sz w:val="20"/>
        </w:rPr>
        <w:t>Standardized vulnerability identifier (CVE-YYYY-NNNNN).</w:t>
      </w:r>
    </w:p>
    <w:p>
      <w:pPr>
        <w:pStyle w:val="ListBullet"/>
        <w:spacing w:before="0" w:after="50" w:line="276" w:lineRule="auto"/>
      </w:pPr>
      <w:r>
        <w:rPr>
          <w:rFonts w:ascii="Calibri" w:hAnsi="Calibri"/>
          <w:b/>
          <w:color w:val="2C3E50"/>
          <w:sz w:val="20"/>
        </w:rPr>
        <w:t xml:space="preserve">Severity Hierarchy: </w:t>
      </w:r>
      <w:r>
        <w:rPr>
          <w:rFonts w:ascii="Calibri" w:hAnsi="Calibri"/>
          <w:color w:val="222222"/>
          <w:sz w:val="20"/>
        </w:rPr>
        <w:t>Critical (Red), High (Orange), Medium (Yellow), Low (Green), Info (Blue).</w:t>
      </w:r>
    </w:p>
    <w:p>
      <w:pPr>
        <w:pStyle w:val="ListBullet"/>
        <w:spacing w:before="0" w:after="50" w:line="276" w:lineRule="auto"/>
      </w:pPr>
      <w:r>
        <w:rPr>
          <w:rFonts w:ascii="Calibri" w:hAnsi="Calibri"/>
          <w:b/>
          <w:color w:val="2C3E50"/>
          <w:sz w:val="20"/>
        </w:rPr>
        <w:t xml:space="preserve">False Positive: </w:t>
      </w:r>
      <w:r>
        <w:rPr>
          <w:rFonts w:ascii="Calibri" w:hAnsi="Calibri"/>
          <w:color w:val="222222"/>
          <w:sz w:val="20"/>
        </w:rPr>
        <w:t>Inaccurately reported vulnerability that does not actually exist on the target.</w:t>
      </w:r>
    </w:p>
    <w:p>
      <w:pPr>
        <w:pStyle w:val="ListBullet"/>
        <w:spacing w:before="0" w:after="50" w:line="276" w:lineRule="auto"/>
      </w:pPr>
      <w:r>
        <w:rPr>
          <w:rFonts w:ascii="Calibri" w:hAnsi="Calibri"/>
          <w:b/>
          <w:color w:val="2C3E50"/>
          <w:sz w:val="20"/>
        </w:rPr>
        <w:t xml:space="preserve">Target Policy: </w:t>
      </w:r>
      <w:r>
        <w:rPr>
          <w:rFonts w:ascii="Calibri" w:hAnsi="Calibri"/>
          <w:color w:val="222222"/>
          <w:sz w:val="20"/>
        </w:rPr>
        <w:t>Scan only confirmed, authorized lab machines (DVWA, Metasploitable); never external networks.</w:t>
      </w:r>
    </w:p>
    <w:p>
      <w:pPr>
        <w:keepNext/>
        <w:spacing w:before="200" w:after="60"/>
      </w:pPr>
      <w:r>
        <w:rPr>
          <w:rFonts w:ascii="Calibri" w:hAnsi="Calibri"/>
          <w:b/>
          <w:color w:val="2B4C7E"/>
          <w:sz w:val="24"/>
        </w:rPr>
        <w:t>Exam Procedure Summary</w:t>
      </w:r>
    </w:p>
    <w:p>
      <w:pPr>
        <w:spacing w:before="0" w:after="80" w:line="276" w:lineRule="auto"/>
      </w:pPr>
      <w:r>
        <w:rPr>
          <w:rFonts w:ascii="Calibri" w:hAnsi="Calibri"/>
          <w:b/>
          <w:color w:val="2C3E50"/>
          <w:sz w:val="20"/>
        </w:rPr>
        <w:t xml:space="preserve">Six-Step Exam Routine: </w:t>
      </w:r>
      <w:r>
        <w:rPr>
          <w:rFonts w:ascii="Calibri" w:hAnsi="Calibri"/>
          <w:color w:val="222222"/>
          <w:sz w:val="20"/>
        </w:rPr>
        <w:t>For rapid execution in a laboratory practical examination:</w:t>
      </w:r>
    </w:p>
    <w:p>
      <w:pPr>
        <w:pStyle w:val="ListBullet"/>
        <w:spacing w:before="0" w:after="50" w:line="276" w:lineRule="auto"/>
      </w:pPr>
      <w:r>
        <w:rPr>
          <w:rFonts w:ascii="Calibri" w:hAnsi="Calibri"/>
          <w:b/>
          <w:color w:val="2C3E50"/>
          <w:sz w:val="20"/>
        </w:rPr>
        <w:t xml:space="preserve">1. Login: </w:t>
      </w:r>
      <w:r>
        <w:rPr>
          <w:rFonts w:ascii="Calibri" w:hAnsi="Calibri"/>
          <w:color w:val="222222"/>
          <w:sz w:val="20"/>
        </w:rPr>
        <w:t>Verify Nessus service, open https://localhost:8834, accept SSL certificate warning, and sign in with authorized lab credentials.</w:t>
      </w:r>
    </w:p>
    <w:p>
      <w:pPr>
        <w:pStyle w:val="ListBullet"/>
        <w:spacing w:before="0" w:after="50" w:line="276" w:lineRule="auto"/>
      </w:pPr>
      <w:r>
        <w:rPr>
          <w:rFonts w:ascii="Calibri" w:hAnsi="Calibri"/>
          <w:b/>
          <w:color w:val="2C3E50"/>
          <w:sz w:val="20"/>
        </w:rPr>
        <w:t xml:space="preserve">2. Scan Creation: </w:t>
      </w:r>
      <w:r>
        <w:rPr>
          <w:rFonts w:ascii="Calibri" w:hAnsi="Calibri"/>
          <w:color w:val="222222"/>
          <w:sz w:val="20"/>
        </w:rPr>
        <w:t>Navigate to My Scans -&gt; New Scan, and select the Basic Network Scan template.</w:t>
      </w:r>
    </w:p>
    <w:p>
      <w:pPr>
        <w:pStyle w:val="ListBullet"/>
        <w:spacing w:before="0" w:after="50" w:line="276" w:lineRule="auto"/>
      </w:pPr>
      <w:r>
        <w:rPr>
          <w:rFonts w:ascii="Calibri" w:hAnsi="Calibri"/>
          <w:b/>
          <w:color w:val="2C3E50"/>
          <w:sz w:val="20"/>
        </w:rPr>
        <w:t xml:space="preserve">3. Target Configuration: </w:t>
      </w:r>
      <w:r>
        <w:rPr>
          <w:rFonts w:ascii="Calibri" w:hAnsi="Calibri"/>
          <w:color w:val="222222"/>
          <w:sz w:val="20"/>
        </w:rPr>
        <w:t>Enter a descriptive scan name (e.g., Lab_VA), keep folder as My Scans, and enter the authorized lab VM IP in the Targets field; click Save.</w:t>
      </w:r>
    </w:p>
    <w:p>
      <w:pPr>
        <w:pStyle w:val="ListBullet"/>
        <w:spacing w:before="0" w:after="50" w:line="276" w:lineRule="auto"/>
      </w:pPr>
      <w:r>
        <w:rPr>
          <w:rFonts w:ascii="Calibri" w:hAnsi="Calibri"/>
          <w:b/>
          <w:color w:val="2C3E50"/>
          <w:sz w:val="20"/>
        </w:rPr>
        <w:t xml:space="preserve">4. Launch: </w:t>
      </w:r>
      <w:r>
        <w:rPr>
          <w:rFonts w:ascii="Calibri" w:hAnsi="Calibri"/>
          <w:color w:val="222222"/>
          <w:sz w:val="20"/>
        </w:rPr>
        <w:t>Under My Scans, click the green Play/Launch button next to the saved scan and await completion.</w:t>
      </w:r>
    </w:p>
    <w:p>
      <w:pPr>
        <w:pStyle w:val="ListBullet"/>
        <w:spacing w:before="0" w:after="50" w:line="276" w:lineRule="auto"/>
      </w:pPr>
      <w:r>
        <w:rPr>
          <w:rFonts w:ascii="Calibri" w:hAnsi="Calibri"/>
          <w:b/>
          <w:color w:val="2C3E50"/>
          <w:sz w:val="20"/>
        </w:rPr>
        <w:t xml:space="preserve">5. Result Analysis: </w:t>
      </w:r>
      <w:r>
        <w:rPr>
          <w:rFonts w:ascii="Calibri" w:hAnsi="Calibri"/>
          <w:color w:val="222222"/>
          <w:sz w:val="20"/>
        </w:rPr>
        <w:t>Open the finished scan, inspect the severity bar chart, review Critical/High findings, note plugin output and CVE references, and research CVEs on cve.org or nvd.nist.gov.</w:t>
      </w:r>
    </w:p>
    <w:p>
      <w:pPr>
        <w:pStyle w:val="ListBullet"/>
        <w:spacing w:before="0" w:after="50" w:line="276" w:lineRule="auto"/>
      </w:pPr>
      <w:r>
        <w:rPr>
          <w:rFonts w:ascii="Calibri" w:hAnsi="Calibri"/>
          <w:b/>
          <w:color w:val="2C3E50"/>
          <w:sz w:val="20"/>
        </w:rPr>
        <w:t xml:space="preserve">6. Report Export: </w:t>
      </w:r>
      <w:r>
        <w:rPr>
          <w:rFonts w:ascii="Calibri" w:hAnsi="Calibri"/>
          <w:color w:val="222222"/>
          <w:sz w:val="20"/>
        </w:rPr>
        <w:t>Click the Export button in the top-right corner to save an HTML or PDF report if requested by the examiner.</w:t>
      </w:r>
    </w:p>
    <w:p>
      <w:r>
        <w:br w:type="page"/>
      </w:r>
    </w:p>
    <w:p>
      <w:pPr>
        <w:keepNext/>
        <w:spacing w:before="280" w:after="80"/>
      </w:pPr>
      <w:r>
        <w:rPr>
          <w:rFonts w:ascii="Calibri" w:hAnsi="Calibri"/>
          <w:b/>
          <w:color w:val="1B365D"/>
          <w:sz w:val="30"/>
        </w:rPr>
        <w:t>5. Overall Comparison Table</w:t>
      </w:r>
    </w:p>
    <w:p>
      <w:pPr>
        <w:spacing w:before="0" w:after="80" w:line="276" w:lineRule="auto"/>
      </w:pPr>
      <w:r>
        <w:rPr>
          <w:rFonts w:ascii="Calibri" w:hAnsi="Calibri"/>
          <w:b/>
          <w:color w:val="2C3E50"/>
          <w:sz w:val="20"/>
        </w:rPr>
        <w:t xml:space="preserve">Summary Comparison: </w:t>
      </w:r>
      <w:r>
        <w:rPr>
          <w:rFonts w:ascii="Calibri" w:hAnsi="Calibri"/>
          <w:color w:val="222222"/>
          <w:sz w:val="20"/>
        </w:rPr>
        <w:t>The following table provides a concise, side-by-side comparison of the four browser-based and web-interface tools evaluated in this laboratory:</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160"/>
            <w:shd w:fill="1B365D"/>
            <w:tcMar>
              <w:top w:w="100" w:type="dxa"/>
              <w:bottom w:w="100" w:type="dxa"/>
              <w:left w:w="100" w:type="dxa"/>
              <w:right w:w="100" w:type="dxa"/>
            </w:tcMar>
          </w:tcPr>
          <w:p>
            <w:pPr>
              <w:spacing w:before="0" w:after="0"/>
            </w:pPr>
            <w:r>
              <w:rPr>
                <w:rFonts w:ascii="Calibri" w:hAnsi="Calibri"/>
                <w:b/>
                <w:color w:val="FFFFFF"/>
                <w:sz w:val="19"/>
              </w:rPr>
              <w:t>Tool</w:t>
            </w:r>
          </w:p>
        </w:tc>
        <w:tc>
          <w:tcPr>
            <w:tcW w:type="dxa" w:w="2592"/>
            <w:shd w:fill="1B365D"/>
            <w:tcMar>
              <w:top w:w="100" w:type="dxa"/>
              <w:bottom w:w="100" w:type="dxa"/>
              <w:left w:w="100" w:type="dxa"/>
              <w:right w:w="100" w:type="dxa"/>
            </w:tcMar>
          </w:tcPr>
          <w:p>
            <w:pPr>
              <w:spacing w:before="0" w:after="0"/>
            </w:pPr>
            <w:r>
              <w:rPr>
                <w:rFonts w:ascii="Calibri" w:hAnsi="Calibri"/>
                <w:b/>
                <w:color w:val="FFFFFF"/>
                <w:sz w:val="19"/>
              </w:rPr>
              <w:t>Purpose</w:t>
            </w:r>
          </w:p>
        </w:tc>
        <w:tc>
          <w:tcPr>
            <w:tcW w:type="dxa" w:w="3168"/>
            <w:shd w:fill="1B365D"/>
            <w:tcMar>
              <w:top w:w="100" w:type="dxa"/>
              <w:bottom w:w="100" w:type="dxa"/>
              <w:left w:w="100" w:type="dxa"/>
              <w:right w:w="100" w:type="dxa"/>
            </w:tcMar>
          </w:tcPr>
          <w:p>
            <w:pPr>
              <w:spacing w:before="0" w:after="0"/>
            </w:pPr>
            <w:r>
              <w:rPr>
                <w:rFonts w:ascii="Calibri" w:hAnsi="Calibri"/>
                <w:b/>
                <w:color w:val="FFFFFF"/>
                <w:sz w:val="19"/>
              </w:rPr>
              <w:t>Main Steps</w:t>
            </w:r>
          </w:p>
        </w:tc>
        <w:tc>
          <w:tcPr>
            <w:tcW w:type="dxa" w:w="2160"/>
            <w:shd w:fill="1B365D"/>
            <w:tcMar>
              <w:top w:w="100" w:type="dxa"/>
              <w:bottom w:w="100" w:type="dxa"/>
              <w:left w:w="100" w:type="dxa"/>
              <w:right w:w="100" w:type="dxa"/>
            </w:tcMar>
          </w:tcPr>
          <w:p>
            <w:pPr>
              <w:spacing w:before="0" w:after="0"/>
            </w:pPr>
            <w:r>
              <w:rPr>
                <w:rFonts w:ascii="Calibri" w:hAnsi="Calibri"/>
                <w:b/>
                <w:color w:val="FFFFFF"/>
                <w:sz w:val="19"/>
              </w:rPr>
              <w:t>Main Output</w:t>
            </w:r>
          </w:p>
        </w:tc>
      </w:tr>
      <w:tr>
        <w:tc>
          <w:tcPr>
            <w:tcW w:type="dxa" w:w="2160"/>
            <w:shd w:fill="FFFFFF"/>
            <w:tcMar>
              <w:top w:w="80" w:type="dxa"/>
              <w:bottom w:w="80" w:type="dxa"/>
              <w:left w:w="100" w:type="dxa"/>
              <w:right w:w="100" w:type="dxa"/>
            </w:tcMar>
          </w:tcPr>
          <w:p>
            <w:pPr>
              <w:spacing w:before="0" w:after="0"/>
            </w:pPr>
            <w:r>
              <w:rPr>
                <w:rFonts w:ascii="Calibri" w:hAnsi="Calibri"/>
                <w:b/>
                <w:color w:val="1B365D"/>
                <w:sz w:val="18"/>
              </w:rPr>
              <w:t>Robtex</w:t>
            </w:r>
          </w:p>
        </w:tc>
        <w:tc>
          <w:tcPr>
            <w:tcW w:type="dxa" w:w="2592"/>
            <w:shd w:fill="FFFFFF"/>
            <w:tcMar>
              <w:top w:w="80" w:type="dxa"/>
              <w:bottom w:w="80" w:type="dxa"/>
              <w:left w:w="100" w:type="dxa"/>
              <w:right w:w="100" w:type="dxa"/>
            </w:tcMar>
          </w:tcPr>
          <w:p>
            <w:pPr>
              <w:spacing w:before="0" w:after="0"/>
            </w:pPr>
            <w:r>
              <w:rPr>
                <w:rFonts w:ascii="Calibri" w:hAnsi="Calibri"/>
                <w:color w:val="222222"/>
                <w:sz w:val="18"/>
              </w:rPr>
              <w:t>Passive DNS footprinting and network intelligence gathering.</w:t>
            </w:r>
          </w:p>
        </w:tc>
        <w:tc>
          <w:tcPr>
            <w:tcW w:type="dxa" w:w="3168"/>
            <w:shd w:fill="FFFFFF"/>
            <w:tcMar>
              <w:top w:w="80" w:type="dxa"/>
              <w:bottom w:w="80" w:type="dxa"/>
              <w:left w:w="100" w:type="dxa"/>
              <w:right w:w="100" w:type="dxa"/>
            </w:tcMar>
          </w:tcPr>
          <w:p>
            <w:pPr>
              <w:spacing w:before="0" w:after="0"/>
            </w:pPr>
            <w:r>
              <w:rPr>
                <w:rFonts w:ascii="Calibri" w:hAnsi="Calibri"/>
                <w:color w:val="222222"/>
                <w:sz w:val="18"/>
              </w:rPr>
              <w:t>1. Navigate to robtex.com.</w:t>
              <w:br/>
              <w:t>2. Enter domain (ssn.edu.in).</w:t>
              <w:br/>
              <w:t>3. Inspect DNS records (A, MX, NS, TXT).</w:t>
              <w:br/>
              <w:t>4. Review Subdomains, DNS History, and DNS Trace.</w:t>
            </w:r>
          </w:p>
        </w:tc>
        <w:tc>
          <w:tcPr>
            <w:tcW w:type="dxa" w:w="2160"/>
            <w:shd w:fill="FFFFFF"/>
            <w:tcMar>
              <w:top w:w="80" w:type="dxa"/>
              <w:bottom w:w="80" w:type="dxa"/>
              <w:left w:w="100" w:type="dxa"/>
              <w:right w:w="100" w:type="dxa"/>
            </w:tcMar>
          </w:tcPr>
          <w:p>
            <w:pPr>
              <w:spacing w:before="0" w:after="0"/>
            </w:pPr>
            <w:r>
              <w:rPr>
                <w:rFonts w:ascii="Calibri" w:hAnsi="Calibri"/>
                <w:color w:val="222222"/>
                <w:sz w:val="18"/>
              </w:rPr>
              <w:t>Forward/reverse DNS records, mail servers, subdomains, DNSSEC status, delegation chain, latency, and ASN details.</w:t>
            </w:r>
          </w:p>
        </w:tc>
      </w:tr>
      <w:tr>
        <w:tc>
          <w:tcPr>
            <w:tcW w:type="dxa" w:w="2160"/>
            <w:shd w:fill="F8FAFC"/>
            <w:tcMar>
              <w:top w:w="80" w:type="dxa"/>
              <w:bottom w:w="80" w:type="dxa"/>
              <w:left w:w="100" w:type="dxa"/>
              <w:right w:w="100" w:type="dxa"/>
            </w:tcMar>
          </w:tcPr>
          <w:p>
            <w:pPr>
              <w:spacing w:before="0" w:after="0"/>
            </w:pPr>
            <w:r>
              <w:rPr>
                <w:rFonts w:ascii="Calibri" w:hAnsi="Calibri"/>
                <w:b/>
                <w:color w:val="1B365D"/>
                <w:sz w:val="18"/>
              </w:rPr>
              <w:t>Shodan</w:t>
            </w:r>
          </w:p>
        </w:tc>
        <w:tc>
          <w:tcPr>
            <w:tcW w:type="dxa" w:w="2592"/>
            <w:shd w:fill="F8FAFC"/>
            <w:tcMar>
              <w:top w:w="80" w:type="dxa"/>
              <w:bottom w:w="80" w:type="dxa"/>
              <w:left w:w="100" w:type="dxa"/>
              <w:right w:w="100" w:type="dxa"/>
            </w:tcMar>
          </w:tcPr>
          <w:p>
            <w:pPr>
              <w:spacing w:before="0" w:after="0"/>
            </w:pPr>
            <w:r>
              <w:rPr>
                <w:rFonts w:ascii="Calibri" w:hAnsi="Calibri"/>
                <w:color w:val="222222"/>
                <w:sz w:val="18"/>
              </w:rPr>
              <w:t>Search engine for publicly observed internet-connected devices and open ports.</w:t>
            </w:r>
          </w:p>
        </w:tc>
        <w:tc>
          <w:tcPr>
            <w:tcW w:type="dxa" w:w="3168"/>
            <w:shd w:fill="F8FAFC"/>
            <w:tcMar>
              <w:top w:w="80" w:type="dxa"/>
              <w:bottom w:w="80" w:type="dxa"/>
              <w:left w:w="100" w:type="dxa"/>
              <w:right w:w="100" w:type="dxa"/>
            </w:tcMar>
          </w:tcPr>
          <w:p>
            <w:pPr>
              <w:spacing w:before="0" w:after="0"/>
            </w:pPr>
            <w:r>
              <w:rPr>
                <w:rFonts w:ascii="Calibri" w:hAnsi="Calibri"/>
                <w:color w:val="222222"/>
                <w:sz w:val="18"/>
              </w:rPr>
              <w:t>1. Navigate to shodan.io.</w:t>
              <w:br/>
              <w:t>2. Search target IP (8.8.8.8).</w:t>
              <w:br/>
              <w:t>3. Review host overview panel.</w:t>
              <w:br/>
              <w:t>4. Inspect Open Ports and service banners.</w:t>
            </w:r>
          </w:p>
        </w:tc>
        <w:tc>
          <w:tcPr>
            <w:tcW w:type="dxa" w:w="2160"/>
            <w:shd w:fill="F8FAFC"/>
            <w:tcMar>
              <w:top w:w="80" w:type="dxa"/>
              <w:bottom w:w="80" w:type="dxa"/>
              <w:left w:w="100" w:type="dxa"/>
              <w:right w:w="100" w:type="dxa"/>
            </w:tcMar>
          </w:tcPr>
          <w:p>
            <w:pPr>
              <w:spacing w:before="0" w:after="0"/>
            </w:pPr>
            <w:r>
              <w:rPr>
                <w:rFonts w:ascii="Calibri" w:hAnsi="Calibri"/>
                <w:color w:val="222222"/>
                <w:sz w:val="18"/>
              </w:rPr>
              <w:t>Reverse hostname, organization, geographic location, open ports, service names, and raw service banners.</w:t>
            </w:r>
          </w:p>
        </w:tc>
      </w:tr>
      <w:tr>
        <w:tc>
          <w:tcPr>
            <w:tcW w:type="dxa" w:w="2160"/>
            <w:shd w:fill="FFFFFF"/>
            <w:tcMar>
              <w:top w:w="80" w:type="dxa"/>
              <w:bottom w:w="80" w:type="dxa"/>
              <w:left w:w="100" w:type="dxa"/>
              <w:right w:w="100" w:type="dxa"/>
            </w:tcMar>
          </w:tcPr>
          <w:p>
            <w:pPr>
              <w:spacing w:before="0" w:after="0"/>
            </w:pPr>
            <w:r>
              <w:rPr>
                <w:rFonts w:ascii="Calibri" w:hAnsi="Calibri"/>
                <w:b/>
                <w:color w:val="1B365D"/>
                <w:sz w:val="18"/>
              </w:rPr>
              <w:t>Google Dorking</w:t>
            </w:r>
          </w:p>
        </w:tc>
        <w:tc>
          <w:tcPr>
            <w:tcW w:type="dxa" w:w="2592"/>
            <w:shd w:fill="FFFFFF"/>
            <w:tcMar>
              <w:top w:w="80" w:type="dxa"/>
              <w:bottom w:w="80" w:type="dxa"/>
              <w:left w:w="100" w:type="dxa"/>
              <w:right w:w="100" w:type="dxa"/>
            </w:tcMar>
          </w:tcPr>
          <w:p>
            <w:pPr>
              <w:spacing w:before="0" w:after="0"/>
            </w:pPr>
            <w:r>
              <w:rPr>
                <w:rFonts w:ascii="Calibri" w:hAnsi="Calibri"/>
                <w:color w:val="222222"/>
                <w:sz w:val="18"/>
              </w:rPr>
              <w:t>Passive search engine reconnaissance using advanced operators on public index.</w:t>
            </w:r>
          </w:p>
        </w:tc>
        <w:tc>
          <w:tcPr>
            <w:tcW w:type="dxa" w:w="3168"/>
            <w:shd w:fill="FFFFFF"/>
            <w:tcMar>
              <w:top w:w="80" w:type="dxa"/>
              <w:bottom w:w="80" w:type="dxa"/>
              <w:left w:w="100" w:type="dxa"/>
              <w:right w:w="100" w:type="dxa"/>
            </w:tcMar>
          </w:tcPr>
          <w:p>
            <w:pPr>
              <w:spacing w:before="0" w:after="0"/>
            </w:pPr>
            <w:r>
              <w:rPr>
                <w:rFonts w:ascii="Calibri" w:hAnsi="Calibri"/>
                <w:color w:val="222222"/>
                <w:sz w:val="18"/>
              </w:rPr>
              <w:t>1. Navigate to google.com.</w:t>
              <w:br/>
              <w:t>2. Execute queries using site:, filetype:, intitle:, inurl:.</w:t>
              <w:br/>
              <w:t>3. Review filtered pages and documents.</w:t>
            </w:r>
          </w:p>
        </w:tc>
        <w:tc>
          <w:tcPr>
            <w:tcW w:type="dxa" w:w="2160"/>
            <w:shd w:fill="FFFFFF"/>
            <w:tcMar>
              <w:top w:w="80" w:type="dxa"/>
              <w:bottom w:w="80" w:type="dxa"/>
              <w:left w:w="100" w:type="dxa"/>
              <w:right w:w="100" w:type="dxa"/>
            </w:tcMar>
          </w:tcPr>
          <w:p>
            <w:pPr>
              <w:spacing w:before="0" w:after="0"/>
            </w:pPr>
            <w:r>
              <w:rPr>
                <w:rFonts w:ascii="Calibri" w:hAnsi="Calibri"/>
                <w:color w:val="222222"/>
                <w:sz w:val="18"/>
              </w:rPr>
              <w:t>Publicly indexed PDF/office documents, specific page titles, hidden directories, and exposed URL structures.</w:t>
            </w:r>
          </w:p>
        </w:tc>
      </w:tr>
      <w:tr>
        <w:tc>
          <w:tcPr>
            <w:tcW w:type="dxa" w:w="2160"/>
            <w:shd w:fill="F8FAFC"/>
            <w:tcMar>
              <w:top w:w="80" w:type="dxa"/>
              <w:bottom w:w="80" w:type="dxa"/>
              <w:left w:w="100" w:type="dxa"/>
              <w:right w:w="100" w:type="dxa"/>
            </w:tcMar>
          </w:tcPr>
          <w:p>
            <w:pPr>
              <w:spacing w:before="0" w:after="0"/>
            </w:pPr>
            <w:r>
              <w:rPr>
                <w:rFonts w:ascii="Calibri" w:hAnsi="Calibri"/>
                <w:b/>
                <w:color w:val="1B365D"/>
                <w:sz w:val="18"/>
              </w:rPr>
              <w:t>Nessus Essentials</w:t>
            </w:r>
          </w:p>
        </w:tc>
        <w:tc>
          <w:tcPr>
            <w:tcW w:type="dxa" w:w="2592"/>
            <w:shd w:fill="F8FAFC"/>
            <w:tcMar>
              <w:top w:w="80" w:type="dxa"/>
              <w:bottom w:w="80" w:type="dxa"/>
              <w:left w:w="100" w:type="dxa"/>
              <w:right w:w="100" w:type="dxa"/>
            </w:tcMar>
          </w:tcPr>
          <w:p>
            <w:pPr>
              <w:spacing w:before="0" w:after="0"/>
            </w:pPr>
            <w:r>
              <w:rPr>
                <w:rFonts w:ascii="Calibri" w:hAnsi="Calibri"/>
                <w:color w:val="222222"/>
                <w:sz w:val="18"/>
              </w:rPr>
              <w:t>Automated vulnerability assessment and security auditing of network hosts.</w:t>
            </w:r>
          </w:p>
        </w:tc>
        <w:tc>
          <w:tcPr>
            <w:tcW w:type="dxa" w:w="3168"/>
            <w:shd w:fill="F8FAFC"/>
            <w:tcMar>
              <w:top w:w="80" w:type="dxa"/>
              <w:bottom w:w="80" w:type="dxa"/>
              <w:left w:w="100" w:type="dxa"/>
              <w:right w:w="100" w:type="dxa"/>
            </w:tcMar>
          </w:tcPr>
          <w:p>
            <w:pPr>
              <w:spacing w:before="0" w:after="0"/>
            </w:pPr>
            <w:r>
              <w:rPr>
                <w:rFonts w:ascii="Calibri" w:hAnsi="Calibri"/>
                <w:color w:val="222222"/>
                <w:sz w:val="18"/>
              </w:rPr>
              <w:t>1. Sign in at https://localhost:8834.</w:t>
              <w:br/>
              <w:t>2. Create New Scan -&gt; Basic Network Scan.</w:t>
              <w:br/>
              <w:t>3. Enter authorized target IP and launch.</w:t>
              <w:br/>
              <w:t>4. Analyze vulnerabilities and CVEs; export report.</w:t>
            </w:r>
          </w:p>
        </w:tc>
        <w:tc>
          <w:tcPr>
            <w:tcW w:type="dxa" w:w="2160"/>
            <w:shd w:fill="F8FAFC"/>
            <w:tcMar>
              <w:top w:w="80" w:type="dxa"/>
              <w:bottom w:w="80" w:type="dxa"/>
              <w:left w:w="100" w:type="dxa"/>
              <w:right w:w="100" w:type="dxa"/>
            </w:tcMar>
          </w:tcPr>
          <w:p>
            <w:pPr>
              <w:spacing w:before="0" w:after="0"/>
            </w:pPr>
            <w:r>
              <w:rPr>
                <w:rFonts w:ascii="Calibri" w:hAnsi="Calibri"/>
                <w:color w:val="222222"/>
                <w:sz w:val="18"/>
              </w:rPr>
              <w:t>Categorized vulnerability findings (Critical to Info), CVSS scores, plugin outputs, CVE numbers, and remediation solutions.</w:t>
            </w:r>
          </w:p>
        </w:tc>
      </w:tr>
    </w:tbl>
    <w:p>
      <w:pPr>
        <w:spacing w:before="0" w:after="120"/>
      </w:pPr>
    </w:p>
    <w:p>
      <w:pPr>
        <w:keepNext/>
        <w:spacing w:before="280" w:after="80"/>
      </w:pPr>
      <w:r>
        <w:rPr>
          <w:rFonts w:ascii="Calibri" w:hAnsi="Calibri"/>
          <w:b/>
          <w:color w:val="1B365D"/>
          <w:sz w:val="30"/>
        </w:rPr>
        <w:t>6. Final Practical Revision</w:t>
      </w:r>
    </w:p>
    <w:p>
      <w:pPr>
        <w:keepNext/>
        <w:spacing w:before="200" w:after="60"/>
      </w:pPr>
      <w:r>
        <w:rPr>
          <w:rFonts w:ascii="Calibri" w:hAnsi="Calibri"/>
          <w:b/>
          <w:color w:val="2B4C7E"/>
          <w:sz w:val="24"/>
        </w:rPr>
        <w:t>Click-by-Click Sequence for Each Tool</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40" w:type="dxa"/>
              <w:right w:w="14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ROBTEX CLICK-BY-CLICK</w:t>
              <w:br/>
              <w:t>Browser -&gt; robtex.com -&gt; Search "ssn.edu.in" -&gt; Select DNS Result -&gt; Review Summary -&gt;</w:t>
              <w:br/>
              <w:t>Inspect A, MX, NS, TXT, PTR, SOA -&gt; Scroll to Subdomains -&gt; Open DNS History -&gt;</w:t>
              <w:br/>
              <w:t>Open DNS Trace (Check DNSSEC &amp; Latency) -&gt; Click IP for ASN Details</w:t>
              <w:br/>
              <w:br/>
              <w:t>SHODAN CLICK-BY-CLICK</w:t>
              <w:br/>
              <w:t>Browser -&gt; shodan.io -&gt; Search "8.8.8.8" -&gt; Press Enter -&gt; Review Left Panel (Org, Country)</w:t>
              <w:br/>
              <w:t>-&gt; Scroll to Open Ports -&gt; Inspect Listening Services -&gt; Read Raw Service Banners -&gt;</w:t>
              <w:br/>
              <w:t>Note Hostname and ISP Details</w:t>
              <w:br/>
              <w:br/>
              <w:t>GOOGLE DORKING CLICK-BY-CLICK</w:t>
              <w:br/>
              <w:t>Browser -&gt; google.com -&gt; Enter site:owasp.org -&gt; Enter filetype:pdf site:owasp.org cybersecurity</w:t>
              <w:br/>
              <w:t>-&gt; Enter intitle:"cheat sheet" site:owasp.org -&gt; Enter inurl:testing-guide site:owasp.org -&gt;</w:t>
              <w:br/>
              <w:t>Test intext:, -, " ", OR -&gt; Inspect Returned Public Documents</w:t>
              <w:br/>
              <w:br/>
              <w:t>NESSUS ESSENTIALS CLICK-BY-CLICK</w:t>
              <w:br/>
              <w:t>Browser -&gt; https://localhost:8834 -&gt; Accept SSL Warning -&gt; Enter Lab Credentials -&gt; Sign In</w:t>
              <w:br/>
              <w:t>-&gt; My Scans -&gt; New Scan -&gt; Basic Network Scan -&gt; Name: Lab_VA -&gt; Targets: [Target IP] -&gt;</w:t>
              <w:br/>
              <w:t>Save -&gt; Click Play (Launch) -&gt; Wait for Completion -&gt; Open Scan -&gt; Review Vulnerabilities Tab</w:t>
              <w:br/>
              <w:t>-&gt; Click Critical/High Finding -&gt; Inspect Description &amp; CVE -&gt; Cross-Reference on cve.org -&gt;</w:t>
              <w:br/>
              <w:t>Export Report</w:t>
            </w:r>
          </w:p>
        </w:tc>
      </w:tr>
    </w:tbl>
    <w:p>
      <w:pPr>
        <w:spacing w:before="0" w:after="80"/>
      </w:pPr>
    </w:p>
    <w:p>
      <w:pPr>
        <w:keepNext/>
        <w:spacing w:before="200" w:after="60"/>
      </w:pPr>
      <w:r>
        <w:rPr>
          <w:rFonts w:ascii="Calibri" w:hAnsi="Calibri"/>
          <w:b/>
          <w:color w:val="2B4C7E"/>
          <w:sz w:val="24"/>
        </w:rPr>
        <w:t>Most Important Terms</w:t>
      </w:r>
    </w:p>
    <w:p>
      <w:pPr>
        <w:pStyle w:val="ListBullet"/>
        <w:spacing w:before="0" w:after="50" w:line="276" w:lineRule="auto"/>
      </w:pPr>
      <w:r>
        <w:rPr>
          <w:rFonts w:ascii="Calibri" w:hAnsi="Calibri"/>
          <w:b/>
          <w:color w:val="2C3E50"/>
          <w:sz w:val="20"/>
        </w:rPr>
        <w:t xml:space="preserve">Passive Footprinting: </w:t>
      </w:r>
      <w:r>
        <w:rPr>
          <w:rFonts w:ascii="Calibri" w:hAnsi="Calibri"/>
          <w:color w:val="222222"/>
          <w:sz w:val="20"/>
        </w:rPr>
        <w:t>Gathering target intelligence from third-party public databases without directly interacting with the target's network.</w:t>
      </w:r>
    </w:p>
    <w:p>
      <w:pPr>
        <w:pStyle w:val="ListBullet"/>
        <w:spacing w:before="0" w:after="50" w:line="276" w:lineRule="auto"/>
      </w:pPr>
      <w:r>
        <w:rPr>
          <w:rFonts w:ascii="Calibri" w:hAnsi="Calibri"/>
          <w:b/>
          <w:color w:val="2C3E50"/>
          <w:sz w:val="20"/>
        </w:rPr>
        <w:t xml:space="preserve">A Record: </w:t>
      </w:r>
      <w:r>
        <w:rPr>
          <w:rFonts w:ascii="Calibri" w:hAnsi="Calibri"/>
          <w:color w:val="222222"/>
          <w:sz w:val="20"/>
        </w:rPr>
        <w:t>Maps a hostname to an IPv4 address.</w:t>
      </w:r>
    </w:p>
    <w:p>
      <w:pPr>
        <w:pStyle w:val="ListBullet"/>
        <w:spacing w:before="0" w:after="50" w:line="276" w:lineRule="auto"/>
      </w:pPr>
      <w:r>
        <w:rPr>
          <w:rFonts w:ascii="Calibri" w:hAnsi="Calibri"/>
          <w:b/>
          <w:color w:val="2C3E50"/>
          <w:sz w:val="20"/>
        </w:rPr>
        <w:t xml:space="preserve">MX Record: </w:t>
      </w:r>
      <w:r>
        <w:rPr>
          <w:rFonts w:ascii="Calibri" w:hAnsi="Calibri"/>
          <w:color w:val="222222"/>
          <w:sz w:val="20"/>
        </w:rPr>
        <w:t>Maps a domain to its responsible mail server(s).</w:t>
      </w:r>
    </w:p>
    <w:p>
      <w:pPr>
        <w:pStyle w:val="ListBullet"/>
        <w:spacing w:before="0" w:after="50" w:line="276" w:lineRule="auto"/>
      </w:pPr>
      <w:r>
        <w:rPr>
          <w:rFonts w:ascii="Calibri" w:hAnsi="Calibri"/>
          <w:b/>
          <w:color w:val="2C3E50"/>
          <w:sz w:val="20"/>
        </w:rPr>
        <w:t xml:space="preserve">NS Record: </w:t>
      </w:r>
      <w:r>
        <w:rPr>
          <w:rFonts w:ascii="Calibri" w:hAnsi="Calibri"/>
          <w:color w:val="222222"/>
          <w:sz w:val="20"/>
        </w:rPr>
        <w:t>Maps a domain to its authoritative name server(s).</w:t>
      </w:r>
    </w:p>
    <w:p>
      <w:pPr>
        <w:pStyle w:val="ListBullet"/>
        <w:spacing w:before="0" w:after="50" w:line="276" w:lineRule="auto"/>
      </w:pPr>
      <w:r>
        <w:rPr>
          <w:rFonts w:ascii="Calibri" w:hAnsi="Calibri"/>
          <w:b/>
          <w:color w:val="2C3E50"/>
          <w:sz w:val="20"/>
        </w:rPr>
        <w:t xml:space="preserve">TXT Record: </w:t>
      </w:r>
      <w:r>
        <w:rPr>
          <w:rFonts w:ascii="Calibri" w:hAnsi="Calibri"/>
          <w:color w:val="222222"/>
          <w:sz w:val="20"/>
        </w:rPr>
        <w:t>Stores arbitrary text, primarily SPF (v=spf1 ...) and DKIM for email security and verification.</w:t>
      </w:r>
    </w:p>
    <w:p>
      <w:pPr>
        <w:pStyle w:val="ListBullet"/>
        <w:spacing w:before="0" w:after="50" w:line="276" w:lineRule="auto"/>
      </w:pPr>
      <w:r>
        <w:rPr>
          <w:rFonts w:ascii="Calibri" w:hAnsi="Calibri"/>
          <w:b/>
          <w:color w:val="2C3E50"/>
          <w:sz w:val="20"/>
        </w:rPr>
        <w:t xml:space="preserve">PTR Record: </w:t>
      </w:r>
      <w:r>
        <w:rPr>
          <w:rFonts w:ascii="Calibri" w:hAnsi="Calibri"/>
          <w:color w:val="222222"/>
          <w:sz w:val="20"/>
        </w:rPr>
        <w:t>Maps an IPv4 address to its reverse DNS canonical hostname.</w:t>
      </w:r>
    </w:p>
    <w:p>
      <w:pPr>
        <w:pStyle w:val="ListBullet"/>
        <w:spacing w:before="0" w:after="50" w:line="276" w:lineRule="auto"/>
      </w:pPr>
      <w:r>
        <w:rPr>
          <w:rFonts w:ascii="Calibri" w:hAnsi="Calibri"/>
          <w:b/>
          <w:color w:val="2C3E50"/>
          <w:sz w:val="20"/>
        </w:rPr>
        <w:t xml:space="preserve">SOA Record: </w:t>
      </w:r>
      <w:r>
        <w:rPr>
          <w:rFonts w:ascii="Calibri" w:hAnsi="Calibri"/>
          <w:color w:val="222222"/>
          <w:sz w:val="20"/>
        </w:rPr>
        <w:t>Contains zone authority parameters, serial number, and zone transfer timers.</w:t>
      </w:r>
    </w:p>
    <w:p>
      <w:pPr>
        <w:pStyle w:val="ListBullet"/>
        <w:spacing w:before="0" w:after="50" w:line="276" w:lineRule="auto"/>
      </w:pPr>
      <w:r>
        <w:rPr>
          <w:rFonts w:ascii="Calibri" w:hAnsi="Calibri"/>
          <w:b/>
          <w:color w:val="2C3E50"/>
          <w:sz w:val="20"/>
        </w:rPr>
        <w:t xml:space="preserve">ASN: </w:t>
      </w:r>
      <w:r>
        <w:rPr>
          <w:rFonts w:ascii="Calibri" w:hAnsi="Calibri"/>
          <w:color w:val="222222"/>
          <w:sz w:val="20"/>
        </w:rPr>
        <w:t>Autonomous System Number identifying the network and ISP routing an IP block.</w:t>
      </w:r>
    </w:p>
    <w:p>
      <w:pPr>
        <w:pStyle w:val="ListBullet"/>
        <w:spacing w:before="0" w:after="50" w:line="276" w:lineRule="auto"/>
      </w:pPr>
      <w:r>
        <w:rPr>
          <w:rFonts w:ascii="Calibri" w:hAnsi="Calibri"/>
          <w:b/>
          <w:color w:val="2C3E50"/>
          <w:sz w:val="20"/>
        </w:rPr>
        <w:t xml:space="preserve">DNSSEC: </w:t>
      </w:r>
      <w:r>
        <w:rPr>
          <w:rFonts w:ascii="Calibri" w:hAnsi="Calibri"/>
          <w:color w:val="222222"/>
          <w:sz w:val="20"/>
        </w:rPr>
        <w:t>Cryptographic extension authenticating DNS responses (unsigned = no DS record in parent).</w:t>
      </w:r>
    </w:p>
    <w:p>
      <w:pPr>
        <w:pStyle w:val="ListBullet"/>
        <w:spacing w:before="0" w:after="50" w:line="276" w:lineRule="auto"/>
      </w:pPr>
      <w:r>
        <w:rPr>
          <w:rFonts w:ascii="Calibri" w:hAnsi="Calibri"/>
          <w:b/>
          <w:color w:val="2C3E50"/>
          <w:sz w:val="20"/>
        </w:rPr>
        <w:t xml:space="preserve">Shodan: </w:t>
      </w:r>
      <w:r>
        <w:rPr>
          <w:rFonts w:ascii="Calibri" w:hAnsi="Calibri"/>
          <w:color w:val="222222"/>
          <w:sz w:val="20"/>
        </w:rPr>
        <w:t>Device search engine indexing listening network ports and service banners.</w:t>
      </w:r>
    </w:p>
    <w:p>
      <w:pPr>
        <w:pStyle w:val="ListBullet"/>
        <w:spacing w:before="0" w:after="50" w:line="276" w:lineRule="auto"/>
      </w:pPr>
      <w:r>
        <w:rPr>
          <w:rFonts w:ascii="Calibri" w:hAnsi="Calibri"/>
          <w:b/>
          <w:color w:val="2C3E50"/>
          <w:sz w:val="20"/>
        </w:rPr>
        <w:t xml:space="preserve">Service Banner: </w:t>
      </w:r>
      <w:r>
        <w:rPr>
          <w:rFonts w:ascii="Calibri" w:hAnsi="Calibri"/>
          <w:color w:val="222222"/>
          <w:sz w:val="20"/>
        </w:rPr>
        <w:t>Text header emitted by an active service disclosing software brand and version.</w:t>
      </w:r>
    </w:p>
    <w:p>
      <w:pPr>
        <w:pStyle w:val="ListBullet"/>
        <w:spacing w:before="0" w:after="50" w:line="276" w:lineRule="auto"/>
      </w:pPr>
      <w:r>
        <w:rPr>
          <w:rFonts w:ascii="Calibri" w:hAnsi="Calibri"/>
          <w:b/>
          <w:color w:val="2C3E50"/>
          <w:sz w:val="20"/>
        </w:rPr>
        <w:t xml:space="preserve">Google Dorking: </w:t>
      </w:r>
      <w:r>
        <w:rPr>
          <w:rFonts w:ascii="Calibri" w:hAnsi="Calibri"/>
          <w:color w:val="222222"/>
          <w:sz w:val="20"/>
        </w:rPr>
        <w:t>Advanced Google queries using operators (site:, filetype:, intitle:, inurl:, intext:, -, " ", OR).</w:t>
      </w:r>
    </w:p>
    <w:p>
      <w:pPr>
        <w:pStyle w:val="ListBullet"/>
        <w:spacing w:before="0" w:after="50" w:line="276" w:lineRule="auto"/>
      </w:pPr>
      <w:r>
        <w:rPr>
          <w:rFonts w:ascii="Calibri" w:hAnsi="Calibri"/>
          <w:b/>
          <w:color w:val="2C3E50"/>
          <w:sz w:val="20"/>
        </w:rPr>
        <w:t xml:space="preserve">Vulnerability Assessment: </w:t>
      </w:r>
      <w:r>
        <w:rPr>
          <w:rFonts w:ascii="Calibri" w:hAnsi="Calibri"/>
          <w:color w:val="222222"/>
          <w:sz w:val="20"/>
        </w:rPr>
        <w:t>Systematic identification, classification, and scoring of security flaws.</w:t>
      </w:r>
    </w:p>
    <w:p>
      <w:pPr>
        <w:pStyle w:val="ListBullet"/>
        <w:spacing w:before="0" w:after="50" w:line="276" w:lineRule="auto"/>
      </w:pPr>
      <w:r>
        <w:rPr>
          <w:rFonts w:ascii="Calibri" w:hAnsi="Calibri"/>
          <w:b/>
          <w:color w:val="2C3E50"/>
          <w:sz w:val="20"/>
        </w:rPr>
        <w:t xml:space="preserve">Nessus Plugin: </w:t>
      </w:r>
      <w:r>
        <w:rPr>
          <w:rFonts w:ascii="Calibri" w:hAnsi="Calibri"/>
          <w:color w:val="222222"/>
          <w:sz w:val="20"/>
        </w:rPr>
        <w:t>Scripted test checking for a specific vulnerability or misconfiguration.</w:t>
      </w:r>
    </w:p>
    <w:p>
      <w:pPr>
        <w:pStyle w:val="ListBullet"/>
        <w:spacing w:before="0" w:after="50" w:line="276" w:lineRule="auto"/>
      </w:pPr>
      <w:r>
        <w:rPr>
          <w:rFonts w:ascii="Calibri" w:hAnsi="Calibri"/>
          <w:b/>
          <w:color w:val="2C3E50"/>
          <w:sz w:val="20"/>
        </w:rPr>
        <w:t xml:space="preserve">CVE: </w:t>
      </w:r>
      <w:r>
        <w:rPr>
          <w:rFonts w:ascii="Calibri" w:hAnsi="Calibri"/>
          <w:color w:val="222222"/>
          <w:sz w:val="20"/>
        </w:rPr>
        <w:t>Common Vulnerabilities and Exposures standardized naming dictionary (CVE-YYYY-NNNNN).</w:t>
      </w:r>
    </w:p>
    <w:p>
      <w:pPr>
        <w:pStyle w:val="ListBullet"/>
        <w:spacing w:before="0" w:after="50" w:line="276" w:lineRule="auto"/>
      </w:pPr>
      <w:r>
        <w:rPr>
          <w:rFonts w:ascii="Calibri" w:hAnsi="Calibri"/>
          <w:b/>
          <w:color w:val="2C3E50"/>
          <w:sz w:val="20"/>
        </w:rPr>
        <w:t xml:space="preserve">CVSS: </w:t>
      </w:r>
      <w:r>
        <w:rPr>
          <w:rFonts w:ascii="Calibri" w:hAnsi="Calibri"/>
          <w:color w:val="222222"/>
          <w:sz w:val="20"/>
        </w:rPr>
        <w:t>Common Vulnerability Scoring System quantifying vulnerability severity (0.0 to 10.0).</w:t>
      </w:r>
    </w:p>
    <w:p>
      <w:pPr>
        <w:pStyle w:val="ListBullet"/>
        <w:spacing w:before="0" w:after="50" w:line="276" w:lineRule="auto"/>
      </w:pPr>
      <w:r>
        <w:rPr>
          <w:rFonts w:ascii="Calibri" w:hAnsi="Calibri"/>
          <w:b/>
          <w:color w:val="2C3E50"/>
          <w:sz w:val="20"/>
        </w:rPr>
        <w:t xml:space="preserve">False Positive: </w:t>
      </w:r>
      <w:r>
        <w:rPr>
          <w:rFonts w:ascii="Calibri" w:hAnsi="Calibri"/>
          <w:color w:val="222222"/>
          <w:sz w:val="20"/>
        </w:rPr>
        <w:t>Scanner flagging a non-existent or unexploitable vulnerability.</w:t>
      </w:r>
    </w:p>
    <w:p>
      <w:pPr>
        <w:keepNext/>
        <w:spacing w:before="200" w:after="60"/>
      </w:pPr>
      <w:r>
        <w:rPr>
          <w:rFonts w:ascii="Calibri" w:hAnsi="Calibri"/>
          <w:b/>
          <w:color w:val="2B4C7E"/>
          <w:sz w:val="24"/>
        </w:rPr>
        <w:t>One-Minute Record Summary (Aim, Procedure, Observation, Result)</w:t>
      </w:r>
    </w:p>
    <w:p>
      <w:pPr>
        <w:keepNext/>
        <w:spacing w:before="140" w:after="40"/>
      </w:pPr>
      <w:r>
        <w:rPr>
          <w:rFonts w:ascii="Calibri" w:hAnsi="Calibri"/>
          <w:b/>
          <w:color w:val="2C3E50"/>
          <w:sz w:val="22"/>
        </w:rPr>
        <w:t>Tool 1: Robtex</w:t>
      </w:r>
    </w:p>
    <w:p>
      <w:pPr>
        <w:pStyle w:val="ListBullet"/>
        <w:spacing w:before="0" w:after="50" w:line="276" w:lineRule="auto"/>
      </w:pPr>
      <w:r>
        <w:rPr>
          <w:rFonts w:ascii="Calibri" w:hAnsi="Calibri"/>
          <w:b/>
          <w:color w:val="2C3E50"/>
          <w:sz w:val="20"/>
        </w:rPr>
        <w:t xml:space="preserve">Aim: </w:t>
      </w:r>
      <w:r>
        <w:rPr>
          <w:rFonts w:ascii="Calibri" w:hAnsi="Calibri"/>
          <w:color w:val="222222"/>
          <w:sz w:val="20"/>
        </w:rPr>
        <w:t>To perform passive DNS footprinting and network intelligence gathering on ssn.edu.in using Robtex.</w:t>
      </w:r>
    </w:p>
    <w:p>
      <w:pPr>
        <w:pStyle w:val="ListBullet"/>
        <w:spacing w:before="0" w:after="50" w:line="276" w:lineRule="auto"/>
      </w:pPr>
      <w:r>
        <w:rPr>
          <w:rFonts w:ascii="Calibri" w:hAnsi="Calibri"/>
          <w:b/>
          <w:color w:val="2C3E50"/>
          <w:sz w:val="20"/>
        </w:rPr>
        <w:t xml:space="preserve">Procedure: </w:t>
      </w:r>
      <w:r>
        <w:rPr>
          <w:rFonts w:ascii="Calibri" w:hAnsi="Calibri"/>
          <w:color w:val="222222"/>
          <w:sz w:val="20"/>
        </w:rPr>
        <w:t>Open robtex.com, search ssn.edu.in, select the DNS result, inspect A, MX, NS, TXT records, subdomains, DNS history, and DNS trace.</w:t>
      </w:r>
    </w:p>
    <w:p>
      <w:pPr>
        <w:pStyle w:val="ListBullet"/>
        <w:spacing w:before="0" w:after="50" w:line="276" w:lineRule="auto"/>
      </w:pPr>
      <w:r>
        <w:rPr>
          <w:rFonts w:ascii="Calibri" w:hAnsi="Calibri"/>
          <w:b/>
          <w:color w:val="2C3E50"/>
          <w:sz w:val="20"/>
        </w:rPr>
        <w:t xml:space="preserve">Observation: </w:t>
      </w:r>
      <w:r>
        <w:rPr>
          <w:rFonts w:ascii="Calibri" w:hAnsi="Calibri"/>
          <w:color w:val="222222"/>
          <w:sz w:val="20"/>
        </w:rPr>
        <w:t>Authoritative NS are pdns, sdns, tdns.ssn.edu.in (pdns resolves to 182.75.25.254); MX handled by Google Workspace (aspmx.l.google.com); subdomains include lms, www, coe; DNSSEC is unsigned/insecure; DNS history showed 12 records (8 active, 4 former); DNS trace response latency was 482 ms.</w:t>
      </w:r>
    </w:p>
    <w:p>
      <w:pPr>
        <w:pStyle w:val="ListBullet"/>
        <w:spacing w:before="0" w:after="50" w:line="276" w:lineRule="auto"/>
      </w:pPr>
      <w:r>
        <w:rPr>
          <w:rFonts w:ascii="Calibri" w:hAnsi="Calibri"/>
          <w:b/>
          <w:color w:val="2C3E50"/>
          <w:sz w:val="20"/>
        </w:rPr>
        <w:t xml:space="preserve">Result: </w:t>
      </w:r>
      <w:r>
        <w:rPr>
          <w:rFonts w:ascii="Calibri" w:hAnsi="Calibri"/>
          <w:color w:val="222222"/>
          <w:sz w:val="20"/>
        </w:rPr>
        <w:t>Passive DNS records, mail servers, subdomains, and network ASN details were successfully gathered without directly contacting the target.</w:t>
      </w:r>
    </w:p>
    <w:p>
      <w:pPr>
        <w:keepNext/>
        <w:spacing w:before="140" w:after="40"/>
      </w:pPr>
      <w:r>
        <w:rPr>
          <w:rFonts w:ascii="Calibri" w:hAnsi="Calibri"/>
          <w:b/>
          <w:color w:val="2C3E50"/>
          <w:sz w:val="22"/>
        </w:rPr>
        <w:t>Tool 2: Shodan</w:t>
      </w:r>
    </w:p>
    <w:p>
      <w:pPr>
        <w:pStyle w:val="ListBullet"/>
        <w:spacing w:before="0" w:after="50" w:line="276" w:lineRule="auto"/>
      </w:pPr>
      <w:r>
        <w:rPr>
          <w:rFonts w:ascii="Calibri" w:hAnsi="Calibri"/>
          <w:b/>
          <w:color w:val="2C3E50"/>
          <w:sz w:val="20"/>
        </w:rPr>
        <w:t xml:space="preserve">Aim: </w:t>
      </w:r>
      <w:r>
        <w:rPr>
          <w:rFonts w:ascii="Calibri" w:hAnsi="Calibri"/>
          <w:color w:val="222222"/>
          <w:sz w:val="20"/>
        </w:rPr>
        <w:t>To perform passive device and service banner intelligence gathering for IP 8.8.8.8 using Shodan.</w:t>
      </w:r>
    </w:p>
    <w:p>
      <w:pPr>
        <w:pStyle w:val="ListBullet"/>
        <w:spacing w:before="0" w:after="50" w:line="276" w:lineRule="auto"/>
      </w:pPr>
      <w:r>
        <w:rPr>
          <w:rFonts w:ascii="Calibri" w:hAnsi="Calibri"/>
          <w:b/>
          <w:color w:val="2C3E50"/>
          <w:sz w:val="20"/>
        </w:rPr>
        <w:t xml:space="preserve">Procedure: </w:t>
      </w:r>
      <w:r>
        <w:rPr>
          <w:rFonts w:ascii="Calibri" w:hAnsi="Calibri"/>
          <w:color w:val="222222"/>
          <w:sz w:val="20"/>
        </w:rPr>
        <w:t>Open shodan.io, search IP 8.8.8.8, review host metadata, inspect open ports, and examine service banners.</w:t>
      </w:r>
    </w:p>
    <w:p>
      <w:pPr>
        <w:pStyle w:val="ListBullet"/>
        <w:spacing w:before="0" w:after="50" w:line="276" w:lineRule="auto"/>
      </w:pPr>
      <w:r>
        <w:rPr>
          <w:rFonts w:ascii="Calibri" w:hAnsi="Calibri"/>
          <w:b/>
          <w:color w:val="2C3E50"/>
          <w:sz w:val="20"/>
        </w:rPr>
        <w:t xml:space="preserve">Observation: </w:t>
      </w:r>
      <w:r>
        <w:rPr>
          <w:rFonts w:ascii="Calibri" w:hAnsi="Calibri"/>
          <w:color w:val="222222"/>
          <w:sz w:val="20"/>
        </w:rPr>
        <w:t>Target 8.8.8.8 resolved to hostname dns.google, organization Google LLC, located in the United States, displaying listening services on ports [observed open ports] and associated service banners from Shodan's indexed database.</w:t>
      </w:r>
    </w:p>
    <w:p>
      <w:pPr>
        <w:pStyle w:val="ListBullet"/>
        <w:spacing w:before="0" w:after="50" w:line="276" w:lineRule="auto"/>
      </w:pPr>
      <w:r>
        <w:rPr>
          <w:rFonts w:ascii="Calibri" w:hAnsi="Calibri"/>
          <w:b/>
          <w:color w:val="2C3E50"/>
          <w:sz w:val="20"/>
        </w:rPr>
        <w:t xml:space="preserve">Result: </w:t>
      </w:r>
      <w:r>
        <w:rPr>
          <w:rFonts w:ascii="Calibri" w:hAnsi="Calibri"/>
          <w:color w:val="222222"/>
          <w:sz w:val="20"/>
        </w:rPr>
        <w:t>Publicly observed host metadata, open ports, and service banners for the target IP were successfully retrieved from Shodan's database.</w:t>
      </w:r>
    </w:p>
    <w:p>
      <w:pPr>
        <w:keepNext/>
        <w:spacing w:before="140" w:after="40"/>
      </w:pPr>
      <w:r>
        <w:rPr>
          <w:rFonts w:ascii="Calibri" w:hAnsi="Calibri"/>
          <w:b/>
          <w:color w:val="2C3E50"/>
          <w:sz w:val="22"/>
        </w:rPr>
        <w:t>Tool 3: Google Dorking</w:t>
      </w:r>
    </w:p>
    <w:p>
      <w:pPr>
        <w:pStyle w:val="ListBullet"/>
        <w:spacing w:before="0" w:after="50" w:line="276" w:lineRule="auto"/>
      </w:pPr>
      <w:r>
        <w:rPr>
          <w:rFonts w:ascii="Calibri" w:hAnsi="Calibri"/>
          <w:b/>
          <w:color w:val="2C3E50"/>
          <w:sz w:val="20"/>
        </w:rPr>
        <w:t xml:space="preserve">Aim: </w:t>
      </w:r>
      <w:r>
        <w:rPr>
          <w:rFonts w:ascii="Calibri" w:hAnsi="Calibri"/>
          <w:color w:val="222222"/>
          <w:sz w:val="20"/>
        </w:rPr>
        <w:t>To perform passive reconnaissance using advanced Google search operators on public domain documentation.</w:t>
      </w:r>
    </w:p>
    <w:p>
      <w:pPr>
        <w:pStyle w:val="ListBullet"/>
        <w:spacing w:before="0" w:after="50" w:line="276" w:lineRule="auto"/>
      </w:pPr>
      <w:r>
        <w:rPr>
          <w:rFonts w:ascii="Calibri" w:hAnsi="Calibri"/>
          <w:b/>
          <w:color w:val="2C3E50"/>
          <w:sz w:val="20"/>
        </w:rPr>
        <w:t xml:space="preserve">Procedure: </w:t>
      </w:r>
      <w:r>
        <w:rPr>
          <w:rFonts w:ascii="Calibri" w:hAnsi="Calibri"/>
          <w:color w:val="222222"/>
          <w:sz w:val="20"/>
        </w:rPr>
        <w:t>Open google.com, execute queries using site:, filetype:, intitle:, inurl:, and intext: operators against owasp.org, and inspect returned documents.</w:t>
      </w:r>
    </w:p>
    <w:p>
      <w:pPr>
        <w:pStyle w:val="ListBullet"/>
        <w:spacing w:before="0" w:after="50" w:line="276" w:lineRule="auto"/>
      </w:pPr>
      <w:r>
        <w:rPr>
          <w:rFonts w:ascii="Calibri" w:hAnsi="Calibri"/>
          <w:b/>
          <w:color w:val="2C3E50"/>
          <w:sz w:val="20"/>
        </w:rPr>
        <w:t xml:space="preserve">Observation: </w:t>
      </w:r>
      <w:r>
        <w:rPr>
          <w:rFonts w:ascii="Calibri" w:hAnsi="Calibri"/>
          <w:color w:val="222222"/>
          <w:sz w:val="20"/>
        </w:rPr>
        <w:t>Advanced operators filtered Google's search index without contacting target servers; site:owasp.org restricted results to the domain, filetype:pdf located public technical documents, intitle: matched cheat sheets, and inurl: filtered guide directories.</w:t>
      </w:r>
    </w:p>
    <w:p>
      <w:pPr>
        <w:pStyle w:val="ListBullet"/>
        <w:spacing w:before="0" w:after="50" w:line="276" w:lineRule="auto"/>
      </w:pPr>
      <w:r>
        <w:rPr>
          <w:rFonts w:ascii="Calibri" w:hAnsi="Calibri"/>
          <w:b/>
          <w:color w:val="2C3E50"/>
          <w:sz w:val="20"/>
        </w:rPr>
        <w:t xml:space="preserve">Result: </w:t>
      </w:r>
      <w:r>
        <w:rPr>
          <w:rFonts w:ascii="Calibri" w:hAnsi="Calibri"/>
          <w:color w:val="222222"/>
          <w:sz w:val="20"/>
        </w:rPr>
        <w:t>Publicly indexed technical documents, guides, and pages were successfully isolated using advanced Google search operators.</w:t>
      </w:r>
    </w:p>
    <w:p>
      <w:pPr>
        <w:keepNext/>
        <w:spacing w:before="140" w:after="40"/>
      </w:pPr>
      <w:r>
        <w:rPr>
          <w:rFonts w:ascii="Calibri" w:hAnsi="Calibri"/>
          <w:b/>
          <w:color w:val="2C3E50"/>
          <w:sz w:val="22"/>
        </w:rPr>
        <w:t>Tool 4: Nessus Essentials</w:t>
      </w:r>
    </w:p>
    <w:p>
      <w:pPr>
        <w:pStyle w:val="ListBullet"/>
        <w:spacing w:before="0" w:after="50" w:line="276" w:lineRule="auto"/>
      </w:pPr>
      <w:r>
        <w:rPr>
          <w:rFonts w:ascii="Calibri" w:hAnsi="Calibri"/>
          <w:b/>
          <w:color w:val="2C3E50"/>
          <w:sz w:val="20"/>
        </w:rPr>
        <w:t xml:space="preserve">Aim: </w:t>
      </w:r>
      <w:r>
        <w:rPr>
          <w:rFonts w:ascii="Calibri" w:hAnsi="Calibri"/>
          <w:color w:val="222222"/>
          <w:sz w:val="20"/>
        </w:rPr>
        <w:t>To perform an automated vulnerability assessment on an authorized lab target host using Nessus Essentials.</w:t>
      </w:r>
    </w:p>
    <w:p>
      <w:pPr>
        <w:pStyle w:val="ListBullet"/>
        <w:spacing w:before="0" w:after="50" w:line="276" w:lineRule="auto"/>
      </w:pPr>
      <w:r>
        <w:rPr>
          <w:rFonts w:ascii="Calibri" w:hAnsi="Calibri"/>
          <w:b/>
          <w:color w:val="2C3E50"/>
          <w:sz w:val="20"/>
        </w:rPr>
        <w:t xml:space="preserve">Procedure: </w:t>
      </w:r>
      <w:r>
        <w:rPr>
          <w:rFonts w:ascii="Calibri" w:hAnsi="Calibri"/>
          <w:color w:val="222222"/>
          <w:sz w:val="20"/>
        </w:rPr>
        <w:t>Open https://localhost:8834, sign in, configure a Basic Network Scan with the authorized target IP, launch the scan, wait for completion, and analyze findings by severity and CVE.</w:t>
      </w:r>
    </w:p>
    <w:p>
      <w:pPr>
        <w:pStyle w:val="ListBullet"/>
        <w:spacing w:before="0" w:after="50" w:line="276" w:lineRule="auto"/>
      </w:pPr>
      <w:r>
        <w:rPr>
          <w:rFonts w:ascii="Calibri" w:hAnsi="Calibri"/>
          <w:b/>
          <w:color w:val="2C3E50"/>
          <w:sz w:val="20"/>
        </w:rPr>
        <w:t xml:space="preserve">Observation: </w:t>
      </w:r>
      <w:r>
        <w:rPr>
          <w:rFonts w:ascii="Calibri" w:hAnsi="Calibri"/>
          <w:color w:val="222222"/>
          <w:sz w:val="20"/>
        </w:rPr>
        <w:t>Basic Network Scan on target [observed target IP] identified vulnerabilities categorized into Critical [count], High [count], Medium [count], Low [count], and Info [count]; inspected finding [observed finding] and cross-referenced CVE [observed CVE] on NVD.</w:t>
      </w:r>
    </w:p>
    <w:p>
      <w:pPr>
        <w:pStyle w:val="ListBullet"/>
        <w:spacing w:before="0" w:after="50" w:line="276" w:lineRule="auto"/>
      </w:pPr>
      <w:r>
        <w:rPr>
          <w:rFonts w:ascii="Calibri" w:hAnsi="Calibri"/>
          <w:b/>
          <w:color w:val="2C3E50"/>
          <w:sz w:val="20"/>
        </w:rPr>
        <w:t xml:space="preserve">Result: </w:t>
      </w:r>
      <w:r>
        <w:rPr>
          <w:rFonts w:ascii="Calibri" w:hAnsi="Calibri"/>
          <w:color w:val="222222"/>
          <w:sz w:val="20"/>
        </w:rPr>
        <w:t>Automated vulnerability assessment completed successfully, categorizing security weaknesses by severity, identifying CVEs, and documenting remediation guidance.</w:t>
      </w:r>
    </w:p>
    <w:p>
      <w:pPr>
        <w:keepNext/>
        <w:spacing w:before="200" w:after="60"/>
      </w:pPr>
      <w:r>
        <w:rPr>
          <w:rFonts w:ascii="Calibri" w:hAnsi="Calibri"/>
          <w:b/>
          <w:color w:val="2B4C7E"/>
          <w:sz w:val="24"/>
        </w:rPr>
        <w:t>One-Minute Viva Revision</w:t>
      </w:r>
    </w:p>
    <w:p>
      <w:pPr>
        <w:pStyle w:val="ListBullet"/>
        <w:spacing w:before="0" w:after="50" w:line="276" w:lineRule="auto"/>
      </w:pPr>
      <w:r>
        <w:rPr>
          <w:rFonts w:ascii="Calibri" w:hAnsi="Calibri"/>
          <w:b/>
          <w:color w:val="2C3E50"/>
          <w:sz w:val="20"/>
        </w:rPr>
        <w:t>Q: What is the main difference between active and passive reconnaissance?</w:t>
        <w:br/>
        <w:t xml:space="preserve">A: </w:t>
      </w:r>
      <w:r>
        <w:rPr>
          <w:rFonts w:ascii="Calibri" w:hAnsi="Calibri"/>
          <w:color w:val="222222"/>
          <w:sz w:val="20"/>
        </w:rPr>
        <w:t>Active reconnaissance directly interacts with the target (transmitting packets/probes that can be logged by firewalls/IDS). Passive reconnaissance gathers information strictly from third-party public databases (Robtex, Shodan, Google) without sending any packets to the target.</w:t>
      </w:r>
    </w:p>
    <w:p>
      <w:pPr>
        <w:pStyle w:val="ListBullet"/>
        <w:spacing w:before="0" w:after="50" w:line="276" w:lineRule="auto"/>
      </w:pPr>
      <w:r>
        <w:rPr>
          <w:rFonts w:ascii="Calibri" w:hAnsi="Calibri"/>
          <w:b/>
          <w:color w:val="2C3E50"/>
          <w:sz w:val="20"/>
        </w:rPr>
        <w:t>Q: What does an SPF TXT record do?</w:t>
        <w:br/>
        <w:t xml:space="preserve">A: </w:t>
      </w:r>
      <w:r>
        <w:rPr>
          <w:rFonts w:ascii="Calibri" w:hAnsi="Calibri"/>
          <w:color w:val="222222"/>
          <w:sz w:val="20"/>
        </w:rPr>
        <w:t>It specifies which mail servers and IP addresses are authorized to send email on behalf of the domain (v=spf1 ...), preventing email address spoofing.</w:t>
      </w:r>
    </w:p>
    <w:p>
      <w:pPr>
        <w:pStyle w:val="ListBullet"/>
        <w:spacing w:before="0" w:after="50" w:line="276" w:lineRule="auto"/>
      </w:pPr>
      <w:r>
        <w:rPr>
          <w:rFonts w:ascii="Calibri" w:hAnsi="Calibri"/>
          <w:b/>
          <w:color w:val="2C3E50"/>
          <w:sz w:val="20"/>
        </w:rPr>
        <w:t>Q: Why might Shodan show an open port that Nmap reports as closed?</w:t>
        <w:br/>
        <w:t xml:space="preserve">A: </w:t>
      </w:r>
      <w:r>
        <w:rPr>
          <w:rFonts w:ascii="Calibri" w:hAnsi="Calibri"/>
          <w:color w:val="222222"/>
          <w:sz w:val="20"/>
        </w:rPr>
        <w:t>Shodan displays cached historical data from its last crawler run; if the host was reconfigured, firewalled, or shut down after that scan, Shodan's record will be out of date until rescanned.</w:t>
      </w:r>
    </w:p>
    <w:p>
      <w:pPr>
        <w:pStyle w:val="ListBullet"/>
        <w:spacing w:before="0" w:after="50" w:line="276" w:lineRule="auto"/>
      </w:pPr>
      <w:r>
        <w:rPr>
          <w:rFonts w:ascii="Calibri" w:hAnsi="Calibri"/>
          <w:b/>
          <w:color w:val="2C3E50"/>
          <w:sz w:val="20"/>
        </w:rPr>
        <w:t>Q: What operator would you use to find only Word documents on a specific university domain?</w:t>
        <w:br/>
        <w:t xml:space="preserve">A: </w:t>
      </w:r>
      <w:r>
        <w:rPr>
          <w:rFonts w:ascii="Calibri" w:hAnsi="Calibri"/>
          <w:color w:val="222222"/>
          <w:sz w:val="20"/>
        </w:rPr>
        <w:t>site:example.edu (filetype:doc OR filetype:docx)</w:t>
      </w:r>
    </w:p>
    <w:p>
      <w:pPr>
        <w:pStyle w:val="ListBullet"/>
        <w:spacing w:before="0" w:after="50" w:line="276" w:lineRule="auto"/>
      </w:pPr>
      <w:r>
        <w:rPr>
          <w:rFonts w:ascii="Calibri" w:hAnsi="Calibri"/>
          <w:b/>
          <w:color w:val="2C3E50"/>
          <w:sz w:val="20"/>
        </w:rPr>
        <w:t>Q: What are the five severity levels in Nessus?</w:t>
        <w:br/>
        <w:t xml:space="preserve">A: </w:t>
      </w:r>
      <w:r>
        <w:rPr>
          <w:rFonts w:ascii="Calibri" w:hAnsi="Calibri"/>
          <w:color w:val="222222"/>
          <w:sz w:val="20"/>
        </w:rPr>
        <w:t>Critical (9.0–10.0), High (7.0–8.9), Medium (4.0–6.9), Low (0.1–3.9), and Informational (0.0).</w:t>
      </w:r>
    </w:p>
    <w:p>
      <w:pPr>
        <w:pStyle w:val="ListBullet"/>
        <w:spacing w:before="0" w:after="50" w:line="276" w:lineRule="auto"/>
      </w:pPr>
      <w:r>
        <w:rPr>
          <w:rFonts w:ascii="Calibri" w:hAnsi="Calibri"/>
          <w:b/>
          <w:color w:val="2C3E50"/>
          <w:sz w:val="20"/>
        </w:rPr>
        <w:t>Q: How does Nessus determine if a system is vulnerable?</w:t>
        <w:br/>
        <w:t xml:space="preserve">A: </w:t>
      </w:r>
      <w:r>
        <w:rPr>
          <w:rFonts w:ascii="Calibri" w:hAnsi="Calibri"/>
          <w:color w:val="222222"/>
          <w:sz w:val="20"/>
        </w:rPr>
        <w:t>It runs individual scripts called plugins that query network banners, probe specific endpoints, check software version strings, or inspect missing security patches against Tenable's vulnerability database.</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Browser-Based Tools Practical Manual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ICS1561 – Ethical Hacking Laboratory  |  Browser-Based Practical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