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A3BF" w14:textId="77777777" w:rsidR="00B051D5" w:rsidRDefault="00B051D5" w:rsidP="00B051D5">
      <w:pPr>
        <w:jc w:val="center"/>
        <w:rPr>
          <w:rFonts w:ascii="Times New Roman" w:hAnsi="Times New Roman" w:cs="Times New Roman"/>
          <w:b/>
          <w:bCs/>
          <w:sz w:val="40"/>
          <w:szCs w:val="32"/>
        </w:rPr>
      </w:pPr>
    </w:p>
    <w:p w14:paraId="1D94C160" w14:textId="77777777" w:rsidR="00B051D5" w:rsidRDefault="00B051D5" w:rsidP="00B051D5">
      <w:pPr>
        <w:jc w:val="center"/>
        <w:rPr>
          <w:rFonts w:ascii="Times New Roman" w:hAnsi="Times New Roman" w:cs="Times New Roman"/>
          <w:b/>
          <w:bCs/>
          <w:sz w:val="40"/>
          <w:szCs w:val="32"/>
        </w:rPr>
      </w:pPr>
    </w:p>
    <w:p w14:paraId="4DF82BBB" w14:textId="77777777" w:rsidR="00B051D5" w:rsidRDefault="00B051D5" w:rsidP="00296346">
      <w:pPr>
        <w:rPr>
          <w:rFonts w:ascii="Times New Roman" w:hAnsi="Times New Roman" w:cs="Times New Roman"/>
          <w:b/>
          <w:bCs/>
          <w:sz w:val="40"/>
          <w:szCs w:val="32"/>
        </w:rPr>
      </w:pPr>
    </w:p>
    <w:p w14:paraId="0FCE112F" w14:textId="1D57D7A2" w:rsidR="00B051D5" w:rsidRDefault="00B051D5" w:rsidP="00B051D5">
      <w:pPr>
        <w:jc w:val="center"/>
        <w:rPr>
          <w:rFonts w:ascii="Times New Roman" w:hAnsi="Times New Roman" w:cs="Times New Roman"/>
          <w:b/>
          <w:bCs/>
          <w:sz w:val="40"/>
          <w:szCs w:val="32"/>
        </w:rPr>
      </w:pPr>
      <w:r w:rsidRPr="00B051D5">
        <w:rPr>
          <w:rFonts w:ascii="Times New Roman" w:hAnsi="Times New Roman" w:cs="Times New Roman"/>
          <w:b/>
          <w:bCs/>
          <w:noProof/>
          <w:sz w:val="40"/>
          <w:szCs w:val="32"/>
        </w:rPr>
        <w:drawing>
          <wp:inline distT="0" distB="0" distL="0" distR="0" wp14:anchorId="6227D9EA" wp14:editId="2DDFC279">
            <wp:extent cx="2437028" cy="1235174"/>
            <wp:effectExtent l="0" t="0" r="1905" b="3175"/>
            <wp:docPr id="3" name="Picture 2">
              <a:extLst xmlns:a="http://schemas.openxmlformats.org/drawingml/2006/main">
                <a:ext uri="{FF2B5EF4-FFF2-40B4-BE49-F238E27FC236}">
                  <a16:creationId xmlns:a16="http://schemas.microsoft.com/office/drawing/2014/main" id="{372B0B25-03CA-D0CF-7CD6-9161430C0B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72B0B25-03CA-D0CF-7CD6-9161430C0B11}"/>
                        </a:ext>
                      </a:extLst>
                    </pic:cNvPr>
                    <pic:cNvPicPr>
                      <a:picLocks noChangeAspect="1"/>
                    </pic:cNvPicPr>
                  </pic:nvPicPr>
                  <pic:blipFill>
                    <a:blip r:embed="rId5"/>
                    <a:stretch>
                      <a:fillRect/>
                    </a:stretch>
                  </pic:blipFill>
                  <pic:spPr>
                    <a:xfrm>
                      <a:off x="0" y="0"/>
                      <a:ext cx="2437028" cy="1235174"/>
                    </a:xfrm>
                    <a:prstGeom prst="rect">
                      <a:avLst/>
                    </a:prstGeom>
                  </pic:spPr>
                </pic:pic>
              </a:graphicData>
            </a:graphic>
          </wp:inline>
        </w:drawing>
      </w:r>
    </w:p>
    <w:p w14:paraId="1D5FD8FA" w14:textId="6666C630" w:rsidR="0090500A" w:rsidRDefault="00B051D5" w:rsidP="00B051D5">
      <w:pPr>
        <w:jc w:val="center"/>
        <w:rPr>
          <w:rFonts w:ascii="Times New Roman" w:hAnsi="Times New Roman" w:cs="Times New Roman"/>
          <w:b/>
          <w:bCs/>
          <w:sz w:val="40"/>
          <w:szCs w:val="32"/>
        </w:rPr>
      </w:pPr>
      <w:r>
        <w:rPr>
          <w:rFonts w:ascii="Times New Roman" w:hAnsi="Times New Roman" w:cs="Times New Roman"/>
          <w:b/>
          <w:bCs/>
          <w:sz w:val="40"/>
          <w:szCs w:val="32"/>
        </w:rPr>
        <w:t>SMART INDIA HACKATHON 2026</w:t>
      </w:r>
    </w:p>
    <w:p w14:paraId="193DEA12" w14:textId="77777777" w:rsidR="00B051D5" w:rsidRDefault="00B051D5" w:rsidP="00B051D5">
      <w:pPr>
        <w:jc w:val="center"/>
        <w:rPr>
          <w:rFonts w:ascii="Times New Roman" w:hAnsi="Times New Roman" w:cs="Times New Roman"/>
          <w:b/>
          <w:bCs/>
          <w:sz w:val="40"/>
          <w:szCs w:val="32"/>
        </w:rPr>
      </w:pPr>
    </w:p>
    <w:p w14:paraId="31B5D9D5" w14:textId="10715D3F" w:rsidR="00B051D5" w:rsidRDefault="00B051D5" w:rsidP="00B051D5">
      <w:pPr>
        <w:jc w:val="center"/>
        <w:rPr>
          <w:rFonts w:ascii="Times New Roman" w:hAnsi="Times New Roman" w:cs="Times New Roman"/>
          <w:b/>
          <w:bCs/>
          <w:sz w:val="28"/>
          <w:szCs w:val="22"/>
        </w:rPr>
      </w:pPr>
      <w:r>
        <w:rPr>
          <w:rFonts w:ascii="Times New Roman" w:hAnsi="Times New Roman" w:cs="Times New Roman"/>
          <w:b/>
          <w:bCs/>
          <w:sz w:val="28"/>
          <w:szCs w:val="22"/>
        </w:rPr>
        <w:t xml:space="preserve">PROBLEM STATEMENT ID </w:t>
      </w:r>
    </w:p>
    <w:p w14:paraId="4A4416A0" w14:textId="7671C13D" w:rsidR="00B051D5" w:rsidRPr="00B051D5" w:rsidRDefault="00B051D5" w:rsidP="00B051D5">
      <w:pPr>
        <w:jc w:val="center"/>
        <w:rPr>
          <w:rFonts w:ascii="Times New Roman" w:hAnsi="Times New Roman" w:cs="Times New Roman"/>
          <w:sz w:val="28"/>
          <w:szCs w:val="22"/>
        </w:rPr>
      </w:pPr>
      <w:r>
        <w:rPr>
          <w:rFonts w:ascii="Times New Roman" w:hAnsi="Times New Roman" w:cs="Times New Roman"/>
          <w:sz w:val="28"/>
          <w:szCs w:val="22"/>
        </w:rPr>
        <w:t>SIH26</w:t>
      </w:r>
      <w:r w:rsidR="009D72CE">
        <w:rPr>
          <w:rFonts w:ascii="Times New Roman" w:hAnsi="Times New Roman" w:cs="Times New Roman"/>
          <w:sz w:val="28"/>
          <w:szCs w:val="22"/>
        </w:rPr>
        <w:t>118</w:t>
      </w:r>
    </w:p>
    <w:p w14:paraId="527BBB20" w14:textId="016B2F6C" w:rsidR="00B051D5" w:rsidRDefault="00B051D5" w:rsidP="00B051D5">
      <w:pPr>
        <w:jc w:val="center"/>
        <w:rPr>
          <w:rFonts w:ascii="Times New Roman" w:hAnsi="Times New Roman" w:cs="Times New Roman"/>
          <w:b/>
          <w:bCs/>
          <w:sz w:val="28"/>
          <w:szCs w:val="22"/>
        </w:rPr>
      </w:pPr>
      <w:r>
        <w:rPr>
          <w:rFonts w:ascii="Times New Roman" w:hAnsi="Times New Roman" w:cs="Times New Roman"/>
          <w:b/>
          <w:bCs/>
          <w:sz w:val="28"/>
          <w:szCs w:val="22"/>
        </w:rPr>
        <w:t xml:space="preserve">PROBLEM STATEMENT </w:t>
      </w:r>
    </w:p>
    <w:p w14:paraId="460B9F71" w14:textId="77777777" w:rsidR="009D72CE" w:rsidRDefault="009D72CE" w:rsidP="00B051D5">
      <w:pPr>
        <w:jc w:val="center"/>
        <w:rPr>
          <w:rFonts w:ascii="Times New Roman" w:hAnsi="Times New Roman" w:cs="Times New Roman"/>
          <w:sz w:val="28"/>
          <w:szCs w:val="22"/>
        </w:rPr>
      </w:pPr>
      <w:r>
        <w:rPr>
          <w:rFonts w:ascii="Times New Roman" w:hAnsi="Times New Roman" w:cs="Times New Roman"/>
          <w:sz w:val="28"/>
          <w:szCs w:val="22"/>
        </w:rPr>
        <w:t>P</w:t>
      </w:r>
      <w:r w:rsidRPr="009D72CE">
        <w:rPr>
          <w:rFonts w:ascii="Times New Roman" w:hAnsi="Times New Roman" w:cs="Times New Roman"/>
          <w:sz w:val="28"/>
          <w:szCs w:val="22"/>
        </w:rPr>
        <w:t>assive Colorimetric H2S Exposure-Dosimeter Wristband with AI-Based Quantitative Reading</w:t>
      </w:r>
    </w:p>
    <w:p w14:paraId="4E7F346E" w14:textId="038FFDE3" w:rsidR="00B051D5" w:rsidRDefault="00B051D5" w:rsidP="00B051D5">
      <w:pPr>
        <w:jc w:val="center"/>
        <w:rPr>
          <w:rFonts w:ascii="Times New Roman" w:hAnsi="Times New Roman" w:cs="Times New Roman"/>
          <w:b/>
          <w:bCs/>
          <w:sz w:val="28"/>
          <w:szCs w:val="22"/>
        </w:rPr>
      </w:pPr>
      <w:r>
        <w:rPr>
          <w:rFonts w:ascii="Times New Roman" w:hAnsi="Times New Roman" w:cs="Times New Roman"/>
          <w:b/>
          <w:bCs/>
          <w:sz w:val="28"/>
          <w:szCs w:val="22"/>
        </w:rPr>
        <w:t xml:space="preserve">THEME </w:t>
      </w:r>
    </w:p>
    <w:p w14:paraId="10C53F95" w14:textId="77777777" w:rsidR="009D72CE" w:rsidRDefault="009D72CE" w:rsidP="00B051D5">
      <w:pPr>
        <w:jc w:val="center"/>
        <w:rPr>
          <w:rFonts w:ascii="Times New Roman" w:hAnsi="Times New Roman" w:cs="Times New Roman"/>
          <w:sz w:val="28"/>
          <w:szCs w:val="22"/>
        </w:rPr>
      </w:pPr>
      <w:r w:rsidRPr="009D72CE">
        <w:rPr>
          <w:rFonts w:ascii="Times New Roman" w:hAnsi="Times New Roman" w:cs="Times New Roman"/>
          <w:sz w:val="28"/>
          <w:szCs w:val="22"/>
        </w:rPr>
        <w:t>Smart Automation</w:t>
      </w:r>
    </w:p>
    <w:p w14:paraId="7EBBFCE6" w14:textId="0CC5867E" w:rsidR="00B051D5" w:rsidRDefault="00B051D5" w:rsidP="00B051D5">
      <w:pPr>
        <w:jc w:val="center"/>
        <w:rPr>
          <w:rFonts w:ascii="Times New Roman" w:hAnsi="Times New Roman" w:cs="Times New Roman"/>
          <w:b/>
          <w:bCs/>
          <w:sz w:val="28"/>
          <w:szCs w:val="22"/>
        </w:rPr>
      </w:pPr>
      <w:r>
        <w:rPr>
          <w:rFonts w:ascii="Times New Roman" w:hAnsi="Times New Roman" w:cs="Times New Roman"/>
          <w:b/>
          <w:bCs/>
          <w:sz w:val="28"/>
          <w:szCs w:val="22"/>
        </w:rPr>
        <w:t xml:space="preserve">TEAM ID </w:t>
      </w:r>
    </w:p>
    <w:p w14:paraId="37E5BBDE" w14:textId="767BD671" w:rsidR="005D7CFC" w:rsidRPr="005D7CFC" w:rsidRDefault="005D7CFC" w:rsidP="00B051D5">
      <w:pPr>
        <w:jc w:val="center"/>
        <w:rPr>
          <w:rFonts w:ascii="Times New Roman" w:hAnsi="Times New Roman" w:cs="Times New Roman"/>
          <w:sz w:val="28"/>
          <w:szCs w:val="22"/>
        </w:rPr>
      </w:pPr>
      <w:r>
        <w:rPr>
          <w:rFonts w:ascii="Times New Roman" w:hAnsi="Times New Roman" w:cs="Times New Roman"/>
          <w:sz w:val="28"/>
          <w:szCs w:val="22"/>
        </w:rPr>
        <w:t>126429</w:t>
      </w:r>
    </w:p>
    <w:p w14:paraId="286FEB3B" w14:textId="55FDB73B" w:rsidR="00B051D5" w:rsidRDefault="00B051D5" w:rsidP="00B051D5">
      <w:pPr>
        <w:jc w:val="center"/>
        <w:rPr>
          <w:rFonts w:ascii="Times New Roman" w:hAnsi="Times New Roman" w:cs="Times New Roman"/>
          <w:b/>
          <w:bCs/>
          <w:sz w:val="28"/>
          <w:szCs w:val="22"/>
        </w:rPr>
      </w:pPr>
      <w:r>
        <w:rPr>
          <w:rFonts w:ascii="Times New Roman" w:hAnsi="Times New Roman" w:cs="Times New Roman"/>
          <w:b/>
          <w:bCs/>
          <w:sz w:val="28"/>
          <w:szCs w:val="22"/>
        </w:rPr>
        <w:t xml:space="preserve">TEAM NAME </w:t>
      </w:r>
    </w:p>
    <w:p w14:paraId="0C61C3D9" w14:textId="010B4558" w:rsidR="00B051D5" w:rsidRDefault="00B051D5" w:rsidP="00B051D5">
      <w:pPr>
        <w:jc w:val="center"/>
        <w:rPr>
          <w:rFonts w:ascii="Times New Roman" w:hAnsi="Times New Roman" w:cs="Times New Roman"/>
          <w:sz w:val="28"/>
          <w:szCs w:val="22"/>
        </w:rPr>
      </w:pPr>
      <w:r>
        <w:rPr>
          <w:rFonts w:ascii="Times New Roman" w:hAnsi="Times New Roman" w:cs="Times New Roman"/>
          <w:sz w:val="28"/>
          <w:szCs w:val="22"/>
        </w:rPr>
        <w:t>ORIONI-X</w:t>
      </w:r>
    </w:p>
    <w:p w14:paraId="3B802F7E" w14:textId="77777777" w:rsidR="00B051D5" w:rsidRDefault="00B051D5" w:rsidP="00B051D5">
      <w:pPr>
        <w:jc w:val="center"/>
        <w:rPr>
          <w:rFonts w:ascii="Times New Roman" w:hAnsi="Times New Roman" w:cs="Times New Roman"/>
          <w:sz w:val="28"/>
          <w:szCs w:val="22"/>
        </w:rPr>
      </w:pPr>
    </w:p>
    <w:p w14:paraId="174C48A2" w14:textId="77777777" w:rsidR="00B051D5" w:rsidRDefault="00B051D5" w:rsidP="00B051D5">
      <w:pPr>
        <w:jc w:val="center"/>
        <w:rPr>
          <w:rFonts w:ascii="Times New Roman" w:hAnsi="Times New Roman" w:cs="Times New Roman"/>
          <w:sz w:val="28"/>
          <w:szCs w:val="22"/>
        </w:rPr>
      </w:pPr>
    </w:p>
    <w:p w14:paraId="7399FDF8" w14:textId="55D75015" w:rsidR="002D369B" w:rsidRPr="002D369B" w:rsidRDefault="002D369B" w:rsidP="002D369B">
      <w:pPr>
        <w:jc w:val="both"/>
        <w:rPr>
          <w:rFonts w:ascii="Times New Roman" w:hAnsi="Times New Roman" w:cs="Times New Roman"/>
          <w:szCs w:val="24"/>
        </w:rPr>
      </w:pPr>
    </w:p>
    <w:p w14:paraId="75B0F76B"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lastRenderedPageBreak/>
        <w:t>PROJECT OVERVIEW</w:t>
      </w:r>
    </w:p>
    <w:p w14:paraId="2110CC78"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is a wearable gas-monitoring and worker-safety system designed to detect hydrogen sulfide (H₂S) exposure conditions and provide immediate alerts to workers in potentially hazardous environments. The system integrates an MQ-136 gas sensor, environmental monitoring, a lead acetate indicator strip, a camera module, audible alerts, and IoT-based monitoring to support workplace safety.</w:t>
      </w:r>
    </w:p>
    <w:p w14:paraId="1C80D02B"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wearable device monitors gas-sensor response and environmental conditions, displays essential readings on an OLED screen, and activates a buzzer when the configured threshold is exceeded. An ESP32-CAM captures images of the lead acetate strip, enabling visual observation and further analysis. Through Blynk IoT, available sensor information can be monitored remotely.</w:t>
      </w:r>
    </w:p>
    <w:p w14:paraId="14BEBA6B" w14:textId="77777777" w:rsid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also includes a web-based monitoring platform concept for worker profiles, sensor dashboards, analytics, reports, notifications, and risk advisories. By combining wearable sensing, visual indication, wireless communication, and digital reporting, the project aims to improve hazard awareness and support more informed workplace safety management.</w:t>
      </w:r>
    </w:p>
    <w:p w14:paraId="35251BE4" w14:textId="61C83CB4" w:rsidR="002D369B" w:rsidRPr="002D369B" w:rsidRDefault="002D369B" w:rsidP="002D369B">
      <w:pPr>
        <w:jc w:val="center"/>
        <w:rPr>
          <w:rFonts w:ascii="Times New Roman" w:hAnsi="Times New Roman" w:cs="Times New Roman"/>
          <w:sz w:val="22"/>
          <w:szCs w:val="22"/>
        </w:rPr>
      </w:pPr>
      <w:r w:rsidRPr="002D369B">
        <w:rPr>
          <w:rFonts w:ascii="Times New Roman" w:hAnsi="Times New Roman" w:cs="Times New Roman"/>
          <w:sz w:val="22"/>
          <w:szCs w:val="22"/>
        </w:rPr>
        <w:drawing>
          <wp:inline distT="0" distB="0" distL="0" distR="0" wp14:anchorId="59CDA6A5" wp14:editId="0B210F31">
            <wp:extent cx="4197927" cy="2396490"/>
            <wp:effectExtent l="0" t="0" r="0" b="3810"/>
            <wp:docPr id="13554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6355" name=""/>
                    <pic:cNvPicPr/>
                  </pic:nvPicPr>
                  <pic:blipFill>
                    <a:blip r:embed="rId6"/>
                    <a:stretch>
                      <a:fillRect/>
                    </a:stretch>
                  </pic:blipFill>
                  <pic:spPr>
                    <a:xfrm>
                      <a:off x="0" y="0"/>
                      <a:ext cx="4206683" cy="2401489"/>
                    </a:xfrm>
                    <a:prstGeom prst="rect">
                      <a:avLst/>
                    </a:prstGeom>
                  </pic:spPr>
                </pic:pic>
              </a:graphicData>
            </a:graphic>
          </wp:inline>
        </w:drawing>
      </w:r>
    </w:p>
    <w:p w14:paraId="74026892"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INTRODUCTION</w:t>
      </w:r>
    </w:p>
    <w:p w14:paraId="1B7290BE"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Hydrogen sulfide (H₂S) is a toxic gas that can occur in environments such as wastewater treatment facilities, sewage systems, industrial plants, and confined workspaces. Workers in these environments may face exposure risks that require timely detection, effective warnings, and continuous monitoring.</w:t>
      </w:r>
    </w:p>
    <w:p w14:paraId="15278B7D"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Traditional gas detection approaches may depend on standalone instruments or periodic manual checks. These methods can present challenges in continuous worker-level monitoring, remote supervision, and maintaining accessible exposure records.</w:t>
      </w:r>
    </w:p>
    <w:p w14:paraId="291EF24F"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 xml:space="preserve">H₂Sentry is designed to address these challenges through a compact wearable system that combines electronic gas sensing with a chemical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-indicator strip and IoT-based monitoring. It provides workers with on-device alerts while allowing relevant information to be viewed remotely.</w:t>
      </w:r>
    </w:p>
    <w:p w14:paraId="2342878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project aims to connect wearable safety technology with digital monitoring tools to support more accessible, responsive, and data-informed workplace safety practices.</w:t>
      </w:r>
    </w:p>
    <w:p w14:paraId="4A5552A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lastRenderedPageBreak/>
        <w:t>PROBLEM STATEMENT</w:t>
      </w:r>
    </w:p>
    <w:p w14:paraId="4650B4FF"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Workers operating in environments where hydrogen sulfide may be present face the risk of exposure to a hazardous gas that may not be reliably identified through human senses alone. Delayed detection, limited worker-level monitoring, and lack of immediate warning mechanisms can increase the difficulty of responding to potentially dangerous conditions.</w:t>
      </w:r>
    </w:p>
    <w:p w14:paraId="213C7CCC"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Conventional monitoring systems may not always provide an integrated solution combining wearable gas sensing, visual chemical indication, immediate audible alerts, environmental measurements, and remote monitoring.</w:t>
      </w:r>
    </w:p>
    <w:p w14:paraId="288C4FA4"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As a result, workers and supervisors may face challenges in identifying changing gas conditions, maintaining monitoring records, reviewing exposure-related events, and making timely safety decisions.</w:t>
      </w:r>
    </w:p>
    <w:p w14:paraId="29D7FC87"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addresses these challenges by developing a wearable monitoring prototype with multiple sensing and alert mechanisms, supported by a digital platform for viewing sensor data and generating worker-level reports.</w:t>
      </w:r>
    </w:p>
    <w:p w14:paraId="5DFF987D"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NEED FOR SOLUTION</w:t>
      </w:r>
    </w:p>
    <w:p w14:paraId="3189DE42"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Workers need wearable monitoring to observe gas conditions near their working environment.</w:t>
      </w:r>
    </w:p>
    <w:p w14:paraId="11206491"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Immediate audible alerts are needed to notify the wearer when configured sensor thresholds are exceeded.</w:t>
      </w:r>
    </w:p>
    <w:p w14:paraId="22BED94E"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Supervisors need remote access to available sensor readings and monitoring records.</w:t>
      </w:r>
    </w:p>
    <w:p w14:paraId="0EA35BE2"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Environmental parameters such as temperature and humidity provide additional context for monitoring.</w:t>
      </w:r>
    </w:p>
    <w:p w14:paraId="2C0898B6"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 xml:space="preserve">Visual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 xml:space="preserve"> indication can complement electronic gas sensing.</w:t>
      </w:r>
    </w:p>
    <w:p w14:paraId="60D74D04" w14:textId="77777777" w:rsidR="002D369B" w:rsidRPr="002D369B" w:rsidRDefault="002D369B" w:rsidP="002D369B">
      <w:pPr>
        <w:numPr>
          <w:ilvl w:val="0"/>
          <w:numId w:val="4"/>
        </w:numPr>
        <w:jc w:val="both"/>
        <w:rPr>
          <w:rFonts w:ascii="Times New Roman" w:hAnsi="Times New Roman" w:cs="Times New Roman"/>
          <w:sz w:val="22"/>
          <w:szCs w:val="22"/>
        </w:rPr>
      </w:pPr>
      <w:r w:rsidRPr="002D369B">
        <w:rPr>
          <w:rFonts w:ascii="Times New Roman" w:hAnsi="Times New Roman" w:cs="Times New Roman"/>
          <w:sz w:val="22"/>
          <w:szCs w:val="22"/>
        </w:rPr>
        <w:t>Digital reports and analytics can support exposure-event review and workplace safety management.</w:t>
      </w:r>
    </w:p>
    <w:p w14:paraId="3EB2768F"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EXISTING SYSTEMS AND GAPS</w:t>
      </w:r>
    </w:p>
    <w:p w14:paraId="5F7B1933"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Existing gas-monitoring solutions include portable gas detectors, fixed industrial gas detection systems, and wearable safety devices. These systems are used to monitor hazardous gases and provide warnings in various industrial environments.</w:t>
      </w:r>
    </w:p>
    <w:p w14:paraId="10829DC9"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However, individual monitoring approaches may differ in their ability to combine wearable sensing, visual indicator monitoring, environmental measurements, IoT connectivity, and worker-specific digital reporting in one integrated prototype.</w:t>
      </w:r>
    </w:p>
    <w:p w14:paraId="7DEBDCD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Gaps in existing approaches</w:t>
      </w:r>
    </w:p>
    <w:p w14:paraId="5C84267B"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t>Standalone detectors may provide limited integration with worker-specific digital records.</w:t>
      </w:r>
    </w:p>
    <w:p w14:paraId="54C5189F"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t>Manual monitoring and reporting can make it difficult to maintain consistent records.</w:t>
      </w:r>
    </w:p>
    <w:p w14:paraId="284E60BB"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t>Separate sensing and reporting systems may require additional effort for data consolidation.</w:t>
      </w:r>
    </w:p>
    <w:p w14:paraId="61E1BF06"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lastRenderedPageBreak/>
        <w:t>Chemical indicator strips may require visual inspection without automated image capture.</w:t>
      </w:r>
    </w:p>
    <w:p w14:paraId="2C6A21E5"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t>Remote monitoring and historical analytics may not be available in a unified interface.</w:t>
      </w:r>
    </w:p>
    <w:p w14:paraId="7EA32A6D" w14:textId="77777777" w:rsidR="002D369B" w:rsidRPr="002D369B" w:rsidRDefault="002D369B" w:rsidP="002D369B">
      <w:pPr>
        <w:numPr>
          <w:ilvl w:val="0"/>
          <w:numId w:val="5"/>
        </w:numPr>
        <w:jc w:val="both"/>
        <w:rPr>
          <w:rFonts w:ascii="Times New Roman" w:hAnsi="Times New Roman" w:cs="Times New Roman"/>
          <w:sz w:val="22"/>
          <w:szCs w:val="22"/>
        </w:rPr>
      </w:pPr>
      <w:r w:rsidRPr="002D369B">
        <w:rPr>
          <w:rFonts w:ascii="Times New Roman" w:hAnsi="Times New Roman" w:cs="Times New Roman"/>
          <w:sz w:val="22"/>
          <w:szCs w:val="22"/>
        </w:rPr>
        <w:t>Workers and supervisors need clear, accessible alerts and safety information.</w:t>
      </w:r>
    </w:p>
    <w:p w14:paraId="549F887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is designed to bring these functions together in a single wearable and digital monitoring ecosystem.</w:t>
      </w:r>
    </w:p>
    <w:p w14:paraId="07421FCF"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H₂SENTRY'S ROLE</w:t>
      </w:r>
    </w:p>
    <w:p w14:paraId="0ECB09FD"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is positioned as a wearable safety-monitoring and digital reporting solution rather than a replacement for certified industrial gas detectors or workplace safety procedures.</w:t>
      </w:r>
    </w:p>
    <w:p w14:paraId="1E4AF4D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Its role is to combine gas-sensor response, chemical visual indication, environmental measurements, audible alerts, and remote data monitoring into a unified prototype. The associated website is intended to help supervisors view available information, review worker records, and understand monitoring trends.</w:t>
      </w:r>
    </w:p>
    <w:p w14:paraId="3C9EE1D3"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system can complement established safety practices, subject to appropriate sensor calibration, validation, and compliance with applicable workplace safety requirements.</w:t>
      </w:r>
    </w:p>
    <w:p w14:paraId="364A24B5"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PROPOSED SOLUTION</w:t>
      </w:r>
    </w:p>
    <w:p w14:paraId="556F116A"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is a wearable, IoT-enabled gas-monitoring system designed to support worker safety through continuous sensor observation, local alerts, and remote monitoring.</w:t>
      </w:r>
    </w:p>
    <w:p w14:paraId="20FBEB4C"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worker wears the device, which uses an MQ-136 sensor to detect changes in the surrounding gas environment. A DHT11 sensor measures temperature and humidity, while a lead acetate strip provides an additional visual indication of H₂S exposure conditions.</w:t>
      </w:r>
    </w:p>
    <w:p w14:paraId="7B7E89A3"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When the configured gas-sensor threshold is exceeded, the buzzer provides an audible warning. The OLED screen displays essential readings directly on the device. An ESP32-CAM captures images of the indicator strip for observation and further analysis.</w:t>
      </w:r>
    </w:p>
    <w:p w14:paraId="407339E9"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Sensor information is communicated through Blynk IoT, with a web-based dashboard planned to present worker monitoring data, analytics, notifications, and reports. The platform is designed to support both immediate monitoring and the review of historical records.</w:t>
      </w:r>
    </w:p>
    <w:p w14:paraId="1F8177B0"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OBJECTIVES</w:t>
      </w:r>
    </w:p>
    <w:p w14:paraId="44D95ED3"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develop a compact wearable system for monitoring H₂S-related sensor responses.</w:t>
      </w:r>
    </w:p>
    <w:p w14:paraId="62178DDB"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provide immediate audible alerts when configured thresholds are exceeded.</w:t>
      </w:r>
    </w:p>
    <w:p w14:paraId="3CA9F628"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combine electronic gas sensing with lead acetate strip-based visual indication.</w:t>
      </w:r>
    </w:p>
    <w:p w14:paraId="5F553013"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monitor temperature and humidity as additional environmental parameters.</w:t>
      </w:r>
    </w:p>
    <w:p w14:paraId="6222370C"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capture indicator-strip images for visual observation and analysis.</w:t>
      </w:r>
    </w:p>
    <w:p w14:paraId="55A6A1A6"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enable remote monitoring of available sensor information through IoT connectivity.</w:t>
      </w:r>
    </w:p>
    <w:p w14:paraId="7494326C"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lastRenderedPageBreak/>
        <w:t>To develop a web-based platform for worker profiles, analytics, notifications, and monitoring reports.</w:t>
      </w:r>
    </w:p>
    <w:p w14:paraId="745F4042" w14:textId="77777777" w:rsidR="002D369B" w:rsidRPr="002D369B" w:rsidRDefault="002D369B" w:rsidP="002D369B">
      <w:pPr>
        <w:numPr>
          <w:ilvl w:val="0"/>
          <w:numId w:val="6"/>
        </w:numPr>
        <w:jc w:val="both"/>
        <w:rPr>
          <w:rFonts w:ascii="Times New Roman" w:hAnsi="Times New Roman" w:cs="Times New Roman"/>
          <w:sz w:val="22"/>
          <w:szCs w:val="22"/>
        </w:rPr>
      </w:pPr>
      <w:r w:rsidRPr="002D369B">
        <w:rPr>
          <w:rFonts w:ascii="Times New Roman" w:hAnsi="Times New Roman" w:cs="Times New Roman"/>
          <w:sz w:val="22"/>
          <w:szCs w:val="22"/>
        </w:rPr>
        <w:t>To support improved hazard awareness and informed workplace safety management.</w:t>
      </w:r>
    </w:p>
    <w:p w14:paraId="05311AE4"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KEY FEATURES</w:t>
      </w:r>
    </w:p>
    <w:p w14:paraId="47E15A7E"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Each feature combines hardware monitoring with digital safety support.</w:t>
      </w:r>
    </w:p>
    <w:p w14:paraId="2B59806C"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1. Wearable H₂S Gas Sensing</w:t>
      </w:r>
    </w:p>
    <w:p w14:paraId="23A0714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MQ-136 gas sensor detects changes in the surrounding gas environment associated with hydrogen sulfide. The sensor response is processed by the controller to support continuous monitoring and threshold-based alerts. The system is designed for wearable use, allowing the worker to carry the monitoring unit during work activities.</w:t>
      </w:r>
    </w:p>
    <w:p w14:paraId="5D2558B3"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2. Real-Time Audible Alert System</w:t>
      </w:r>
    </w:p>
    <w:p w14:paraId="7CC8AA8F"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device activates a buzzer when the configured sensor threshold is exceeded. This provides an immediate audible warning to the wearer, helping draw attention to potentially hazardous gas conditions without requiring constant observation of the display.</w:t>
      </w:r>
    </w:p>
    <w:p w14:paraId="3944207E"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prototype threshold of 50 ppm is a configured demonstration value, not a certified occupational exposure limit. Reliable concentration measurements require calibration and validation against a reference instrument.</w:t>
      </w:r>
    </w:p>
    <w:p w14:paraId="059F5506"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 xml:space="preserve">3. Lead Acetate </w:t>
      </w:r>
      <w:proofErr w:type="spellStart"/>
      <w:r w:rsidRPr="002D369B">
        <w:rPr>
          <w:rFonts w:ascii="Times New Roman" w:hAnsi="Times New Roman" w:cs="Times New Roman"/>
          <w:b/>
          <w:bCs/>
          <w:sz w:val="22"/>
          <w:szCs w:val="22"/>
        </w:rPr>
        <w:t>Colour</w:t>
      </w:r>
      <w:proofErr w:type="spellEnd"/>
      <w:r w:rsidRPr="002D369B">
        <w:rPr>
          <w:rFonts w:ascii="Times New Roman" w:hAnsi="Times New Roman" w:cs="Times New Roman"/>
          <w:b/>
          <w:bCs/>
          <w:sz w:val="22"/>
          <w:szCs w:val="22"/>
        </w:rPr>
        <w:t>-Indication System</w:t>
      </w:r>
    </w:p>
    <w:p w14:paraId="4C8D7316"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 xml:space="preserve">A lead acetate strip is integrated into the wearable device to provide a visual indication through a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 xml:space="preserve"> change associated with H₂S exposure. This complements electronic sensing by offering an additional means of observing possible gas exposure conditions.</w:t>
      </w:r>
    </w:p>
    <w:p w14:paraId="6984FDC3"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strip is held in a dedicated holder, allowing it to be observed and photographed during monitoring.</w:t>
      </w:r>
    </w:p>
    <w:p w14:paraId="2E081BD3"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4. Camera-Based Strip Image Capture</w:t>
      </w:r>
    </w:p>
    <w:p w14:paraId="08203C68"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 xml:space="preserve">The ESP32-CAM captures images of the lead acetate strip. These images can be used for visual observation, comparison of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 xml:space="preserve"> changes, and further image-analysis development.</w:t>
      </w:r>
    </w:p>
    <w:p w14:paraId="57BA1196"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 xml:space="preserve">The captured images also provide a basis for maintaining visual monitoring records and exploring automated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 xml:space="preserve"> classification in future development.</w:t>
      </w:r>
    </w:p>
    <w:p w14:paraId="18417CFD"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5. Environmental Monitoring</w:t>
      </w:r>
    </w:p>
    <w:p w14:paraId="2364B30E"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DHT11 sensor measures temperature and humidity in the surrounding environment. These readings provide additional environmental context alongside gas-sensor response.</w:t>
      </w:r>
    </w:p>
    <w:p w14:paraId="6935DBF4"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information can be displayed on the device and included in the monitoring platform, helping users review environmental conditions associated with recorded sensor data.</w:t>
      </w:r>
    </w:p>
    <w:p w14:paraId="5243FE80"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6. OLED-Based On-Device Display</w:t>
      </w:r>
    </w:p>
    <w:p w14:paraId="15874CB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lastRenderedPageBreak/>
        <w:t>The OLED display presents essential sensor readings and device information directly on the wearable unit. It allows workers to view available monitoring information without depending entirely on a smartphone or remote dashboard.</w:t>
      </w:r>
    </w:p>
    <w:p w14:paraId="0295F42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This feature supports accessible, on-device monitoring during normal operation.</w:t>
      </w:r>
    </w:p>
    <w:p w14:paraId="4DC33096"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7. Blynk IoT Remote Monitoring</w:t>
      </w:r>
    </w:p>
    <w:p w14:paraId="542BD6D7"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ESP32-based controller communicates available sensor information through Blynk IoT. This enables remote viewing of connected parameters and supports the development of a connected workplace monitoring system.</w:t>
      </w:r>
    </w:p>
    <w:p w14:paraId="30DDD99D"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website is designed to use a backend integration layer so that live Blynk readings can replace demonstration data when the hardware connection is ready.</w:t>
      </w:r>
    </w:p>
    <w:p w14:paraId="49F217E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8. Worker Safety Dashboard and Digital Reports</w:t>
      </w:r>
    </w:p>
    <w:p w14:paraId="678BD7C6"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proposed web platform provides a centralized interface for worker profiles, live monitoring, sensor history, analytics, notifications, and individual worker reports.</w:t>
      </w:r>
    </w:p>
    <w:p w14:paraId="7AE1C57B"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Supervisors can select a worker to review associated monitoring information, examine historical trends, and access recorded events. This feature is intended to simplify monitoring and support organized workplace safety documentation.</w:t>
      </w:r>
    </w:p>
    <w:p w14:paraId="4261F7DE"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9. Risk Advisory and Exposure Trend Analysis</w:t>
      </w:r>
    </w:p>
    <w:p w14:paraId="436EE6FA"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platform is designed to present monitoring trends and risk advisories based on available sensor information and configured rules.</w:t>
      </w:r>
    </w:p>
    <w:p w14:paraId="109FCACE"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Weekly and monthly analytics, shift-wise summaries, and historical readings can help users identify patterns requiring attention. Any predictive or risk classification output must be validated and should not be treated as a substitute for certified gas detection or professional safety assessment.</w:t>
      </w:r>
    </w:p>
    <w:p w14:paraId="5D340D56"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10. QR-Based Device Identity and Maintenance Tracking</w:t>
      </w:r>
    </w:p>
    <w:p w14:paraId="30F0878A"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QR code attached to the hardware allows users to scan the device and retrieve its associated manufacturing and expiry information.</w:t>
      </w:r>
    </w:p>
    <w:p w14:paraId="168C972C"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This feature supports device identification, maintenance tracking, and easier access to relevant hardware information, helping organize device-level records.</w:t>
      </w:r>
    </w:p>
    <w:p w14:paraId="2A9024E3"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MARKET ANALYSIS</w:t>
      </w:r>
    </w:p>
    <w:p w14:paraId="76E3F14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operates in the industrial safety, gas detection, occupational health monitoring, and connected wearable technology sectors.</w:t>
      </w:r>
    </w:p>
    <w:p w14:paraId="21AB2DD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Industries and work environments where H₂S monitoring may be relevant include:</w:t>
      </w:r>
    </w:p>
    <w:p w14:paraId="3F0997A6" w14:textId="77777777" w:rsidR="002D369B" w:rsidRPr="002D369B" w:rsidRDefault="002D369B" w:rsidP="002D369B">
      <w:pPr>
        <w:numPr>
          <w:ilvl w:val="0"/>
          <w:numId w:val="7"/>
        </w:numPr>
        <w:jc w:val="both"/>
        <w:rPr>
          <w:rFonts w:ascii="Times New Roman" w:hAnsi="Times New Roman" w:cs="Times New Roman"/>
          <w:sz w:val="22"/>
          <w:szCs w:val="22"/>
        </w:rPr>
      </w:pPr>
      <w:r w:rsidRPr="002D369B">
        <w:rPr>
          <w:rFonts w:ascii="Times New Roman" w:hAnsi="Times New Roman" w:cs="Times New Roman"/>
          <w:sz w:val="22"/>
          <w:szCs w:val="22"/>
        </w:rPr>
        <w:t>Oil and gas processing facilities.</w:t>
      </w:r>
    </w:p>
    <w:p w14:paraId="6E0B8448" w14:textId="77777777" w:rsidR="002D369B" w:rsidRPr="002D369B" w:rsidRDefault="002D369B" w:rsidP="002D369B">
      <w:pPr>
        <w:numPr>
          <w:ilvl w:val="0"/>
          <w:numId w:val="7"/>
        </w:numPr>
        <w:jc w:val="both"/>
        <w:rPr>
          <w:rFonts w:ascii="Times New Roman" w:hAnsi="Times New Roman" w:cs="Times New Roman"/>
          <w:sz w:val="22"/>
          <w:szCs w:val="22"/>
        </w:rPr>
      </w:pPr>
      <w:r w:rsidRPr="002D369B">
        <w:rPr>
          <w:rFonts w:ascii="Times New Roman" w:hAnsi="Times New Roman" w:cs="Times New Roman"/>
          <w:sz w:val="22"/>
          <w:szCs w:val="22"/>
        </w:rPr>
        <w:t>Wastewater treatment plants and sewage systems.</w:t>
      </w:r>
    </w:p>
    <w:p w14:paraId="4ADEBB36" w14:textId="77777777" w:rsidR="002D369B" w:rsidRPr="002D369B" w:rsidRDefault="002D369B" w:rsidP="002D369B">
      <w:pPr>
        <w:numPr>
          <w:ilvl w:val="0"/>
          <w:numId w:val="7"/>
        </w:numPr>
        <w:jc w:val="both"/>
        <w:rPr>
          <w:rFonts w:ascii="Times New Roman" w:hAnsi="Times New Roman" w:cs="Times New Roman"/>
          <w:sz w:val="22"/>
          <w:szCs w:val="22"/>
        </w:rPr>
      </w:pPr>
      <w:r w:rsidRPr="002D369B">
        <w:rPr>
          <w:rFonts w:ascii="Times New Roman" w:hAnsi="Times New Roman" w:cs="Times New Roman"/>
          <w:sz w:val="22"/>
          <w:szCs w:val="22"/>
        </w:rPr>
        <w:lastRenderedPageBreak/>
        <w:t>Chemical and industrial manufacturing facilities.</w:t>
      </w:r>
    </w:p>
    <w:p w14:paraId="5DC0E699" w14:textId="77777777" w:rsidR="002D369B" w:rsidRPr="002D369B" w:rsidRDefault="002D369B" w:rsidP="002D369B">
      <w:pPr>
        <w:numPr>
          <w:ilvl w:val="0"/>
          <w:numId w:val="7"/>
        </w:numPr>
        <w:jc w:val="both"/>
        <w:rPr>
          <w:rFonts w:ascii="Times New Roman" w:hAnsi="Times New Roman" w:cs="Times New Roman"/>
          <w:sz w:val="22"/>
          <w:szCs w:val="22"/>
        </w:rPr>
      </w:pPr>
      <w:r w:rsidRPr="002D369B">
        <w:rPr>
          <w:rFonts w:ascii="Times New Roman" w:hAnsi="Times New Roman" w:cs="Times New Roman"/>
          <w:sz w:val="22"/>
          <w:szCs w:val="22"/>
        </w:rPr>
        <w:t>Confined-space maintenance and inspection operations.</w:t>
      </w:r>
    </w:p>
    <w:p w14:paraId="4C5B6F92" w14:textId="77777777" w:rsidR="002D369B" w:rsidRPr="002D369B" w:rsidRDefault="002D369B" w:rsidP="002D369B">
      <w:pPr>
        <w:numPr>
          <w:ilvl w:val="0"/>
          <w:numId w:val="7"/>
        </w:numPr>
        <w:jc w:val="both"/>
        <w:rPr>
          <w:rFonts w:ascii="Times New Roman" w:hAnsi="Times New Roman" w:cs="Times New Roman"/>
          <w:sz w:val="22"/>
          <w:szCs w:val="22"/>
        </w:rPr>
      </w:pPr>
      <w:r w:rsidRPr="002D369B">
        <w:rPr>
          <w:rFonts w:ascii="Times New Roman" w:hAnsi="Times New Roman" w:cs="Times New Roman"/>
          <w:sz w:val="22"/>
          <w:szCs w:val="22"/>
        </w:rPr>
        <w:t>Industrial cleaning and other activities involving potential H₂S exposure.</w:t>
      </w:r>
    </w:p>
    <w:p w14:paraId="6AD414C5" w14:textId="77777777" w:rsid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These environments require appropriate gas detection, worker protection, and established emergency-response procedures. Wearable monitoring and connected dashboards can complement existing safety infrastructure by making selected sensor information more accessible.</w:t>
      </w:r>
    </w:p>
    <w:p w14:paraId="64FF177E" w14:textId="201BB28E" w:rsidR="002D369B" w:rsidRPr="002D369B" w:rsidRDefault="002D369B" w:rsidP="002D369B">
      <w:pPr>
        <w:jc w:val="center"/>
        <w:rPr>
          <w:rFonts w:ascii="Times New Roman" w:hAnsi="Times New Roman" w:cs="Times New Roman"/>
          <w:sz w:val="22"/>
          <w:szCs w:val="22"/>
        </w:rPr>
      </w:pPr>
      <w:r w:rsidRPr="002D369B">
        <w:rPr>
          <w:rFonts w:ascii="Times New Roman" w:hAnsi="Times New Roman" w:cs="Times New Roman"/>
          <w:sz w:val="22"/>
          <w:szCs w:val="22"/>
        </w:rPr>
        <w:drawing>
          <wp:inline distT="0" distB="0" distL="0" distR="0" wp14:anchorId="619DB638" wp14:editId="6FEFF7B3">
            <wp:extent cx="4405745" cy="2166158"/>
            <wp:effectExtent l="0" t="0" r="0" b="5715"/>
            <wp:docPr id="155282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336" name=""/>
                    <pic:cNvPicPr/>
                  </pic:nvPicPr>
                  <pic:blipFill>
                    <a:blip r:embed="rId7"/>
                    <a:stretch>
                      <a:fillRect/>
                    </a:stretch>
                  </pic:blipFill>
                  <pic:spPr>
                    <a:xfrm>
                      <a:off x="0" y="0"/>
                      <a:ext cx="4423307" cy="2174793"/>
                    </a:xfrm>
                    <a:prstGeom prst="rect">
                      <a:avLst/>
                    </a:prstGeom>
                  </pic:spPr>
                </pic:pic>
              </a:graphicData>
            </a:graphic>
          </wp:inline>
        </w:drawing>
      </w:r>
    </w:p>
    <w:p w14:paraId="652DB683"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Target users and potential stakeholders</w:t>
      </w:r>
    </w:p>
    <w:tbl>
      <w:tblPr>
        <w:tblStyle w:val="TableGrid"/>
        <w:tblW w:w="0" w:type="auto"/>
        <w:tblLook w:val="04A0" w:firstRow="1" w:lastRow="0" w:firstColumn="1" w:lastColumn="0" w:noHBand="0" w:noVBand="1"/>
      </w:tblPr>
      <w:tblGrid>
        <w:gridCol w:w="4047"/>
        <w:gridCol w:w="4218"/>
      </w:tblGrid>
      <w:tr w:rsidR="002D369B" w:rsidRPr="002D369B" w14:paraId="2C03641F" w14:textId="77777777" w:rsidTr="002D369B">
        <w:tc>
          <w:tcPr>
            <w:tcW w:w="0" w:type="auto"/>
            <w:hideMark/>
          </w:tcPr>
          <w:p w14:paraId="25BF9DA0" w14:textId="77777777" w:rsidR="002D369B" w:rsidRPr="002D369B" w:rsidRDefault="002D369B" w:rsidP="002D369B">
            <w:pPr>
              <w:spacing w:after="160" w:line="278" w:lineRule="auto"/>
              <w:jc w:val="both"/>
              <w:rPr>
                <w:rFonts w:ascii="Times New Roman" w:hAnsi="Times New Roman" w:cs="Times New Roman"/>
                <w:b/>
                <w:bCs/>
                <w:sz w:val="22"/>
                <w:szCs w:val="22"/>
              </w:rPr>
            </w:pPr>
            <w:r w:rsidRPr="002D369B">
              <w:rPr>
                <w:rFonts w:ascii="Times New Roman" w:hAnsi="Times New Roman" w:cs="Times New Roman"/>
                <w:b/>
                <w:bCs/>
                <w:sz w:val="22"/>
                <w:szCs w:val="22"/>
              </w:rPr>
              <w:t>Segment</w:t>
            </w:r>
          </w:p>
        </w:tc>
        <w:tc>
          <w:tcPr>
            <w:tcW w:w="0" w:type="auto"/>
            <w:hideMark/>
          </w:tcPr>
          <w:p w14:paraId="430EDB64" w14:textId="77777777" w:rsidR="002D369B" w:rsidRPr="002D369B" w:rsidRDefault="002D369B" w:rsidP="002D369B">
            <w:pPr>
              <w:spacing w:after="160" w:line="278" w:lineRule="auto"/>
              <w:jc w:val="both"/>
              <w:rPr>
                <w:rFonts w:ascii="Times New Roman" w:hAnsi="Times New Roman" w:cs="Times New Roman"/>
                <w:b/>
                <w:bCs/>
                <w:sz w:val="22"/>
                <w:szCs w:val="22"/>
              </w:rPr>
            </w:pPr>
            <w:r w:rsidRPr="002D369B">
              <w:rPr>
                <w:rFonts w:ascii="Times New Roman" w:hAnsi="Times New Roman" w:cs="Times New Roman"/>
                <w:b/>
                <w:bCs/>
                <w:sz w:val="22"/>
                <w:szCs w:val="22"/>
              </w:rPr>
              <w:t>Potential use</w:t>
            </w:r>
          </w:p>
        </w:tc>
      </w:tr>
      <w:tr w:rsidR="002D369B" w:rsidRPr="002D369B" w14:paraId="118C6A9B" w14:textId="77777777" w:rsidTr="002D369B">
        <w:tc>
          <w:tcPr>
            <w:tcW w:w="0" w:type="auto"/>
            <w:hideMark/>
          </w:tcPr>
          <w:p w14:paraId="1924B61B"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Industrial workers</w:t>
            </w:r>
          </w:p>
        </w:tc>
        <w:tc>
          <w:tcPr>
            <w:tcW w:w="0" w:type="auto"/>
            <w:hideMark/>
          </w:tcPr>
          <w:p w14:paraId="306AF02B"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Wearable monitoring and immediate alerts</w:t>
            </w:r>
          </w:p>
        </w:tc>
      </w:tr>
      <w:tr w:rsidR="002D369B" w:rsidRPr="002D369B" w14:paraId="528F5748" w14:textId="77777777" w:rsidTr="002D369B">
        <w:tc>
          <w:tcPr>
            <w:tcW w:w="0" w:type="auto"/>
            <w:hideMark/>
          </w:tcPr>
          <w:p w14:paraId="52E26CA3"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Safety officers</w:t>
            </w:r>
          </w:p>
        </w:tc>
        <w:tc>
          <w:tcPr>
            <w:tcW w:w="0" w:type="auto"/>
            <w:hideMark/>
          </w:tcPr>
          <w:p w14:paraId="536E891F"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Review of monitoring data and safety events</w:t>
            </w:r>
          </w:p>
        </w:tc>
      </w:tr>
      <w:tr w:rsidR="002D369B" w:rsidRPr="002D369B" w14:paraId="05EC1405" w14:textId="77777777" w:rsidTr="002D369B">
        <w:tc>
          <w:tcPr>
            <w:tcW w:w="0" w:type="auto"/>
            <w:hideMark/>
          </w:tcPr>
          <w:p w14:paraId="60144A02"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Industrial facility operators</w:t>
            </w:r>
          </w:p>
        </w:tc>
        <w:tc>
          <w:tcPr>
            <w:tcW w:w="0" w:type="auto"/>
            <w:hideMark/>
          </w:tcPr>
          <w:p w14:paraId="05681B4D"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Worker monitoring and centralized reporting</w:t>
            </w:r>
          </w:p>
        </w:tc>
      </w:tr>
      <w:tr w:rsidR="002D369B" w:rsidRPr="002D369B" w14:paraId="5167F653" w14:textId="77777777" w:rsidTr="002D369B">
        <w:tc>
          <w:tcPr>
            <w:tcW w:w="0" w:type="auto"/>
            <w:hideMark/>
          </w:tcPr>
          <w:p w14:paraId="4CC8BC63"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Wastewater and sewage maintenance teams</w:t>
            </w:r>
          </w:p>
        </w:tc>
        <w:tc>
          <w:tcPr>
            <w:tcW w:w="0" w:type="auto"/>
            <w:hideMark/>
          </w:tcPr>
          <w:p w14:paraId="4BF00120"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Gas-condition awareness during maintenance</w:t>
            </w:r>
          </w:p>
        </w:tc>
      </w:tr>
      <w:tr w:rsidR="002D369B" w:rsidRPr="002D369B" w14:paraId="34EC7F14" w14:textId="77777777" w:rsidTr="002D369B">
        <w:tc>
          <w:tcPr>
            <w:tcW w:w="0" w:type="auto"/>
            <w:hideMark/>
          </w:tcPr>
          <w:p w14:paraId="1C61B5DB"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Industrial safety solution providers</w:t>
            </w:r>
          </w:p>
        </w:tc>
        <w:tc>
          <w:tcPr>
            <w:tcW w:w="0" w:type="auto"/>
            <w:hideMark/>
          </w:tcPr>
          <w:p w14:paraId="6B8A5505" w14:textId="77777777" w:rsidR="002D369B" w:rsidRPr="002D369B" w:rsidRDefault="002D369B" w:rsidP="002D369B">
            <w:pPr>
              <w:spacing w:after="160" w:line="278" w:lineRule="auto"/>
              <w:jc w:val="both"/>
              <w:rPr>
                <w:rFonts w:ascii="Times New Roman" w:hAnsi="Times New Roman" w:cs="Times New Roman"/>
                <w:sz w:val="22"/>
                <w:szCs w:val="22"/>
              </w:rPr>
            </w:pPr>
            <w:r w:rsidRPr="002D369B">
              <w:rPr>
                <w:rFonts w:ascii="Times New Roman" w:hAnsi="Times New Roman" w:cs="Times New Roman"/>
                <w:sz w:val="22"/>
                <w:szCs w:val="22"/>
              </w:rPr>
              <w:t>Integration with existing safety workflows</w:t>
            </w:r>
          </w:p>
        </w:tc>
      </w:tr>
    </w:tbl>
    <w:p w14:paraId="6FD3E938"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initial opportunity for H₂Sentry is to demonstrate an affordable, integrated wearable prototype and assess its suitability for specific workplace monitoring applications.</w:t>
      </w:r>
    </w:p>
    <w:p w14:paraId="2FA70A1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A commercial market-size estimate would require verified market research, defined geographical coverage, target customer numbers, competing product prices, and validation of the device's performance and regulatory requirements.</w:t>
      </w:r>
    </w:p>
    <w:p w14:paraId="363A30C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INNOVATION</w:t>
      </w:r>
    </w:p>
    <w:p w14:paraId="716E0CC5"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combines multiple monitoring and safety-support capabilities into a compact wearable system rather than relying on a single sensing mechanism.</w:t>
      </w:r>
    </w:p>
    <w:p w14:paraId="25ECD08A"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Its key innovations include:</w:t>
      </w:r>
    </w:p>
    <w:p w14:paraId="0908F210"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lastRenderedPageBreak/>
        <w:t>Hybrid gas monitoring: Combines electronic gas sensing with a lead acetate chemical indicator strip, providing complementary electronic and visual information.</w:t>
      </w:r>
    </w:p>
    <w:p w14:paraId="373AFE92"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t>Wearable alert mechanism: Integrates threshold-based audible warnings and an OLED display to make monitoring information accessible to the wearer.</w:t>
      </w:r>
    </w:p>
    <w:p w14:paraId="6D44E7B3"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t xml:space="preserve">Camera-assisted visual monitoring: Uses ESP32-CAM image capture to document strip </w:t>
      </w:r>
      <w:proofErr w:type="spellStart"/>
      <w:r w:rsidRPr="002D369B">
        <w:rPr>
          <w:rFonts w:ascii="Times New Roman" w:hAnsi="Times New Roman" w:cs="Times New Roman"/>
          <w:sz w:val="22"/>
          <w:szCs w:val="22"/>
        </w:rPr>
        <w:t>colour</w:t>
      </w:r>
      <w:proofErr w:type="spellEnd"/>
      <w:r w:rsidRPr="002D369B">
        <w:rPr>
          <w:rFonts w:ascii="Times New Roman" w:hAnsi="Times New Roman" w:cs="Times New Roman"/>
          <w:sz w:val="22"/>
          <w:szCs w:val="22"/>
        </w:rPr>
        <w:t xml:space="preserve"> changes and create opportunities for future image-analysis capabilities.</w:t>
      </w:r>
    </w:p>
    <w:p w14:paraId="0779B4DE"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t>IoT-connected safety monitoring: Connects available hardware data with Blynk IoT and a planned web-based dashboard for remote viewing and reporting.</w:t>
      </w:r>
    </w:p>
    <w:p w14:paraId="631C5F6B"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t>Worker-centric digital platform: Organizes monitoring information around worker profiles, historical records, analytics, notifications, and reports.</w:t>
      </w:r>
    </w:p>
    <w:p w14:paraId="5285839B" w14:textId="77777777" w:rsidR="002D369B" w:rsidRPr="002D369B" w:rsidRDefault="002D369B" w:rsidP="002D369B">
      <w:pPr>
        <w:numPr>
          <w:ilvl w:val="0"/>
          <w:numId w:val="8"/>
        </w:numPr>
        <w:jc w:val="both"/>
        <w:rPr>
          <w:rFonts w:ascii="Times New Roman" w:hAnsi="Times New Roman" w:cs="Times New Roman"/>
          <w:sz w:val="22"/>
          <w:szCs w:val="22"/>
        </w:rPr>
      </w:pPr>
      <w:r w:rsidRPr="002D369B">
        <w:rPr>
          <w:rFonts w:ascii="Times New Roman" w:hAnsi="Times New Roman" w:cs="Times New Roman"/>
          <w:sz w:val="22"/>
          <w:szCs w:val="22"/>
        </w:rPr>
        <w:t>Device identity and tracking: Introduces QR-based access to manufacturing and expiry information to support hardware management.</w:t>
      </w:r>
    </w:p>
    <w:p w14:paraId="6716B53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integration of these elements creates a foundation for an affordable, connected worker-monitoring prototype that can be expanded through further testing, calibration, and software development.</w:t>
      </w:r>
    </w:p>
    <w:p w14:paraId="6D31D125"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IMPACT</w:t>
      </w:r>
    </w:p>
    <w:p w14:paraId="2B31690F"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has the potential to contribute to economic, social, technological, and workplace safety outcomes.</w:t>
      </w:r>
    </w:p>
    <w:p w14:paraId="21983E9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1. Worker Safety and Hazard Awareness</w:t>
      </w:r>
    </w:p>
    <w:p w14:paraId="68A5EE09"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By providing wearable sensor monitoring and audible alerts, H₂Sentry aims to improve awareness of potentially hazardous gas conditions and support timely responses under established safety procedures.</w:t>
      </w:r>
    </w:p>
    <w:p w14:paraId="40A9BE8A"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2. Improved Workplace Monitoring</w:t>
      </w:r>
    </w:p>
    <w:p w14:paraId="4AFF83DB"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combination of sensor readings, visual records, and digital reports can help safety personnel organize monitoring information and review recorded events more systematically.</w:t>
      </w:r>
    </w:p>
    <w:p w14:paraId="47724C96"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3. Digital Transformation of Safety Management</w:t>
      </w:r>
    </w:p>
    <w:p w14:paraId="06F10324"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web-based platform can reduce reliance on disconnected monitoring records by bringing available sensor information, worker profiles, analytics, and notifications into a centralized interface.</w:t>
      </w:r>
    </w:p>
    <w:p w14:paraId="67123E17"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4. Affordable Monitoring Development</w:t>
      </w:r>
    </w:p>
    <w:p w14:paraId="41E4D32B"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project explores the integration of accessible embedded components and IoT technology into a wearable prototype. Further engineering and validation could help assess its suitability for cost-conscious monitoring applications.</w:t>
      </w:r>
    </w:p>
    <w:p w14:paraId="0285F829"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5. Scalable Technology Foundation</w:t>
      </w:r>
    </w:p>
    <w:p w14:paraId="688DE0B5"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modular hardware and software architecture provides opportunities for future enhancements, including calibrated sensor measurements, improved image analysis, additional sensors, and integration with industrial monitoring systems.</w:t>
      </w:r>
    </w:p>
    <w:p w14:paraId="25F27938"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lastRenderedPageBreak/>
        <w:t>These impacts depend on appropriate calibration, field testing, reliable communications, and compliance with relevant safety standards.</w:t>
      </w:r>
    </w:p>
    <w:p w14:paraId="62210E51" w14:textId="77777777" w:rsidR="002D369B" w:rsidRPr="002D369B" w:rsidRDefault="002D369B" w:rsidP="002D369B">
      <w:pPr>
        <w:jc w:val="both"/>
        <w:rPr>
          <w:rFonts w:ascii="Times New Roman" w:hAnsi="Times New Roman" w:cs="Times New Roman"/>
          <w:b/>
          <w:bCs/>
          <w:sz w:val="22"/>
          <w:szCs w:val="22"/>
        </w:rPr>
      </w:pPr>
      <w:r w:rsidRPr="002D369B">
        <w:rPr>
          <w:rFonts w:ascii="Times New Roman" w:hAnsi="Times New Roman" w:cs="Times New Roman"/>
          <w:b/>
          <w:bCs/>
          <w:sz w:val="22"/>
          <w:szCs w:val="22"/>
        </w:rPr>
        <w:t>CONCLUSION</w:t>
      </w:r>
    </w:p>
    <w:p w14:paraId="292F2360"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H₂Sentry is a wearable H₂S monitoring and IoT-based worker-safety project that brings together gas sensing, chemical visual indication, audible alerts, environmental monitoring, and remote digital reporting.</w:t>
      </w:r>
    </w:p>
    <w:p w14:paraId="106CED93"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By integrating an MQ-136 sensor, lead acetate strip, ESP32-CAM, OLED display, and Blynk IoT connectivity, the project aims to make relevant monitoring information more accessible to workers and supervisors.</w:t>
      </w:r>
    </w:p>
    <w:p w14:paraId="3DE2CFC2"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Its proposed web platform extends the system through worker profiles, analytics, notifications, and digital reports, creating a foundation for more organized safety monitoring.</w:t>
      </w:r>
    </w:p>
    <w:p w14:paraId="41491786" w14:textId="77777777" w:rsidR="002D369B" w:rsidRPr="002D369B" w:rsidRDefault="002D369B" w:rsidP="002D369B">
      <w:pPr>
        <w:jc w:val="both"/>
        <w:rPr>
          <w:rFonts w:ascii="Times New Roman" w:hAnsi="Times New Roman" w:cs="Times New Roman"/>
          <w:sz w:val="22"/>
          <w:szCs w:val="22"/>
        </w:rPr>
      </w:pPr>
      <w:r w:rsidRPr="002D369B">
        <w:rPr>
          <w:rFonts w:ascii="Times New Roman" w:hAnsi="Times New Roman" w:cs="Times New Roman"/>
          <w:sz w:val="22"/>
          <w:szCs w:val="22"/>
        </w:rPr>
        <w:t>The strength of H₂Sentry lies in combining embedded hardware with connected software to address practical workplace monitoring challenges. With further calibration, validation, and field testing, it can be developed into a more reliable safety-support solution that complements established industrial gas detection and worker-protection systems.</w:t>
      </w:r>
    </w:p>
    <w:p w14:paraId="041652AD" w14:textId="77777777" w:rsidR="00B051D5" w:rsidRPr="002D369B" w:rsidRDefault="00B051D5" w:rsidP="002D369B">
      <w:pPr>
        <w:jc w:val="both"/>
        <w:rPr>
          <w:rFonts w:ascii="Times New Roman" w:hAnsi="Times New Roman" w:cs="Times New Roman"/>
          <w:sz w:val="22"/>
          <w:szCs w:val="22"/>
        </w:rPr>
      </w:pPr>
    </w:p>
    <w:sectPr w:rsidR="00B051D5" w:rsidRPr="002D3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D55"/>
    <w:multiLevelType w:val="multilevel"/>
    <w:tmpl w:val="08A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3378"/>
    <w:multiLevelType w:val="multilevel"/>
    <w:tmpl w:val="751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337D"/>
    <w:multiLevelType w:val="multilevel"/>
    <w:tmpl w:val="E47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6530B"/>
    <w:multiLevelType w:val="multilevel"/>
    <w:tmpl w:val="40D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E355C"/>
    <w:multiLevelType w:val="multilevel"/>
    <w:tmpl w:val="B15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56483"/>
    <w:multiLevelType w:val="multilevel"/>
    <w:tmpl w:val="8FC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03932"/>
    <w:multiLevelType w:val="multilevel"/>
    <w:tmpl w:val="F54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5709C"/>
    <w:multiLevelType w:val="multilevel"/>
    <w:tmpl w:val="AFB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519907">
    <w:abstractNumId w:val="4"/>
  </w:num>
  <w:num w:numId="2" w16cid:durableId="1687440493">
    <w:abstractNumId w:val="6"/>
  </w:num>
  <w:num w:numId="3" w16cid:durableId="1503201444">
    <w:abstractNumId w:val="3"/>
  </w:num>
  <w:num w:numId="4" w16cid:durableId="1151410562">
    <w:abstractNumId w:val="2"/>
  </w:num>
  <w:num w:numId="5" w16cid:durableId="2025545991">
    <w:abstractNumId w:val="5"/>
  </w:num>
  <w:num w:numId="6" w16cid:durableId="1923563824">
    <w:abstractNumId w:val="1"/>
  </w:num>
  <w:num w:numId="7" w16cid:durableId="1488786172">
    <w:abstractNumId w:val="0"/>
  </w:num>
  <w:num w:numId="8" w16cid:durableId="30759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D5"/>
    <w:rsid w:val="00164938"/>
    <w:rsid w:val="00207C63"/>
    <w:rsid w:val="00296346"/>
    <w:rsid w:val="002D369B"/>
    <w:rsid w:val="005D7CFC"/>
    <w:rsid w:val="0069225B"/>
    <w:rsid w:val="00790560"/>
    <w:rsid w:val="0090500A"/>
    <w:rsid w:val="009D72CE"/>
    <w:rsid w:val="00AD2969"/>
    <w:rsid w:val="00B051D5"/>
    <w:rsid w:val="00EB5719"/>
    <w:rsid w:val="00FA0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A711"/>
  <w15:chartTrackingRefBased/>
  <w15:docId w15:val="{82D162D9-9FEE-42F8-AA6E-1444A1F5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1D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051D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051D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05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1D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051D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051D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05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1D5"/>
    <w:rPr>
      <w:rFonts w:eastAsiaTheme="majorEastAsia" w:cstheme="majorBidi"/>
      <w:color w:val="272727" w:themeColor="text1" w:themeTint="D8"/>
    </w:rPr>
  </w:style>
  <w:style w:type="paragraph" w:styleId="Title">
    <w:name w:val="Title"/>
    <w:basedOn w:val="Normal"/>
    <w:next w:val="Normal"/>
    <w:link w:val="TitleChar"/>
    <w:uiPriority w:val="10"/>
    <w:qFormat/>
    <w:rsid w:val="00B051D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51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51D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51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51D5"/>
    <w:pPr>
      <w:spacing w:before="160"/>
      <w:jc w:val="center"/>
    </w:pPr>
    <w:rPr>
      <w:i/>
      <w:iCs/>
      <w:color w:val="404040" w:themeColor="text1" w:themeTint="BF"/>
    </w:rPr>
  </w:style>
  <w:style w:type="character" w:customStyle="1" w:styleId="QuoteChar">
    <w:name w:val="Quote Char"/>
    <w:basedOn w:val="DefaultParagraphFont"/>
    <w:link w:val="Quote"/>
    <w:uiPriority w:val="29"/>
    <w:rsid w:val="00B051D5"/>
    <w:rPr>
      <w:i/>
      <w:iCs/>
      <w:color w:val="404040" w:themeColor="text1" w:themeTint="BF"/>
    </w:rPr>
  </w:style>
  <w:style w:type="paragraph" w:styleId="ListParagraph">
    <w:name w:val="List Paragraph"/>
    <w:basedOn w:val="Normal"/>
    <w:uiPriority w:val="34"/>
    <w:qFormat/>
    <w:rsid w:val="00B051D5"/>
    <w:pPr>
      <w:ind w:left="720"/>
      <w:contextualSpacing/>
    </w:pPr>
  </w:style>
  <w:style w:type="character" w:styleId="IntenseEmphasis">
    <w:name w:val="Intense Emphasis"/>
    <w:basedOn w:val="DefaultParagraphFont"/>
    <w:uiPriority w:val="21"/>
    <w:qFormat/>
    <w:rsid w:val="00B051D5"/>
    <w:rPr>
      <w:i/>
      <w:iCs/>
      <w:color w:val="2F5496" w:themeColor="accent1" w:themeShade="BF"/>
    </w:rPr>
  </w:style>
  <w:style w:type="paragraph" w:styleId="IntenseQuote">
    <w:name w:val="Intense Quote"/>
    <w:basedOn w:val="Normal"/>
    <w:next w:val="Normal"/>
    <w:link w:val="IntenseQuoteChar"/>
    <w:uiPriority w:val="30"/>
    <w:qFormat/>
    <w:rsid w:val="00B05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1D5"/>
    <w:rPr>
      <w:i/>
      <w:iCs/>
      <w:color w:val="2F5496" w:themeColor="accent1" w:themeShade="BF"/>
    </w:rPr>
  </w:style>
  <w:style w:type="character" w:styleId="IntenseReference">
    <w:name w:val="Intense Reference"/>
    <w:basedOn w:val="DefaultParagraphFont"/>
    <w:uiPriority w:val="32"/>
    <w:qFormat/>
    <w:rsid w:val="00B051D5"/>
    <w:rPr>
      <w:b/>
      <w:bCs/>
      <w:smallCaps/>
      <w:color w:val="2F5496" w:themeColor="accent1" w:themeShade="BF"/>
      <w:spacing w:val="5"/>
    </w:rPr>
  </w:style>
  <w:style w:type="character" w:styleId="Hyperlink">
    <w:name w:val="Hyperlink"/>
    <w:basedOn w:val="DefaultParagraphFont"/>
    <w:uiPriority w:val="99"/>
    <w:unhideWhenUsed/>
    <w:rsid w:val="00296346"/>
    <w:rPr>
      <w:color w:val="0563C1" w:themeColor="hyperlink"/>
      <w:u w:val="single"/>
    </w:rPr>
  </w:style>
  <w:style w:type="character" w:styleId="UnresolvedMention">
    <w:name w:val="Unresolved Mention"/>
    <w:basedOn w:val="DefaultParagraphFont"/>
    <w:uiPriority w:val="99"/>
    <w:semiHidden/>
    <w:unhideWhenUsed/>
    <w:rsid w:val="00296346"/>
    <w:rPr>
      <w:color w:val="605E5C"/>
      <w:shd w:val="clear" w:color="auto" w:fill="E1DFDD"/>
    </w:rPr>
  </w:style>
  <w:style w:type="table" w:styleId="TableGrid">
    <w:name w:val="Table Grid"/>
    <w:basedOn w:val="TableNormal"/>
    <w:uiPriority w:val="39"/>
    <w:rsid w:val="002D3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vannan</dc:creator>
  <cp:keywords/>
  <dc:description/>
  <cp:lastModifiedBy>mani vannan</cp:lastModifiedBy>
  <cp:revision>2</cp:revision>
  <dcterms:created xsi:type="dcterms:W3CDTF">2026-09-29T18:31:00Z</dcterms:created>
  <dcterms:modified xsi:type="dcterms:W3CDTF">2026-09-29T18:31:00Z</dcterms:modified>
</cp:coreProperties>
</file>