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5C"/>
          <w:sz w:val="44"/>
          <w:szCs w:val="44"/>
        </w:rPr>
        <w:t xml:space="preserve">JALDHAARA FOUNDATION</w:t>
      </w:r>
    </w:p>
    <w:p>
      <w:pPr>
        <w:spacing w:after="40"/>
      </w:pPr>
      <w:r>
        <w:rPr>
          <w:b/>
          <w:bCs/>
          <w:color w:val="1A1A1A"/>
          <w:sz w:val="30"/>
          <w:szCs w:val="30"/>
        </w:rPr>
        <w:t xml:space="preserve">AI-Driven Corporate Donor Identification &amp; Outreach System</w:t>
      </w:r>
    </w:p>
    <w:p>
      <w:pPr>
        <w:spacing w:after="400"/>
      </w:pPr>
      <w:r>
        <w:rPr>
          <w:i/>
          <w:iCs/>
          <w:color w:val="595959"/>
          <w:sz w:val="22"/>
          <w:szCs w:val="22"/>
        </w:rPr>
        <w:t xml:space="preserve">Solution Approach Document</w:t>
      </w:r>
    </w:p>
    <w:p>
      <w:pPr>
        <w:pStyle w:val="Heading1"/>
        <w:pBdr>
          <w:bottom w:val="single" w:color="1F6F5C" w:sz="6" w:space="4"/>
        </w:pBdr>
        <w:spacing w:after="200" w:before="400"/>
      </w:pPr>
      <w:r>
        <w:rPr>
          <w:b/>
          <w:bCs/>
          <w:color w:val="1F6F5C"/>
          <w:sz w:val="30"/>
          <w:szCs w:val="30"/>
        </w:rPr>
        <w:t xml:space="preserve">1. Problem Summary</w:t>
      </w:r>
    </w:p>
    <w:p>
      <w:pPr>
        <w:spacing w:after="140" w:line="300"/>
      </w:pPr>
      <w:r>
        <w:rPr>
          <w:color w:val="1A1A1A"/>
          <w:sz w:val="22"/>
          <w:szCs w:val="22"/>
        </w:rPr>
        <w:t xml:space="preserve">Jaldhaara Foundation delivers affordable, WHO-standard drinking water and WASH (Water, Sanitation and Hygiene) solutions to underserved Indian communities, largely funded through corporate CSR contributions. Corporate donations have been declining as donor priorities shift away from drinking water, and the current process for finding new donors is entirely manual: the team scans NSE/BSE-listed companies and reads CSR policy documents one by one to identify those with a water or sanitation focus.</w:t>
      </w:r>
    </w:p>
    <w:p>
      <w:pPr>
        <w:spacing w:after="140" w:line="300"/>
      </w:pPr>
      <w:r>
        <w:rPr>
          <w:color w:val="1A1A1A"/>
          <w:sz w:val="22"/>
          <w:szCs w:val="22"/>
        </w:rPr>
        <w:t xml:space="preserve">The organization needs a system that automatically identifies new corporate donors whose CSR focus areas align with drinking water and sanitation, presents this data in a usable format, and ideally recommends the best course of action to convert each lead into a donation.</w:t>
      </w:r>
    </w:p>
    <w:p>
      <w:pPr>
        <w:pStyle w:val="Heading1"/>
        <w:pBdr>
          <w:bottom w:val="single" w:color="1F6F5C" w:sz="6" w:space="4"/>
        </w:pBdr>
        <w:spacing w:after="200" w:before="400"/>
      </w:pPr>
      <w:r>
        <w:rPr>
          <w:b/>
          <w:bCs/>
          <w:color w:val="1F6F5C"/>
          <w:sz w:val="30"/>
          <w:szCs w:val="30"/>
        </w:rPr>
        <w:t xml:space="preserve">2. Core Idea</w:t>
      </w:r>
    </w:p>
    <w:p>
      <w:pPr>
        <w:spacing w:after="140" w:line="300"/>
      </w:pPr>
      <w:r>
        <w:rPr>
          <w:color w:val="1A1A1A"/>
          <w:sz w:val="22"/>
          <w:szCs w:val="22"/>
        </w:rPr>
        <w:t xml:space="preserve">Build a lead-generation and prioritization engine for CSR-mandated Indian companies with a genuine water/WASH focus. The system continuously gathers CSR disclosure data from public sources, uses AI/NLP to extract and classify each company's stated focus areas, re-verifies this over time to catch shifting priorities, ranks companies by likelihood and capacity to donate, and produces personalized, impact-led outreach rather than a generic donation request.</w:t>
      </w:r>
    </w:p>
    <w:p>
      <w:pPr>
        <w:pStyle w:val="Heading1"/>
        <w:pBdr>
          <w:bottom w:val="single" w:color="1F6F5C" w:sz="6" w:space="4"/>
        </w:pBdr>
        <w:spacing w:after="200" w:before="400"/>
      </w:pPr>
      <w:r>
        <w:rPr>
          <w:b/>
          <w:bCs/>
          <w:color w:val="1F6F5C"/>
          <w:sz w:val="30"/>
          <w:szCs w:val="30"/>
        </w:rPr>
        <w:t xml:space="preserve">3. End-to-End Pipeline</w:t>
      </w:r>
    </w:p>
    <w:p>
      <w:pPr>
        <w:spacing w:after="140" w:line="300"/>
      </w:pPr>
      <w:r>
        <w:rPr>
          <w:color w:val="1A1A1A"/>
          <w:sz w:val="22"/>
          <w:szCs w:val="22"/>
        </w:rPr>
        <w:t xml:space="preserve">The solution is structured as a seven-stage pipeline, designed as a recurring cycle rather than a one-time run: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shd w:fill="1F6F5C" w:val="clear"/>
            <w:tcMar>
              <w:top w:type="dxa" w:w="100"/>
              <w:left w:type="dxa" w:w="120"/>
              <w:bottom w:type="dxa" w:w="100"/>
              <w:right w:type="dxa" w:w="120"/>
            </w:tcMar>
          </w:tcPr>
          <w:p>
            <w:pPr>
              <w:jc w:val="left"/>
            </w:pPr>
            <w:r>
              <w:rPr>
                <w:b/>
                <w:bCs/>
                <w:color w:val="FFFFFF"/>
                <w:sz w:val="20"/>
                <w:szCs w:val="20"/>
              </w:rPr>
              <w:t xml:space="preserve">Stage</w:t>
            </w:r>
          </w:p>
        </w:tc>
        <w:tc>
          <w:tcPr>
            <w:tcW w:type="dxa" w:w="3800"/>
            <w:shd w:fill="1F6F5C" w:val="clear"/>
            <w:tcMar>
              <w:top w:type="dxa" w:w="100"/>
              <w:left w:type="dxa" w:w="120"/>
              <w:bottom w:type="dxa" w:w="100"/>
              <w:right w:type="dxa" w:w="120"/>
            </w:tcMar>
          </w:tcPr>
          <w:p>
            <w:pPr>
              <w:jc w:val="left"/>
            </w:pPr>
            <w:r>
              <w:rPr>
                <w:b/>
                <w:bCs/>
                <w:color w:val="FFFFFF"/>
                <w:sz w:val="20"/>
                <w:szCs w:val="20"/>
              </w:rPr>
              <w:t xml:space="preserve">What Happens</w:t>
            </w:r>
          </w:p>
        </w:tc>
        <w:tc>
          <w:tcPr>
            <w:tcW w:type="dxa" w:w="3900"/>
            <w:shd w:fill="1F6F5C" w:val="clear"/>
            <w:tcMar>
              <w:top w:type="dxa" w:w="100"/>
              <w:left w:type="dxa" w:w="120"/>
              <w:bottom w:type="dxa" w:w="100"/>
              <w:right w:type="dxa" w:w="120"/>
            </w:tcMar>
          </w:tcPr>
          <w:p>
            <w:pPr>
              <w:jc w:val="left"/>
            </w:pPr>
            <w:r>
              <w:rPr>
                <w:b/>
                <w:bCs/>
                <w:color w:val="FFFFFF"/>
                <w:sz w:val="20"/>
                <w:szCs w:val="20"/>
              </w:rPr>
              <w:t xml:space="preserve">Key Output</w:t>
            </w:r>
          </w:p>
        </w:tc>
      </w:tr>
      <w:tr>
        <w:tc>
          <w:tcPr>
            <w:tcW w:type="dxa" w:w="1600"/>
            <w:shd w:fill="F5F5F5" w:val="clear"/>
            <w:tcMar>
              <w:top w:type="dxa" w:w="100"/>
              <w:left w:type="dxa" w:w="120"/>
              <w:bottom w:type="dxa" w:w="100"/>
              <w:right w:type="dxa" w:w="120"/>
            </w:tcMar>
          </w:tcPr>
          <w:p>
            <w:pPr>
              <w:jc w:val="left"/>
            </w:pPr>
            <w:r>
              <w:rPr>
                <w:b/>
                <w:bCs/>
                <w:color w:val="1A1A1A"/>
                <w:sz w:val="20"/>
                <w:szCs w:val="20"/>
              </w:rPr>
              <w:t xml:space="preserve">Find</w:t>
            </w:r>
          </w:p>
        </w:tc>
        <w:tc>
          <w:tcPr>
            <w:tcW w:type="dxa" w:w="3800"/>
            <w:shd w:fill="F5F5F5" w:val="clear"/>
            <w:tcMar>
              <w:top w:type="dxa" w:w="100"/>
              <w:left w:type="dxa" w:w="120"/>
              <w:bottom w:type="dxa" w:w="100"/>
              <w:right w:type="dxa" w:w="120"/>
            </w:tcMar>
          </w:tcPr>
          <w:p>
            <w:pPr>
              <w:jc w:val="left"/>
            </w:pPr>
            <w:r>
              <w:rPr>
                <w:b w:val="false"/>
                <w:bCs w:val="false"/>
                <w:color w:val="1A1A1A"/>
                <w:sz w:val="20"/>
                <w:szCs w:val="20"/>
              </w:rPr>
              <w:t xml:space="preserve">Scrape MCA CSR data / National CSR Portal, NSE &amp; BSE listed-company annual reports, and published CSR policy PDFs to build the raw universe of Section 135-obligated companies.</w:t>
            </w:r>
          </w:p>
        </w:tc>
        <w:tc>
          <w:tcPr>
            <w:tcW w:type="dxa" w:w="3900"/>
            <w:shd w:fill="F5F5F5" w:val="clear"/>
            <w:tcMar>
              <w:top w:type="dxa" w:w="100"/>
              <w:left w:type="dxa" w:w="120"/>
              <w:bottom w:type="dxa" w:w="100"/>
              <w:right w:type="dxa" w:w="120"/>
            </w:tcMar>
          </w:tcPr>
          <w:p>
            <w:pPr>
              <w:jc w:val="left"/>
            </w:pPr>
            <w:r>
              <w:rPr>
                <w:b w:val="false"/>
                <w:bCs w:val="false"/>
                <w:color w:val="1A1A1A"/>
                <w:sz w:val="20"/>
                <w:szCs w:val="20"/>
              </w:rPr>
              <w:t xml:space="preserve">Master list of CSR-obligated companies with source documents linked</w:t>
            </w:r>
          </w:p>
        </w:tc>
      </w:tr>
      <w:tr>
        <w:tc>
          <w:tcPr>
            <w:tcW w:type="dxa" w:w="1600"/>
            <w:shd w:fill="FFFFFF" w:val="clear"/>
            <w:tcMar>
              <w:top w:type="dxa" w:w="100"/>
              <w:left w:type="dxa" w:w="120"/>
              <w:bottom w:type="dxa" w:w="100"/>
              <w:right w:type="dxa" w:w="120"/>
            </w:tcMar>
          </w:tcPr>
          <w:p>
            <w:pPr>
              <w:jc w:val="left"/>
            </w:pPr>
            <w:r>
              <w:rPr>
                <w:b/>
                <w:bCs/>
                <w:color w:val="1A1A1A"/>
                <w:sz w:val="20"/>
                <w:szCs w:val="20"/>
              </w:rPr>
              <w:t xml:space="preserve">Qualify</w:t>
            </w:r>
          </w:p>
        </w:tc>
        <w:tc>
          <w:tcPr>
            <w:tcW w:type="dxa" w:w="3800"/>
            <w:shd w:fill="FFFFFF" w:val="clear"/>
            <w:tcMar>
              <w:top w:type="dxa" w:w="100"/>
              <w:left w:type="dxa" w:w="120"/>
              <w:bottom w:type="dxa" w:w="100"/>
              <w:right w:type="dxa" w:w="120"/>
            </w:tcMar>
          </w:tcPr>
          <w:p>
            <w:pPr>
              <w:jc w:val="left"/>
            </w:pPr>
            <w:r>
              <w:rPr>
                <w:b w:val="false"/>
                <w:bCs w:val="false"/>
                <w:color w:val="1A1A1A"/>
                <w:sz w:val="20"/>
                <w:szCs w:val="20"/>
              </w:rPr>
              <w:t xml:space="preserve">AI/NLP extracts stated focus areas from CSR policy text and annual report CSR sections; filter for water, WASH, sanitation and hygiene intent.</w:t>
            </w:r>
          </w:p>
        </w:tc>
        <w:tc>
          <w:tcPr>
            <w:tcW w:type="dxa" w:w="3900"/>
            <w:shd w:fill="FFFFFF" w:val="clear"/>
            <w:tcMar>
              <w:top w:type="dxa" w:w="100"/>
              <w:left w:type="dxa" w:w="120"/>
              <w:bottom w:type="dxa" w:w="100"/>
              <w:right w:type="dxa" w:w="120"/>
            </w:tcMar>
          </w:tcPr>
          <w:p>
            <w:pPr>
              <w:jc w:val="left"/>
            </w:pPr>
            <w:r>
              <w:rPr>
                <w:b w:val="false"/>
                <w:bCs w:val="false"/>
                <w:color w:val="1A1A1A"/>
                <w:sz w:val="20"/>
                <w:szCs w:val="20"/>
              </w:rPr>
              <w:t xml:space="preserve">Shortlist of companies whose declared focus matches Jaldhaara's cause</w:t>
            </w:r>
          </w:p>
        </w:tc>
      </w:tr>
      <w:tr>
        <w:tc>
          <w:tcPr>
            <w:tcW w:type="dxa" w:w="1600"/>
            <w:shd w:fill="F5F5F5" w:val="clear"/>
            <w:tcMar>
              <w:top w:type="dxa" w:w="100"/>
              <w:left w:type="dxa" w:w="120"/>
              <w:bottom w:type="dxa" w:w="100"/>
              <w:right w:type="dxa" w:w="120"/>
            </w:tcMar>
          </w:tcPr>
          <w:p>
            <w:pPr>
              <w:jc w:val="left"/>
            </w:pPr>
            <w:r>
              <w:rPr>
                <w:b/>
                <w:bCs/>
                <w:color w:val="1A1A1A"/>
                <w:sz w:val="20"/>
                <w:szCs w:val="20"/>
              </w:rPr>
              <w:t xml:space="preserve">Verify</w:t>
            </w:r>
          </w:p>
        </w:tc>
        <w:tc>
          <w:tcPr>
            <w:tcW w:type="dxa" w:w="3800"/>
            <w:shd w:fill="F5F5F5" w:val="clear"/>
            <w:tcMar>
              <w:top w:type="dxa" w:w="100"/>
              <w:left w:type="dxa" w:w="120"/>
              <w:bottom w:type="dxa" w:w="100"/>
              <w:right w:type="dxa" w:w="120"/>
            </w:tcMar>
          </w:tcPr>
          <w:p>
            <w:pPr>
              <w:jc w:val="left"/>
            </w:pPr>
            <w:r>
              <w:rPr>
                <w:b w:val="false"/>
                <w:bCs w:val="false"/>
                <w:color w:val="1A1A1A"/>
                <w:sz w:val="20"/>
                <w:szCs w:val="20"/>
              </w:rPr>
              <w:t xml:space="preserve">Re-check each shortlisted company against its latest disclosure; detect drift (e.g. water to education) via diff against prior year; attach a freshness tag.</w:t>
            </w:r>
          </w:p>
        </w:tc>
        <w:tc>
          <w:tcPr>
            <w:tcW w:type="dxa" w:w="3900"/>
            <w:shd w:fill="F5F5F5" w:val="clear"/>
            <w:tcMar>
              <w:top w:type="dxa" w:w="100"/>
              <w:left w:type="dxa" w:w="120"/>
              <w:bottom w:type="dxa" w:w="100"/>
              <w:right w:type="dxa" w:w="120"/>
            </w:tcMar>
          </w:tcPr>
          <w:p>
            <w:pPr>
              <w:jc w:val="left"/>
            </w:pPr>
            <w:r>
              <w:rPr>
                <w:b w:val="false"/>
                <w:bCs w:val="false"/>
                <w:color w:val="1A1A1A"/>
                <w:sz w:val="20"/>
                <w:szCs w:val="20"/>
              </w:rPr>
              <w:t xml:space="preserve">Verified shortlist with confidence / freshness status</w:t>
            </w:r>
          </w:p>
        </w:tc>
      </w:tr>
      <w:tr>
        <w:tc>
          <w:tcPr>
            <w:tcW w:type="dxa" w:w="1600"/>
            <w:shd w:fill="FFFFFF" w:val="clear"/>
            <w:tcMar>
              <w:top w:type="dxa" w:w="100"/>
              <w:left w:type="dxa" w:w="120"/>
              <w:bottom w:type="dxa" w:w="100"/>
              <w:right w:type="dxa" w:w="120"/>
            </w:tcMar>
          </w:tcPr>
          <w:p>
            <w:pPr>
              <w:jc w:val="left"/>
            </w:pPr>
            <w:r>
              <w:rPr>
                <w:b/>
                <w:bCs/>
                <w:color w:val="1A1A1A"/>
                <w:sz w:val="20"/>
                <w:szCs w:val="20"/>
              </w:rPr>
              <w:t xml:space="preserve">Prioritize</w:t>
            </w:r>
          </w:p>
        </w:tc>
        <w:tc>
          <w:tcPr>
            <w:tcW w:type="dxa" w:w="3800"/>
            <w:shd w:fill="FFFFFF" w:val="clear"/>
            <w:tcMar>
              <w:top w:type="dxa" w:w="100"/>
              <w:left w:type="dxa" w:w="120"/>
              <w:bottom w:type="dxa" w:w="100"/>
              <w:right w:type="dxa" w:w="120"/>
            </w:tcMar>
          </w:tcPr>
          <w:p>
            <w:pPr>
              <w:jc w:val="left"/>
            </w:pPr>
            <w:r>
              <w:rPr>
                <w:b w:val="false"/>
                <w:bCs w:val="false"/>
                <w:color w:val="1A1A1A"/>
                <w:sz w:val="20"/>
                <w:szCs w:val="20"/>
              </w:rPr>
              <w:t xml:space="preserve">Score companies by CSR budget size, past water-related spend, multi-year commitment status, sector, and geographic overlap with Jaldhaara's operating regions.</w:t>
            </w:r>
          </w:p>
        </w:tc>
        <w:tc>
          <w:tcPr>
            <w:tcW w:type="dxa" w:w="3900"/>
            <w:shd w:fill="FFFFFF" w:val="clear"/>
            <w:tcMar>
              <w:top w:type="dxa" w:w="100"/>
              <w:left w:type="dxa" w:w="120"/>
              <w:bottom w:type="dxa" w:w="100"/>
              <w:right w:type="dxa" w:w="120"/>
            </w:tcMar>
          </w:tcPr>
          <w:p>
            <w:pPr>
              <w:jc w:val="left"/>
            </w:pPr>
            <w:r>
              <w:rPr>
                <w:b w:val="false"/>
                <w:bCs w:val="false"/>
                <w:color w:val="1A1A1A"/>
                <w:sz w:val="20"/>
                <w:szCs w:val="20"/>
              </w:rPr>
              <w:t xml:space="preserve">Ranked lead list</w:t>
            </w:r>
          </w:p>
        </w:tc>
      </w:tr>
      <w:tr>
        <w:tc>
          <w:tcPr>
            <w:tcW w:type="dxa" w:w="1600"/>
            <w:shd w:fill="F5F5F5" w:val="clear"/>
            <w:tcMar>
              <w:top w:type="dxa" w:w="100"/>
              <w:left w:type="dxa" w:w="120"/>
              <w:bottom w:type="dxa" w:w="100"/>
              <w:right w:type="dxa" w:w="120"/>
            </w:tcMar>
          </w:tcPr>
          <w:p>
            <w:pPr>
              <w:jc w:val="left"/>
            </w:pPr>
            <w:r>
              <w:rPr>
                <w:b/>
                <w:bCs/>
                <w:color w:val="1A1A1A"/>
                <w:sz w:val="20"/>
                <w:szCs w:val="20"/>
              </w:rPr>
              <w:t xml:space="preserve">Personalize</w:t>
            </w:r>
          </w:p>
        </w:tc>
        <w:tc>
          <w:tcPr>
            <w:tcW w:type="dxa" w:w="3800"/>
            <w:shd w:fill="F5F5F5" w:val="clear"/>
            <w:tcMar>
              <w:top w:type="dxa" w:w="100"/>
              <w:left w:type="dxa" w:w="120"/>
              <w:bottom w:type="dxa" w:w="100"/>
              <w:right w:type="dxa" w:w="120"/>
            </w:tcMar>
          </w:tcPr>
          <w:p>
            <w:pPr>
              <w:jc w:val="left"/>
            </w:pPr>
            <w:r>
              <w:rPr>
                <w:b w:val="false"/>
                <w:bCs w:val="false"/>
                <w:color w:val="1A1A1A"/>
                <w:sz w:val="20"/>
                <w:szCs w:val="20"/>
              </w:rPr>
              <w:t xml:space="preserve">Draft tailored outreach content referencing each company's own past projects, budget bracket, and impact framing aligned to their stated priorities.</w:t>
            </w:r>
          </w:p>
        </w:tc>
        <w:tc>
          <w:tcPr>
            <w:tcW w:type="dxa" w:w="3900"/>
            <w:shd w:fill="F5F5F5" w:val="clear"/>
            <w:tcMar>
              <w:top w:type="dxa" w:w="100"/>
              <w:left w:type="dxa" w:w="120"/>
              <w:bottom w:type="dxa" w:w="100"/>
              <w:right w:type="dxa" w:w="120"/>
            </w:tcMar>
          </w:tcPr>
          <w:p>
            <w:pPr>
              <w:jc w:val="left"/>
            </w:pPr>
            <w:r>
              <w:rPr>
                <w:b w:val="false"/>
                <w:bCs w:val="false"/>
                <w:color w:val="1A1A1A"/>
                <w:sz w:val="20"/>
                <w:szCs w:val="20"/>
              </w:rPr>
              <w:t xml:space="preserve">Company-specific outreach draft</w:t>
            </w:r>
          </w:p>
        </w:tc>
      </w:tr>
      <w:tr>
        <w:tc>
          <w:tcPr>
            <w:tcW w:type="dxa" w:w="1600"/>
            <w:shd w:fill="FFFFFF" w:val="clear"/>
            <w:tcMar>
              <w:top w:type="dxa" w:w="100"/>
              <w:left w:type="dxa" w:w="120"/>
              <w:bottom w:type="dxa" w:w="100"/>
              <w:right w:type="dxa" w:w="120"/>
            </w:tcMar>
          </w:tcPr>
          <w:p>
            <w:pPr>
              <w:jc w:val="left"/>
            </w:pPr>
            <w:r>
              <w:rPr>
                <w:b/>
                <w:bCs/>
                <w:color w:val="1A1A1A"/>
                <w:sz w:val="20"/>
                <w:szCs w:val="20"/>
              </w:rPr>
              <w:t xml:space="preserve">Approach</w:t>
            </w:r>
          </w:p>
        </w:tc>
        <w:tc>
          <w:tcPr>
            <w:tcW w:type="dxa" w:w="3800"/>
            <w:shd w:fill="FFFFFF" w:val="clear"/>
            <w:tcMar>
              <w:top w:type="dxa" w:w="100"/>
              <w:left w:type="dxa" w:w="120"/>
              <w:bottom w:type="dxa" w:w="100"/>
              <w:right w:type="dxa" w:w="120"/>
            </w:tcMar>
          </w:tcPr>
          <w:p>
            <w:pPr>
              <w:jc w:val="left"/>
            </w:pPr>
            <w:r>
              <w:rPr>
                <w:b w:val="false"/>
                <w:bCs w:val="false"/>
                <w:color w:val="1A1A1A"/>
                <w:sz w:val="20"/>
                <w:szCs w:val="20"/>
              </w:rPr>
              <w:t xml:space="preserve">Send outreach (email/formal proposal) presenting the donation ask, framed around impact alignment rather than a transactional exchange.</w:t>
            </w:r>
          </w:p>
        </w:tc>
        <w:tc>
          <w:tcPr>
            <w:tcW w:type="dxa" w:w="3900"/>
            <w:shd w:fill="FFFFFF" w:val="clear"/>
            <w:tcMar>
              <w:top w:type="dxa" w:w="100"/>
              <w:left w:type="dxa" w:w="120"/>
              <w:bottom w:type="dxa" w:w="100"/>
              <w:right w:type="dxa" w:w="120"/>
            </w:tcMar>
          </w:tcPr>
          <w:p>
            <w:pPr>
              <w:jc w:val="left"/>
            </w:pPr>
            <w:r>
              <w:rPr>
                <w:b w:val="false"/>
                <w:bCs w:val="false"/>
                <w:color w:val="1A1A1A"/>
                <w:sz w:val="20"/>
                <w:szCs w:val="20"/>
              </w:rPr>
              <w:t xml:space="preserve">Outreach sent and logged</w:t>
            </w:r>
          </w:p>
        </w:tc>
      </w:tr>
      <w:tr>
        <w:tc>
          <w:tcPr>
            <w:tcW w:type="dxa" w:w="1600"/>
            <w:shd w:fill="F5F5F5" w:val="clear"/>
            <w:tcMar>
              <w:top w:type="dxa" w:w="100"/>
              <w:left w:type="dxa" w:w="120"/>
              <w:bottom w:type="dxa" w:w="100"/>
              <w:right w:type="dxa" w:w="120"/>
            </w:tcMar>
          </w:tcPr>
          <w:p>
            <w:pPr>
              <w:jc w:val="left"/>
            </w:pPr>
            <w:r>
              <w:rPr>
                <w:b/>
                <w:bCs/>
                <w:color w:val="1A1A1A"/>
                <w:sz w:val="20"/>
                <w:szCs w:val="20"/>
              </w:rPr>
              <w:t xml:space="preserve">Track</w:t>
            </w:r>
          </w:p>
        </w:tc>
        <w:tc>
          <w:tcPr>
            <w:tcW w:type="dxa" w:w="3800"/>
            <w:shd w:fill="F5F5F5" w:val="clear"/>
            <w:tcMar>
              <w:top w:type="dxa" w:w="100"/>
              <w:left w:type="dxa" w:w="120"/>
              <w:bottom w:type="dxa" w:w="100"/>
              <w:right w:type="dxa" w:w="120"/>
            </w:tcMar>
          </w:tcPr>
          <w:p>
            <w:pPr>
              <w:jc w:val="left"/>
            </w:pPr>
            <w:r>
              <w:rPr>
                <w:b w:val="false"/>
                <w:bCs w:val="false"/>
                <w:color w:val="1A1A1A"/>
                <w:sz w:val="20"/>
                <w:szCs w:val="20"/>
              </w:rPr>
              <w:t xml:space="preserve">Log opens, responses, and conversions; feed outcomes back into Verify and Prioritize to improve future cycles.</w:t>
            </w:r>
          </w:p>
        </w:tc>
        <w:tc>
          <w:tcPr>
            <w:tcW w:type="dxa" w:w="3900"/>
            <w:shd w:fill="F5F5F5" w:val="clear"/>
            <w:tcMar>
              <w:top w:type="dxa" w:w="100"/>
              <w:left w:type="dxa" w:w="120"/>
              <w:bottom w:type="dxa" w:w="100"/>
              <w:right w:type="dxa" w:w="120"/>
            </w:tcMar>
          </w:tcPr>
          <w:p>
            <w:pPr>
              <w:jc w:val="left"/>
            </w:pPr>
            <w:r>
              <w:rPr>
                <w:b w:val="false"/>
                <w:bCs w:val="false"/>
                <w:color w:val="1A1A1A"/>
                <w:sz w:val="20"/>
                <w:szCs w:val="20"/>
              </w:rPr>
              <w:t xml:space="preserve">Feedback loop data for continuous improvement</w:t>
            </w:r>
          </w:p>
        </w:tc>
      </w:tr>
    </w:tbl>
    <w:p>
      <w:r>
        <w:br w:type="page"/>
      </w:r>
    </w:p>
    <w:p>
      <w:pPr>
        <w:pStyle w:val="Heading1"/>
        <w:pBdr>
          <w:bottom w:val="single" w:color="1F6F5C" w:sz="6" w:space="4"/>
        </w:pBdr>
        <w:spacing w:after="200" w:before="400"/>
      </w:pPr>
      <w:r>
        <w:rPr>
          <w:b/>
          <w:bCs/>
          <w:color w:val="1F6F5C"/>
          <w:sz w:val="30"/>
          <w:szCs w:val="30"/>
        </w:rPr>
        <w:t xml:space="preserve">4. Data Gathering: Sources</w:t>
      </w:r>
    </w:p>
    <w:p>
      <w:pPr>
        <w:spacing w:after="140" w:line="300"/>
      </w:pPr>
      <w:r>
        <w:rPr>
          <w:color w:val="1A1A1A"/>
          <w:sz w:val="22"/>
          <w:szCs w:val="22"/>
        </w:rPr>
        <w:t xml:space="preserve">Since CSR obligation under the Companies Act 2013 applies to companies above defined net worth, turnover, or net profit thresholds, the required data falls into four categories: the universe of CSR-obligated companies, their CSR spend and focus areas, company financial/sector profile, and eventual contact/outreach information. The following public sources cover this: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6F5C" w:val="clear"/>
            <w:tcMar>
              <w:top w:type="dxa" w:w="100"/>
              <w:left w:type="dxa" w:w="120"/>
              <w:bottom w:type="dxa" w:w="100"/>
              <w:right w:type="dxa" w:w="120"/>
            </w:tcMar>
          </w:tcPr>
          <w:p>
            <w:pPr>
              <w:jc w:val="left"/>
            </w:pPr>
            <w:r>
              <w:rPr>
                <w:b/>
                <w:bCs/>
                <w:color w:val="FFFFFF"/>
                <w:sz w:val="20"/>
                <w:szCs w:val="20"/>
              </w:rPr>
              <w:t xml:space="preserve">Source Type</w:t>
            </w:r>
          </w:p>
        </w:tc>
        <w:tc>
          <w:tcPr>
            <w:tcW w:type="dxa" w:w="6700"/>
            <w:shd w:fill="1F6F5C" w:val="clear"/>
            <w:tcMar>
              <w:top w:type="dxa" w:w="100"/>
              <w:left w:type="dxa" w:w="120"/>
              <w:bottom w:type="dxa" w:w="100"/>
              <w:right w:type="dxa" w:w="120"/>
            </w:tcMar>
          </w:tcPr>
          <w:p>
            <w:pPr>
              <w:jc w:val="left"/>
            </w:pPr>
            <w:r>
              <w:rPr>
                <w:b/>
                <w:bCs/>
                <w:color w:val="FFFFFF"/>
                <w:sz w:val="20"/>
                <w:szCs w:val="20"/>
              </w:rPr>
              <w:t xml:space="preserve">Details</w:t>
            </w:r>
          </w:p>
        </w:tc>
      </w:tr>
      <w:tr>
        <w:tc>
          <w:tcPr>
            <w:tcW w:type="dxa" w:w="2600"/>
            <w:shd w:fill="F5F5F5" w:val="clear"/>
            <w:tcMar>
              <w:top w:type="dxa" w:w="100"/>
              <w:left w:type="dxa" w:w="120"/>
              <w:bottom w:type="dxa" w:w="100"/>
              <w:right w:type="dxa" w:w="120"/>
            </w:tcMar>
          </w:tcPr>
          <w:p>
            <w:pPr>
              <w:jc w:val="left"/>
            </w:pPr>
            <w:r>
              <w:rPr>
                <w:b/>
                <w:bCs/>
                <w:color w:val="1A1A1A"/>
                <w:sz w:val="20"/>
                <w:szCs w:val="20"/>
              </w:rPr>
              <w:t xml:space="preserve">MCA CSR data / National CSR Data Portal</w:t>
            </w:r>
          </w:p>
        </w:tc>
        <w:tc>
          <w:tcPr>
            <w:tcW w:type="dxa" w:w="6700"/>
            <w:shd w:fill="F5F5F5" w:val="clear"/>
            <w:tcMar>
              <w:top w:type="dxa" w:w="100"/>
              <w:left w:type="dxa" w:w="120"/>
              <w:bottom w:type="dxa" w:w="100"/>
              <w:right w:type="dxa" w:w="120"/>
            </w:tcMar>
          </w:tcPr>
          <w:p>
            <w:pPr>
              <w:jc w:val="left"/>
            </w:pPr>
            <w:r>
              <w:rPr>
                <w:b w:val="false"/>
                <w:bCs w:val="false"/>
                <w:color w:val="1A1A1A"/>
                <w:sz w:val="20"/>
                <w:szCs w:val="20"/>
              </w:rPr>
              <w:t xml:space="preserve">Government-published, company-wise CSR spend and sector data filed via AOC-4 / CSR-2 forms — the most authoritative structured source.</w:t>
            </w:r>
          </w:p>
        </w:tc>
      </w:tr>
      <w:tr>
        <w:tc>
          <w:tcPr>
            <w:tcW w:type="dxa" w:w="2600"/>
            <w:shd w:fill="FFFFFF" w:val="clear"/>
            <w:tcMar>
              <w:top w:type="dxa" w:w="100"/>
              <w:left w:type="dxa" w:w="120"/>
              <w:bottom w:type="dxa" w:w="100"/>
              <w:right w:type="dxa" w:w="120"/>
            </w:tcMar>
          </w:tcPr>
          <w:p>
            <w:pPr>
              <w:jc w:val="left"/>
            </w:pPr>
            <w:r>
              <w:rPr>
                <w:b/>
                <w:bCs/>
                <w:color w:val="1A1A1A"/>
                <w:sz w:val="20"/>
                <w:szCs w:val="20"/>
              </w:rPr>
              <w:t xml:space="preserve">NSE &amp; BSE listed-company disclosures</w:t>
            </w:r>
          </w:p>
        </w:tc>
        <w:tc>
          <w:tcPr>
            <w:tcW w:type="dxa" w:w="6700"/>
            <w:shd w:fill="FFFFFF" w:val="clear"/>
            <w:tcMar>
              <w:top w:type="dxa" w:w="100"/>
              <w:left w:type="dxa" w:w="120"/>
              <w:bottom w:type="dxa" w:w="100"/>
              <w:right w:type="dxa" w:w="120"/>
            </w:tcMar>
          </w:tcPr>
          <w:p>
            <w:pPr>
              <w:jc w:val="left"/>
            </w:pPr>
            <w:r>
              <w:rPr>
                <w:b w:val="false"/>
                <w:bCs w:val="false"/>
                <w:color w:val="1A1A1A"/>
                <w:sz w:val="20"/>
                <w:szCs w:val="20"/>
              </w:rPr>
              <w:t xml:space="preserve">Annual reports contain a mandatory CSR section with spend and focus areas for listed companies above the Section 135 thresholds.</w:t>
            </w:r>
          </w:p>
        </w:tc>
      </w:tr>
      <w:tr>
        <w:tc>
          <w:tcPr>
            <w:tcW w:type="dxa" w:w="2600"/>
            <w:shd w:fill="F5F5F5" w:val="clear"/>
            <w:tcMar>
              <w:top w:type="dxa" w:w="100"/>
              <w:left w:type="dxa" w:w="120"/>
              <w:bottom w:type="dxa" w:w="100"/>
              <w:right w:type="dxa" w:w="120"/>
            </w:tcMar>
          </w:tcPr>
          <w:p>
            <w:pPr>
              <w:jc w:val="left"/>
            </w:pPr>
            <w:r>
              <w:rPr>
                <w:b/>
                <w:bCs/>
                <w:color w:val="1A1A1A"/>
                <w:sz w:val="20"/>
                <w:szCs w:val="20"/>
              </w:rPr>
              <w:t xml:space="preserve">Company CSR policy documents</w:t>
            </w:r>
          </w:p>
        </w:tc>
        <w:tc>
          <w:tcPr>
            <w:tcW w:type="dxa" w:w="6700"/>
            <w:shd w:fill="F5F5F5" w:val="clear"/>
            <w:tcMar>
              <w:top w:type="dxa" w:w="100"/>
              <w:left w:type="dxa" w:w="120"/>
              <w:bottom w:type="dxa" w:w="100"/>
              <w:right w:type="dxa" w:w="120"/>
            </w:tcMar>
          </w:tcPr>
          <w:p>
            <w:pPr>
              <w:jc w:val="left"/>
            </w:pPr>
            <w:r>
              <w:rPr>
                <w:b w:val="false"/>
                <w:bCs w:val="false"/>
                <w:color w:val="1A1A1A"/>
                <w:sz w:val="20"/>
                <w:szCs w:val="20"/>
              </w:rPr>
              <w:t xml:space="preserve">Standalone CSR policy PDFs that companies are legally required to publish on their own websites.</w:t>
            </w:r>
          </w:p>
        </w:tc>
      </w:tr>
      <w:tr>
        <w:tc>
          <w:tcPr>
            <w:tcW w:type="dxa" w:w="2600"/>
            <w:shd w:fill="FFFFFF" w:val="clear"/>
            <w:tcMar>
              <w:top w:type="dxa" w:w="100"/>
              <w:left w:type="dxa" w:w="120"/>
              <w:bottom w:type="dxa" w:w="100"/>
              <w:right w:type="dxa" w:w="120"/>
            </w:tcMar>
          </w:tcPr>
          <w:p>
            <w:pPr>
              <w:jc w:val="left"/>
            </w:pPr>
            <w:r>
              <w:rPr>
                <w:b/>
                <w:bCs/>
                <w:color w:val="1A1A1A"/>
                <w:sz w:val="20"/>
                <w:szCs w:val="20"/>
              </w:rPr>
              <w:t xml:space="preserve">BRSR (Business Responsibility &amp; Sustainability Report)</w:t>
            </w:r>
          </w:p>
        </w:tc>
        <w:tc>
          <w:tcPr>
            <w:tcW w:type="dxa" w:w="6700"/>
            <w:shd w:fill="FFFFFF" w:val="clear"/>
            <w:tcMar>
              <w:top w:type="dxa" w:w="100"/>
              <w:left w:type="dxa" w:w="120"/>
              <w:bottom w:type="dxa" w:w="100"/>
              <w:right w:type="dxa" w:w="120"/>
            </w:tcMar>
          </w:tcPr>
          <w:p>
            <w:pPr>
              <w:jc w:val="left"/>
            </w:pPr>
            <w:r>
              <w:rPr>
                <w:b w:val="false"/>
                <w:bCs w:val="false"/>
                <w:color w:val="1A1A1A"/>
                <w:sz w:val="20"/>
                <w:szCs w:val="20"/>
              </w:rPr>
              <w:t xml:space="preserve">SEBI-mandated report for the top 1000 listed companies; often has more granular water/sustainability commitments than the CSR section alone.</w:t>
            </w:r>
          </w:p>
        </w:tc>
      </w:tr>
      <w:tr>
        <w:tc>
          <w:tcPr>
            <w:tcW w:type="dxa" w:w="2600"/>
            <w:shd w:fill="F5F5F5" w:val="clear"/>
            <w:tcMar>
              <w:top w:type="dxa" w:w="100"/>
              <w:left w:type="dxa" w:w="120"/>
              <w:bottom w:type="dxa" w:w="100"/>
              <w:right w:type="dxa" w:w="120"/>
            </w:tcMar>
          </w:tcPr>
          <w:p>
            <w:pPr>
              <w:jc w:val="left"/>
            </w:pPr>
            <w:r>
              <w:rPr>
                <w:b/>
                <w:bCs/>
                <w:color w:val="1A1A1A"/>
                <w:sz w:val="20"/>
                <w:szCs w:val="20"/>
              </w:rPr>
              <w:t xml:space="preserve">News &amp; press releases</w:t>
            </w:r>
          </w:p>
        </w:tc>
        <w:tc>
          <w:tcPr>
            <w:tcW w:type="dxa" w:w="6700"/>
            <w:shd w:fill="F5F5F5" w:val="clear"/>
            <w:tcMar>
              <w:top w:type="dxa" w:w="100"/>
              <w:left w:type="dxa" w:w="120"/>
              <w:bottom w:type="dxa" w:w="100"/>
              <w:right w:type="dxa" w:w="120"/>
            </w:tcMar>
          </w:tcPr>
          <w:p>
            <w:pPr>
              <w:jc w:val="left"/>
            </w:pPr>
            <w:r>
              <w:rPr>
                <w:b w:val="false"/>
                <w:bCs w:val="false"/>
                <w:color w:val="1A1A1A"/>
                <w:sz w:val="20"/>
                <w:szCs w:val="20"/>
              </w:rPr>
              <w:t xml:space="preserve">Coverage of new CSR partnerships — a useful real-time buying signal that a company is actively funding water-related causes.</w:t>
            </w:r>
          </w:p>
        </w:tc>
      </w:tr>
    </w:tbl>
    <w:p>
      <w:pPr>
        <w:pBdr>
          <w:left w:val="single" w:color="1F6F5C" w:sz="18" w:space="8"/>
        </w:pBdr>
        <w:shd w:fill="E7F3F0" w:val="clear"/>
        <w:spacing w:after="200" w:before="100"/>
        <w:ind w:left="100"/>
      </w:pPr>
      <w:r>
        <w:rPr>
          <w:i/>
          <w:iCs/>
          <w:color w:val="3A3A3A"/>
          <w:sz w:val="21"/>
          <w:szCs w:val="21"/>
        </w:rPr>
        <w:t xml:space="preserve">Since most of this data exists as unstructured PDF text (policy documents, annual report sections), the core technical challenge is PDF parsing and text classification at scale, not data collection alone.</w:t>
      </w:r>
    </w:p>
    <w:p>
      <w:pPr>
        <w:pStyle w:val="Heading1"/>
        <w:pBdr>
          <w:bottom w:val="single" w:color="1F6F5C" w:sz="6" w:space="4"/>
        </w:pBdr>
        <w:spacing w:after="200" w:before="400"/>
      </w:pPr>
      <w:r>
        <w:rPr>
          <w:b/>
          <w:bCs/>
          <w:color w:val="1F6F5C"/>
          <w:sz w:val="30"/>
          <w:szCs w:val="30"/>
        </w:rPr>
        <w:t xml:space="preserve">5. Handling Changing CSR Priorities</w:t>
      </w:r>
    </w:p>
    <w:p>
      <w:pPr>
        <w:spacing w:after="140" w:line="300"/>
      </w:pPr>
      <w:r>
        <w:rPr>
          <w:color w:val="1A1A1A"/>
          <w:sz w:val="22"/>
          <w:szCs w:val="22"/>
        </w:rPr>
        <w:t xml:space="preserve">CSR focus areas are not static; companies can revise them year to year or even mid-year. A system that treats a single scrape as permanent will keep recommending companies that have already moved on (e.g. from water to education). This is addressed structurally:</w:t>
      </w:r>
    </w:p>
    <w:p>
      <w:pPr>
        <w:pStyle w:val="ListParagraph"/>
        <w:numPr>
          <w:ilvl w:val="0"/>
          <w:numId w:val="2"/>
        </w:numPr>
        <w:spacing w:after="80" w:line="280"/>
      </w:pPr>
      <w:r>
        <w:rPr>
          <w:color w:val="1A1A1A"/>
          <w:sz w:val="22"/>
          <w:szCs w:val="22"/>
        </w:rPr>
        <w:t xml:space="preserve">Time-stamp everything — every scraped data point is stored with the date it was pulled and the financial year of the source document, so the dashboard shows "focus area as of FY2023-24" rather than an unqualified claim.</w:t>
      </w:r>
    </w:p>
    <w:p>
      <w:pPr>
        <w:pStyle w:val="ListParagraph"/>
        <w:numPr>
          <w:ilvl w:val="0"/>
          <w:numId w:val="2"/>
        </w:numPr>
        <w:spacing w:after="80" w:line="280"/>
      </w:pPr>
      <w:r>
        <w:rPr>
          <w:color w:val="1A1A1A"/>
          <w:sz w:val="22"/>
          <w:szCs w:val="22"/>
        </w:rPr>
        <w:t xml:space="preserve">Recurring re-verification — CSR disclosures are annual, so each company's data is re-checked once a year around the July-September annual report cycle. High-priority leads can be checked more frequently via lighter signals such as news or press releases.</w:t>
      </w:r>
    </w:p>
    <w:p>
      <w:pPr>
        <w:pStyle w:val="ListParagraph"/>
        <w:numPr>
          <w:ilvl w:val="0"/>
          <w:numId w:val="2"/>
        </w:numPr>
        <w:spacing w:after="80" w:line="280"/>
      </w:pPr>
      <w:r>
        <w:rPr>
          <w:color w:val="1A1A1A"/>
          <w:sz w:val="22"/>
          <w:szCs w:val="22"/>
        </w:rPr>
        <w:t xml:space="preserve">Diff, don't overwrite — new scrapes are compared against the previous year's data; a shift such as water to education is flagged as a signal to deprioritize, rather than silently replacing old data.</w:t>
      </w:r>
    </w:p>
    <w:p>
      <w:pPr>
        <w:pStyle w:val="ListParagraph"/>
        <w:numPr>
          <w:ilvl w:val="0"/>
          <w:numId w:val="2"/>
        </w:numPr>
        <w:spacing w:after="80" w:line="280"/>
      </w:pPr>
      <w:r>
        <w:rPr>
          <w:color w:val="1A1A1A"/>
          <w:sz w:val="22"/>
          <w:szCs w:val="22"/>
        </w:rPr>
        <w:t xml:space="preserve">Freshness indicator on every lead — each company is tagged so the outreach team knows exactly how current the match 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00"/>
      </w:tblGrid>
      <w:tr>
        <w:trPr>
          <w:tblHeader/>
        </w:trPr>
        <w:tc>
          <w:tcPr>
            <w:tcW w:type="dxa" w:w="1200"/>
            <w:shd w:fill="1F6F5C" w:val="clear"/>
            <w:tcMar>
              <w:top w:type="dxa" w:w="100"/>
              <w:left w:type="dxa" w:w="120"/>
              <w:bottom w:type="dxa" w:w="100"/>
              <w:right w:type="dxa" w:w="120"/>
            </w:tcMar>
          </w:tcPr>
          <w:p>
            <w:pPr>
              <w:jc w:val="left"/>
            </w:pPr>
            <w:r>
              <w:rPr>
                <w:b/>
                <w:bCs/>
                <w:color w:val="FFFFFF"/>
                <w:sz w:val="20"/>
                <w:szCs w:val="20"/>
              </w:rPr>
              <w:t xml:space="preserve">Tag</w:t>
            </w:r>
          </w:p>
        </w:tc>
        <w:tc>
          <w:tcPr>
            <w:tcW w:type="dxa" w:w="2400"/>
            <w:shd w:fill="1F6F5C" w:val="clear"/>
            <w:tcMar>
              <w:top w:type="dxa" w:w="100"/>
              <w:left w:type="dxa" w:w="120"/>
              <w:bottom w:type="dxa" w:w="100"/>
              <w:right w:type="dxa" w:w="120"/>
            </w:tcMar>
          </w:tcPr>
          <w:p>
            <w:pPr>
              <w:jc w:val="left"/>
            </w:pPr>
            <w:r>
              <w:rPr>
                <w:b/>
                <w:bCs/>
                <w:color w:val="FFFFFF"/>
                <w:sz w:val="20"/>
                <w:szCs w:val="20"/>
              </w:rPr>
              <w:t xml:space="preserve">Status</w:t>
            </w:r>
          </w:p>
        </w:tc>
        <w:tc>
          <w:tcPr>
            <w:tcW w:type="dxa" w:w="5700"/>
            <w:shd w:fill="1F6F5C" w:val="clear"/>
            <w:tcMar>
              <w:top w:type="dxa" w:w="100"/>
              <w:left w:type="dxa" w:w="120"/>
              <w:bottom w:type="dxa" w:w="100"/>
              <w:right w:type="dxa" w:w="120"/>
            </w:tcMar>
          </w:tcPr>
          <w:p>
            <w:pPr>
              <w:jc w:val="left"/>
            </w:pPr>
            <w:r>
              <w:rPr>
                <w:b/>
                <w:bCs/>
                <w:color w:val="FFFFFF"/>
                <w:sz w:val="20"/>
                <w:szCs w:val="20"/>
              </w:rPr>
              <w:t xml:space="preserve">Meaning</w:t>
            </w:r>
          </w:p>
        </w:tc>
      </w:tr>
      <w:tr>
        <w:tc>
          <w:tcPr>
            <w:tcW w:type="dxa" w:w="1200"/>
            <w:shd w:fill="F5F5F5" w:val="clear"/>
            <w:tcMar>
              <w:top w:type="dxa" w:w="100"/>
              <w:left w:type="dxa" w:w="120"/>
              <w:bottom w:type="dxa" w:w="100"/>
              <w:right w:type="dxa" w:w="120"/>
            </w:tcMar>
          </w:tcPr>
          <w:p>
            <w:pPr>
              <w:jc w:val="left"/>
            </w:pPr>
            <w:r>
              <w:rPr>
                <w:b/>
                <w:bCs/>
                <w:color w:val="1A1A1A"/>
                <w:sz w:val="20"/>
                <w:szCs w:val="20"/>
              </w:rPr>
              <w:t xml:space="preserve">Green</w:t>
            </w:r>
          </w:p>
        </w:tc>
        <w:tc>
          <w:tcPr>
            <w:tcW w:type="dxa" w:w="2400"/>
            <w:shd w:fill="F5F5F5" w:val="clear"/>
            <w:tcMar>
              <w:top w:type="dxa" w:w="100"/>
              <w:left w:type="dxa" w:w="120"/>
              <w:bottom w:type="dxa" w:w="100"/>
              <w:right w:type="dxa" w:w="120"/>
            </w:tcMar>
          </w:tcPr>
          <w:p>
            <w:pPr>
              <w:jc w:val="left"/>
            </w:pPr>
            <w:r>
              <w:rPr>
                <w:b w:val="false"/>
                <w:bCs w:val="false"/>
                <w:color w:val="1A1A1A"/>
                <w:sz w:val="20"/>
                <w:szCs w:val="20"/>
              </w:rPr>
              <w:t xml:space="preserve">Verified this FY</w:t>
            </w:r>
          </w:p>
        </w:tc>
        <w:tc>
          <w:tcPr>
            <w:tcW w:type="dxa" w:w="5700"/>
            <w:shd w:fill="F5F5F5" w:val="clear"/>
            <w:tcMar>
              <w:top w:type="dxa" w:w="100"/>
              <w:left w:type="dxa" w:w="120"/>
              <w:bottom w:type="dxa" w:w="100"/>
              <w:right w:type="dxa" w:w="120"/>
            </w:tcMar>
          </w:tcPr>
          <w:p>
            <w:pPr>
              <w:jc w:val="left"/>
            </w:pPr>
            <w:r>
              <w:rPr>
                <w:b w:val="false"/>
                <w:bCs w:val="false"/>
                <w:color w:val="1A1A1A"/>
                <w:sz w:val="20"/>
                <w:szCs w:val="20"/>
              </w:rPr>
              <w:t xml:space="preserve">Focus area confirmed against the current financial year's disclosure</w:t>
            </w:r>
          </w:p>
        </w:tc>
      </w:tr>
      <w:tr>
        <w:tc>
          <w:tcPr>
            <w:tcW w:type="dxa" w:w="1200"/>
            <w:shd w:fill="FFFFFF" w:val="clear"/>
            <w:tcMar>
              <w:top w:type="dxa" w:w="100"/>
              <w:left w:type="dxa" w:w="120"/>
              <w:bottom w:type="dxa" w:w="100"/>
              <w:right w:type="dxa" w:w="120"/>
            </w:tcMar>
          </w:tcPr>
          <w:p>
            <w:pPr>
              <w:jc w:val="left"/>
            </w:pPr>
            <w:r>
              <w:rPr>
                <w:b/>
                <w:bCs/>
                <w:color w:val="1A1A1A"/>
                <w:sz w:val="20"/>
                <w:szCs w:val="20"/>
              </w:rPr>
              <w:t xml:space="preserve">Yellow</w:t>
            </w:r>
          </w:p>
        </w:tc>
        <w:tc>
          <w:tcPr>
            <w:tcW w:type="dxa" w:w="2400"/>
            <w:shd w:fill="FFFFFF" w:val="clear"/>
            <w:tcMar>
              <w:top w:type="dxa" w:w="100"/>
              <w:left w:type="dxa" w:w="120"/>
              <w:bottom w:type="dxa" w:w="100"/>
              <w:right w:type="dxa" w:w="120"/>
            </w:tcMar>
          </w:tcPr>
          <w:p>
            <w:pPr>
              <w:jc w:val="left"/>
            </w:pPr>
            <w:r>
              <w:rPr>
                <w:b w:val="false"/>
                <w:bCs w:val="false"/>
                <w:color w:val="1A1A1A"/>
                <w:sz w:val="20"/>
                <w:szCs w:val="20"/>
              </w:rPr>
              <w:t xml:space="preserve">Based on last FY</w:t>
            </w:r>
          </w:p>
        </w:tc>
        <w:tc>
          <w:tcPr>
            <w:tcW w:type="dxa" w:w="5700"/>
            <w:shd w:fill="FFFFFF" w:val="clear"/>
            <w:tcMar>
              <w:top w:type="dxa" w:w="100"/>
              <w:left w:type="dxa" w:w="120"/>
              <w:bottom w:type="dxa" w:w="100"/>
              <w:right w:type="dxa" w:w="120"/>
            </w:tcMar>
          </w:tcPr>
          <w:p>
            <w:pPr>
              <w:jc w:val="left"/>
            </w:pPr>
            <w:r>
              <w:rPr>
                <w:b w:val="false"/>
                <w:bCs w:val="false"/>
                <w:color w:val="1A1A1A"/>
                <w:sz w:val="20"/>
                <w:szCs w:val="20"/>
              </w:rPr>
              <w:t xml:space="preserve">Data has not yet been re-confirmed for the current cycle</w:t>
            </w:r>
          </w:p>
        </w:tc>
      </w:tr>
      <w:tr>
        <w:tc>
          <w:tcPr>
            <w:tcW w:type="dxa" w:w="1200"/>
            <w:shd w:fill="F5F5F5" w:val="clear"/>
            <w:tcMar>
              <w:top w:type="dxa" w:w="100"/>
              <w:left w:type="dxa" w:w="120"/>
              <w:bottom w:type="dxa" w:w="100"/>
              <w:right w:type="dxa" w:w="120"/>
            </w:tcMar>
          </w:tcPr>
          <w:p>
            <w:pPr>
              <w:jc w:val="left"/>
            </w:pPr>
            <w:r>
              <w:rPr>
                <w:b/>
                <w:bCs/>
                <w:color w:val="1A1A1A"/>
                <w:sz w:val="20"/>
                <w:szCs w:val="20"/>
              </w:rPr>
              <w:t xml:space="preserve">Red</w:t>
            </w:r>
          </w:p>
        </w:tc>
        <w:tc>
          <w:tcPr>
            <w:tcW w:type="dxa" w:w="2400"/>
            <w:shd w:fill="F5F5F5" w:val="clear"/>
            <w:tcMar>
              <w:top w:type="dxa" w:w="100"/>
              <w:left w:type="dxa" w:w="120"/>
              <w:bottom w:type="dxa" w:w="100"/>
              <w:right w:type="dxa" w:w="120"/>
            </w:tcMar>
          </w:tcPr>
          <w:p>
            <w:pPr>
              <w:jc w:val="left"/>
            </w:pPr>
            <w:r>
              <w:rPr>
                <w:b w:val="false"/>
                <w:bCs w:val="false"/>
                <w:color w:val="1A1A1A"/>
                <w:sz w:val="20"/>
                <w:szCs w:val="20"/>
              </w:rPr>
              <w:t xml:space="preserve">Focus area changed</w:t>
            </w:r>
          </w:p>
        </w:tc>
        <w:tc>
          <w:tcPr>
            <w:tcW w:type="dxa" w:w="5700"/>
            <w:shd w:fill="F5F5F5" w:val="clear"/>
            <w:tcMar>
              <w:top w:type="dxa" w:w="100"/>
              <w:left w:type="dxa" w:w="120"/>
              <w:bottom w:type="dxa" w:w="100"/>
              <w:right w:type="dxa" w:w="120"/>
            </w:tcMar>
          </w:tcPr>
          <w:p>
            <w:pPr>
              <w:jc w:val="left"/>
            </w:pPr>
            <w:r>
              <w:rPr>
                <w:b w:val="false"/>
                <w:bCs w:val="false"/>
                <w:color w:val="1A1A1A"/>
                <w:sz w:val="20"/>
                <w:szCs w:val="20"/>
              </w:rPr>
              <w:t xml:space="preserve">Company has moved away from water/WASH — deprioritize or drop</w:t>
            </w:r>
          </w:p>
        </w:tc>
      </w:tr>
    </w:tbl>
    <w:p>
      <w:pPr>
        <w:pStyle w:val="ListParagraph"/>
        <w:numPr>
          <w:ilvl w:val="0"/>
          <w:numId w:val="2"/>
        </w:numPr>
        <w:spacing w:after="80" w:line="280"/>
      </w:pPr>
      <w:r>
        <w:rPr>
          <w:color w:val="1A1A1A"/>
          <w:sz w:val="22"/>
          <w:szCs w:val="22"/>
        </w:rPr>
        <w:t xml:space="preserve">Weight multi-year commitments higher — a company with a stated multi-year water infrastructure commitment is a materially more stable lead than one inferred from a single year's policy text, and should be scored accordingly.</w:t>
      </w:r>
    </w:p>
    <w:p>
      <w:pPr>
        <w:pStyle w:val="Heading1"/>
        <w:pBdr>
          <w:bottom w:val="single" w:color="1F6F5C" w:sz="6" w:space="4"/>
        </w:pBdr>
        <w:spacing w:after="200" w:before="400"/>
      </w:pPr>
      <w:r>
        <w:rPr>
          <w:b/>
          <w:bCs/>
          <w:color w:val="1F6F5C"/>
          <w:sz w:val="30"/>
          <w:szCs w:val="30"/>
        </w:rPr>
        <w:t xml:space="preserve">6. Prioritization &amp; Trustworthiness</w:t>
      </w:r>
    </w:p>
    <w:p>
      <w:pPr>
        <w:spacing w:after="140" w:line="300"/>
      </w:pPr>
      <w:r>
        <w:rPr>
          <w:color w:val="1A1A1A"/>
          <w:sz w:val="22"/>
          <w:szCs w:val="22"/>
        </w:rPr>
        <w:t xml:space="preserve">Not every company with "water" in its CSR policy is an equally good lead. Before a company reaches the outreach stage, it is scored on:</w:t>
      </w:r>
    </w:p>
    <w:p>
      <w:pPr>
        <w:pStyle w:val="ListParagraph"/>
        <w:numPr>
          <w:ilvl w:val="0"/>
          <w:numId w:val="3"/>
        </w:numPr>
        <w:spacing w:after="80" w:line="280"/>
      </w:pPr>
      <w:r>
        <w:rPr>
          <w:color w:val="1A1A1A"/>
          <w:sz w:val="22"/>
          <w:szCs w:val="22"/>
        </w:rPr>
        <w:t xml:space="preserve">CSR budget size and the proportion historically allocated to water/WASH</w:t>
      </w:r>
    </w:p>
    <w:p>
      <w:pPr>
        <w:pStyle w:val="ListParagraph"/>
        <w:numPr>
          <w:ilvl w:val="0"/>
          <w:numId w:val="3"/>
        </w:numPr>
        <w:spacing w:after="80" w:line="280"/>
      </w:pPr>
      <w:r>
        <w:rPr>
          <w:color w:val="1A1A1A"/>
          <w:sz w:val="22"/>
          <w:szCs w:val="22"/>
        </w:rPr>
        <w:t xml:space="preserve">Track record — has the company actually spent against its stated water/sanitation focus in past disclosures, or only mentioned it</w:t>
      </w:r>
    </w:p>
    <w:p>
      <w:pPr>
        <w:pStyle w:val="ListParagraph"/>
        <w:numPr>
          <w:ilvl w:val="0"/>
          <w:numId w:val="3"/>
        </w:numPr>
        <w:spacing w:after="80" w:line="280"/>
      </w:pPr>
      <w:r>
        <w:rPr>
          <w:color w:val="1A1A1A"/>
          <w:sz w:val="22"/>
          <w:szCs w:val="22"/>
        </w:rPr>
        <w:t xml:space="preserve">Commitment stability — single-year mention vs. a stated multi-year program</w:t>
      </w:r>
    </w:p>
    <w:p>
      <w:pPr>
        <w:pStyle w:val="ListParagraph"/>
        <w:numPr>
          <w:ilvl w:val="0"/>
          <w:numId w:val="3"/>
        </w:numPr>
        <w:spacing w:after="80" w:line="280"/>
      </w:pPr>
      <w:r>
        <w:rPr>
          <w:color w:val="1A1A1A"/>
          <w:sz w:val="22"/>
          <w:szCs w:val="22"/>
        </w:rPr>
        <w:t xml:space="preserve">Geographic overlap with Jaldhaara's existing or planned WaterHealth Center locations</w:t>
      </w:r>
    </w:p>
    <w:p>
      <w:pPr>
        <w:pStyle w:val="ListParagraph"/>
        <w:numPr>
          <w:ilvl w:val="0"/>
          <w:numId w:val="3"/>
        </w:numPr>
        <w:spacing w:after="80" w:line="280"/>
      </w:pPr>
      <w:r>
        <w:rPr>
          <w:color w:val="1A1A1A"/>
          <w:sz w:val="22"/>
          <w:szCs w:val="22"/>
        </w:rPr>
        <w:t xml:space="preserve">Freshness/verification status, as defined above</w:t>
      </w:r>
    </w:p>
    <w:p>
      <w:pPr>
        <w:spacing w:after="140" w:line="300"/>
      </w:pPr>
      <w:r>
        <w:rPr>
          <w:color w:val="1A1A1A"/>
          <w:sz w:val="22"/>
          <w:szCs w:val="22"/>
        </w:rPr>
        <w:t xml:space="preserve">Only companies clearing a minimum trust and relevance threshold are passed on to personalized outreach — this is what keeps the lead list "usable" rather than a raw, noisy company list, directly addressing the case's requirement to manage expectations.</w:t>
      </w:r>
    </w:p>
    <w:p>
      <w:pPr>
        <w:pStyle w:val="Heading1"/>
        <w:pBdr>
          <w:bottom w:val="single" w:color="1F6F5C" w:sz="6" w:space="4"/>
        </w:pBdr>
        <w:spacing w:after="200" w:before="400"/>
      </w:pPr>
      <w:r>
        <w:rPr>
          <w:b/>
          <w:bCs/>
          <w:color w:val="1F6F5C"/>
          <w:sz w:val="30"/>
          <w:szCs w:val="30"/>
        </w:rPr>
        <w:t xml:space="preserve">7. Personalized Outreach Approach</w:t>
      </w:r>
    </w:p>
    <w:p>
      <w:pPr>
        <w:spacing w:after="140" w:line="300"/>
      </w:pPr>
      <w:r>
        <w:rPr>
          <w:color w:val="1A1A1A"/>
          <w:sz w:val="22"/>
          <w:szCs w:val="22"/>
        </w:rPr>
        <w:t xml:space="preserve">Once a company is qualified, verified, and prioritized, outreach is tailored per company rather than sent as a generic donation request. Each draft references the company's own CSR history, its budget bracket, and Jaldhaara's own measurable outcomes.</w:t>
      </w:r>
    </w:p>
    <w:p>
      <w:pPr>
        <w:pBdr>
          <w:left w:val="single" w:color="1F6F5C" w:sz="18" w:space="8"/>
        </w:pBdr>
        <w:shd w:fill="E7F3F0" w:val="clear"/>
        <w:spacing w:after="200" w:before="100"/>
        <w:ind w:left="100"/>
      </w:pPr>
      <w:r>
        <w:rPr>
          <w:i/>
          <w:iCs/>
          <w:color w:val="3A3A3A"/>
          <w:sz w:val="21"/>
          <w:szCs w:val="21"/>
        </w:rPr>
        <w:t xml:space="preserve">Framing matters: pitching this as "donate and get X advantage" risks sounding transactional, which can be a red flag for CSR compliance teams, since CSR is meant to be a genuine social spend rather than a marketing exchange. Framing outreach around impact alignment — for example, citing the 49% reduction in school absenteeism achieved through the Water for Schools program, or the cost efficiency of delivering a 20-litre unit at ₹8-10 versus the ₹20 market rate — tends to land better with CSR decision-makers than a benefits-for-donation pitch.</w:t>
      </w:r>
    </w:p>
    <w:p>
      <w:pPr>
        <w:pStyle w:val="Heading1"/>
        <w:pBdr>
          <w:bottom w:val="single" w:color="1F6F5C" w:sz="6" w:space="4"/>
        </w:pBdr>
        <w:spacing w:after="200" w:before="400"/>
      </w:pPr>
      <w:r>
        <w:rPr>
          <w:b/>
          <w:bCs/>
          <w:color w:val="1F6F5C"/>
          <w:sz w:val="30"/>
          <w:szCs w:val="30"/>
        </w:rPr>
        <w:t xml:space="preserve">8. Feedback Loop</w:t>
      </w:r>
    </w:p>
    <w:p>
      <w:pPr>
        <w:spacing w:after="140" w:line="300"/>
      </w:pPr>
      <w:r>
        <w:rPr>
          <w:color w:val="1A1A1A"/>
          <w:sz w:val="22"/>
          <w:szCs w:val="22"/>
        </w:rPr>
        <w:t xml:space="preserve">Outreach outcomes — opens, responses, conversions, and non-responses — are logged and fed back into the Verify and Prioritize stages. A pattern of non-response after repeated follow-ups is itself treated as a signal to re-check whether the company's focus area has shifted, closing the loop between outreach performance and data freshness.</w:t>
      </w:r>
    </w:p>
    <w:p>
      <w:pPr>
        <w:pStyle w:val="Heading1"/>
        <w:pBdr>
          <w:bottom w:val="single" w:color="1F6F5C" w:sz="6" w:space="4"/>
        </w:pBdr>
        <w:spacing w:after="200" w:before="400"/>
      </w:pPr>
      <w:r>
        <w:rPr>
          <w:b/>
          <w:bCs/>
          <w:color w:val="1F6F5C"/>
          <w:sz w:val="30"/>
          <w:szCs w:val="30"/>
        </w:rPr>
        <w:t xml:space="preserve">9. Why This Meets the Brief</w:t>
      </w:r>
    </w:p>
    <w:p>
      <w:pPr>
        <w:pStyle w:val="ListParagraph"/>
        <w:numPr>
          <w:ilvl w:val="0"/>
          <w:numId w:val="3"/>
        </w:numPr>
        <w:spacing w:after="80" w:line="280"/>
      </w:pPr>
      <w:r>
        <w:rPr>
          <w:color w:val="1A1A1A"/>
          <w:sz w:val="22"/>
          <w:szCs w:val="22"/>
        </w:rPr>
        <w:t xml:space="preserve">Automates the NGO's current manual process of reading CSR policies company by company</w:t>
      </w:r>
    </w:p>
    <w:p>
      <w:pPr>
        <w:pStyle w:val="ListParagraph"/>
        <w:numPr>
          <w:ilvl w:val="0"/>
          <w:numId w:val="3"/>
        </w:numPr>
        <w:spacing w:after="80" w:line="280"/>
      </w:pPr>
      <w:r>
        <w:rPr>
          <w:color w:val="1A1A1A"/>
          <w:sz w:val="22"/>
          <w:szCs w:val="22"/>
        </w:rPr>
        <w:t xml:space="preserve">Targets companies whose focus area is genuinely water/hygiene/sanitation, not just keyword matches</w:t>
      </w:r>
    </w:p>
    <w:p>
      <w:pPr>
        <w:pStyle w:val="ListParagraph"/>
        <w:numPr>
          <w:ilvl w:val="0"/>
          <w:numId w:val="3"/>
        </w:numPr>
        <w:spacing w:after="80" w:line="280"/>
      </w:pPr>
      <w:r>
        <w:rPr>
          <w:color w:val="1A1A1A"/>
          <w:sz w:val="22"/>
          <w:szCs w:val="22"/>
        </w:rPr>
        <w:t xml:space="preserve">Presents leads in a ranked, tagged, easily usable format rather than a raw list</w:t>
      </w:r>
    </w:p>
    <w:p>
      <w:pPr>
        <w:pStyle w:val="ListParagraph"/>
        <w:numPr>
          <w:ilvl w:val="0"/>
          <w:numId w:val="3"/>
        </w:numPr>
        <w:spacing w:after="80" w:line="280"/>
      </w:pPr>
      <w:r>
        <w:rPr>
          <w:color w:val="1A1A1A"/>
          <w:sz w:val="22"/>
          <w:szCs w:val="22"/>
        </w:rPr>
        <w:t xml:space="preserve">Goes beyond identification to suggest an actionable next step per lead, as invited by the case's "additional considerations"</w:t>
      </w:r>
    </w:p>
    <w:p>
      <w:pPr>
        <w:pStyle w:val="ListParagraph"/>
        <w:numPr>
          <w:ilvl w:val="0"/>
          <w:numId w:val="3"/>
        </w:numPr>
        <w:spacing w:after="80" w:line="280"/>
      </w:pPr>
      <w:r>
        <w:rPr>
          <w:color w:val="1A1A1A"/>
          <w:sz w:val="22"/>
          <w:szCs w:val="22"/>
        </w:rPr>
        <w:t xml:space="preserve">Explicitly manages expectations through freshness tagging and trust scoring, rather than presenting stale or unqualified leads as certain donors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2026-09-04T05:23:09.256Z</dcterms:created>
  <dcterms:modified xsi:type="dcterms:W3CDTF">2026-09-04T05:23:09.267Z</dcterms:modified>
</cp:coreProperties>
</file>

<file path=docProps/custom.xml><?xml version="1.0" encoding="utf-8"?>
<Properties xmlns="http://schemas.openxmlformats.org/officeDocument/2006/custom-properties" xmlns:vt="http://schemas.openxmlformats.org/officeDocument/2006/docPropsVTypes"/>
</file>