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61CD671B"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5D2DAA" w:rsidRPr="005D2DAA">
        <w:rPr>
          <w:rFonts w:ascii="Times New Roman" w:hAnsi="Times New Roman" w:cs="Times New Roman"/>
          <w:b/>
          <w:bCs/>
          <w:sz w:val="28"/>
          <w:szCs w:val="28"/>
        </w:rPr>
        <w:t>CRYPTANALYSIS AND CYBER DEFENCE</w:t>
      </w:r>
      <w:r w:rsidR="00F7593F" w:rsidRPr="00F7593F">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5D2DAA" w:rsidRPr="005D2DAA">
        <w:rPr>
          <w:rFonts w:ascii="Times New Roman" w:hAnsi="Times New Roman" w:cs="Times New Roman"/>
          <w:b/>
          <w:bCs/>
          <w:sz w:val="28"/>
          <w:szCs w:val="28"/>
        </w:rPr>
        <w:t>24CSB3101</w:t>
      </w:r>
      <w:r w:rsidR="00F7593F">
        <w:rPr>
          <w:rFonts w:ascii="Times New Roman" w:hAnsi="Times New Roman" w:cs="Times New Roman"/>
          <w:b/>
          <w:bCs/>
          <w:sz w:val="28"/>
          <w:szCs w:val="28"/>
        </w:rPr>
        <w:t>)</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8A67B87" w14:textId="77777777" w:rsidR="00F7593F" w:rsidRDefault="00F7593F" w:rsidP="005D2DAA">
            <w:pPr>
              <w:rPr>
                <w:rFonts w:ascii="Times New Roman" w:hAnsi="Times New Roman" w:cs="Times New Roman"/>
                <w:b/>
                <w:bCs/>
                <w:sz w:val="24"/>
                <w:szCs w:val="24"/>
              </w:rPr>
            </w:pPr>
          </w:p>
          <w:p w14:paraId="6349B978" w14:textId="78CAE853" w:rsidR="00F7593F" w:rsidRDefault="005D2DAA" w:rsidP="00286D28">
            <w:pPr>
              <w:jc w:val="center"/>
              <w:rPr>
                <w:rFonts w:ascii="Times New Roman" w:hAnsi="Times New Roman" w:cs="Times New Roman"/>
                <w:b/>
                <w:bCs/>
                <w:sz w:val="24"/>
                <w:szCs w:val="24"/>
              </w:rPr>
            </w:pPr>
            <w:r w:rsidRPr="005D2DAA">
              <w:rPr>
                <w:rFonts w:ascii="Times New Roman" w:hAnsi="Times New Roman" w:cs="Times New Roman"/>
                <w:b/>
                <w:bCs/>
                <w:sz w:val="24"/>
                <w:szCs w:val="24"/>
              </w:rPr>
              <w:t xml:space="preserve">Adaptive Decoy-Based Data Protection System with Context-Aware User </w:t>
            </w:r>
            <w:proofErr w:type="spellStart"/>
            <w:r w:rsidRPr="005D2DAA">
              <w:rPr>
                <w:rFonts w:ascii="Times New Roman" w:hAnsi="Times New Roman" w:cs="Times New Roman"/>
                <w:b/>
                <w:bCs/>
                <w:sz w:val="24"/>
                <w:szCs w:val="24"/>
              </w:rPr>
              <w:t>Behavior</w:t>
            </w:r>
            <w:proofErr w:type="spellEnd"/>
            <w:r w:rsidRPr="005D2DAA">
              <w:rPr>
                <w:rFonts w:ascii="Times New Roman" w:hAnsi="Times New Roman" w:cs="Times New Roman"/>
                <w:b/>
                <w:bCs/>
                <w:sz w:val="24"/>
                <w:szCs w:val="24"/>
              </w:rPr>
              <w:t xml:space="preserve"> Analysis for Insider Threat</w:t>
            </w:r>
            <w:r>
              <w:rPr>
                <w:rFonts w:ascii="Times New Roman" w:hAnsi="Times New Roman" w:cs="Times New Roman"/>
                <w:b/>
                <w:bCs/>
                <w:sz w:val="24"/>
                <w:szCs w:val="24"/>
              </w:rPr>
              <w:t xml:space="preserve"> </w:t>
            </w:r>
            <w:proofErr w:type="spellStart"/>
            <w:r w:rsidRPr="005D2DAA">
              <w:rPr>
                <w:rFonts w:ascii="Times New Roman" w:hAnsi="Times New Roman" w:cs="Times New Roman"/>
                <w:b/>
                <w:bCs/>
                <w:sz w:val="24"/>
                <w:szCs w:val="24"/>
              </w:rPr>
              <w:t>Defense</w:t>
            </w:r>
            <w:proofErr w:type="spellEnd"/>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45A3693" w:rsidR="00286D28" w:rsidRPr="00286D28" w:rsidRDefault="005D2DAA" w:rsidP="00286D28">
            <w:pPr>
              <w:jc w:val="center"/>
              <w:rPr>
                <w:rFonts w:ascii="Times New Roman" w:hAnsi="Times New Roman" w:cs="Times New Roman"/>
                <w:sz w:val="24"/>
                <w:szCs w:val="24"/>
              </w:rPr>
            </w:pPr>
            <w:r>
              <w:rPr>
                <w:rFonts w:ascii="Times New Roman" w:hAnsi="Times New Roman" w:cs="Times New Roman"/>
                <w:sz w:val="24"/>
                <w:szCs w:val="24"/>
              </w:rPr>
              <w:t>2420090052</w:t>
            </w:r>
          </w:p>
        </w:tc>
        <w:tc>
          <w:tcPr>
            <w:tcW w:w="5528" w:type="dxa"/>
          </w:tcPr>
          <w:p w14:paraId="256A6E97" w14:textId="3DC6F45A" w:rsidR="00286D28" w:rsidRPr="00286D28" w:rsidRDefault="005D2DAA" w:rsidP="00286D28">
            <w:pPr>
              <w:jc w:val="center"/>
              <w:rPr>
                <w:rFonts w:ascii="Times New Roman" w:hAnsi="Times New Roman" w:cs="Times New Roman"/>
                <w:sz w:val="24"/>
                <w:szCs w:val="24"/>
              </w:rPr>
            </w:pPr>
            <w:r w:rsidRPr="005D2DAA">
              <w:rPr>
                <w:rFonts w:ascii="Times New Roman" w:hAnsi="Times New Roman" w:cs="Times New Roman"/>
                <w:sz w:val="24"/>
                <w:szCs w:val="24"/>
              </w:rPr>
              <w:t>Arugunta Sharvani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20261CF8" w:rsidR="00286D28" w:rsidRPr="00286D28" w:rsidRDefault="005D2DAA" w:rsidP="00286D28">
            <w:pPr>
              <w:jc w:val="center"/>
              <w:rPr>
                <w:rFonts w:ascii="Times New Roman" w:hAnsi="Times New Roman" w:cs="Times New Roman"/>
                <w:sz w:val="24"/>
                <w:szCs w:val="24"/>
              </w:rPr>
            </w:pPr>
            <w:r>
              <w:rPr>
                <w:rFonts w:ascii="Times New Roman" w:hAnsi="Times New Roman" w:cs="Times New Roman"/>
                <w:sz w:val="24"/>
                <w:szCs w:val="24"/>
              </w:rPr>
              <w:t>2420030553</w:t>
            </w:r>
          </w:p>
        </w:tc>
        <w:tc>
          <w:tcPr>
            <w:tcW w:w="5528" w:type="dxa"/>
          </w:tcPr>
          <w:p w14:paraId="11B1D292" w14:textId="7DA6ADEC" w:rsidR="00286D28" w:rsidRPr="00286D28" w:rsidRDefault="005D2DAA" w:rsidP="00286D28">
            <w:pPr>
              <w:jc w:val="center"/>
              <w:rPr>
                <w:rFonts w:ascii="Times New Roman" w:hAnsi="Times New Roman" w:cs="Times New Roman"/>
                <w:sz w:val="24"/>
                <w:szCs w:val="24"/>
              </w:rPr>
            </w:pPr>
            <w:proofErr w:type="spellStart"/>
            <w:r w:rsidRPr="005D2DAA">
              <w:rPr>
                <w:rFonts w:ascii="Times New Roman" w:hAnsi="Times New Roman" w:cs="Times New Roman"/>
                <w:sz w:val="24"/>
                <w:szCs w:val="24"/>
              </w:rPr>
              <w:t>Nadendla</w:t>
            </w:r>
            <w:proofErr w:type="spellEnd"/>
            <w:r w:rsidRPr="005D2DAA">
              <w:rPr>
                <w:rFonts w:ascii="Times New Roman" w:hAnsi="Times New Roman" w:cs="Times New Roman"/>
                <w:sz w:val="24"/>
                <w:szCs w:val="24"/>
              </w:rPr>
              <w:t xml:space="preserve"> Phanindra Babu</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0B988B95" w:rsidR="00286D28" w:rsidRPr="00286D28" w:rsidRDefault="005D2DAA" w:rsidP="00286D28">
            <w:pPr>
              <w:jc w:val="center"/>
              <w:rPr>
                <w:rFonts w:ascii="Times New Roman" w:hAnsi="Times New Roman" w:cs="Times New Roman"/>
                <w:sz w:val="24"/>
                <w:szCs w:val="24"/>
              </w:rPr>
            </w:pPr>
            <w:r>
              <w:rPr>
                <w:rFonts w:ascii="Times New Roman" w:hAnsi="Times New Roman" w:cs="Times New Roman"/>
                <w:sz w:val="24"/>
                <w:szCs w:val="24"/>
              </w:rPr>
              <w:t>2420030331</w:t>
            </w:r>
          </w:p>
        </w:tc>
        <w:tc>
          <w:tcPr>
            <w:tcW w:w="5528" w:type="dxa"/>
          </w:tcPr>
          <w:p w14:paraId="7B185CDD" w14:textId="00C20D78" w:rsidR="00286D28" w:rsidRPr="00286D28" w:rsidRDefault="005D2DAA" w:rsidP="00286D28">
            <w:pPr>
              <w:jc w:val="center"/>
              <w:rPr>
                <w:rFonts w:ascii="Times New Roman" w:hAnsi="Times New Roman" w:cs="Times New Roman"/>
                <w:sz w:val="24"/>
                <w:szCs w:val="24"/>
              </w:rPr>
            </w:pPr>
            <w:r w:rsidRPr="005D2DAA">
              <w:rPr>
                <w:rFonts w:ascii="Times New Roman" w:hAnsi="Times New Roman" w:cs="Times New Roman"/>
                <w:sz w:val="24"/>
                <w:szCs w:val="24"/>
              </w:rPr>
              <w:t xml:space="preserve">Varsha </w:t>
            </w:r>
            <w:proofErr w:type="spellStart"/>
            <w:r w:rsidRPr="005D2DAA">
              <w:rPr>
                <w:rFonts w:ascii="Times New Roman" w:hAnsi="Times New Roman" w:cs="Times New Roman"/>
                <w:sz w:val="24"/>
                <w:szCs w:val="24"/>
              </w:rPr>
              <w:t>SriTeja</w:t>
            </w:r>
            <w:proofErr w:type="spellEnd"/>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76CA41F" w:rsidR="00295A23" w:rsidRPr="00286D28" w:rsidRDefault="005D2DAA" w:rsidP="00286D28">
            <w:pPr>
              <w:jc w:val="center"/>
              <w:rPr>
                <w:rFonts w:ascii="Times New Roman" w:hAnsi="Times New Roman" w:cs="Times New Roman"/>
                <w:sz w:val="24"/>
                <w:szCs w:val="24"/>
              </w:rPr>
            </w:pPr>
            <w:proofErr w:type="spellStart"/>
            <w:r w:rsidRPr="005D2DAA">
              <w:rPr>
                <w:rFonts w:ascii="Times New Roman" w:hAnsi="Times New Roman" w:cs="Times New Roman"/>
                <w:sz w:val="24"/>
                <w:szCs w:val="24"/>
              </w:rPr>
              <w:t>Velthuru</w:t>
            </w:r>
            <w:proofErr w:type="spellEnd"/>
            <w:r w:rsidRPr="005D2DAA">
              <w:rPr>
                <w:rFonts w:ascii="Times New Roman" w:hAnsi="Times New Roman" w:cs="Times New Roman"/>
                <w:sz w:val="24"/>
                <w:szCs w:val="24"/>
              </w:rPr>
              <w:t xml:space="preserve"> Vinisha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040B6A4E" w14:textId="66CB23D0" w:rsidR="00F7593F" w:rsidRPr="005D2DAA" w:rsidRDefault="005D2DAA" w:rsidP="005D2DAA">
      <w:pPr>
        <w:jc w:val="both"/>
        <w:rPr>
          <w:rFonts w:ascii="Times New Roman" w:hAnsi="Times New Roman" w:cs="Times New Roman"/>
          <w:sz w:val="26"/>
          <w:szCs w:val="26"/>
        </w:rPr>
      </w:pPr>
      <w:r w:rsidRPr="005D2DAA">
        <w:rPr>
          <w:rFonts w:ascii="Times New Roman" w:hAnsi="Times New Roman" w:cs="Times New Roman"/>
          <w:sz w:val="26"/>
          <w:szCs w:val="26"/>
        </w:rPr>
        <w:t xml:space="preserve">Traditional file protection systems mainly rely on authentication and access control, which may not be sufficient to detect suspicious activities performed by users with valid credentials. This project proposes an Adaptive Decoy-Based Data Protection System with Context-Aware User </w:t>
      </w:r>
      <w:proofErr w:type="spellStart"/>
      <w:r w:rsidRPr="005D2DAA">
        <w:rPr>
          <w:rFonts w:ascii="Times New Roman" w:hAnsi="Times New Roman" w:cs="Times New Roman"/>
          <w:sz w:val="26"/>
          <w:szCs w:val="26"/>
        </w:rPr>
        <w:t>Behavior</w:t>
      </w:r>
      <w:proofErr w:type="spellEnd"/>
      <w:r w:rsidRPr="005D2DAA">
        <w:rPr>
          <w:rFonts w:ascii="Times New Roman" w:hAnsi="Times New Roman" w:cs="Times New Roman"/>
          <w:sz w:val="26"/>
          <w:szCs w:val="26"/>
        </w:rPr>
        <w:t xml:space="preserve"> Analysis for Insider Threat </w:t>
      </w:r>
      <w:proofErr w:type="spellStart"/>
      <w:r w:rsidRPr="005D2DAA">
        <w:rPr>
          <w:rFonts w:ascii="Times New Roman" w:hAnsi="Times New Roman" w:cs="Times New Roman"/>
          <w:sz w:val="26"/>
          <w:szCs w:val="26"/>
        </w:rPr>
        <w:t>Defense</w:t>
      </w:r>
      <w:proofErr w:type="spellEnd"/>
      <w:r w:rsidRPr="005D2DAA">
        <w:rPr>
          <w:rFonts w:ascii="Times New Roman" w:hAnsi="Times New Roman" w:cs="Times New Roman"/>
          <w:sz w:val="26"/>
          <w:szCs w:val="26"/>
        </w:rPr>
        <w:t xml:space="preserve"> to improve file security by combining encryption, integrity verification, </w:t>
      </w:r>
      <w:proofErr w:type="spellStart"/>
      <w:r w:rsidRPr="005D2DAA">
        <w:rPr>
          <w:rFonts w:ascii="Times New Roman" w:hAnsi="Times New Roman" w:cs="Times New Roman"/>
          <w:sz w:val="26"/>
          <w:szCs w:val="26"/>
        </w:rPr>
        <w:t>behavioral</w:t>
      </w:r>
      <w:proofErr w:type="spellEnd"/>
      <w:r w:rsidRPr="005D2DAA">
        <w:rPr>
          <w:rFonts w:ascii="Times New Roman" w:hAnsi="Times New Roman" w:cs="Times New Roman"/>
          <w:sz w:val="26"/>
          <w:szCs w:val="26"/>
        </w:rPr>
        <w:t xml:space="preserve"> risk assessment, and cyber deception. The system is developed using React with Vite for the frontend, Node.js and Express for the backend, and MySQL for database management. It monitors security-related activities such as failed login attempts, file access, downloads, IP address changes, and device information to calculate a rule-based risk score for each file access request. Based on the assessed risk level, the system delivers the original file for low-risk requests, provides the original file with monitoring for medium-risk requests, and delivers a harmless decoy file instead of the original file for high-risk requests. AES-256-GCM encryption is used to protect uploaded files, while SHA-256 hashing is used to verify file integrity. Security events, risk assessments, and decoy deliveries are recorded for auditing and further investigation. The prototype is evaluated through three controlled access scenarios representing low-, medium-, and high-risk activities. The results demonstrate that the system can adapt its file-delivery response according to the assessed risk level. This approach provides an additional layer of protection against potentially suspicious access and supports improved detection and investigation of insider threats.</w:t>
      </w: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5D2DAA">
      <w:pPr>
        <w:rPr>
          <w:rFonts w:ascii="Times New Roman" w:hAnsi="Times New Roman" w:cs="Times New Roman"/>
          <w:sz w:val="24"/>
          <w:szCs w:val="24"/>
        </w:rPr>
      </w:pPr>
    </w:p>
    <w:p w14:paraId="5848A4C5" w14:textId="154DEF0D" w:rsidR="00F7593F" w:rsidRPr="00E40BF0" w:rsidRDefault="00F7593F" w:rsidP="00E40BF0">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E40BF0"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5D2DAA"/>
    <w:rsid w:val="00702F2E"/>
    <w:rsid w:val="00C40746"/>
    <w:rsid w:val="00E40BF0"/>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323</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sharvani arugunta</cp:lastModifiedBy>
  <cp:revision>3</cp:revision>
  <dcterms:created xsi:type="dcterms:W3CDTF">2026-10-26T04:16:00Z</dcterms:created>
  <dcterms:modified xsi:type="dcterms:W3CDTF">2026-10-26T04:22:00Z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