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2D5" w:rsidRDefault="00BD52D5" w:rsidP="00BD52D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  <w:r w:rsidRPr="00EA207B">
        <w:rPr>
          <w:rFonts w:ascii="Times New Roman" w:hAnsi="Times New Roman" w:cs="Times New Roman"/>
          <w:b/>
          <w:sz w:val="32"/>
          <w:szCs w:val="32"/>
          <w:u w:val="single"/>
        </w:rPr>
        <w:t>CONCLUSION</w:t>
      </w:r>
    </w:p>
    <w:p w:rsidR="00BD52D5" w:rsidRPr="00BD52D5" w:rsidRDefault="00BD52D5" w:rsidP="00BD52D5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0"/>
          <w:szCs w:val="20"/>
        </w:rPr>
      </w:pPr>
      <w:r w:rsidRPr="00BD52D5">
        <w:rPr>
          <w:rFonts w:ascii="Times New Roman" w:hAnsi="Times New Roman" w:cs="Times New Roman"/>
          <w:sz w:val="28"/>
          <w:szCs w:val="28"/>
        </w:rPr>
        <w:t>In this paper, we introduced a suite of new and novel SSE index designs for processing queries over large-scale encrypted databases. Our index constructions made trade-offs between query efficiency and query privacy, with flexible and comprehensive query functionalities. Through rigorous security analysis under strong security model and extensive experiments on real-world datasets, we demonstrated the effectiveness and practicality of our constructions</w:t>
      </w:r>
      <w:r>
        <w:rPr>
          <w:rFonts w:ascii="NimbusRomNo9L-Regu" w:hAnsi="NimbusRomNo9L-Regu" w:cs="NimbusRomNo9L-Regu"/>
          <w:sz w:val="20"/>
          <w:szCs w:val="20"/>
        </w:rPr>
        <w:t>.</w:t>
      </w:r>
    </w:p>
    <w:sectPr w:rsidR="00BD52D5" w:rsidRPr="00BD5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D52D5"/>
    <w:rsid w:val="00BD5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JAVA</cp:lastModifiedBy>
  <cp:revision>2</cp:revision>
  <dcterms:created xsi:type="dcterms:W3CDTF">2018-09-27T06:24:00Z</dcterms:created>
  <dcterms:modified xsi:type="dcterms:W3CDTF">2018-09-27T06:30:00Z</dcterms:modified>
</cp:coreProperties>
</file>