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D324" w14:textId="2C55F150" w:rsidR="009B4F0F" w:rsidRDefault="00F23836">
      <w:r w:rsidRPr="00F23836">
        <w:rPr>
          <w:b/>
          <w:bCs/>
          <w:sz w:val="40"/>
          <w:szCs w:val="40"/>
        </w:rPr>
        <w:t>cardiavascular</w:t>
      </w:r>
      <w:r>
        <w:br/>
      </w:r>
      <w:r w:rsidRPr="00F23836">
        <w:t xml:space="preserve"> By contrast, two-dimensional and Doppler echocardiography (Chap. 248) are indicated in patients with loud systolic murmurs (grades ≥III/ VI), especially those that are holosystolic or late systolic, and in most patients with diastolic or continuous murmurs. </w:t>
      </w:r>
      <w:r w:rsidRPr="00F23836">
        <w:rPr>
          <w:rFonts w:ascii="Arial" w:hAnsi="Arial" w:cs="Arial"/>
        </w:rPr>
        <w:t>■</w:t>
      </w:r>
      <w:r w:rsidRPr="00F23836">
        <w:t xml:space="preserve">PITFALLS IN CARDIOVASCULAR MEDICINE Increasing subspecialization in internal medicine and the perfection of advanced diagnostic techniques in cardiology can lead to several undesirable consequences. Examples include the following: 1. Failure by the noncardiologist to recognize important cardiac mani festations of systemic illnesses. For example, the presence of mitral stenosis, patent foramen ovale, and/or transient atrial arrhythmia should be considered in a patient with stroke, or the presence of pulmonary hypertension and cor pulmonale should be considered in a patient with scleroderma or Raynaud’s syndrome. A cardiovas cular examination should be carried out to identify and estimate the severity of the cardiovascular involvement that accompanies many noncardiac disorders. 2. Failure by the cardiologist to recognize underlying systemic disor ders in patients with heart disease. For example, hyperthyroidism should be considered in an elderly patient with atrial fibrillation and unexplained heart failure, and Lyme disease should be considered in a patient with unexplained (fluctuating) atrioventricular block. A cardiovascular abnormality may provide the clue critical to the rec ognition of some systemic disorders. For example, an unexplained pericardial effusion may provide an early clue to the diagnosis of tuberculosis or a neoplasm. 3. Overreliance on and overutilization of laboratory tests, particularly invasive techniques, for the evaluation of the cardiovascular sys tem. Cardiac catheterization and coronary arteriography (Chap. 249) provide precise diagnostic information that may be crucial in developing a therapeutic plan in patients with known or suspected CAD. Although a great deal of attention has been directed to these examinations, it is important to recognize that they serve to supple ment, not supplant, a careful examination carried out with clinical and noninvasive techniques. A coronary arteriogram should not be performed in lieu of a careful history in patients with chest pain sus pected of having ischemic heart disease. Although coronary arteri ography may establish whether the coronary arteries are obstructed and to what extent, the results of the procedure by themselves often do not provide a definitive answer to the question of whether a patient’s symptom of chest discomfort is attributable to coronary atherosclerosis and whether or not revascularization is indicated. Despite the value of invasive tests in certain circumstances, they entail some small risk to the patient, involve discomfort and substantial cost, and place a strain on medical facilities. Therefore, they should be carried out only if the results can be expected to modify the patient’s management. </w:t>
      </w:r>
      <w:r w:rsidRPr="00F23836">
        <w:rPr>
          <w:rFonts w:ascii="Arial" w:hAnsi="Arial" w:cs="Arial"/>
        </w:rPr>
        <w:t>■</w:t>
      </w:r>
      <w:r w:rsidRPr="00F23836">
        <w:t xml:space="preserve">DISEASE PREVENTION AND MANAGEMENT The prevention of heart disease, especially of CAD, is one of the most important tasks of primary health care givers as well as cardiologists. Prevention begins with risk assessment, followed by attention to life style, such as achieving optimal weight, </w:t>
      </w:r>
      <w:r w:rsidRPr="00F23836">
        <w:lastRenderedPageBreak/>
        <w:t xml:space="preserve">physical activity, and smoking cessation, and then aggressive treatment of all abnormal risk factors, such as hypertension, hyperlipidemia, and diabetes mellitus (Chap. 415). After a complete diagnosis has been established in patients with known heart disease, a number of management options are usually available. Several examples may be used to demonstrate some of the principles of cardiovascular therapeutics: 1. In the absence of evidence of heart disease, the patient should be clearly informed of this assessment and not be asked to return at intervals for repeated examinations. If there is no evidence of dis ease, such continued attention may lead to the patient’s developing inappropriate concern about the possibility of heart disease. 2. If there is no evidence of cardiovascular disease but the patient has one or more risk factors for the development of ischemic heart disease (Chap. 284), a plan for their reduction should be developed and the patient should be retested at intervals to assess compliance and efficacy in risk reduction. 3. Asymptomatic or mildly symptomatic patients with valvular heart disease that is anatomically severe should be evaluated periodically, every 6–12 months, by clinical and noninvasive examinations. Early signs of deterioration of ventricular function may signify the need for surgical treatment before the development of disabling symp toms, irreversible myocardial damage, and excessive surgical risk (Chap. 272). 4. In patients with CAD (Chap. 284), available practice guidelines should be considered in the decision on the form of treatment (medical, percutaneous coronary intervention, or surgical revas cularization). Mechanical revascularization may be employed too frequently in the United States and too infrequently in Eastern Europe and developing nations. The mere presence of angina pectoris and/or the demonstration of critical coronary arterial nar rowing at angiography should not reflexively evoke a decision to treat the patient by revascularization. Instead, these interventions should be limited to patients with CAD in whom revasculariza tion has been shown to improve the natural history (e.g., acute coronary syndrome or multivessel CAD with left ventricular dysfunction). </w:t>
      </w:r>
      <w:r w:rsidRPr="00F23836">
        <w:rPr>
          <w:rFonts w:ascii="Arial" w:hAnsi="Arial" w:cs="Arial"/>
        </w:rPr>
        <w:t>■</w:t>
      </w:r>
      <w:r w:rsidRPr="00F23836">
        <w:t>FURTHER READING Tsao CW et al: Heart disease and stroke statistics</w:t>
      </w:r>
      <w:r w:rsidRPr="00F23836">
        <w:rPr>
          <w:rFonts w:ascii="Aptos" w:hAnsi="Aptos" w:cs="Aptos"/>
        </w:rPr>
        <w:t>—</w:t>
      </w:r>
      <w:r w:rsidRPr="00F23836">
        <w:t xml:space="preserve">2023 update: A report from the American Heart Association. Circulation 147:e93, 2023. CHAPTER 244 Basic Biology of the Cardiovascular System 244 Basic Biology of the Cardiovascular System Joseph Loscalzo, John F. Keaney, Jr., Calum A. MacRae DEVELOPMENTAL BIOLOGY OF THE CARDIOVASCULAR SYSTEM The heart forms early during embryogenesis (Fig. 244-1), circulating blood, nutrients, molecular signals, and oxygen to the other developing organs while continuing to grow and undergo complex morphoge netic changes. Early cardiac progenitors arise within crescent-shaped fields of lateral splanchnic mesoderm under the influence of mul tiple cues and migrate to the midline to form the linear heart tube: a single layer of endocardium and a single layer of spontaneously beating cardiomyocytes. The simple linear heart tube undergoes chamber specification and asymmetric looping, coordinated with longitudinal and concentric growth of different regions of the heart tube, to produce the presump tive atria and ventricles. Cells continue to migrate into the heart at both ends from additional heart fields in </w:t>
      </w:r>
      <w:r w:rsidRPr="00F23836">
        <w:lastRenderedPageBreak/>
        <w:t xml:space="preserve">pharyngeal mesoderm as looping and growth occur. These cells exhibit distinctive gene expression (e.g., Islet-1) and distinctive physiology (e.g., calcium handling), contribut ing to discrete areas of the adult heart, including the right atrium and the right ventricle. These different embryonic origins of cells within the right and left ventricles correlate with distinctive single-cell RNA sequencing profiles decades later and help explain why some forms of congenital and adult cardiac diseases affect different regions of the heart. After looping and chamber formation, a series of morphogenetic events divide the left side from the right side of the heart, separate the 1844 Neural folds Early heart-forming regions PART 6 Foregut Forming heart Pericardial coelom A B Disorders of the Cardiovascular System First heart field Second heart field C D E F RA RV LV RV LA LV FIGURE 244-1 A. Schematic depiction of a transverse section through an early embryo depicts the bilateral regions where early heart tubes form. B. The bilateral heart tubes subsequently migrate to the midline and fuse to form the linear heart tube. C. At the early cardiac crescent stage of embryonic development, cardiac precursors include a primary heart field fated to form the linear heart tube and a second heart field fated to add myocardium to the inflow and outflow poles of the heart. D. Second heart field cells populate the pharyngeal region before subsequently migrating to the maturing heart. E. Large portions of the right ventricle and outflow tract and some cells within the atria derive from the second heart field. F. The aortic arch arteries form as symmetric sets of vessels that then remodel under the influence of the neural crest to form the asymmetric mature vasculature. LA, left atrium; LV, left ventricle; RA, right atrium; RV, right ventricle. atria from the ventricles, and fashion the aorta and pulmonary artery from the truncus arteriosus. Cardiac valves form between the atria and the ventricles and between the ventricles and the outflow vessels. Early in development, myocardial cells secrete an extracellular matrix rich in hyaluronic acid, or “cardiac jelly,” which accumulates within the endocardial cushions, precursors of the valves. Signals from overlying myocardial cells trigger migration, invasion, and phenotypic changes in underlying endocardial cells, an epithelial-mesenchymal transfor mation, that then invade and populate the endocardial cushion matrix. Mesenchymal cells then proliferate and form the mature valve leaflets. syndromic associations between various congenital heart diseases and a range of extracardiac abnormalities. Coronary artery formation requires the addition of yet another cell popula tion to the embryonic heart. Epicardial cells arise in the proepicardial organ, a derivative of the septum transversum, which also contributes to the fibrous portion of the diaphragm and to the liver. Proepicardial cells contribute smooth muscle to the coronary arteries and are required for proper coronary patterning. Other cell types within the heart (e.g., fibroblasts) also can arise from the proepicardium. The cardiac conduction system, which generates and propagates electri cal impulses, differentiates from car diomyocyte precursors. The conduction system is composed of slow-conducting (proximal) components, such as the sinoatrial (SA) and atrioventricular (AV) nodes, as well as fast-conducting (distal) components, including the His bundle, bundle branches, and Purkinje fibers. </w:t>
      </w:r>
      <w:r w:rsidRPr="00F23836">
        <w:lastRenderedPageBreak/>
        <w:t xml:space="preserve">Precursors within the sinus venosus give rise to the SA node, whereas those within the AV canal mature into hetero geneous cell types that compose the AV node. Decremental conduction through the AV node delays electrical impulses between atria and ventricles, enabling sequential antegrade contraction. The AV node also reduces the transmission of higher impulse rates to the vulner able ventricle, whereas the distal con duction system rapidly propagates each impulse throughout the ventricles. The conduction system is composed of com plex and heterogeneous cell populations with distinct gap junction proteins and ion channels that define the particular local electrical properties. Developmen tal defects in the conduction system can lead to clinical electrophysiologic disorders, such as congenital heart block or pre-excitation (Wolff Parkinson-White syndrome) (Chap. 256). </w:t>
      </w:r>
      <w:r w:rsidRPr="00F23836">
        <w:rPr>
          <w:rFonts w:ascii="Arial" w:hAnsi="Arial" w:cs="Arial"/>
        </w:rPr>
        <w:t>■</w:t>
      </w:r>
      <w:r w:rsidRPr="00F23836">
        <w:t xml:space="preserve">ORIGIN OF VASCULAR CELLS The great vessels form as a series of symmetric bilateral aortic arch arteries that remodel asymmetrically to define the mature central vasculature. Migrating neural crest cells from the dorsal neural tube orchestrate this process and are necessary for aortic arch remodeling and septation of the truncus arteriosus. Smooth-muscle cells within the tunica media of the aortic arch, the ductus arteriosus, and the carotid arteries all derive from neural crest. By contrast, smooth muscle within the descending aorta arises from lateral plate mesoderm, and smooth muscle of the proximal outflow tract arises from the second heart field. Neural crest cells are sensitive to both vitamin A and folic acid, and congenital heart diseases involving abnormal remodeling of the aortic arch arteries are observed with maternal deficiencies of these vitamins. Shared embryonic origins of different cardiovascular cell types lead to Smooth-muscle cells are of varied origin. Some upper-body arterial smooth-muscle cells derive from the neural crest, whereas lower-body arteries develop smooth-muscle cells from neighboring mesodermal structures. Embryonic endothelial progenitor cells are derived from mesoderm. In adults, resident vascular or bone marrow–derived endothelial progenitors may aid repair of damaged or aging arteries. Bone marrow clonality, increasingly prevalent in aging, may impart significant clonality to endothelial cell populations. Vascular stem cells resident in the vessel wall may give rise to some smooth-muscle cells in injured or atheromatous arteries. THE BLOOD VESSEL </w:t>
      </w:r>
      <w:r w:rsidRPr="00F23836">
        <w:rPr>
          <w:rFonts w:ascii="Arial" w:hAnsi="Arial" w:cs="Arial"/>
        </w:rPr>
        <w:t>■</w:t>
      </w:r>
      <w:r w:rsidRPr="00F23836">
        <w:t>VASCULAR ULTRASTRUCTURE Blood vessels participate in disease biology as well as physiologic function in virtually every organ system. The smallest blood vessels</w:t>
      </w:r>
      <w:r w:rsidRPr="00F23836">
        <w:rPr>
          <w:rFonts w:ascii="Aptos" w:hAnsi="Aptos" w:cs="Aptos"/>
        </w:rPr>
        <w:t>—</w:t>
      </w:r>
      <w:r w:rsidRPr="00F23836">
        <w:t xml:space="preserve"> capillaries</w:t>
      </w:r>
      <w:r w:rsidRPr="00F23836">
        <w:rPr>
          <w:rFonts w:ascii="Aptos" w:hAnsi="Aptos" w:cs="Aptos"/>
        </w:rPr>
        <w:t>—</w:t>
      </w:r>
      <w:r w:rsidRPr="00F23836">
        <w:t xml:space="preserve">consist of a monolayer of endothelial cells on a basement membrane adjacent to a discontinuous layer of smooth-muscle like cells known as pericytes (Fig. 244-2A). Arteries typically have B. Vein C. Small muscular artery 1845 A. Capillary Pericyte Endothelial cell D. Large muscular artery Internal elastic lamina External elastic lamina Adventitia FIGURE 244-2 Schematics of the structures of various types of blood vessels. A. Capillaries consist of an endothelial tube in contact with a discontinuous population of pericytes. B. Veins typically have thin medias and thicker adventitias. C. A small muscular artery features a prominent tunica media. D. Larger muscular arteries have a prominent media with smooth-muscle cells embedded in a complex extracellular matrix. E. Larger elastic </w:t>
      </w:r>
      <w:r w:rsidRPr="00F23836">
        <w:lastRenderedPageBreak/>
        <w:t xml:space="preserve">arteries have cylindrical layers of elastic tissue alternating with concentric rings of smooth-muscle cells as well as vasa vasorum to facilitate tissue blood supply. a trilaminar structure (Fig. 244-2B–E). The intima consists of a monolayer of endothelial cells continuous with those of the capil laries. The middle layer, or tunica media, consists of a syncytium of smooth-muscle cells that in veins are much sparser than in arteries (Fig. 244-2B). The outer layer, or adventitia, consists of extracellular matrix with fibroblasts, mast cells, and nerve terminals. Larger arteries require nourishment of the tunica media that is accomplished via their own vasculature, the vasa vasorum (Fig. 244-2E). Arterioles are small muscular arteries (Fig. 244-2C) that regulate blood pressure and flow through arterial beds. Medium-size muscular arteries also contain prominent smooth-muscle layers (Fig. 244-2D) that participate in atherogenesis. Larger elastic arteries have a highly structured tunica media with concentric bands of smooth-muscle cells, interspersed with strata of elastin-rich extracellular matrix (Fig. 244-2E). Larger arteries form an internal elastic lamina between intima and media while an external elastic lamina partitions the media from sur rounding adventitia. </w:t>
      </w:r>
      <w:r w:rsidRPr="00F23836">
        <w:rPr>
          <w:rFonts w:ascii="Arial" w:hAnsi="Arial" w:cs="Arial"/>
        </w:rPr>
        <w:t>■</w:t>
      </w:r>
      <w:r w:rsidRPr="00F23836">
        <w:t xml:space="preserve">VASCULAR CELL BIOLOGY Endothelial Cell The endothelium forms the interface between tissues and the blood compartment, regulating the passage of mol ecules and cells. This function of endothelial cells as a selectively permeable barrier fails in vascular diseases, including atherosclerosis, hypertension, and renal disease, as well as in pulmonary edema, sepsis, and other situations exhibiting </w:t>
      </w:r>
      <w:r w:rsidRPr="00F23836">
        <w:rPr>
          <w:rFonts w:ascii="Aptos" w:hAnsi="Aptos" w:cs="Aptos"/>
        </w:rPr>
        <w:t>“</w:t>
      </w:r>
      <w:r w:rsidRPr="00F23836">
        <w:t>capillary leak.</w:t>
      </w:r>
      <w:r w:rsidRPr="00F23836">
        <w:rPr>
          <w:rFonts w:ascii="Aptos" w:hAnsi="Aptos" w:cs="Aptos"/>
        </w:rPr>
        <w:t>”</w:t>
      </w:r>
      <w:r w:rsidRPr="00F23836">
        <w:t xml:space="preserve"> The endothelium also participates in the local regulation of vascular tone and blood flow. Endogenous endothelium-derived substances, such as prostacyclin, endothelium-derived hyperpolarizing factor, nitric oxide (NO), and hydrogen peroxide (H2 O2 ), provide tonic stimu lation of endothelial homeostatic properties under physiologic condi tions in vivo (Table 244-1). Impaired production or excess catabolism of these substances can mediate dysfunctional properties of the endo thelium. A major homeostatic influence on the endothelium is laminar blood flow, and the measurement of flow-mediated dilatation directly assesses endothelial vasodilator function in humans (Fig. 244-3). Endothelial cells also produce potent vasoconstrictor substances such as endothelin. Excessive production of reactive oxygen species, such as super oxide anion (O2–), by endothelial or Vascular smooth-muscle cell smooth-muscle cells under pathologic conditions (e.g., excessive exposure to angiotensin II) can promote local oxi dative stress and inactivate NO. Endothelial cells also regulate cel lular traffic through tissues. Normal endothelium exhibits limited interac tion with circulating leukocytes, but bacterial products such as endotoxin or proinflammatory cytokines can induce endothelial cells to express an array of adhesion molecules that selectively bind various classes of leukocytes in different pathologic conditions. The adhesion molecules and chemokines generated during acute bacterial infec tion tend to recruit granulocytes, while in chronic inflammatory diseases such as tuberculosis or atherosclerosis, the adhesion molecules expressed favor monocyte recruitment. Endothelial cell injury participates in the patho physiology of many immune-mediated </w:t>
      </w:r>
      <w:r w:rsidRPr="00F23836">
        <w:lastRenderedPageBreak/>
        <w:t xml:space="preserve">diseases. For example, complement mediated lysis of endothelial cells con tributes to tissue injury. The foreign histocompatibility complex antigens on endothelial cells in solid-organ allografts can promote allograft arte riopathy, while immune-mediated endothelial injury also plays a role in thrombotic thrombocytopenic purpura or hemolytic-uremic syndrome. E. Large elastic artery CHAPTER 244 Basic Biology of the Cardiovascular System The endothelium also regulates the balance between thrombosis and hemostasis through a highly tuned set of regulatory pathways. For example, inflammatory cytokines, bacterial endotoxin, or angiotensin II can activate endothelial cells to produce substantial quantities of plasminogen activator inhibitor 1 (PAI-1), the major inhibitor of fibri nolysis. Inflammatory stimuli also induce endothelial expression of the potent procoagulant tissue factor, a contributor to disseminated intra vascular coagulation in sepsis; similar effects are observed in hyper glycemia. Thus, in pathologic circumstances, endothelial dysfunction tends to promote local thrombus accumulation rather than combat it. Endothelial cells regulate the growth of subjacent smooth-muscle cells by elaborating heparan sulfate glycosaminoglycans that inhibit smooth-muscle proliferation. In the setting of vascular injury, endo thelium-derived growth factors and chemoattractants (e.g., platelet derived growth factor) induce the migration and proliferation of vascular smooth-muscle cells. Dysregulation of these growth-stimula tory molecules may promote smooth-muscle accumulation in athero sclerotic lesions. TABLE 244-1 Endothelial Functions in Health and Disease HOMEOSTATIC PROPERTIES Optimize balance between vasodilation and vasoconstriction Antithrombotic, profibrinolytic Anti-inflammatory Antiproliferative Antioxidant DYSFUNCTIONAL PROPERTIES Impaired dilation, vasoconstriction Prothrombotic, antifibrinolytic Proinflammatory Proproliferative Prooxidant Selective permeability Impaired barrier function 1846 PART 6 Disorders of the Cardiovascular System states such as left-to-right shunts in congenital heart disease with resulting pulmonary hypertension. Smooth-muscle cells secrete the bulk of vascular extracellular matrix. Excessive production of collagen and glycosaminoglycans contributes to the remodeling, altered biomechanics, and physiology of arteries affected by hypertension or atherosclerosis. In larger elastic arteries, such as the aorta, the ability to store the kinetic energy of systole promotes tissue perfusion during diastole. Arterial stiffness, associated with aging or disease, increases left ventricular afterload and portends a poor outcome. Like endothelial cells, vascular smooth-muscle cells not only respond to paracrine stimuli from other cells but can themselves serve as a source of such stimuli. For example, proinflammatory stimuli induce smooth-muscle cells to elaborate cytokines and other mediators that drive thrombosis and fibrinolysis as well as proliferation. Vascular Smooth-Muscle Cell Contraction The principal mechanism for vascular smooth-muscle cell contraction is increased cytoplasmic calcium concentration due to transmembrane influx and triggered release from intracellular calcium stores (Fig. 244-4). In vas cular smooth-muscle cells, voltage-dependent L-type calcium channels open with membrane depolarization. Local influx </w:t>
      </w:r>
      <w:r w:rsidRPr="00F23836">
        <w:lastRenderedPageBreak/>
        <w:t xml:space="preserve">of calcium, termed calcium sparks, can trigger release from intracellular stores, which results in more contraction and increased vessel tone (see below). Opposing currents balance the effects of individual ionic fluxes pro moting homeostasis, which is tightly regulated by neural and metabolic influences. Vasoconstricting agonists also increase intracellular [Ca2+] by vari ous mechanisms including receptor-dependent phospholipase C acti vation producing hydrolysis of phosphatidylinositol 4,5-bisphosphate to generate diacylglycerol (DAG) and inositol 1,4,5-trisphosphate (IP3 ). These membrane lipid derivatives, in turn, activate protein kinase C and increase intracellular [Ca2+]. In addition, IP3 binds specific sarco plasmic reticulum (SR) receptors to increase calcium efflux from this storage pool into the cytoplasm. Vascular smooth-muscle cell contraction depends on myosin light chain phosphorylation that reflects the balance between the activity of relevant kinases and phosphatases. Calcium activates myosin light chain kinase via calmodulin, augmenting myosin ATPase activity and enhancing contraction. Conversely, myosin light chain phosphatase reduces myosin ATPase activity and contractile force. Other kinase/ phosphorylase combinations result in a complex regulatory network that refines vascular tone and links it to physiologic requirements. Control of Vascular Smooth-Muscle Cell Tone The auto FIGURE 244-3 Assessment of endothelial function in vivo using blood pressure cuff occlusion and release. Upon deflation of the cuff, an ultrasound probe monitors changes in diameter (A) and blood flow (B) of the brachial artery (C). (Reproduced with permission of J. Vita, MD.) Vascular Smooth-Muscle Cell Contraction and relaxation of vascular smooth-muscle cells in muscular arteries determine blood pressure, regional flow, and the afterload experienced by the left ven tricle (see below). Venous tone regulates venous tree capacitance and influences ventricular preload. Smooth-muscle cells in the adult vessel seldom replicate in the absence of arterial injury or inflammatory acti vation, but proliferation and migration of arterial smooth-muscle cells contribute to arterial stenoses in atherosclerosis, arteriolar remodeling in hypertension, and the hyperplastic response of arteries to injury. In the pulmonary circulation, smooth-muscle migration and prolifera tion underlie the vascular pathology that occurs in sustained high-flow nomic nervous system and endothelial cells modulate vascular smooth muscle cells through similar convergent pathways. Autonomic neurons enter vessel media and modulate vascular smooth-muscle cell tone in response to baroreceptors and chemoreceptors within the aortic arch or carotid bodies and to thermoreceptors in the skin. Rapidly acting reflex arcs modulated by central inputs respond to multiple sensory inputs as well as emotional stimuli through three neuronal classes: sympathetic, whose principal neurotransmitters are epinephrine and norepinephrine; parasympathetic, whose principal neurotransmit ter is acetylcholine; and nonadrenergic/noncholinergic, which include two subgroups—nitrergic, whose principal neurotransmitter is NO, and peptidergic, whose principal neurotransmitters are substance P, vasoactive intestinal peptide, calcitonin gene-related peptide, and the nonpeptide, adenosine triphosphate (ATP). Each of these neurotransmitters acts </w:t>
      </w:r>
      <w:r w:rsidRPr="00F23836">
        <w:lastRenderedPageBreak/>
        <w:t xml:space="preserve">through specific receptors on the vascular smooth-muscle cell to modulate intracellular Ca2+ and, consequently, contractile tone. Norepinephrine activates α-adrenergic receptors, and epinephrine activates both α and β receptors. In most blood vessels, norepinephrine activates postjunctional α1 receptors in large arteries and α2 receptors in small arteries and arterioles, lead ing to vasoconstriction. Most blood vessels express β2-adrenergic receptors on their vascular smooth-muscle cells and respond to β agonists by cyclic AMP–dependent relaxation. Acetylcholine released from parasympathetic neurons may bind to muscarinic receptors on either vascular smooth-muscle cells, causing vasoconstriction, or on NE, ET-1, Ang II Ca2+ K+ Ch Na-K ATPase NO ANP 1847 Beta Agonist VDCC PIP2 PLC G sGC pGC GTP RhoA DAG SR Ca2+ “Spark” Plb ATPase cGMP PKG G cAMP PKA IP3 PKC Caldesmon Calponin IP3R RyrR Calcium Rho Kinase MLCK MLCP AC ATP FIGURE 244-4 Regulation of vascular smooth-muscle cell calcium concentration and actomyosin ATPase-dependent contraction. AC, adenylyl cyclase; Ang II, angiotensin II; ANP, atrial natriuretic peptide; DAG, diacylglycerol; ET-1, endothelin-1; G, G protein; IP3 , inositol 1,4,5-trisphosphate; MLCK, myosin light chain kinase; MLCP, myosin light chain phosphatase; NE, norepinephrine; NO, nitric oxide; pGC, particular guanylyl cyclase; PIP2 , phosphatidylinositol 4,5-bisphosphate; PKA, protein kinase A; PKC, protein kinase C; PKG, protein kinase G; PLC, phospholipase C; sGC, soluble guanylyl cyclase; SR, sarcoplasmic reticulum; VDCC, voltage-dependent calcium channel. Solid lines depict stimulatory interaction, and dashed lines represent inhibition. (Reproduced with permission from B Berk, in Vascular Medicine, 3rd ed. Philadelphia, Saunders, Elsevier; 2006.) endothelial cells, causing NO-dependent vasorelaxation. Nitrergic neurons release NO, which relaxes vascular smooth-muscle cell via the cyclic GMP–dependent and –independent mechanisms outlined, and other peptidergic inputs that regulate vascular tone. For the detailed molecular physiology of the autonomic nervous system, see Chap. 451. The release of endothelial effectors of vascular smooth-muscle cell tone integrates the smooth-muscle response to mechanical (e.g., shear stress, cyclic strain) and biochemical stimuli (purinergic agonists, muscarinic agonists, peptidergic agonists). In addition to these local paracrine modulators, a complex system of circulating modulators ranging from norepinephrine to the natriuretic peptides also modify vascular smooth-muscle cell tone. </w:t>
      </w:r>
      <w:r w:rsidRPr="00F23836">
        <w:rPr>
          <w:rFonts w:ascii="Arial" w:hAnsi="Arial" w:cs="Arial"/>
        </w:rPr>
        <w:t>■</w:t>
      </w:r>
      <w:r w:rsidRPr="00F23836">
        <w:t xml:space="preserve">ARTERIOGENESIS AND ANGIOGENESIS Recruitment and growth of blood vessels (arteriogenesis) and new capillaries (angiogenesis) can occur in response to conditions such as chronic hypoxemia and tissue ischemia. Growth factors, including vascular endothelial growth factor (VEGF) and fibroblast growth fac tor (FGF), can activate a signaling cascade that stimulates endothelial proliferation and tube formation, defined as angiogenesis. Guidance molecules, including members of the semaphorin family of secreted peptides, direct blood vessel patterning by attracting or repelling nascent endothelial tubes. The recruitment and expansion of preexist ing collateral vascular networks in response to a blocked artery, an example of arteriogenesis, can result from selective activation of </w:t>
      </w:r>
      <w:r w:rsidRPr="00F23836">
        <w:lastRenderedPageBreak/>
        <w:t xml:space="preserve">both growth factors and, perhaps, local or circulating endothelial progenitor cells. True vascular regeneration, or the development of a new blood vessel that includes all three cell layers, normally does not occur in adult mammals, but recent scientific advances might help obviate such limitations. CELLULAR BASIS OF CARDIAC CONTRACTION </w:t>
      </w:r>
      <w:r w:rsidRPr="00F23836">
        <w:rPr>
          <w:rFonts w:ascii="Arial" w:hAnsi="Arial" w:cs="Arial"/>
        </w:rPr>
        <w:t>■</w:t>
      </w:r>
      <w:r w:rsidRPr="00F23836">
        <w:t>CARDIAC ULTRASTRUCTURE Most of the ventricular mass is composed of cardiomyocytes, normally 60</w:t>
      </w:r>
      <w:r w:rsidRPr="00F23836">
        <w:rPr>
          <w:rFonts w:ascii="Aptos" w:hAnsi="Aptos" w:cs="Aptos"/>
        </w:rPr>
        <w:t>–</w:t>
      </w:r>
      <w:r w:rsidRPr="00F23836">
        <w:t xml:space="preserve">140 </w:t>
      </w:r>
      <w:r w:rsidRPr="00F23836">
        <w:rPr>
          <w:rFonts w:ascii="Aptos" w:hAnsi="Aptos" w:cs="Aptos"/>
        </w:rPr>
        <w:t>μ</w:t>
      </w:r>
      <w:r w:rsidRPr="00F23836">
        <w:t>m in length and 17</w:t>
      </w:r>
      <w:r w:rsidRPr="00F23836">
        <w:rPr>
          <w:rFonts w:ascii="Aptos" w:hAnsi="Aptos" w:cs="Aptos"/>
        </w:rPr>
        <w:t>–</w:t>
      </w:r>
      <w:r w:rsidRPr="00F23836">
        <w:t xml:space="preserve">25 </w:t>
      </w:r>
      <w:r w:rsidRPr="00F23836">
        <w:rPr>
          <w:rFonts w:ascii="Aptos" w:hAnsi="Aptos" w:cs="Aptos"/>
        </w:rPr>
        <w:t>μ</w:t>
      </w:r>
      <w:r w:rsidRPr="00F23836">
        <w:t xml:space="preserve">m in diameter (Fig. 244-5A). Each cell contains multiple myofibrils that run the length of the cell and are com posed of series of repeating sarcomeres. The cytoplasm between the myo fibrils contains other cell constituents, including a single centrally located nucleus, mitochondria, and the intracellular membrane system, the SR. The sarcomere, the structural and functional unit of contraction, lies between adjacent Z lines, which on transmission electron microscopy are seen as dark repeating bands. The distance between Z lines var ies with the degree of contraction or stretch of the muscle and ranges between 1.6 and 2.2 μm. At the center of the sarcomere is a dark band of constant length (1.5 μm), the A band, which is flanked by two lighter bands, the I bands, which are of variable length. The sarcomere of heart muscle, like that of skeletal muscle, consists of interdigitating thick and thin myofilaments. Thicker filaments, composed principally of the protein myosin, traverse the A band; they are about 10 nm (100 Å) in diameter, with tapered ends. Thinner filaments, composed primarily of actin, course from the Z lines through the I band into the A band; they are ~5 nm (50 Å) in diameter and 1.0 μm in length. Thus, thick and thin filaments overlap only within the (dark) A band, whereas the (light) I band contains only thin filaments. On electron-microscopic examina tion, bridges extend between the thick and thin filaments within the A band; these are myosin heads (see below) bound to actin filaments. </w:t>
      </w:r>
      <w:r w:rsidRPr="00F23836">
        <w:rPr>
          <w:rFonts w:ascii="Arial" w:hAnsi="Arial" w:cs="Arial"/>
        </w:rPr>
        <w:t>■</w:t>
      </w:r>
      <w:r w:rsidRPr="00F23836">
        <w:t xml:space="preserve">THE CONTRACTILE PROCESS The sliding filament model for muscle contraction rests on the central observation that both the thick and the thin filaments are constant in CHAPTER 244 Basic Biology of the Cardiovascular System 1848 PART 6 Disorders of the Cardiovascular System Myofiber A Myofibril Myocyte Ca2+ enters Na+ Exchange Ca2+ Pump 10 µm T tubule Ca2+ “trigger” Ca2+ leaves M Myofibril Mitochondrion Free Ca2+ Contract Relax B C Systole Myofibril Diastole Actin SR Z Head Titin Z D Myosin M 43 nm FIGURE 244-5 A shows the branching myocytes making up the cardiac myofibers. B illustrates the critical role played by the changing [Ca2+] in the myocardial cytosol. Ca2+ ions are schematically shown as entering through the calcium channel that opens in response to the wave of depolarization that travels along the sarcolemma. These Ca2+ ions “trigger” the release of more calcium from the sarcoplasmic reticulum (SR) and thereby initiate a contraction-relaxation cycle. Eventually the small quantity of Ca2+ that has entered the cell leaves predominantly through an Na+/Ca2+ exchanger, with a lesser role for the sarcolemmal Ca2+ pump. The varying actin-myosin overlap is shown for (B) systole, when [Ca2+] is maximal, and (C) diastole, when [Ca2+] is minimal. D. The myosin heads, attached to the thick filaments, interact with the thin actin filaments. (Reproduced with permission from LH Opie: Heart Physiology: From Cell to Circulation, </w:t>
      </w:r>
      <w:r w:rsidRPr="00F23836">
        <w:lastRenderedPageBreak/>
        <w:t xml:space="preserve">4th ed. Philadelphia, Lippincott, Williams &amp; Wilkins, 2004.) length during both contraction and relaxation. With activation, the actin filaments are propelled farther into the A band. In this process, the A band remains constant in length, whereas the I band shortens and the Z lines move toward one another. The myosin molecule is a complex, asymmetric protein with a molecular mass of about 500,000 Da; it has a rod-like portion that is about 150 nm (1500 Å) in length with a globular portion (head) at its end. The globular portions of myosin form the bridges to actin and are the site of ATPase activity. In thick myofilaments, composed of ~300 longitudinally stacked myosin molecules, the rod-like segments of myosin assume an orderly, polarized orientation, with outwardly projecting globular heads interacting with actin to generate force and shorten (Fig. 244-5B). Actin has a molecular mass of about 47,000 Da. Thin filaments consist of a double helix of two chains of actin molecules wound about each other on a larger molecule, tropomyosin. A group of regulatory proteins—troponins C, I, and T—localize at regular intervals on this filament (Fig. 244-6). In contrast to myosin, actin lacks intrinsic enzy matic activity but combines reversibly with myosin in the presence of ATP and Ca2+. Calcium activates the myosin ATPase, which breaks down ATP to supply the energy for contraction (Fig. 244-6). The activ ity of myosin ATPase determines the rate of actomyosin cross-bridge formation and breakdown, and ultimately determines contraction velocity. In relaxed muscle, tropomyosin inhibits this interaction. Titin (Fig. 244-5D) an enormous, flexible, myofibrillar protein, connects myosin to the Z line; its elasticity contributes to the passive mechani cal characteristics of the heart. Dystrophin, a cytoskeletal protein that binds to the dystroglycan complex at membrane adherens junctions, tethers the sarcomere to the cell membrane at these regions of tight coupling to adjacent myocytes. Mutations in multiple sarcomeric and cytoskeletal proteins cause different Mendelian disorders involving the heart and skeletal muscle and also sensitize individuals to toxic cardiomyopathies (e.g., due to alcohol or chemotherapy) and to those caused by other acquired stressors, such as inflammatory or peripar tum cardiomyopathy. During activation of the cardiac myocyte, Ca2+ binds the hetero trimer troponin C, resulting in regulatory conformational changes in tropomyosin and exposing actin cross-bridge interaction sites e t y y c o ATP 1. ATP hydrolysis 1849 Relaxed Relaxed, energized 4. Dissociation of actin and myosin Actin ATP Actin 2. ADP P i Formation of active complex P i Rigor complex ADP 3. Product dissociation Active complex ADP FIGURE 244-6 Four steps in cardiac muscle contraction and relaxation. In relaxed muscle (upper left), ATP bound to the myosin cross-bridge dissociates the thick and thin filaments. Step 1: Hydrolysis of myosin-bound ATP by the ATPase site on the myosin head transfers the chemical energy of the nucleotide to the activated cross-bridge (upper right). When cytosolic Ca2+ concentration is low, as in relaxed muscle, the reaction cannot proceed because tropomyosin and the troponin complex on the thin filament do not allow the active sites on actin to interact with the cross-bridges. Therefore, even though the cross-bridges are energized, they cannot interact with actin. Step 2: When Ca2+ binding to troponin C has </w:t>
      </w:r>
      <w:r w:rsidRPr="00F23836">
        <w:lastRenderedPageBreak/>
        <w:t xml:space="preserve">exposed active sites on the thin filament, actin interacts with the myosin cross-bridges to form an active complex (lower right) in which the energy derived from ATP is retained in the actin-bound cross-bridge, whose orientation has not yet shifted. Step 3: The muscle contracts when ADP dissociates from the cross-bridge. This step leads to the formation of the low-energy rigor complex (lower left) in which the chemical energy derived from ATP hydrolysis has been expended to perform mechanical work (the “rowing” motion of the cross-bridge). Step 4: The muscle returns to its resting state, and the cycle ends when a new molecule of ATP binds to the rigor complex and dissociates the cross-bridge from the thin filament. This cycle continues until calcium is dissociated from troponin C in the thin filament, which causes the contractile proteins to return to the resting state with the cross-bridge in the energized state. ADP, adenosine diphosphate; ATP, adenosine triphosphate; ATPase, adenosine triphosphatase. (Reproduced with permission from AM Katz: Heart failure: Cardiac function and dysfunction, in Atlas of Heart Diseases, 3rd ed, WS Colucci [ed]. Philadelphia, Current Medicine, 2002.) (Fig. 244-6). Repetitive interaction between myosin heads and actin filaments is termed cross-bridge cycling and results in sliding of the actin along the myosin filaments, with muscle shortening and/or the devel opment of tension. The splitting of ATP then dissociates the myosin cross-bridge from actin. In the presence of ATP (Fig. 244-6), actin and myosin filaments bind and dissociate cyclically if sufficient Ca2+ is pres ent; these processes cease when [Ca2+] falls below a critical level, and the troponin-tropomyosin complex once more inhibits actin-myosin interactions (Fig. 244-7). Cytoplasmic [Ca2+] is a principal determinant of the inotropic state of the heart. Most agents that stimulate myocardial contractility (posi tive inotropic stimuli), including digitalis glycosides and β-adrenergic agonists, increase cytoplasmic [Ca2+], triggering cross-bridge cycling. Increased adrenergic neuronal activity stimulates myocardial con tractility through norepinephrine release, activation of β-adrenergic receptors, and, via Gs-stimulated guanine nucleotide-binding proteins, activation of the adenylyl cyclase, which leads to the formation of the intracellular second messenger cyclic AMP from ATP (Fig. 244-7). Cyclic AMP in turn activates protein kinase A (PKA), which phos phorylates sarcolemmal Ca2+ channels, thereby enhancing the influx of Ca2+ into the myocyte. The SR (Fig. 244-8), a complex network of anastomosing intracel lular channels, invests the myofibrils. The transverse tubules, or T sys tem, closely related to the SR, both structurally and functionally, arise as sarcolemmal invaginations that extend into the myofibrillar bundles along the Z lines, i.e., the ends of the sarcomeres. </w:t>
      </w:r>
      <w:r w:rsidRPr="00F23836">
        <w:rPr>
          <w:rFonts w:ascii="Arial" w:hAnsi="Arial" w:cs="Arial"/>
        </w:rPr>
        <w:t>■</w:t>
      </w:r>
      <w:r w:rsidRPr="00F23836">
        <w:t xml:space="preserve">CARDIAC ACTIVATION In the inactive state, the cardiomyocyte membrane is electrically polarized; i.e., the interior has a negative charge relative to the outside of the cell, with a transmembrane potential of –80 to –100 mV (Chap. 250). The sarcolemma, which in the resting state is largely impermeable to Na+, and a Na+- and K+-pump energized by ATP extrudes Na+ from the cell and maintains the resting potential. In this resting state, intracellular [K+] is relatively high and [Na+] is far lower; conversely, extracellular [Na+] is high and [K+] is low. At the same time, extracellular </w:t>
      </w:r>
      <w:r w:rsidRPr="00F23836">
        <w:lastRenderedPageBreak/>
        <w:t xml:space="preserve">[Ca2+] greatly exceeds free intracellular [Ca2+]. The action potential has four phases (see Fig. 250-1B). Depolariz ing current spreads across the cell membrane, penetrating deeply into the cell via the T tubular system. During the action potential plateau (phase 2), there is a slow inward current through sarcolemmal L-type Ca2+ channels (Fig. 244-8). The absolute quantity of Ca2+ traversing sarcolemmal and T tubular membranes is modest and insufficient to fully activate contraction. However, this initial Ca2+ current, through Ca2+-induced Ca2+ release, triggers substantial Ca2+ release from the SR, inducing contraction. Ca2+ is released from the SR through a Ca2+ release channel, a cardiac isoform of the ryanodine receptor (RyR2). Several regulatory proteins inhibit RyR2 and thus SR Ca2+ release. Inherited disorders or exogenous factors affecting the efficiency or stability of SR Ca2+ han dling can impair contraction, leading to heart failure or to ventricular arrhythmias. The Ca2+ released from the SR diffuses to interact with myofi brillar troponin C (Fig. 244-7), repressing this protein’s inhibition of contraction, and so activating myofilaments to shorten. During repolarization, the activity of the SR Ca2+-ATPase (SERCA2A ) leads to Ca2+ uptake against a concentration gradient into the SR where it complexes with another specialized protein, calsequestrin. The uptake of Ca2+ is ATP (energy)-dependent and lowers cytoplasmic [Ca2+] to a level where actomyosin interaction is inhibited and myocardial relaxation occurs. There is also a sarcolemmal exchange of Ca2+ for Na+ (Fig. 244-8), reducing cytoplasmic [Ca2+]. Additional control of calcium compartmentalization results from cyclic AMP–dependent PKA phosphorylation of the SR protein phospholamban, permit ting SERCA2A activation , increasing SR Ca2+ uptake, and so accelerating relaxation rates, and loading the SR with Ca2+ for subsequent cycles of release and contraction. Thus, the combination of the cell membrane, transverse tubules, and SR, transmitting the action potential, releasing and then re-accumulating Ca2+, controls the cyclic contraction and relaxation of heart muscle. CHAPTER 244 Basic Biology of the Cardiovascular System 1850 Ca2+ β - Adrenergic agonist PART 6 Disorders of the Cardiovascular System γ β αs β Adenyl cyclase GTP Receptor cAMP Via protein kinase A Metabolic • glycolysis • lipolysis • citrate cycle Myosin ATPase ADP + Pi + ATP Troponin C ADP + Pi Increased β 1. rate of contraction 2. peak force 3. rate of relaxation + + P + Ca2+ + Ca2+ + 2 1 Force cAMP via Tnl 3 Time + Pattern of contraction Control SL SR P + cAMP via PL FIGURE 244-7 Signal systems involved in positive inotropic and lusitropic (enhanced relaxation) effects of α-adrenergic stimulation. When the β-adrenergic agonist interacts with the β receptor, a series of G protein–mediated changes leads to activation of adenylyl cyclase and the formation of cyclic adenosine monophosphate (cAMP). The latter acts via protein kinase A to stimulate metabolism (left) and phosphorylate the Ca2+ channel protein (right). The result is an enhanced opening probability of the Ca2+ channel, thereby increasing the inward movement of Ca2+ ions through the sarcolemma (SL) of the T tubule. These Ca2+ ions release more calcium from the sarcoplasmic reticulum (SR) to increase cytosolic Ca2+ and activate troponin C. Ca2+ ions also increase the rate of breakdown of adenosine triphosphate (ATP) to </w:t>
      </w:r>
      <w:r w:rsidRPr="00F23836">
        <w:lastRenderedPageBreak/>
        <w:t xml:space="preserve">adenosine diphosphate (ADP) and inorganic phosphate (Pi). Enhanced myosin ATPase activity explains the increased rate of contraction, with increased activation of troponin C explaining increased peak force development. An increased rate of relaxation results from the ability of cAMP to activate as well the protein phospholamban, situated on the membrane of the SR, that controls the rate of uptake of calcium into the SR. The latter effect explains enhanced relaxation (lusitropic effect). P, phosphorylation; PL, phospholamban; TnI, troponin I. (Reproduced with permission from LH Opie: Heart Physiology: From Cell to Circulation, 4th ed. Philadelphia, Lippincott, Williams &amp; Wilkins, 2004.) Genetic or pharmacologic alterations of any component can disturb any of the functions of this finely tuned system. CONTROL OF CARDIAC PERFORMANCE AND OUTPUT The extent of shortening of heart muscle and, therefore, ventricular stroke volume in the intact heart depends on three major influences: (1) the length of the muscle at the onset of contraction, i.e., the preload; (2) the tension that the muscle must develop during contraction, i.e., the afterload; and (3) muscle contractility, i.e., the extent and velocity of shortening at any given preload and afterload. Table 244-2 lists the major determinants of preload, afterload, and contractility. </w:t>
      </w:r>
      <w:r w:rsidRPr="00F23836">
        <w:rPr>
          <w:rFonts w:ascii="Arial" w:hAnsi="Arial" w:cs="Arial"/>
        </w:rPr>
        <w:t>■</w:t>
      </w:r>
      <w:r w:rsidRPr="00F23836">
        <w:t xml:space="preserve">THE ROLE OF MUSCLE LENGTH (PRELOAD) Preload determines sarcomere length at the onset of contraction. Contractile force is optimal at specific sarcomere lengths (~2.2 μm) where both myofilament Ca2+ sensitivity is maximal, and myofilament interactions and activation of contraction are most efficient. The rela tionship between initial muscle fiber length and the developed force is the basis of Starling’s law of the heart, which states that, within limits, the ventricular contraction force depends on the end-diastolic length of the cardiac muscle; in vivo, end-diastolic length relates closely to the ventricular end-diastolic volume. </w:t>
      </w:r>
      <w:r w:rsidRPr="00F23836">
        <w:rPr>
          <w:rFonts w:ascii="Arial" w:hAnsi="Arial" w:cs="Arial"/>
        </w:rPr>
        <w:t>■</w:t>
      </w:r>
      <w:r w:rsidRPr="00F23836">
        <w:t xml:space="preserve">CARDIAC PERFORMANCE Ventricular end-diastolic or </w:t>
      </w:r>
      <w:r w:rsidRPr="00F23836">
        <w:rPr>
          <w:rFonts w:ascii="Aptos" w:hAnsi="Aptos" w:cs="Aptos"/>
        </w:rPr>
        <w:t>“</w:t>
      </w:r>
      <w:r w:rsidRPr="00F23836">
        <w:t>filling</w:t>
      </w:r>
      <w:r w:rsidRPr="00F23836">
        <w:rPr>
          <w:rFonts w:ascii="Aptos" w:hAnsi="Aptos" w:cs="Aptos"/>
        </w:rPr>
        <w:t>”</w:t>
      </w:r>
      <w:r w:rsidRPr="00F23836">
        <w:t xml:space="preserve"> pressure can serve as a surrogate for end-diastolic volume. In isolated heart and heart-lung prepara tions, stroke volume varies directly with the end-diastolic fiber length (preload) and inversely with the arterial resistance (afterload), and as the heart fails</w:t>
      </w:r>
      <w:r w:rsidRPr="00F23836">
        <w:rPr>
          <w:rFonts w:ascii="Aptos" w:hAnsi="Aptos" w:cs="Aptos"/>
        </w:rPr>
        <w:t>—</w:t>
      </w:r>
      <w:r w:rsidRPr="00F23836">
        <w:t>i.e., as its contractility declines</w:t>
      </w:r>
      <w:r w:rsidRPr="00F23836">
        <w:rPr>
          <w:rFonts w:ascii="Aptos" w:hAnsi="Aptos" w:cs="Aptos"/>
        </w:rPr>
        <w:t>—</w:t>
      </w:r>
      <w:r w:rsidRPr="00F23836">
        <w:t xml:space="preserve">it delivers a progressively smaller stroke volume from a normal or even elevated end-diastolic volume. The relation between ventricular end-diastolic pressure and the stroke work of the ventricle (the ventricular func tion curve) provides a working definition of cardiac contractility in the intact organism. An increase in contractility is accompanied by a shift of the ventricular function curve upward and to the left (greater stroke work at any level of ventricular end-diastolic pressure, or lower end-diastolic volume at any level of stroke work), whereas a shift downward and to the right characterizes reduction of contractility (Fig. 244-9). 1851 Plasma membrane Ca2+ pump B2 Na+/Ca2+ exchanger B1 Na+ pump CHAPTER 244 Basic Biology of the Cardiovascular System Plasma membrane Extracellular Sarcoplasmic reticulum Intracellular (cytosol) Cisterna Ca2+ release channel ('foot' protein) Sarcotubular network Mitochondria Sarcoplasmic reticulum Ca2+ pump H D Calsequestrin G Plasma membrane Ca2+ channel T tubule A A1 C E F Contractile proteins Thick filament Thin filament Troponin C Z-line When myocardial contractility is impaired and the ventricle </w:t>
      </w:r>
      <w:r w:rsidRPr="00F23836">
        <w:lastRenderedPageBreak/>
        <w:t xml:space="preserve">dilates, afterload rises (Laplace’s law) and limits cardiac output. Increased afterload also may result from neural and humoral stimuli that occur in response to a fall in cardiac output. This increased afterload may reduce cardiac output further, thereby increasing ventricular volume and initiating a vicious circle, especially in patients with ischemic heart disease and limited myocardial O2 supply. Treatment with vasodila tors has the opposite effect; when afterload falls, cardiac output rises (Chaps. 266–270). FIGURE 244-8 The Ca2+ fluxes and key structures involved in cardiac excitation-contraction coupling. The arrows denote the direction of Ca2+ fluxes. The thickness of each arrow indicates the magnitude of the calcium flux. Two Ca2+ cycles regulate excitation-contraction coupling and relaxation. The larger cycle is entirely intracellular and involves Ca2+ fluxes into and out of the sarcoplasmic reticulum, as well as Ca2+ binding to and release from troponin C. The smaller extracellular Ca2+ cycle occurs when this cation moves into and out of the cell. The action potential opens plasma membrane Ca2+ channels to allow passive entry of Ca2+ into the cell from the extracellular fluid (arrow A). Only a small portion of the Ca2+ that enters the cell directly activates the contractile proteins (arrow A1 ). The extracellular cycle is completed when Ca2+ is actively transported back out to the extracellular fluid by way of two plasma membrane fluxes mediated by the sodium-calcium exchanger (arrow B1 ) and the plasma membrane calcium pump (arrow B2 ). In the intracellular Ca2+ cycle, passive Ca2+ release occurs through channels in the cisternae (arrow C) and initiates contraction; active Ca2+ uptake by the Ca2+ pump of the sarcotubular network (arrow D) relaxes the heart. Diffusion of Ca2+ within the sarcoplasmic reticulum (arrow G) returns this activator cation to the cisternae, where it is stored in a complex with calsequestrin and other calcium-binding proteins. Ca2+ released from the sarcoplasmic reticulum initiates systole when it binds to troponin C (arrow E). Lowering of cytosolic [Ca2+] by the sarcoplasmic reticulum (SR) causes this ion to dissociate from troponin (arrow F) and relaxes the heart. Ca2+ also may move between mitochondria and cytoplasm (H). (Reproduced with permission from AM Katz: Physiology of the Heart, 4th ed. Philadelphia, Lippincott, Williams &amp; Wilkins, 2005.) </w:t>
      </w:r>
      <w:r w:rsidRPr="00F23836">
        <w:rPr>
          <w:rFonts w:ascii="Arial" w:hAnsi="Arial" w:cs="Arial"/>
        </w:rPr>
        <w:t>■</w:t>
      </w:r>
      <w:r w:rsidRPr="00F23836">
        <w:t xml:space="preserve">VENTRICULAR AFTERLOAD Under normal circumstances, the various influences acting on car diac performance interact in a complex fashion to maintain cardiac output at a level responsive to the requirements of tissue metabolic demands (Fig. 244-10). Interference with a single mechanism may not influence the cardiac output due to homeostatic adjustments. For example, a moderate reduction of blood volume or the loss of the atrial contribution to ventricular contraction can be tolerated without a reduction in resting cardiac output. Under these circumstances, other factors, such as adrenergic neuronal impulses increasing cardiac contractility, heart rate, and venous tone, will serve as compensa tory mechanisms and sustain cardiac output in a normal individual. Ultimately, understanding the complex interactions between so many different phasic variables requires rigorous models to predict relevant outcomes, and led to the early application of systems engineering prin ciples in medicine. In the intact </w:t>
      </w:r>
      <w:r w:rsidRPr="00F23836">
        <w:lastRenderedPageBreak/>
        <w:t xml:space="preserve">heart, as ex vivo, the extent and velocity of shortening of ventricular muscle fibers at any level of preload and of myocardial contractility relate inversely to the afterload, i.e., the instantaneous load opposing shortening. In the intact heart, the afterload may be defined as the tension developed in the ventricular wall during ejection. After load is determined by the aortic pressure as well as by the volume of the ventricular cavity and myocardial tissue characteristics including thickness. Laplace’s law models the tension of the myocardial fiber as the product of intra-cavitary ventricular pressure and ventricular radius divided by wall thickness. Therefore, at any given aortic pres sure, the afterload on a dilated left ventricle exceeds that on a normal sized ventricle. Conversely, at the same aortic pressure and ventricular diastolic volume, the afterload on a hypertrophied ventricle is lower than that on a normal chamber. Aortic pressure in turn depends on the peripheral vascular resistance, the biomechanics of the arterial tree, and the volume of blood it contains at the onset of ejection. Ventricular afterload finely regulates cardiovascular performance (Fig. 244-10). As noted, elevations in both preload and contractility increase myocardial fiber shortening, whereas increases in afterload reduce it. The extent of myocardial fiber shortening and left ventricular size determine stroke volume. An increase in arterial pressure induced by vasoconstriction, for example, augments afterload, which opposes myocardial fiber shortening, reducing stroke volume. 1852 PART 6 Disorders of the Cardiovascular System Ventricular performance Maximal activity Walking Rest Normal-exercise Normal-rest Contractile state of myocardium Exercise Heart failure Fatal myocardial depression Dyspnea Pulmonary edema Ventricular EDV Stretching of myocardium 2 C A D B 1 3 3′ E 4 FIGURE 244-9 The interrelations among influences on ventricular end-diastolic volume (EDV) through stretching of the myocardium and the contractile state of the myocardium. Levels of ventricular EDV associated with filling pressures that result in dyspnea and pulmonary edema are shown on the abscissa. Levels of ventricular performance required when the subject is at rest, while walking, and during maximal activity are designated on the ordinate. The broken lines are the descending limbs of the ventricular-performance curves, which are rarely seen during life but show the level of ventricular performance if end-diastolic volume could be elevated to very high levels. For further explanation, see text. (Reproduced with permission from WS Colucci, and E Braunwald: Pathophysiology of heart failure, in Braunwald’s Heart Disease, 7th ed, Philadelphia: Elsevier, 2005.) TABLE 244-2 Determinants of Stroke Volume I. Ventricular Preload A. Blood volume B. Distribution of blood volume 1. Body position 2. Intrathoracic pressure 3. Intrapericardial pressure 4. Venous tone 5. Pumping action of skeletal muscles C. Atrial contraction II. Ventricular Afterload A. Systemic vascular resistance B. Elasticity of arterial tree C. Arterial blood volume D. Ventricular wall tension 1. Ventricular radius 2. Ventricular wall thickness III. Myocardial Contractilitya A. Intramyocardial [Ca2+] ↑↓ B. Cardiac adrenergic nerve activity ↑↓b C. Circulating catecholamines ↑↓b D. Cardiac rate ↑↓b E. Exogenous inotropic agents ↑ F. Myocardial ischemia ↓ G. Myocardial cell death (necrosis, apoptosis, autophagy) ↓ H. Alterations of </w:t>
      </w:r>
      <w:r w:rsidRPr="00F23836">
        <w:lastRenderedPageBreak/>
        <w:t xml:space="preserve">sarcomeric and cytoskeletal proteins ↓ 1. Genetic 2. Hemodynamic overload I. Myocardial fibrosis ↓ J. Chronic overexpression of neurohormones ↓ K. Ventricular remodeling ↓ L. Chronic and/or excessive myocardial hypertrophy ↓ aArrows indicate directional effects of determinants of contractility. bContractility rises initially but later becomes depressed. </w:t>
      </w:r>
      <w:r w:rsidRPr="00F23836">
        <w:rPr>
          <w:rFonts w:ascii="Arial" w:hAnsi="Arial" w:cs="Arial"/>
        </w:rPr>
        <w:t>■</w:t>
      </w:r>
      <w:r w:rsidRPr="00F23836">
        <w:t xml:space="preserve">EXERCISE The integrated response to exercise illustrates typical interactions among the three determinants of stroke volume: preload, afterload, and contractility (Fig. 244-9). Hyperventilation, the pumping action of the exercising muscles, and venoconstriction during exercise all augment venous return and hence ventricular filling and preload (Table 244-2). Simultaneously, the increase in neuronal and humoral adrenergic stimulation of the myocardium and the tachycardia that occur during exercise combine to augment the myocardial contractility (Fig. 244-9, curves 1 and 2), together elevating stroke volume and stroke work, with little or no change in end-diastolic pressure and volume (Fig. 244-9, points A and B). Vasodilation occurs in the exercising muscles, thus limiting the increase in afterload that otherwise would occur as cardiac output rises to levels as high as five times greater than basal levels dur ing maximal exercise. This vasodilation ultimately allows the achieve ment of elevated cardiac outputs during exercise at arterial pressures only moderately higher than the resting state. ASSESSMENT OF CARDIAC FUNCTION Several techniques can define impaired cardiac function in clinical practice. Cardiac output and stroke volume may decline in the pres ence of heart failure, but these variables are often within normal limits, especially at rest, even late in disease. A more sensitive index of cardiac function is the ejection fraction, i.e., the ratio of stroke volume to end-diastolic volume (normal value = 67 ± 8%), which is frequently depressed in systolic heart failure even when stroke volume is normal. Alternatively, abnormally elevated ventricular end-diastolic volume (normal value = 75 ± 20 mL/m2) or end-systolic volume (normal value = 25 ± 7 mL/m2) signifies left ventricular systolic impairment. Noninvasive techniques, particularly echocardiography, radionu clide scintigraphy, and cardiac magnetic resonance imaging (MRI) (Chap. 248), have great value in the clinical assessment of myocardial function. They provide measurements of end-diastolic and end-systolic volumes, ejection fraction, and systolic shortening rate, and they allow assessment of ventricular filling (see below) as well as regional contrac tion, relaxation, and tissue characterization. The latter measurements Contractility Stroke volume Heart rate Afterload Preload Higher nervous centers Medullary vasomotor and cardiac centers Venous return Cardiac output Peripheral resistance Arterial pressure Carotid and aortic baroreceptors FIGURE 244-10 Interactions in the intact circulation of preload, contractility, and afterload in producing stroke volume. Stroke volume combined with heart rate determines cardiac output, which, when combined with peripheral vascular resistance, determines arterial pressure for tissue perfusion. The characteristics of the arterial system also contribute to afterload, an increase that reduces stroke volume. The interaction of these components with carotid and aortic arch baroreceptors provides a feedback mechanism to higher medullary and vasomotor cardiac centers </w:t>
      </w:r>
      <w:r w:rsidRPr="00F23836">
        <w:lastRenderedPageBreak/>
        <w:t xml:space="preserve">and to higher levels in the central nervous system to effect a modulating influence on heart rate, peripheral vascular resistance, venous return, and contractility. (Reproduced with permission from MR Starling: Physiology of myocardial contraction, in Atlas of Heart Failure: Cardiac Function and Dysfunction, 3rd ed, WS Colucci and E Braunwald [eds]. Philadelphia: Current Medicine; 2002.) 1853 Normal contractility Contractility CHAPTER 244 Basic Biology of the Cardiovascular System Contractility afterload 2 1 3 LV pressure preload 2 ESPVR 1 LV pressure LV volume 3 LV volume FIGURE 244-11 The responses of the left ventricle to increased afterload, increased preload, and increased and reduced contractility are shown in the pressure-volume plane. Left. Effects of increases in preload and afterload on the pressure-volume loop. Because there has been no change in contractility, the end-systolic pressure-volume relationship (ESPVR) is unchanged. With an increase in afterload, stroke volume falls (1 → 2); with an increase in preload, stroke volume rises (1 → 3). Right. With increased myocardial contractility and constant left ventricular end-diastolic volume, the ESPVR moves to the left of the normal line (lower end-systolic volume at any end-systolic pressure) and stroke volume rises (1 → 3). With reduced myocardial contractility, the ESPVR moves to the right; end-systolic volume is increased, and stroke volume falls (1 → 2). </w:t>
      </w:r>
      <w:r w:rsidRPr="00F23836">
        <w:rPr>
          <w:rFonts w:ascii="Arial" w:hAnsi="Arial" w:cs="Arial"/>
        </w:rPr>
        <w:t>■</w:t>
      </w:r>
      <w:r w:rsidRPr="00F23836">
        <w:t xml:space="preserve">CARDIAC METABOLISM The heart requires a continuous supply of energy (ATP) not only to drive mechanical contraction, but also to maintain ionic and biochemi cal homeostasis. The development of tension, the frequency of contrac tion, and myocardial contractility levels are the principal determinants of the heart’s energy and oxygen requirements, representing ~15% of that of the entire organism. have particular importance in ischemic heart disease, as myocardial infarction causes regional myocardial damage. Pericardial restraint The heart’s ATP production requires the generation of acetyl coen zyme A that can be derived from (in descending order) free fatty acids (FFAs), glucose, lactate, amino acids, and ketone bodies. Myocardial FFAs derive from circulating FFAs, whereas the cardiomyocyte’s glu cose derives from plasma as well as from myocardial glycogen stores (via glycogenolysis). These two principal sources of acetyl coenzyme Abnormal relaxation Chamber dilation Increased chamber stiffness Left ventricular pressure Strong dependence on ventricular loading conditions influences the precision of measurements of cardiac output, ejection fraction, and ventricular volumes as indices of cardiac function. Thus, a depressed ejection fraction and lowered cardiac output may occur in patients with normal ventricular function but reduced preload, as occurs in hypovolemia, or with increased afterload, as occurs in acutely elevated arterial pressure. The end-systolic left ventricular pressure-volume relationship has particular value as an index of ventricular performance as it does not depend on preload and afterload (Fig. 244-11). At any level of myocar dial contractility, left ventricular end-systolic volume varies inversely with end-systolic pressure; as contractility declines, end-systolic vol ume (at any level of end-systolic pressure) rises. Invasive measurement of end-systolic left ventricular pressure-volume loops adds rigor to research studies of left ventricular function, but these techniques are less pragmatic </w:t>
      </w:r>
      <w:r w:rsidRPr="00F23836">
        <w:lastRenderedPageBreak/>
        <w:t xml:space="preserve">than the more readily assessed indices obtained in rou tine clinical practice, such as ventricular volumes and ejection fraction. Integrated cardiopulmonary exercise testing with formal analysis of exhaled gases is now more broadly available and can estimate maximal oxygen delivery as an indirect metric of physiologic reserve. Longitu dinal measurements of some aspects of cardiovascular physiology are increasingly feasible with implantable or wearable devices. </w:t>
      </w:r>
      <w:r w:rsidRPr="00F23836">
        <w:rPr>
          <w:rFonts w:ascii="Arial" w:hAnsi="Arial" w:cs="Arial"/>
        </w:rPr>
        <w:t>■</w:t>
      </w:r>
      <w:r w:rsidRPr="00F23836">
        <w:t>DIASTOLIC FUNCTION Ventricular filling is influenced by several characteristics of the myo cardium including: (1) the extent and speed of myocardial relaxation; and (2) the passive stiffness of the ventricular wall. The former is largely a function of the rate of uptake of Ca2+ by the SR that may be enhanced by adrenergic activation and reduced by ischemia due to limited ATP available for pumping Ca2+ into the SR (see above). For the latter, ventricular stiffness increases with hypertrophy, fibrosis, and conditions that infiltrate the ventricle, such as amyloid, or can result from an extrinsic constraint (e.g., pericardial constriction) (Fig. 244-12). Left ventricular volume FIGURE 244-12 Mechanisms that cause diastolic dysfunction reflected in the pressure-volume relation. The bottom half of the pressure-volume loop is depicted. Solid lines represent normal subjects; broken lines represent patients with diastolic dysfunction. (Reproduced with permission from JD Carroll et al: The differential effects of positive inotropic and vasodilator therapy on diastolic properties in patients with congestive cardiomyopathy. Circulation; 1986; 74: 815.) Ventricular filling can be assessed by measuring flow velocity across the mitral valve using Doppler ultrasound. Normally, inflow velocity is more rapid in early diastole than during atrial systole. However, with mild to moderately impaired relaxation, the rate of early diastolic filling declines, as presystolic filling rates rise. With further stiffening, flow is “pseudo-normalized,” as early ventricular filling becomes more rapid with rising left atrial pressure upstream of the left ventricle. 1854 Spinale FG: Assessment of cardiac function—Basic principles and approaches. Compr Physiol 5:1911, 2015. PART 6 Disorders of the Cardiovascular System Srivastava D: Making or breaking the heart: From lineage determination to morphogenesis. Cell 126:1037, 2006. Taegtmeyer H et al: Cardiac metabolism in perspective. Comp Physiol 6:1675, 2016. A are metabolized distinctly in cardiac muscle. Glucose is converted in the cytoplasm into pyruvate, which passes into mitochondria for conversion into acetyl-CoA that then undergoes oxidation. FFAs are converted to acyl-CoA in the cytoplasm and acetyl-CoA in the mitochondria. Acetyl-CoA enters the citric acid (Krebs) cycle to produce ATP by oxidative phosphorylation; ATP then enters the cyto plasm from the mitochondrial compartment. Intracellular adenosine diphosphate (ADP), resulting from ATP breakdown, enhances ATP production. In the fasted, resting state, circulating FFAs furnish most of the heart’s acetyl-CoA (~70%). In the fed state, with elevations of blood glucose and insulin, glucose oxidation increases and FFA oxidation subsides. Increased cardiac work, inotropic agents, hypoxia, and mild ischemia all enhance myocardial glucose uptake, production (glyco genolysis), and metabolism to pyruvate (glycolysis). Exercise raises circulating lactate levels and myocardial utilization of acetyl-CoA. By contrast, β-</w:t>
      </w:r>
      <w:r w:rsidRPr="00F23836">
        <w:lastRenderedPageBreak/>
        <w:t xml:space="preserve">adrenergic stimulation raises the circulating levels and metabolism of FFAs in favor of glucose. Severe myocardial ischemia inhibits cytoplasmic pyruvate dehydrogenase, producing incomplete glucose metabolism to lactic acid (anaerobic glycolysis). Anaerobic glycolysis produces much less ATP per mole of glucose than does aerobic glucose metabolism. High concentrations of circulating FFAs, which can occur when adrenergic stimulation is superimposed on severe ischemia, reduce oxidative phosphorylation, and the myocar dial content of ATP declines, impairing contraction. In addition, FFA breakdown products may exert toxic or arrhythmogenic effects on cardiac cell membranes. Myocardial energy is stored as creatine phosphate (CP), which is in equilibrium with ATP, the immediate energy source. In states of reduced energy availability, the CP stores decline first. Cardiac hypertrophy, fibrosis, tachycardia, increased wall tension due to ven tricular dilation, and increased intracytoplasmic [Ca2+] all contribute to increased myocardial energy needs. When coupled with reduced coronary flow reserve, as occurs with obstruction of coronary arteries or abnormalities of the coronary microcirculation, an imbalance in myocardial ATP production relative to demand may occur, and the resulting ischemia can worsen or cause heart failure. </w:t>
      </w:r>
      <w:r w:rsidRPr="00F23836">
        <w:rPr>
          <w:rFonts w:ascii="Arial" w:hAnsi="Arial" w:cs="Arial"/>
        </w:rPr>
        <w:t>■</w:t>
      </w:r>
      <w:r w:rsidRPr="00F23836">
        <w:t xml:space="preserve">CARDIAC CELLULAR INTERVENTIONS: REGENERATION AND REPAIR Adult mammalian myocardial cells are fully differentiated and have little or no regenerative potential; however, there is evidence that the immature mammalian heart has some limited regenerative potential that rapidly becomes constrained with increasing maturity and work load. Considerable current effort is being devoted to evaluating the utility of various approaches to facilitate the transient release of these constraints on regeneration to enhance cardiac repair after injury. Recent work has also shown that by engineering chimeric antigen receptors on T lymphocytes (CAR-T), it may be possible to reverse fibrosis in the heart. The success of such approaches would offer the exciting possibility of reconstructing an infarcted or failing ventricle. </w:t>
      </w:r>
      <w:r w:rsidRPr="00F23836">
        <w:rPr>
          <w:rFonts w:ascii="Arial" w:hAnsi="Arial" w:cs="Arial"/>
        </w:rPr>
        <w:t>■</w:t>
      </w:r>
      <w:r w:rsidRPr="00F23836">
        <w:t xml:space="preserve">FURTHER READING Bautch VL, Caron KM: Blood and lymphatic vessel formation. Cold Spring Harb Perspect Biol 7:a008268, 2015. Dejana E et al: The molecular basis of endothelial cell plasticity. Nat Commun 8:14361, 2017. Green DJ et al: Vascular adaptation to exercise in humans: Role of hemodynamic stimuli. Physiol Rev 97:495, 2017. Libby P et al (eds): Braunwald’s Heart Disease: A Textbook of Cardio vascular Medicine, 11th ed. Philadelphia, Elsevier, 2022. MacLeod KT: Recent advances in understanding cardiac contractility in health and disease. F1000Res 5(F1000 Faculty Rev):1770, 2016. Page E et al (eds): Handbook of Physiology: A Critical Comprehensive Presentation of Physiological Knowledge and Concepts. Section 2: The Cardiovascular System, Volume I: The Heart. New York, Oxford University Press, 2002. Rurik JG et al: CAR T cells produced in vivo to treat cardiac injury. Science 375:91, 2022. 245 Epidemiology of Cardiovascular Disease J. Michael Gaziano, Thomas A. Gaziano Cardiovascular disease (CVD) is now the most common cause of death worldwide. Before 1900, infectious diseases and malnutrition were the most common causes, and CVD was responsible for 0.08 mmol/L in both men and women. More recent research including Mendelian </w:t>
      </w:r>
      <w:r w:rsidRPr="00F23836">
        <w:lastRenderedPageBreak/>
        <w:t xml:space="preserve">studies sug gests that lipoprotein(a) may act as an individual predictor of CVD risk beyond traditional total or low-density lipoprotein cholesterol through increased cellular lipid accumulation, endothelial dysfunction, and impacts on coagulation. It appears to be elevated in ~20% of the global population, although fewer data are available from LMICs. Non randomized data suggest higher rates among those of African descent with twice the levels of Caucasians, with East Asians and South Asians having intermediate levels. There are limited clinical trial data on clini cal agents that target lipoprotein(a), although PCSK9 inhibitors lower it or other specific targets, so this remains an area of intense research. Hypertension Elevated blood pressure is an early indicator of the epidemiologic transition. Observational studies show increased risk of CVD beginning with systolic blood pressures (SBPs) &gt;110–115 mmHg. Between 1990 and 2015, the global prevalence of SBP ≥110–115 mmHg increased from 73,119 to 81,373 per 100,000, whereas the prevalence of SBP ≥140 mmHg rose from 17,307 to 20,526 per 100,000. In 2015, of the estimated 3.47 billion adults with SBP ≥110–115 mmHg, 874 million (25%) had SBP ≥140 mmHg. While SBP ≥140 mmHg accounts for only 25% of those with elevated blood pressure, it accounted for 73% (7.8 million) of deaths due to SBP of ≥110–115 mmHg in 2015. Worldwide, 53% of stroke deaths (3.44 million) and 53% of CHD deaths (4.86 million) are attributable to high blood pressure, account ing for 10.8 million deaths in 2019. From 1990 to 2015, the number of deaths related to SBP ≥140 mmHg increased in all LMIC groups but fell in HICs. Between 1980 and 2008, the age-standardized prevalence of uncontrolled hypertension decreased even as the number of people with uncontrolled hypertension increased due to population growth and aging. However, concerning trends of declining hypertension control rates were seen in the United States since 2016 with many middle-income countries now outperforming high-income nations. Rising mean population blood pressure also occurs as populations industrialize and move from rural to urban settings. For example, the prevalence of hypertension in urban India is 33.8%, but varies between 14.5 and 31.7% in rural regions. One major concern in LMICs is the high rate of undetected, and therefore untreated, hypertension. This may explain, at least in part, the higher stroke rates in these countries in relation to CHD rates during the early stages of the transition. The high rates of hypertension throughout Asia, especially undiagnosed hypertension, likely contribute to the high prevalence of hemorrhagic stroke in the region. Obesity In 2025, an estimated 892 million adults will be obese. Global obesity prevalence is projected to be 16.1% among adults and is increasing throughout the world, particularly in developing coun tries where the trajectories are steeper than those experienced by the developed countries. High body mass index (BMI) contributed to 5.0 million deaths worldwide (7.1% deaths from any cause); CVD was the leading cause of these deaths (1.95 million) and also of associated DALYs (160 million) followed by diabetes (0.6 million deaths, 30.4 million DALYs). Women are more affected by obesity than men; from 1975 to 2014, global mean age-standardized BMI increased from 22.1 to 24.4 kg/m2 in females and from 21.7 to 24.2 kg/m2 in males, </w:t>
      </w:r>
      <w:r w:rsidRPr="00F23836">
        <w:lastRenderedPageBreak/>
        <w:t xml:space="preserve">whereas the prevalence of obesity increased from 6.4% to 14.9% in females and 3.2% to 10.8% in males. The proportion of the world’s adult women who are either overweight or obese rose from 29.8% to 38.0% between 1980 and 2013, while an increase from 28.8% to 36.9% was observed for men. Country and regional differences are observed. The highest prevalence of male obesity is in the United States, Southern and Central Diabetes Mellitus As a consequence of, or in addition to, increas ing BMI and decreasing levels of physical activity, worldwide rates of diabetes—predominantly type 2 diabetes—are on the rise. According to the most recent data from the GBD project, the prevalence of diabe tes increased 129.7% for males and 120.9% for females between 1990 and 2017. An estimated 476 million people worldwide have diabetes, and the International Diabetes Foundation predicts this number will reach 693 million by 2045. Nearly 50% of people with diabetes are undiagnosed, and 80% live in LMICs. The Middle East and North Africa have the highest regional age-standardized prevalence (8.7% of the population) and incidence rates (400 per 100,000) of diabetes, whereas East Asia and the Pacific have the lowest (5.8%; 249 per 100,000). Future growth will also largely occur in the Middle East and Africa, along with other LMICs in South Asia and sub-Saharan Africa. COVID-19 The impact of COVID-19 on CVD was significant. First, patients with acute conditions were hesitant to present to hos pitals for fear of infection, resulting in delayed presentation for those with acute coronary syndrome (ACS) or stroke and missing critical early care. Additionally, even those who presented with ACS had worse outcomes sometimes related to testing delays. Furthermore, the pres ence of obesity and/or diabetes mellitus worsened outcomes. Finally, control rates of hypertension and dyslipidemia may have been exacer bated due to difficulty of access to providers. </w:t>
      </w:r>
      <w:r w:rsidRPr="00F23836">
        <w:rPr>
          <w:rFonts w:ascii="Arial" w:hAnsi="Arial" w:cs="Arial"/>
        </w:rPr>
        <w:t>■</w:t>
      </w:r>
      <w:r w:rsidRPr="00F23836">
        <w:t>GENETIC RISK FACTORS A great deal of effort has recently been invested in understanding how genes affect cardiovascular health in populations. These efforts have focused on germline genetic variants that are related to specific CVDs as well as those that are associated with cardiovascular risk factors. In both cases, every year, the number of associated variants has increased meaningfully to the point that it appears that hundreds or even thou sands of variants are associated with these conditions, each explaining a small amount of the population variability in disease and risk fac tors. Collections of variants have been combined in polygenomic risk scores, but these too explain only a small amount of the variability of the disease in the population. Much more data will emerge in the com ing years about these associations, the mechanisms that explain these associations, the relationships of variants that are specific to certain tis sues such as the heart or the brain, and the interactions between genetic and lifestyle factors in causing disease. Currently, most of the data are among those with European ancestry; however, large-scale efforts are underway to understand the relationships between genes and diseases and their risk factors around the world. The early data suggest non trivial differences among various world populations. Beyond germline risk, there appears to be increased cardiovascular risk associated with age-related expansion of hematopoietic clones with somatic mutations, including loss-of-</w:t>
      </w:r>
      <w:r w:rsidRPr="00F23836">
        <w:lastRenderedPageBreak/>
        <w:t xml:space="preserve">function alleles of certain genes. Individuals with these mutations without other hematologic abnormalities are defined as having clonal hematopoiesis of indeterminate potential (CHIP). Recent studies suggest those with CHIP have up to a twofold increased risk of developing CHD. SUMMARY Although CVD rates are declining in the HICs, they are increasing in many other regions of the world. The consequences of this preventable epidemic will be substantial on many levels, including individual mor tality and morbidity, family suffering, and staggering economic costs. Three complementary strategies can be used to lessen the impact. First, the overall burden of CVD risk factors can be lowered through population-wide public health measures, such as national campaigns against cigarette smoking, unhealthy diets, and physical inactivity. Sec ond, it is important to identify higher risk subgroups of the population 1859 who stand to benefit the most from specific, low-cost prevention interventions, including screening for and treatment of hypertension and elevated cholesterol. Simple, low-cost interventions, such as the “polypill”—a regimen of aspirin, a statin, and an antihypertensive agent—now show trial data with reductions in events for both primary and secondary prevention and have been added to the WHO Essential Medicines list. Third, resources should be allocated to acute, as well as secondary, prevention interventions. For countries with limited resources, a critical first step in developing a comprehensive plan is better assessment of cause-specific mortality and morbidity, as well as the prevalence, of the major preventable risk factors. In the meantime, the HICs must continue to bear the burden of research and development aimed at prevention and treatment, being mindful of the economic limitations of many countries. The concept of the epidemiologic transition provides insight into how to alter the course of the CVD epidemic. The efficient transfer of low-cost preven tive and therapeutic strategies could alter the natural course of this epidemic and thereby reduce the excess global burden of preventable CVD. </w:t>
      </w:r>
      <w:r w:rsidRPr="00F23836">
        <w:rPr>
          <w:rFonts w:ascii="Arial" w:hAnsi="Arial" w:cs="Arial"/>
        </w:rPr>
        <w:t>■</w:t>
      </w:r>
      <w:r w:rsidRPr="00F23836">
        <w:t xml:space="preserve">FURTHER READING Boutari C et al: A 2022 update on the epidemiology of obesity and a call to action: As its twin COVID-19 pandemic appears to be reced ing, the obesity and dysmetabolism pandemic continues to rage on. Metabolism 133:155217, 2022. Clerkin KJ et al: COVID-19 and cardiovascular disease. Circulation 141:1648, 2020. Gaziano T, Gaziano JM: Global burden of cardiovascular disease, in Heart Disease: A Textbook of Cardiovascular Medicine, 12th ed, Braunwald E (ed). Philadelphia, Elsevier, 2022. Mensah G et al: Global burden of cardiovascular diseases and risks, 1990-2022. J Am Coll Cardiol 82:2350, 2023. Tsao CW et al: Heart disease and stroke statistics–2022 update: A report from the American Heart Association. Circulation 145:e153, 2022. Section 2 Diagnosis of Cardiovascular Disorders 246 Physical Examination of the Cardiovascular System Patrick T. O’Gara, Joseph Loscalzo The approach to a patient with known or suspected cardiovascular disease begins with the time-honored traditions of a directed history and a targeted physical examination. The scope of these activities depends on the clinical context, ranging from an elective ambulatory follow-up visit to a more urgent bedside encounter. There has been a gradual decline in physical examination skills over the past few </w:t>
      </w:r>
      <w:r w:rsidRPr="00F23836">
        <w:lastRenderedPageBreak/>
        <w:t xml:space="preserve">decades at every level, from student to faculty specialist, a development of great concern to both clinicians and medical educators. Classic cardiac find ings are recognized by only a minority of internal medicine and family practice residents. Despite popular perceptions, clinical performance does not improve predictably with experience; instead, the acquisi tion of new examination skills may become more difficult for a busy individual practitioner. Less time is now devoted to mentored cardio vascular examinations during the training of students and residents. One widely recognized outcome of these trends is the progressive utilization of noninvasive imaging studies to establish the presence and severity of cardiovascular disease even when the examination findings imply a low pretest probability of significant pathology. Proponents of the use of hand-held ultrasound devices to identify and character ize structural cardiac disease have called for its incorporation into educational curricula. Techniques to improve competency in bedside examination skills include repetition, patient-centered teaching con ferences, visual display feedback of auscultatory events using Doppler echocardiographic imaging, and simulation-based training. The use of digital stethoscopes may enhance learning and is foundational to the application of computer- or artificial intelligence–assisted evaluation of auscultatory events. The findings from the history and physical examination can help establish the presence, severity, and prognosis of several cardiovascular diseases. For example, observations regarding heart rate and blood pressure, signs of pulmonary congestion, and the presence of mitral regurgitation (MR) contribute importantly to bedside risk assessment in patients with acute coronary syndromes and can inform clinical decision-making before the results of cardiac biomarker testing are known. The prognosis of patients with heart failure can be predicted on the basis of the jugular venous pressure (JVP) and the presence or absence of a third heart sound (S3 ). Accurate characterization of car diac murmurs provides important insight into the natural history of many valvular and congenital heart lesions. Finally, the important role played by the physical examination in enhancing the clinician-patient relationship cannot be overstated. </w:t>
      </w:r>
      <w:r w:rsidRPr="00F23836">
        <w:rPr>
          <w:rFonts w:ascii="Arial" w:hAnsi="Arial" w:cs="Arial"/>
        </w:rPr>
        <w:t>■</w:t>
      </w:r>
      <w:r w:rsidRPr="00F23836">
        <w:t xml:space="preserve">THE GENERAL PHYSICAL EXAMINATION The examination begins with an assessment of the general appear ance of the patient, with notation of age, posture, demeanor, and overall health status. Is the patient in pain or resting quietly, dyspneic or diaphoretic? Does the patient choose to avoid certain body posi tions to reduce or eliminate pain, as might be the case with suspected acute pericarditis? Are there clues indicating that dyspnea may have a pulmonary cause, such as a barrel chest deformity with an increased anterior-posterior diameter, tachypnea, and pursed-lip breathing? Skin pallor, cyanosis, and jaundice can be appreciated readily and provide additional clues. The appearance of a chronically ill-appearing emaci ated patient may suggest the presence of long-standing heart failure or another systemic disorder, such as a malignancy. Various genetic syndromes, often with cardiovascular involvement, can also be rec ognized easily, such as trisomy 21, Marfan syndrome, and Holt-Oram syndrome. Height and weight should be measured routinely, and both body mass index and body surface area should be </w:t>
      </w:r>
      <w:r w:rsidRPr="00F23836">
        <w:lastRenderedPageBreak/>
        <w:t xml:space="preserve">calculated. Knowl edge of the waist circumference and the waist-to-hip ratio can be used to predict long-term cardiovascular risk. Mental status, level of alert ness, and mood should be assessed continuously during the interview and examination. CHAPTER 246 Physical Examination of the Cardiovascular System Skin Central cyanosis occurs with significant right-to-left shunt ing at the level of the heart or lungs, allowing deoxygenated blood to reach the systemic circulation. Peripheral cyanosis or acrocyanosis, in contrast, is usually related to reduced extremity blood flow due to small vessel constriction, as seen in patients with severe heart failure, shock, or peripheral vascular disease; it can be aggravated by the use of β-adrenergic blockers with unopposed α-mediated vasoconstriction. Differential cyanosis refers to isolated cyanosis affecting the lower but not the upper extremities in a patient with a large patent ductus arterio sus (PDA) and secondary pulmonary hypertension with right-to-left to shunting at the great vessel level. Telangiectasias on the lips, tongue, and mucous membranes, as part of the Osler-Weber-Rendu syndrome (hereditary hemorrhagic telangiectasia), resemble spider nevi and can be a source of right-to-left shunting when also present in the lung. Malar telangiectasias also are seen in patients with advanced mitral ste nosis (MS) or scleroderma. An unusually tan or bronze discoloration of the skin may suggest hemochromatosis as the cause of the associated systolic heart failure. Jaundice, which may be visible first in the sclerae, has a broad differential diagnosis but, in the appropriate setting, can be consistent with advanced right heart failure and congestive hepatomeg aly. Various hereditary lipid disorders sometimes are associated with 1860 PART 6 Disorders of the Cardiovascular System subcutaneous xanthomas, particularly along the tendon sheaths or over the extensor surfaces of the extremities. Severe hypertriglyceridemia can be associated with eruptive xanthomatosis and lipemia retinalis. Palmar crease xanthomas are specific for type III hyperlipoprotein emia. Pseudoxanthoma elasticum, a disease associated with premature atherosclerosis, is manifested by a leathery, cobblestoned appearance of the skin in the axilla and neck creases and by angioid streaks on funduscopic examination. Extensive lentigenes have been described in a variety of development delay–cardiovascular syndromes, including Carney’s syndrome, which includes multiple atrial myxomas. Cutane ous manifestations of sarcoidosis such as lupus pernio and erythema nodosum may suggest this disease as a cause of an associated dilated cardiomyopathy, especially with heart block, intraventricular conduc tion delay, or ventricular tachycardia. Head and Neck Dentition and oral hygiene should be assessed in every patient both as a source of potential infection and as an index of general health. A high-arched palate is a feature of Marfan syndrome and other connective tissue disease syndromes. Bifid uvula has been described in patients with Loeys-Dietz syndrome, and orange tonsils are characteristic of Tangier disease. The ocular manifestations of hyperthyroidism have been well described. Many patients with con genital heart disease have associated hypertelorism, low-set ears, or micrognathia. Blue sclerae are a feature of osteogenesis imperfecta. An arcus senilis pattern lacks </w:t>
      </w:r>
      <w:r w:rsidRPr="00F23836">
        <w:lastRenderedPageBreak/>
        <w:t xml:space="preserve">specificity as an index of coronary heart dis ease risk. The funduscopic examination is an often-underused method by which to assess the microvasculature, especially among patients with established atherosclerosis, hypertension, or diabetes mellitus. A mydriatic agent may be necessary for optimal visualization. A fundu scopic examination should be performed routinely in the assessment of patients with suspected endocarditis and those with a history of acute visual change. Branch retinal artery occlusion or visualization of a Hollenhorst plaque can narrow the differential diagnosis rapidly in the appropriate setting. Relapsing polychondritis may manifest as an inflamed pinna or, in its later stages, as a saddle-nose deformity because of destruction of nasal cartilage; granulomatosis with polyan giitis can also lead to a saddle-nose deformity. Chest Midline sternotomy, right anterior thoracotomy, left postero lateral thoracotomy, or infraclavicular scars should not be overlooked and may provide the first clue regarding an underlying cardiovascular disorder in patients unable to provide a relevant history. A prominent venous collateral pattern may suggest subclavian or vena caval obstruc tion. If the head and neck appear dusky and slightly cyanotic and the venous pressure is grossly elevated without visible pulsations, a diag nosis of superior vena cava syndrome should be entertained. Thoracic cage abnormalities have been well described among patients with connective tissue disease syndromes. They include pectus carinatum (“pigeon chest”) and pectus excavatum (“funnel chest”). Obstructive lung disease is suggested by a barrel chest deformity, especially with tachypnea, pursed-lip breathing, and use of accessory muscles. The characteristically severe kyphosis and compensatory lumbar, pelvic, and knee flexion of ankylosing spondylitis should prompt careful auscultation for a murmur of aortic regurgitation (AR). Straight back syndrome refers to the loss of the normal kyphosis of the thoracic spine and has been described in patients with mitral valve prolapse (MVP) and its variants. In some patients with cyanotic congenital heart dis ease, the chest wall appears to be asymmetric, with anterior displace ment of the left hemithorax. The respiratory rate and pattern should be noted during spontaneous breathing and sleep, with additional attention to depth, audible wheezing, and stridor. Lung examination can reveal adventitious sounds indicative of pulmonary edema, pneu monia, or pleuritis. Abdomen In some patients with advanced obstructive lung dis ease, the point of maximal cardiac impulse may be in the epigastrium. The liver is frequently enlarged and tender in patients with chronic heart failure. Systolic pulsations over the liver signify severe tricus pid regurgitation (TR). Splenomegaly may be a feature of infective endocarditis, particularly when symptoms have persisted for weeks or months. Ascites is a nonspecific finding but may be present with advanced chronic right heart failure, constrictive pericarditis, hepatic cirrhosis, or an intraperitoneal malignancy. The finding of an elevated JVP implies a cardiovascular etiology. In nonobese patients, the aorta typically is palpated between the epigastrium and the umbilicus. The sensitivity of palpation for the detection of an abdominal aortic aneu rysm (pulsatile and expansile mass) decreases as a function of body size. Because palpation alone is not sufficiently </w:t>
      </w:r>
      <w:r w:rsidRPr="00F23836">
        <w:lastRenderedPageBreak/>
        <w:t xml:space="preserve">accurate to establish this diagnosis, a screening ultrasound examination is advised when appropriate. The presence of an arterial bruit over the abdomen sug gests high-grade atherosclerotic disease, although precise localization is difficult. Extremities The temperature and color of the extremities, the presence of clubbing, arachnodactyly, and pertinent nail findings can be surmised quickly during the examination. Clubbing implies the presence of central right-to-left shunting, although it has also been described in patients with endocarditis. Its appearance can range from cyanosis and softening of the root of the nail bed, to the classic loss of the normal angle between the base of the nail and the skin, to the skeletal and periosteal bony changes of hypertrophic osteoarthropathy, which is seen rarely in patients with advanced lung or liver disease. Patients with the Holt-Oram syndrome have an unopposable, “fin gerized” thumb, whereas patients with Marfan syndrome may have arachnodactyly and a positive “wrist” (overlapping of the thumb and fifth finger around the wrist) or “thumb” (protrusion of the thumb beyond the ulnar aspect of the hand when the fingers are clenched over the thumb in a fist) sign. The Janeway lesions of endocarditis are nontender, slightly raised hemorrhagic lesions on the palms and soles, whereas Osler’s nodes are tender, raised nodules on the pads of the fingers or toes. Splinter hemorrhages are classically identified as linear petechiae in the midposition of the nail bed and should be distinguished from the more common traumatic petechiae, which are seen closer to the distal edge. Lower extremity or presacral edema in the setting of an elevated JVP defines volume overload and may be a feature of chronic heart failure or constrictive pericarditis. Lower extremity edema in the absence of jugular venous hypertension may be due to profound hypoalbu minemia as seen in nephrotic syndrome or liver failure. Other causes include lymphatic or venous obstruction or, more commonly, venous insufficiency, as would be further suggested by the appearance of varicosities, venous ulcers (typically medial in location), and brownish cutaneous discoloration from hemosiderin deposition (eburnation). Pitting edema can also be seen in patients who use dihydropyridine calcium channel blockers. A Homans’ sign (posterior calf pain on active dorsiflexion of the foot against resistance) is neither specific nor sensitive for deep venous thrombosis. Muscular atrophy or the absence of hair along an extremity is consistent with severe arterial insuffi ciency or a primary neuromuscular disorder. </w:t>
      </w:r>
      <w:r w:rsidRPr="00F23836">
        <w:rPr>
          <w:rFonts w:ascii="Arial" w:hAnsi="Arial" w:cs="Arial"/>
        </w:rPr>
        <w:t>■</w:t>
      </w:r>
      <w:r w:rsidRPr="00F23836">
        <w:t xml:space="preserve">CARDIOVASCULAR EXAMINATION Jugular Venous Pressure and Waveform The JVP is the single most important bedside measurement from which to estimate the vol ume status. The internal jugular vein is preferred because the external jugular vein is valved and not directly in line with the superior vena cava and right atrium. Nevertheless, the external jugular vein has been used to discriminate between high and low central venous pressure (CVP). Precise estimation of the central venous or right atrial pressure from bedside assessment of the jugular venous waveform can be dif ficult. Venous pressure traditionally has been measured as the vertical distance between the top of the jugular venous pulsation and the ster nal inflection point (angle of Louis). A distance &gt;4.5 cm at 30° eleva tion is considered </w:t>
      </w:r>
      <w:r w:rsidRPr="00F23836">
        <w:lastRenderedPageBreak/>
        <w:t xml:space="preserve">abnormal. However, the actual distance between the mid-right atrium and the angle of Louis varies considerably as a func tion of both body size and the patient angle at which the assessment is made (30°, 45°, or 60°). The use of the sternal angle as a reference point leads to systematic underestimation of CVP, and this method should be used less for semiquantification than to distinguish a normal from an elevated CVP. The use of the clavicle may provide an easier reference 1861 CHAPTER 246 Physical Examination of the Cardiovascular System Y Y V C A X V II I V Y V X A P Y V X C A A C A X II III I V Y IV for standardization. Venous pulsations above this level in the sitting position are clearly abnormal, as the distance between the clavicle and the right atrium is at least 10 cm. The patient should always be placed in the sitting position, with the legs dangling below the bedside, when an elevated pressure is suspected in the semisupine position. It should also be noted that bedside estimates of CVP are made in centimeters of water, and must be converted to millimeters of mercury to provide correlation with accepted hemodynamic norms (1.36 cmH2 O = 1.0 mmHg). Severe A The venous waveform sometimes can be difficult to distinguish from the carotid pulse, especially during casual inspection. Nev ertheless, the venous waveform has several characteristic features, and its individual components can be appreciated in most patients (Fig. 246-1). The arterial pulsation is not easily obliterated with palpation; the venous waveform in patients with sinus rhythm is usually biphasic, while the carotid pulse is monophasic; and the jugular venous pulsation should change with changes in posture or inspiration (unless the venous pressure is quite elevated). Mild Normal The venous waveform is divided into several distinct peaks. The a wave reflects right atrial presystolic contraction and occurs just after the electrocardiographic P wave, preceding the first heart sound (S1 ). ECG B JVP K II I C FIGURE 246-1 A. Jugular venous pulse wave tracing (top) with heart sounds (bottom) in a patient with reduced right ventricular compliance. The A wave represents right atrial presystolic contraction and occurs just after the electrocardiographic P wave and just before the first heart sound (I). In this example, the A wave is accentuated and larger than normal due to decreased right ventricular compliance, as also suggested by the right-sided S4 (IV). The C wave may reflect the carotid pulsation in the neck and/or an early systolic increase in right atrial pressure as the right ventricle pushes the closed tricuspid valve into the right atrium. The x descent follows the A wave just as atrial pressure continues to fall. The V wave represents atrial filling during ventricular systole and peaks at the second heart sound (II). The y descent corresponds to the fall in right atrial pressure after tricuspid valve opening. B. Jugular venous wave forms in mild (middle) and severe (top) tricuspid regurgitation, compared with normal (bottom), with phonocardiographic representation of the corresponding heart sounds below. With increasing degrees of tricuspid regurgitation, the waveform becomes “ventricularized.” C. Electrocardiogram (ECG) (top), jugular venous waveform (JVP) (middle), and heart sounds (bottom) in pericardial constriction. Note the prominent and rapid y descent, corresponding in timing to the pericardial knock (K). (Reproduced with permission from J Abrams: Synopsis of Cardiac Physical Diagnosis, </w:t>
      </w:r>
      <w:r w:rsidRPr="00F23836">
        <w:lastRenderedPageBreak/>
        <w:t xml:space="preserve">2nd ed. Boston, Butterworth Heinemann, 2001.) A prominent a wave is seen in patients with reduced right ventricu lar compliance; a cannon a wave occurs with atrioventricular (AV) dissociation and right atrial contraction against a closed tricuspid valve. In a patient with a wide complex tachycardia, the apprecia tion of cannon a waves in the jugular venous waveform identifies the rhythm as ventricular in origin. The a wave is not present with atrial fibrillation. The x descent defines the fall in right atrial pres sure after tricuspid valve opening, and occurs after inscription of the a wave. The c wave, which occurs as the closed tricuspid valve is pushed into the right atrium during early ventricular systole, interrupts this x descent and is followed by a further descent. The v wave represents atrial filling (atrial diastole) and occurs during ventricular systole. The height of the v wave is determined by right atrial compliance as well as the volume of blood returning to the right atrium either antegrade from the cavae or retrograde through an incompetent tricuspid valve. In patients with TR, the v wave is accentuated and the subsequent fall in pressure (y descent) is rapid. With progressive degrees of TR, the v wave merges with the c wave, and the right atrial and jugular vein waveforms become “ventricu larized.” The y descent, which follows the peak of the v wave, can become prolonged or blunted with obstruction to right ventricular inflow, as may occur with tricuspid stenosis or pericardial tampon ade. Normally, the venous pressure should fall by at least 3 mmHg with inspiration. Kussmaul’s sign is defined by either a rise or a lack of fall of the JVP with inspiration and is classically associated with constrictive pericarditis, although it has been reported in patients with restrictive cardiomyopathy, massive pulmonary embolism, right ventricular infarction, and advanced left ventricular (LV) sys tolic heart failure. It is also a common, isolated finding in patients after cardiac surgery without other hemodynamic abnormalities. presence of a right atrial pressure &gt;10 mmHg (as predicted on bedside examination) had a positive value of 88% for the prediction of a pulmo nary artery wedge pressure of &gt;22 mmHg. In addition, an elevated JVP has prognostic significance in patients with both symptomatic heart failure and asymptomatic LV systolic dysfunction. The presence of an elevated JVP is associated with a higher risk of subsequent hospitaliza tion for heart failure, death from heart failure, or both. Venous hypertension sometimes can be elicited by passive leg elevation or performance of the abdominojugular reflux maneuver. When these signs are positive, a volume-overloaded state with lim ited compliance of an overly distended or constricted venous system is present. Abdominojugular reflux is produced with firm and consistent pressure over the upper portion of the abdomen, prefer ably over the right upper quadrant, for &gt;15 s. A positive response is defined by a sustained rise of &gt;3 cm in the JVP during the applica tion of firm abdominal pressure. The response should be assessed after 10 s of continuous pressure to allow for respiratory artifacts and tensing of the abdominal muscles to subside. Patients must be coached to refrain from breath holding or a Valsalva-like maneuver during the procedure. Performance of the abdominojugular reflux maneuver is useful in predicting a pulmonary artery wedge pressure &gt;15 mmHg in patients with heart failure. Although the JVP estimates right </w:t>
      </w:r>
      <w:r w:rsidRPr="00F23836">
        <w:lastRenderedPageBreak/>
        <w:t xml:space="preserve">ventricular filling pressure, it has a predictable relationship with the pulmonary artery wedge pressure. In a large study of patients with advanced heart failure, the 1862 Assessment of Blood Pressure Measurement of blood pressure PART 6 Disorders of the Cardiovascular System usually is delegated to a medical assistant but should be repeated by the examining clinician. Accurate measurement depends on body position, arm size, time of measurement, place of measurement, type of device, device size, technique, and examiner. In general, physician-recorded blood pressures are higher than both nurse-recorded pressures and self-recorded pressures at home. Blood pressure is best measured in the seated position with the arm at the level of the heart and the feet on the floor with the back supported, using an appropriately sized cuff, after 5–10 min of relaxation. When it is measured in the supine position, the arm should be raised to bring it to the level of the mid-right atrium. The length and width of the blood pressure cuff bladder should be 80 and 40% of the arm’s circumference, respectively. A common source of error in practice is to use an inappropriately small cuff, resulting in marked overestimation of true blood pressure, or an inappropriately large cuff, resulting in underestimation of true blood pressure. The cuff should be inflated to 30 mmHg above the expected systolic pres sure and the pressure released at a rate of 2–3 mmHg/s. Systolic and diastolic pressures are defined by the first and fifth Korotkoff sounds, respectively. Very low (even 0 mmHg) diastolic blood pressures may be recorded in patients with chronic, severe AR or a large arteriove nous fistula because of enhanced diastolic “run-off.” In these instances, both the phase IV and phase V Korotkoff sounds should be recorded. Blood pressure is best assessed at the brachial artery level, though it can be measured at the radial, popliteal, or pedal artery level. In gen eral, systolic pressure increases and diastolic pressure decreases when measured in more distal arteries. Blood pressure should be measured in both arms, and the difference should be 130/80 mmHg and at least two non-clinic-based measure ments 20 mmHg or in diastolic pressure &gt;10 mmHg within 3 minutes of assump tion of the upright posture from a supine position. There may also be a lack of a compensatory tachycardia, an abnormal response that sug gests autonomic insufficiency, as may be seen in patients with diabetes mellitus or Parkinson’s disease. Orthostatic hypotension is a common cause of postural lightheadedness/syncope and should be assessed routinely in patients for whom this diagnosis might pertain. It can be exacerbated by advanced age, dehydration, certain medications, food, deconditioning, and ambient temperature/humidity. Arterial Pulse The carotid artery pulse occurs just after the ascending aortic pulse. The aortic pulse is best appreciated in the epigastrium, just above the level of the umbilicus. Peripheral arterial pulses that should be assessed routinely include the subclavian, bra chial, radial, ulnar, femoral, popliteal, dorsalis pedis, and posterior tibial. In patients in whom the diagnosis of either temporal arteritis or polymyalgia rheumatica is suspected, the temporal arteries also should be examined. Although one of the two pedal pulses may not be palpable in up to 10% of normal subjects, the pair should be sym metric. The integrity of the arcuate system of </w:t>
      </w:r>
      <w:r w:rsidRPr="00F23836">
        <w:lastRenderedPageBreak/>
        <w:t xml:space="preserve">the hand is assessed by Allen’s test, which is performed routinely before instrumentation of the radial artery. The pulses should be examined for their symmetry, volume, timing, contour, amplitude, and duration. If necessary, simul taneous auscultation of the heart can help identify a delay in the arrival of an arterial pulse. Simultaneous palpation of the radial and femoral pulses may reveal a femoral delay in a patient with upper extremity hypertension and suspected aortic coarctation. The carotid upstrokes should never be examined simultaneously or before listening for a bruit. Light pressure should always be used to avoid precipitation of carotid hypersensitivity syndrome and syncope in a susceptible elderly individual. The arterial pulse usually becomes more rapid and spiking as a function of its distance from the heart, a phenomenon that reflects the muscular status of the more peripheral arteries and the summation of the incident and reflected waves. In general, the character and con tour of the arterial pulse depend on the stroke volume, ejection veloc ity, vascular compliance, and systemic vascular resistance. The pulse examination can be misleading in patients with reduced cardiac output and in those with stiffened arteries from aging, chronic hypertension, or peripheral arterial disease. The character of the pulse is best appreciated at the carotid level (Fig. 246-2). A weak and delayed pulse (pulsus parvus et tardus) defines severe aortic stenosis (AS). Some patients with AS may also have a slow, notched, or interrupted upstroke (anacrotic pulse) with a thrill S4 S1 A C S4 S1 P2 A2 Dicrotic notch P2 A2 Dicrotic notch S4 S1 B D S4 S1 A2 P2 S4 S1 P2 A2 Dicrotic notch P2 A2 Dicrotic notch E Dicrotic notch FIGURE 246-2 Schematic diagrams of the configurational changes in carotid pulse and their differential diagnoses. Heart sounds are also illustrated. A. Normal. S4 , fourth heart sound; S1 , first heart sound; A2 , aortic component of second heart sound; P2 , pulmonic component of second heart sound. B. Aortic stenosis. Anacrotic pulse with slow upstroke (tardus) to a reduced peak (parvus). C. Bisferiens pulse with two peaks in systole. This pulse is rarely appreciated in patients with severe aortic regurgitation. D. Bisferiens pulse in hypertrophic obstructive cardiomyopathy. There is a rapid upstroke to the first peak (percussion wave) and a slower rise to the second peak (tidal wave). E. Dicrotic pulse with peaks in systole and diastole. This waveform may be seen in patients with sepsis or during intraaortic balloon counterpulsation with inflation just after the dicrotic notch. (Reproduced with permission from K Chatterjee, W Parmley [eds]: Cardiology: An Illustrated Text/ Reference. Philadelphia, Gower Medical Publishers, 1991.) Physical Examination of the Cardiovascular System 1863 CHAPTER 246 or shudder. With chronic severe AR, by contrast, the carotid upstroke has a sharp rise and rapid fall-off (Corrigan’s or water-hammer pulse). Some patients with advanced AR may have a bifid or bisferiens pulse, in which two systolic peaks can be appreciated. A bifid pulse is also described in patients with hypertrophic obstructive cardiomyopathy (HOCM), with inscription of percussion and tidal waves. A bifid pulse is easily appreciated in patients on intraaortic balloon counterpulsation (IABP), in whom the second pulse is diastolic in timing. Pulsus paradoxus refers to a fall in systolic pressure </w:t>
      </w:r>
      <w:r w:rsidRPr="00F23836">
        <w:lastRenderedPageBreak/>
        <w:t xml:space="preserve">&gt;10 mmHg with inspiration that is seen in patients with pericardial tamponade but also is described in those with massive pulmonary embolism, hemorrhagic shock, severe obstructive lung disease, and tension pneumothorax. Pulsus paradoxus is measured by noting the difference between the systolic pressure at which the Korotkoff sounds are first heard (during expiration) and the systolic pressure at which the Korotkoff sounds are heard with each heartbeat, independent of the respiratory phase. Between these two pressures, the Korotkoff sounds are heard only intermittently and during expiration. The cuff pressure must be decreased slowly to appreciate the finding. It can be difficult to mea sure pulsus paradoxus in patients with tachycardia, atrial fibrillation, or tachypnea. A pulsus paradoxus may be palpable at the brachial artery or femoral artery level when the pressure difference exceeds 15 mmHg. This inspiratory fall in systolic pressure is an exaggerated consequence of interventricular dependence. Pulsus alternans, in contrast, is defined by beat-to-beat variability of pulse amplitude. It is present only when every other phase I Korotkoff sound is audible as the cuff pressure is lowered slowly, typically in a patient with a regular heart rhythm and independent of the respira tory cycle. Pulsus alternans is seen in patients with severe LV systolic dysfunction and is thought to be due to cyclic changes in intracel lular calcium and action potential duration. When pulsus alternans is associated with electrocardiographic T-wave alternans, the risk for an arrhythmic event appears to be increased. Ascending aortic aneurysms can rarely be appreciated as a pulsatile mass in the right parasternal area. Appreciation of a prominent abdom inal aortic pulse should prompt noninvasive imaging with ultrasound or computed tomography for better characterization. Femoral and/or popliteal artery aneurysms should be sought in patients with abdomi nal aortic aneurysm disease. The level of a claudication-producing arterial obstruction can often be identified on physical examination (Fig. 246-3). For example, in a patient with calf claudication, a decrease in pulse amplitude between the common femoral and popliteal arteries will localize the obstruction to the level of the superficial femoral artery, although inflow obstruc tion above the level of the common femoral artery may coexist. Aus cultation for carotid, subclavian, abdominal aortic, and femoral artery bruits should be routine. However, the correlation between the pres ence of a bruit and the degree of vascular obstruction is poor. A cervi cal bruit is a weak indicator of the degree of carotid artery stenosis; the absence of a bruit does not exclude the presence of significant luminal obstruction. If a bruit extends into diastole or if a thrill is present, the obstruction is usually severe. Another cause of an arterial bruit is an arteriovenous fistula with enhanced flow. The likelihood of significant lower extremity peripheral arterial disease increases with typical symptoms of claudication, cool skin, abnormalities on pulse examination, or the presence of a vascular bruit. Abnormal pulse oximetry (a &gt;2% difference between finger and toe oxygen saturation) can be used to detect lower extremity peripheral Major arteries Ankle-brachial index Ankle systolic pressures Axillary a. Right common carotid a. Left arm, systolic pressure in the brachial a. Left ankle, systolic pressure in the posterior </w:t>
      </w:r>
      <w:r w:rsidRPr="00F23836">
        <w:lastRenderedPageBreak/>
        <w:t xml:space="preserve">tibial a. and the dorsalis pedis a. Brachial a. Deep brachial a. Radial a. Common iliac a. Ulnar a. Femoral a. Popliteal a. Posterior tibial artery a. Posterior tibial artery a. Anterior tibial artery a. Dorsalis pedis a. Dorsalis pedis a. Deep femoral a. A B FIGURE 246-3 A. Anatomy of the major arteries of the leg. B. Measurement of the ankle systolic pressure. The ankle-brachial index (ABI) is calculated by dividing the lower of the two ankle pressures (i.e., the dorsalis pedis or posterior tibia) by the higher of the two arm pressures (i.e., left or right arm). Left and right ABIs should be recorded. (Adapted from NA Khan et al: Does the clinical examination predict lower extremity peripheral arterial disease? JAMA 295:536, 2006.) 1864 EXPIRATION arterial disease and is comparable in its performance characteristics to the ankle-brachial index. PART 6 Disorders of the Cardiovascular System Inspection and Palpation of the Heart The LV apex beat may be visible in the midclavicular line at the fifth intercostal space in thin-chested adults. Visible pulsations anywhere other than this expected location are abnormal. The left anterior chest wall may heave in patients with an enlarged or hyperdynamic left or right ventricle. As noted previously, a visible right upper parasternal pulsation may be suggestive of ascending aortic aneurysm disease. In thin, tall patients and patients with advanced obstructive lung disease and flattened diaphragms, the cardiac impulse may be visible in the epigastrium and should be distinguished from a pulsatile liver edge. Palpation of the heart begins with the patient in the supine position at 30° and can be enhanced by placing the patient in the left lateral decubitus position. The normal LV impulse is 35 mm). Repolar CHAPTER 247 Electrocardiography LA Main QRS vector V1 ization abnormalities (ST depression with T-wave inversions, formerly called the left ventricular “strain” pattern) may appear in leads with prominent R waves. However, prominent precordial voltages occur as a common normal variant, especially in athletic or young individu als. Left ventricular hypertrophy may increase limb lead voltage with or without increased precordial voltage (e.g., RaVL + SV3 &gt;20 mm in women and &gt;28 mm in men). The presence of left atrial abnormality increases the likelihood of underlying left ventricular hypertrophy in cases with borderline voltage criteria. Left ventricular hypertrophy often progresses to incomplete or complete left bundle branch block. The sensitivities of conventional voltage criteria for left ventricular hypertrophy are low in middle age to older adults and may be decreased further in obese persons and smokers, as well as with right bundle branch block. ECG evidence for left ventricular hypertrophy is a major noninvasive marker of increased risk of cardiovascular morbidity and mortality rates, including sudden cardiac death. However, because of false-positive and false-negative diagnoses, the ECG is of limited util ity in diagnosing atrial or ventricular enlargement. More definitive anatomic and functional information is provided by echocardiographic and cardiac magnetic resonance imaging studies (Chaps. 248 and A9). V6 </w:t>
      </w:r>
      <w:r w:rsidRPr="00F23836">
        <w:rPr>
          <w:rFonts w:ascii="Arial" w:hAnsi="Arial" w:cs="Arial"/>
        </w:rPr>
        <w:t>■</w:t>
      </w:r>
      <w:r w:rsidRPr="00F23836">
        <w:t xml:space="preserve">BUNDLE BRANCH BLOCKS AND RELATED PATTERNS Intrinsic impairment of conduction in either the right or the left bundle system (intraventricular conduction disturbances) leads to prolonga tion of the QRS interval. With complete bundle branch blocks, the widest QRS interval is </w:t>
      </w:r>
      <w:r w:rsidRPr="00F23836">
        <w:rPr>
          <w:rFonts w:ascii="Aptos" w:hAnsi="Aptos" w:cs="Aptos"/>
        </w:rPr>
        <w:t>≥</w:t>
      </w:r>
      <w:r w:rsidRPr="00F23836">
        <w:t xml:space="preserve">120 ms in duration; </w:t>
      </w:r>
      <w:r w:rsidRPr="00F23836">
        <w:lastRenderedPageBreak/>
        <w:t xml:space="preserve">with incomplete blocks, the QRS interval is between about 110 and 120 ms. The QRS vector usually is oriented in the direction of the myocardial region where depolariza tion is delayed (Fig. 247-10). Thus, with right bundle branch block, the terminal QRS vector is oriented to the right and anteriorly (rSR′ in V1 and qRS in V6 , typically). Left bundle branch block alters both early and later phases of ventricular depolarization. The major QRS vector is directed to the left and posteriorly. In addition, the normal early left-to right pattern of septal activation is disrupted such that septal depolar ization proceeds from right to left as well. As a result, left bundle branch block generates wide, predominantly negative (QS) complexes in lead V1 and entirely positive (R) complexes in V6 . Waveform patterns identi cal to those of left bundle branch block, preceded by a sharp (sometimes very low amplitude) spike, are seen in most cases of electronic right ventricular pacing due to the relative delay in left ventricular activation. Bundle branch block may occur in a variety of conditions. In sub jects without structural heart disease, right bundle branch block is seen more commonly than left bundle branch block. Right bundle branch block also occurs with heart disease, both congenital (e.g., atrial septal defect) and acquired (e.g., valvular, ischemic). Left bundle branch block is often a marker of one of four underlying conditions associated with increased risk of cardiovascular morbidity and mortality rates: coronary 1872 V6 V1 Normal PART 6 Disorders of the Cardiovascular System RBBB R′ r S R T LBBB q S FIGURE 247-10 Comparison of typical QRS-T patterns in right bundle branch block (RBBB) and left bundle branch block (LBBB) with the normal pattern in leads V1 and V6 . Note the secondary T-wave inversions (arrows) in leads with an rSR′ complex with RBBB and in leads with a wide R wave with LBBB. heart disease (frequently with impaired left ventricular function), hyper tensive heart disease, aortic valve disease (including after transcatheter aortic valve replacement), and cardiomyopathy. Bundle branch blocks may be chronic or intermittent. A bundle branch block may be rate related, most commonly observed when the heart rate exceeds some critical value. Bundle branch blocks and depolarization abnormalities second ary to artificial pacemakers not only affect ventricular depolariza tion (QRS) but also are characteristically associated with secondary repolarization (ST-T) abnormalities. With bundle branch blocks, the T wave is typically opposite in polarity to the last deflection of the QRS (Fig. 247-10). This discordance of the QRS–T-wave vectors is caused by the altered sequence of repolarization that occurs as a consequence of altered depolarization. In contrast, primary repolarization abnor malities are independent of QRS changes and are related instead to actual alterations in the electrical properties of the myocardial fibers themselves (e.g., in the resting membrane potential or action potential duration), not just to changes in the sequence of repolarization. Isch emia, electrolyte imbalance, and drugs such as digoxin all cause such primary ST–T-wave changes. Primary and secondary T-wave changes may coexist. For example, T-wave inversions in the right precordial leads with left bundle branch block or in the left precordial leads with right bundle branch block may be important markers of underlying ischemia or other </w:t>
      </w:r>
      <w:r w:rsidRPr="00F23836">
        <w:lastRenderedPageBreak/>
        <w:t xml:space="preserve">abnormalities. A distinctive abnormality simulating right bundle branch block with ST-segment elevations in the right chest leads is seen with the Brugada pattern (Chap. 262). Partial blocks in the left bundle system (left anterior or posterior fascicular blocks; formerly called hemiblocks) generally do not prolong ST V5 ST the QRS duration substantially. Instead, they are associated with shifts in the frontal plane QRS axis (leftward or rightward, respectively). Left anterior fascicular block (QRS axis more negative than –45°) is prob ably the most common cause of marked left axis deviation in adults. In contrast, left posterior fascicular block (QRS axis more rightward than +110–120°) is extremely rare as an isolated finding and requires exclusion of other factors causing right axis deviation. Intraventricular conduction delays also can be caused by factors extrinsic (toxic) to the conduction system that slow ventricular conduction, particularly hyperkalemia or drugs (e.g., class 1 antiarrhythmic agents, tricyclic antidepressants, phenothiazines). Prolongation of QRS duration does not necessarily indicate a conduction delay but may be due to preexci tation of the ventricles via a bypass tract, as in Wolff-Parkinson-White (WPW) patterns (Chap. 256) and related variants. </w:t>
      </w:r>
      <w:r w:rsidRPr="00F23836">
        <w:rPr>
          <w:rFonts w:ascii="Arial" w:hAnsi="Arial" w:cs="Arial"/>
        </w:rPr>
        <w:t>■</w:t>
      </w:r>
      <w:r w:rsidRPr="00F23836">
        <w:t xml:space="preserve">MYOCARDIAL ISCHEMIA AND INFARCTION T (See also Chap. 286) The ECG is central to the diagnosis of acute and chronic ischemic heart disease. Ischemia exerts complex time dependent effects on the electrical properties of myocardial cells. Severe, acute ischemia lowers the resting membrane potential and shortens the duration of the action potential. Such changes cause a voltage gradient between normal and ischemic zones. As a con sequence, current flows between those regions. These currents of injury are represented on the surface ECG by deviation of the ST segment (Fig. 247-11). When the acute ischemia is transmural, the ST vector usually is shifted in the direction of the outer (epicardial) layers, producing ST elevations and sometimes, in the earliest stages of ischemia, tall, positive so-called hyperacute T waves over the ischemic zone. With ischemia confined primarily to the subendocardium, the ST vector typically shifts toward the subendocardium and ventricular cav ity, so that overlying (e.g., anterior precordial) leads show ST-segment depression (with ST elevation in lead aVR). Multiple factors affect the amplitude of acute ischemic ST deviations. Profound ST elevation or depression in multiple leads usually indicates very severe ischemia. The division of acute myocardial infarction due to obstructive coronary artery disease into ST-segment elevation and non-ST elevation types is useful since the consistent efficacy of emergency (minutes to hours) reperfusion therapy is limited to the former group. Indications for acute reperfusion therapy in non-ST elevation myocardial infarction are a focus of ongoing investigation (Chap. 285). Takotsubo syndrome, as well as other causes of myocardial infarction without atherosclerotic coronary disease, can simulate the patterns of acute or evolving ST-seg ment elevation or non-ST-segment elevation infarction (Chap. 285). The ECG leads are usually more helpful in localizing regions of ST elevation than non-ST elevation ischemia. For example, acute transmu ral anterior (including apical and lateral) wall ischemia is reflected by ST elevations or increased T-wave positivity in one or more of the precor dial leads (V1–V6 ) and leads I and aVL. </w:t>
      </w:r>
      <w:r w:rsidRPr="00F23836">
        <w:lastRenderedPageBreak/>
        <w:t xml:space="preserve">Inferior wall ischemia produces changes in leads II, III, and aVF. “Posterior” wall ischemia (almost always associated with lateral or inferior involvement) may be indirectly recognized by reciprocal ST depressions in leads V1 to V3 (thus constitut ing an ST elevation “equivalent” acute coronary syndrome). Acute right ventricular ischemia usually produces ST elevations in right-sided chest leads (Fig. 247-5). When ischemic ST elevations occur as the earliest sign of acute infarction, they typically are followed within a period ranging from hours to days by evolving T-wave inversions and often by Q waves occurring in the same lead distribution. Reversible transmural ST B V5 ST A FIGURE 247-11 Acute ischemia causes a current of injury. A. With predominant subendocardial ischemia, the resultant ST vector will be directed toward the inner layer of the affected ventricle and the ventricular cavity. Overlying leads therefore will record ST depression. B. With ischemia involving the outer ventricular layer (transmural or epicardial injury), the ST vector will be directed outward. Overlying leads will record ST elevation. V1 V2 V3 V4 V5 V6 1873 FIGURE 247-12 Severe anterior wall ischemia (with or without infarction) may cause prominent T-wave inversions in the precordial leads and in leads I and aVL. This pattern (sometimes referred to as the Wellens T wave sign) is usually associated with a high-grade stenosis of the left anterior descending coronary artery. ischemia, for example, due to coronary vasospasm (Prinzmetal’s angina) may cause transient ST-segment elevations without development of Q waves. Depending on the severity and duration of ischemia, ischemic ST elevations may resolve completely in minutes or be followed by T-wave inversions that persist for hours or even days. Patients with ischemic chest pain who present with deep T-wave inversions in mul tiple precordial leads (e.g., V1–V4 , and sometimes I and aVL) with or without cardiac enzyme elevations typically have severe obstruction in the left anterior descending coronary artery (Fig. 247-12). With infarction, depolarization (QRS) changes often accompany repolarization (ST-T) abnormalities. Necrosis of sufficient myocardial tissue may lead to decreased R-wave amplitude or abnormal Q waves (even in the absence of transmural ischemia) in the anterior or inferior leads (Fig. 247-13). Abnormal Q waves were once considered markers of transmural myocardial infarction, whereas subendocardial infarcts were thought not to produce Q waves. However, transmural infarcts may occur without Q waves, and subendocardial (nontransmural) infarcts may be associated with Q waves. Therefore, evolving or chronic infarcts are more appropriately classified as “Q-wave” or “non-Q-wave” (Chap. A7). Loss of depolarization forces due to posterior or lateral infarction may cause reciprocal increases in R-wave amplitude in leads V1 and V2 without diagnostic Q waves in any of the conventional leads. (Additional leads V7–V9 may show acute changes.) In the weeks and months after infarction, these ECG changes may persist or begin to resolve. Complete normalization of the ECG after Q-wave infarction is uncommon but may occur, particularly with smaller infarcts. In con trast, ST-segment elevations that persist for several weeks or more after a Q-wave infarct usually correlate with a severe underlying wall motion disorder, although not necessarily a frank ventricular aneurysm. A The ECG has important limitations in both </w:t>
      </w:r>
      <w:r w:rsidRPr="00F23836">
        <w:lastRenderedPageBreak/>
        <w:t xml:space="preserve">sensitivity and speci ficity in the diagnosis of acute and chronic ischemic heart disease. Although a single normal ECG does not exclude ischemia or even acute infarction, a normal ECG throughout the course of an acute infarct is distinctly uncommon. Prolonged chest pain without diagnostic ECG changes therefore should always prompt a careful search for other non coronary causes of chest pain (Chap. 15). Furthermore, the diagnostic changes of acute or evolving ischemia are often masked by the presence of left bundle branch block, electronic ventricular pacemaker patterns, and WPW preexcitation. However, clinicians may also overdiagnose ischemia or infarction based on the presence of ST-segment elevations or depressions; T-wave inversions; tall, positive T waves; or Q waves not related to ischemic heart disease (pseudoinfarct patterns). For example, ST-segment elevations simulating acute ischemia/infarction may occur with acute pericarditis or myocarditis, including COVID-19 infections, as a normal variant (including the typical “early repolarization” pat tern), or in a variety of other conditions (Table 247-1). Similarly, tall T waves do not invariably represent hyperacute ischemic changes but may also be caused by normal variants, hyperkalemia, or cerebrovas cular injury, among other causes. ST-segment elevations and tall, positive T waves are common find ings in leads V1 and V2 in left bundle branch block or left ventricular hypertrophy in the absence of ischemia. The differential diagnosis of Q waves includes physiologic or positional variants, ventricular hyper trophy, acute or chronic noncoronary myocardial injury, hypertrophic cardiomyopathy, and ventricular conduction disorders. Ventricular hypertrophy, hypokalemia, drugs such as digoxin, and a variety of other factors may cause ST-segment depression mimicking suben docardial ischemia. Prominent T-wave inversion may occur with ECG sequence with anterior ST-elevation/Q-wave infarction I II III Acute Evolving B aVR aVL ECG sequence with inferior ST-elevation/Q-wave infarction I II III Acute Evolving aVR aVF V2 V4 aVL aVF V2 V4 FIGURE 247-13 Sequence of depolarization and repolarization changes with acute and evolving anterior (A) and (B) inferior ST-elevation/Q-wave infarctions. With anterior infarcts, ST elevation in leads I and aVL and the precordial leads may be accompanied by reciprocal ST depressions in leads II, III, and aVF. Conversely, acute inferior (or posterolateral) infarcts may be associated with reciprocal ST depressions in leads V1 to V3 . (Reproduced with permission from AL Goldberger et al: Goldberger’s Clinical Electrocardiography: A Simplified Approach, 10th ed. Philadelphia, Elsevier, 2024.) CHAPTER 247 Electrocardiography V6 V6 1874 TABLE 247-1 Differential Diagnosis of ST-Segment Elevations PART 6 Disorders of the Cardiovascular System Myocardial ischemia/infarction Noninfarction transmural ischemia (e.g., Prinzmetal’s syndrome) Acute myocardial infarction Due to atherosclerotic coronary occlusion Due to nonatherosclerotic causes (e.g., takotsubo syndrome, coronary dissection) Post-myocardial infarction (left ventricular motion abnormality/aneurysm) Acute pericarditis Normal variants (including benign “early repolarization” patterns) Left ventricular hypertrophy/left bundle branch blocka Other (rarer) Acute pulmonary embolisma Brugada patterns (right bundle branch block–like </w:t>
      </w:r>
      <w:r w:rsidRPr="00F23836">
        <w:lastRenderedPageBreak/>
        <w:t xml:space="preserve">morphology with ST elevations in right precordial leads) Class 1C antiarrhythmic drugsa DC cardioversion (transient) Hypercalcemiaa Hyperkalemiaa Hypothermia (J [Osborn] waves) Nonischemic myocardial injury Myocarditis syndromes (infectious and noninfectious) Tumor invading left ventricle Trauma to ventricles aUsually localized to V1–V2 or V3 . Source: Modified from AL Goldberger et al: Goldberger’s Clinical Electrocardiography: A Simplified Approach, 10th ed. Elsevier, 2024. ventricular hypertrophy, cardiomyopathies, myocarditis, and “stress cardiomyopathies” associated with takotsubo syndrome and cerebro vascular injury (particularly intracranial bleeds), among others causes. Diagnostic confusion may also occur when nonischemic T-wave inver sions (“cardiac memory” effect) appear in normally conducted beats in patients with intermittent wide QRS complexes, most commonly due to ventricular pacing or to left bundle branch block. </w:t>
      </w:r>
      <w:r w:rsidRPr="00F23836">
        <w:rPr>
          <w:rFonts w:ascii="Arial" w:hAnsi="Arial" w:cs="Arial"/>
        </w:rPr>
        <w:t>■</w:t>
      </w:r>
      <w:r w:rsidRPr="00F23836">
        <w:t xml:space="preserve">METABOLIC FACTORS AND DRUG EFFECTS A variety of metabolic abnormalities and pharmacologic agents alter the ECG and, in particular, cause changes in repolarization (ST-T-U) and sometimes QRS prolongation. Certain life-threatening electrolyte disturbances may be diagnosed initially and monitored from the ECG. Hyperkalemia produces a sequence of changes (Fig. 247-14), usually Mild-Moderate V1 V2 Moderate-Severe T V1 V2 P T beginning with narrowing and peaking (tenting) of the T waves. Fur ther elevation of extracellular K+ leads to AV conduction disturbances, diminution in P-wave amplitude, and widening of the QRS interval. Severe hyperkalemia eventually causes cardiac arrest with a slow sinu soidal type of mechanism (“sine-wave” pattern) followed by asystole. Hypokalemia (Fig. 247-15) prolongs ventricular repolarization, often with prominent U waves. Prolongation of the QT interval is also seen with drugs that increase the duration of the ventricular action poten tial: class 1A antiarrhythmic agents and related drugs (e.g., quinidine, procainamide, tricyclic antidepressants, phenothiazines) and class III agents (e.g., amiodarone [Fig. 247-15], dofetilide, sotalol, ibutilide). Systemic hypothermia (Fig. 247-15) also prolongs repolarization, usu ally with a distinctive convex elevation of the J point (Osborn wave) and bradycardia. Marked QT prolongation, sometimes with deep, wide T-wave inversions, may occur with intracranial bleeds, particularly subarachnoid hemorrhage (“CVA T-wave” pattern) (Fig. 247-15). Hypocalcemia typically prolongs the QT interval (ST portion), whereas hypercalcemia shortens it (Fig. 247-16). Digitalis glycosides also shorten the QT interval, often with a characteristic “scooping” of the ST–T-wave complex (digitalis effect). </w:t>
      </w:r>
      <w:r w:rsidRPr="00F23836">
        <w:rPr>
          <w:rFonts w:ascii="Arial" w:hAnsi="Arial" w:cs="Arial"/>
        </w:rPr>
        <w:t>■</w:t>
      </w:r>
      <w:r w:rsidRPr="00F23836">
        <w:t>NONSPECIFIC ST-T CHANGES AND LOW QRS VOLTAGE Many other factors are associated with ECG changes, particularly alter ations in ventricular repolarization. T-wave flattening, minimal T-wave inversions, or slight ST-segment depression (</w:t>
      </w:r>
      <w:r w:rsidRPr="00F23836">
        <w:rPr>
          <w:rFonts w:ascii="Aptos" w:hAnsi="Aptos" w:cs="Aptos"/>
        </w:rPr>
        <w:t>“</w:t>
      </w:r>
      <w:r w:rsidRPr="00F23836">
        <w:t>nonspecific ST</w:t>
      </w:r>
      <w:r w:rsidRPr="00F23836">
        <w:rPr>
          <w:rFonts w:ascii="Aptos" w:hAnsi="Aptos" w:cs="Aptos"/>
        </w:rPr>
        <w:t>–</w:t>
      </w:r>
      <w:r w:rsidRPr="00F23836">
        <w:t>T-wave changes</w:t>
      </w:r>
      <w:r w:rsidRPr="00F23836">
        <w:rPr>
          <w:rFonts w:ascii="Aptos" w:hAnsi="Aptos" w:cs="Aptos"/>
        </w:rPr>
        <w:t>”</w:t>
      </w:r>
      <w:r w:rsidRPr="00F23836">
        <w:t xml:space="preserve">) may occur with a variety of electrolyte and acid-base distur bances, infectious or inflammatory processes, central nervous system disorders, endocrine abnormalities, many drugs, ischemia, hypoxia, and virtually any type of cardiopulmonary abnormality, in addition to physiologic changes (e.g., with posture or after meals). Low QRS volt age is arbitrarily defined as peak-to-trough QRS amplitudes of ≤5 mm in the six limb leads and/or ≤10 mm in the </w:t>
      </w:r>
      <w:r w:rsidRPr="00F23836">
        <w:lastRenderedPageBreak/>
        <w:t xml:space="preserve">chest leads. Multiple factors may be responsible. Among the most serious include pericardial (Fig. 247-17) or pleural effusions, chronic obstructive pulmonary disease, cardiac amyloid, and anasarca. </w:t>
      </w:r>
      <w:r w:rsidRPr="00F23836">
        <w:rPr>
          <w:rFonts w:ascii="Arial" w:hAnsi="Arial" w:cs="Arial"/>
        </w:rPr>
        <w:t>■</w:t>
      </w:r>
      <w:r w:rsidRPr="00F23836">
        <w:t>ELECTRICAL ALTERNANS SYNDROMES Electrical alternans</w:t>
      </w:r>
      <w:r w:rsidRPr="00F23836">
        <w:rPr>
          <w:rFonts w:ascii="Aptos" w:hAnsi="Aptos" w:cs="Aptos"/>
        </w:rPr>
        <w:t>—</w:t>
      </w:r>
      <w:r w:rsidRPr="00F23836">
        <w:t>a beat-to-beat alternation in one or more com ponents of the ECG signal</w:t>
      </w:r>
      <w:r w:rsidRPr="00F23836">
        <w:rPr>
          <w:rFonts w:ascii="Aptos" w:hAnsi="Aptos" w:cs="Aptos"/>
        </w:rPr>
        <w:t>—</w:t>
      </w:r>
      <w:r w:rsidRPr="00F23836">
        <w:t xml:space="preserve">is a common type of nonlinear cardio vascular response to a variety of hemodynamic and electrophysiologic perturbations. Total electrical alternans (P-QRS-T) with sinus tachy cardia is a relatively specific sign of pericardial effusion, usually with cardiac tamponade (Fig. 247-17). In contrast, pure repolarization Hyperkalemia Very Severe Lead I Lead II P 1mV 1s FIGURE 247-14 The earliest ECG change with hyperkalemia is usually peaking (“tenting”) of the T waves. With further increases in the serum potassium concentration, the QRS complexes widen, the P waves decrease in amplitude and may disappear, and finally a sine-wave pattern leads to asystole unless emergency therapy is given. (Reproduced with permission from AL Goldberger et al: Goldberger’s Clinical Electrocardiography: A Simplified Approach, 10th ed. Philadelphia, Elsevier, 2024.) II Hypokalemia Hypothermia Amiodarone 1875 V3 V5 U V4 T Tricyclic overdose V2 I Subarachnoid hemorrhage III V 3 FIGURE 247-15 A variety of metabolic derangements, drug effects, and other factors may prolong ventricular repolarization with QT prolongation or prominent U waves. Prominent repolarization prolongation, particularly if due to hypokalemia, inherited “channelopathies,” or certain pharmacologic agents, indicates increased susceptibility to torsades des pointes ventricular tachycardia (Chap. 261). Marked systemic hypothermia is associated with a distinctive convex “hump” at the J point (Osborn wave, arrow) attributed to altered transmural ventricular action potential characteristics. Note QRS and QT prolongation along with sinus tachycardia in the case of tricyclic antidepressant overdose. Hypocalcemia I II Normal H ypercalcemia I I II II QT=480 ms QTc=500 ms QT=360 ms QTc=400 ms QT=260 ms QTc=350 ms FIGURE 247-16 Prolongation of the Q-T interval (ST-segment portion) is typical of hypocalcemia. Hypercalcemia may cause abbreviation of the ST segment with relative or absolute shortening of the QT interval. FIGURE 247-17 Classic triad of findings for pericardial effusion with cardiac tamponade: (1) sinus tachycardia; (2) low QRS voltages and (3) electrical alternans (best seen in leads V3 and V4 in this case; arrows). This triad is highly suggestive of pericardial effusion, usually with tamponade physiology, but is of limited sensitivity. (Adapted from LA Nathanson et al: ECG Wave-Maven. ecg.bidmc.harvard.edu.) CHAPTER 247 Electrocardiography 1876 (ST-T or U wave) alternans is a sign of electrical instability and may precede life-threatening ventricular tachyarrhythmias. PART 6 Disorders of the Cardiovascular System </w:t>
      </w:r>
      <w:r w:rsidRPr="00F23836">
        <w:rPr>
          <w:rFonts w:ascii="Arial" w:hAnsi="Arial" w:cs="Arial"/>
        </w:rPr>
        <w:t>■</w:t>
      </w:r>
      <w:r w:rsidRPr="00F23836">
        <w:t xml:space="preserve">CLINICAL INTERPRETATION OF THE ECG Accurate analysis of ECGs requires thoroughness and care. The patient’s age, biologic sex, and clinical status should always be con sidered. Many mistakes in ECG interpretation are errors of omission. Therefore, a systematic approach is essential. The following 14 param eters should be analyzed carefully in every ECG: (1) standardization (calibration) and technical features (including lead placement and artifacts); (2) rhythm; (3) heart rate; (4) </w:t>
      </w:r>
      <w:r w:rsidRPr="00F23836">
        <w:lastRenderedPageBreak/>
        <w:t xml:space="preserve">PR interval/AV conduction; (5) QRS interval; (6) QT/QTc intervals; (7) mean QRS electrical axis; (8) P waves; (9) QRS voltages; (10) precordial R-wave progression; (11) abnormal Q waves; (12) ST segments; (13) T waves; and (14) U waves. Comparison with any previous ECGs is invaluable. </w:t>
      </w:r>
      <w:r w:rsidRPr="00F23836">
        <w:rPr>
          <w:rFonts w:ascii="Arial" w:hAnsi="Arial" w:cs="Arial"/>
        </w:rPr>
        <w:t>■</w:t>
      </w:r>
      <w:r w:rsidRPr="00F23836">
        <w:t xml:space="preserve">COMPUTERIZED ELECTROCARDIOGRAPHY Computerized systems are widely used for storage and immediate retrieval of vast numbers of ECG records. Fully automated computer ized ECG analyses still have major limitations and, therefore, should not be accepted without careful clinician review. </w:t>
      </w:r>
      <w:r w:rsidRPr="00F23836">
        <w:rPr>
          <w:rFonts w:ascii="Arial" w:hAnsi="Arial" w:cs="Arial"/>
        </w:rPr>
        <w:t>■</w:t>
      </w:r>
      <w:r w:rsidRPr="00F23836">
        <w:t>FURTHER READING Cook DA et al: Accuracy of physicians</w:t>
      </w:r>
      <w:r w:rsidRPr="00F23836">
        <w:rPr>
          <w:rFonts w:ascii="Aptos" w:hAnsi="Aptos" w:cs="Aptos"/>
        </w:rPr>
        <w:t>’</w:t>
      </w:r>
      <w:r w:rsidRPr="00F23836">
        <w:t xml:space="preserve"> electrocardiogram interpre tations: A systematic review and meta-analysis. JAMA Intern Med 180:1461, 2020. Goldberger AL et al: Goldberger</w:t>
      </w:r>
      <w:r w:rsidRPr="00F23836">
        <w:rPr>
          <w:rFonts w:ascii="Aptos" w:hAnsi="Aptos" w:cs="Aptos"/>
        </w:rPr>
        <w:t>’</w:t>
      </w:r>
      <w:r w:rsidRPr="00F23836">
        <w:t xml:space="preserve">s Clinical Electrocardiography: A Simpli fied Approach, 10th ed. Philadelphia, Elsevier, 2024. Ismail H et al: Neuromuscular disorders and the role of the clinical electrophysiologist. J Am Coll Cardiol Clin Electrophysiol 3:1069, 2017. Mirvis DM, Goldberger AL: Electrocardiography, in Braunwald’s Heart Disease: A Textbook of Cardiovascular Medicine, 12th ed, Libby P et al (eds). Philadelphia, Elsevier, 2021, pp. 141-174. Nathanson LA et al: ECG Wave-Maven. Self-assessment program for stu dents and physicians. Available at ecg.bidmc.harvard.edu.  Accessed January 1, 2024. Sharma S et al: International recommendations for electrocardio graphic interpretation in athletes. Eur Heart J 39:1466, 2018. 248 Noninvasive Cardiac Imaging: Echocardiography, Nuclear Cardiology, and Magnetic Resonance/ Computed Tomography Imaging Marcelo F. DiCarli, Raymond Y. Kwong, Scott D. Solomon The ability to image the heart and blood vessels noninvasively has been one of the greatest advances in cardiovascular medicine since the development of the electrocardiogram (ECG). Cardiac imaging complements history taking and physical examination, blood and labo ratory testing, and exercise testing in the diagnosis and management of most diseases of the cardiovascular system. Modern cardiovascular imaging consists of echocardiography (cardiac ultrasound), nuclear scintigraphy including positron emission tomography (PET) imaging, magnetic resonance imaging (MRI), and computed tomography (CT). These studies, often used in conjunction with exercise or pharmaco logic stress testing, can be used independently or can provide comple mentary information for patient diagnosis or prognosis. In this chapter, we review the principles of each of these modalities and the utility and relative benefits of each for the most common cardiovascular diseases. PRINCIPLES OF MULTIMODALITY CARDIAC IMAGING </w:t>
      </w:r>
      <w:r w:rsidRPr="00F23836">
        <w:rPr>
          <w:rFonts w:ascii="Arial" w:hAnsi="Arial" w:cs="Arial"/>
        </w:rPr>
        <w:t>■</w:t>
      </w:r>
      <w:r w:rsidRPr="00F23836">
        <w:t xml:space="preserve">ECHOCARDIOGRAPHY Echocardiography uses high-frequency sound waves (ultrasound) to penetrate the body, reflect from relevant structures, and generate an image. The basic physical principles of echocardiography are identi cal to other types of ultrasound imaging, although the hardware and software are optimized for evaluation of cardiac structure and func tion. Early echocardiography machines displayed “M-mode” echocar diograms in which a single ultrasound beam was displayed over time on a moving sheet of paper (Fig. 248-1, left panel). Modern echo cardiographic machinery uses phased array transducers that contain up to 512 elements and emit ultrasound in sequence. The reflected ultrasound is then sensed by the receiving elements, and </w:t>
      </w:r>
      <w:r w:rsidRPr="00F23836">
        <w:lastRenderedPageBreak/>
        <w:t xml:space="preserve">images are generated by microprocessors that use information about the tim ing and magnitude of the reflected ultrasound to generate an image (Fig. 248-1, right panel). This sequence happens repeatedly in “real time” to generate moving images with frame rates that are typically &gt;30 frames per second but can exceed 100 frames per second. The gray scale of the image features indicates the intensity of the reflected ultra sound; fluid or blood appears black, and highly reflective structures, such as calcifications on cardiac valves or the pericardium, appear white. Tissues such as myocardium appear grayer, and tissues such as muscle display a unique speckle pattern. The spatial resolution of ultrasound is dependent on the frequency of the ultrasound (inverse of wavelength). The higher the frequency of the ultrasound beam, the greater the spatial resolution and ability to discern small structures, but at the cost of penetration, which is decreased at higher frequencies. Thus, higher frequencies are used in pediatric imaging or transesophageal echocardiography where the transducer is typically much closer to the structures being interrogated. Three-dimensional ultrasound transducers use a waffle-like matrix array transducer and receive a pyramidal data sector. Three-dimensional echocardiography is being increasingly used for assessment of con genital heart disease and valves, particularly with transesophageal echocardiography, although current image quality lags behind two dimensional (2D) ultrasound (Fig. 248-2). In addition to the generation of 2D images that provide information about cardiac structure and function, echocardiography can be used to interrogate blood flow within the heart and blood vessels by using the Doppler principle to ascertain the velocity of blood flow. When ultra sound emitted from a transducer reflects off red blood cells that are moving toward the transducer, the reflected ultrasound will return at a slightly higher frequency than emitted; the opposite is true when flow moves away from the transducer. That frequency difference, termed the Doppler shift, is directly related to the velocity of the flow of the red blood cells. The velocity of blood flow between two chambers will be directly related to the pressure gradient between those chambers. A modified form of the Bernoulli equation, p = 4v2 where p = the pressure gradient and v = the velocity of blood flow in meters per second, can be used to calculate this pressure gradient in most clinical circumstances. This principle can be used to determine the pressure gradient between chambers and across valves and has become central to the quantitative assessment of valvular heart disease. There are three types of Doppler ultrasound that are typically used in standard echocardiographic examinations: spectral Doppler, which consists of both pulsed wave Doppler and continuous wave Doppler, and color flow Doppler. Both types of spectral Doppler will display a waveform representing the velocity of blood flow, with time on the horizontal axis and velocity on the vertical axis. Pulsed wave Doppler Image Generation in M-Mode and 2D Echocardiography 1877 Phased array transducer Processing and scan conversion time Piezoelectric elements Ultrasound pulses Heart Echoes Time Distance (depth) M-mode image 2D image FIGURE 248-1 Principle of image generation in two-dimensional (2D) echocardiography. An electronically steerable phased-array transducer emits </w:t>
      </w:r>
      <w:r w:rsidRPr="00F23836">
        <w:lastRenderedPageBreak/>
        <w:t xml:space="preserve">ultrasound from piezoelectric elements, and returning echoes are used to generate a 2D image (right) using a scan converter. Early echocardiography machines used a single ultrasound beam to generate an “M-mode” echocardiogram (see text), although modern equipment generates M-mode echocardiograms digitally from the 2D data. LV, left ventricle. 3D matrix array transducer Matrix array elements 3D scan FIGURE 248-2 Three-dimensional (3D) probe and 3D image. I L 3D is used to interrogate relatively low velocity flow and has the ability to determine blood flow velocity at a particular location within the heart. Continuous wave Doppler is used to assess high velocity flow but can only identify the highest velocity in a particular direction and cannot interrogate the velocity at a specific depth location. Both techniques can only accurately assess velocities that are in the direction of the ultrasound scan lines, and velocities that are at an angle to the direction of the ultrasound beam will be underestimated. Color flow Doppler is a form of pulsed wave Doppler in which the velocity of blood flow is color encoded according to a scale and superimposed on a 2D gray scale image in real time, giving the appearance of real-time flow within the heart. The Doppler principle can also be used to assess the velocity of myocardial motion, which is a sensitive way to assess myocardial function (Fig. 248-3). A standard full transthoracic echocardiographic examination consists of a series of 2D views made up of different imag ing planes from various scanning locations and spectral and color flow Doppler assessment. Transesophageal Echocardiography Transesophageal echocar diography is a form of echocardiography in which the transducer A B C FIGURE 248-3 Three types of Doppler ultrasound. A and B. Pulsed and continuous wave Doppler waveforms with time on horizontal axis and velocity of blood flow on vertical axis. C. Color flow Doppler, where velocities are encoded by colors according to scale on right side of screen and superimposed on a two-dimensional grayscale image. CHAPTER 248 Noninvasive Cardiac Imaging: Echocardiography, Nuclear Cardiology, and Magnetic Resonance/Computed Tomography Imaging 1878 PART 6 Disorders of the Cardiovascular System FIGURE 248-4 Two examples of handheld ultrasound equipment: V-Scan (General Electric, left) and Sonosite (right). is located on the tip of an endoscope that can be inserted into the esophagus. This procedure allows closer, less obstructed views of cardiac structures, without having to penetrate through chest wall, muscle, and ribs. Because less penetration is needed, a higher frequency probe can be used, and image quality and spatial resolution are generally higher than with standard transthoracic imaging, particularly for structures that are more posterior. Transesophageal echocardiography has become the test of choice for assessment of small lesions in the heart such as valvular vegetations, especially in the setting of a prosthetic valve disease, and intracardiac thrombi, including assessment of the left atrial appendage, which is difficult to visualize with standard transthoracic imaging, and for assessment of congenital abnormalities. Transesophageal echocar diography requires both topical and systemic anesthesia, generally con scious sedation, and carries additional risks such as potential damage to the esophagus, including the rare </w:t>
      </w:r>
      <w:r w:rsidRPr="00F23836">
        <w:lastRenderedPageBreak/>
        <w:t xml:space="preserve">possibility of perforation, aspiration, and anesthesia-related complications. Patients generally need to give consent for transesophageal echocardiography and be monitored dur ing and after the procedure. Transesophageal echocardiography can be carried out in intubated patients and is routinely used for intraoperative monitoring during cardiac surgery. Stress Echocardiography Stress echocardiography is routinely used to assess cardiac function during exercise and can be used to identify myocardial ischemia or to assess valvular function under exercise conditions. Stress echocardiography is typically performed in conjunction with treadmill or bicycle exercise testing but can also be performed using pharmacologic stress most typically with an intrave nous infusion of dobutamine (see section on stress imaging below). Point-of-Care/Handheld Echocardiography Whereas typical echocardiographic equipment is large, bulky, and expensive, small handheld or point-of-care ultrasound (POCUS) equipment developed over the last decade now offers diagnostic quality imaging in a package small enough to be carried on rounds (Fig. 248-4). These relatively TABLE 248-1 Radiopharmaceuticals for Clinical Nuclear Cardiology RADIOPHARMACEUTICAL inexpensive point-of-care devices are gaining full diag nostic capabilities and currently represent an excellent screening tool if used by an experienced operator. As these units become even smaller and less expensive, they are being increasingly used not just by cardiologists, but also by emergency medicine physicians, intensivists, anes thesiologists, and internists. Nevertheless, echocardiography is a nontomographic modality. The image obtained is dependent on the skill of the operator who, holding a transducer, identifies standard views from which measurements can be made. Images that are obtained off-axis can result in incorrect measurements such as chamber volumes or ejection frac tion. As point-of-care echocardiography becomes more commonplace, practitioners will need sufficient training to obtain and interpret images. Artificial intelligence has been incorporated into several devices to help guide the user to obtain optimal images and to help with interpreta tion (see below). Myocardial strain or deformation imag ing has emerged as an alternative way to assess cardiac contractile performance. Global and/or regional myocardial strain can be assessed by either Doppler or, more commonly, 2D echocardiog raphy. Global longitudinal strain is assessed from the apical view and calculated as the endocardial perimeter length in end-diastole minus the endocardial perimeter length in end-systole and divided by the endocardial perimeter length in end-diastole. It is a more robust mea sure of contractile function than volumetric-based ejection fraction and has been shown to be predictive of outcome in a variety of cardiac diseases, including heart failure and following myocardial infarction. </w:t>
      </w:r>
      <w:r w:rsidRPr="00F23836">
        <w:rPr>
          <w:rFonts w:ascii="Arial" w:hAnsi="Arial" w:cs="Arial"/>
        </w:rPr>
        <w:t>■</w:t>
      </w:r>
      <w:r w:rsidRPr="00F23836">
        <w:t xml:space="preserve">RADIONUCLIDE IMAGING Radionuclide imaging techniques are commonly used for the evalu ation of patients with known or suspected coronary artery disease (CAD), including for initial diagnosis and risk stratification as well as the assessment of myocardial viability. In addition, radionuclide imaging is commonly used in the evaluation of patients with sus pected cardiac amyloidosis, myocardial and vascular inflammation, and infective endocarditis. These techniques use small amounts of </w:t>
      </w:r>
      <w:r w:rsidRPr="00F23836">
        <w:lastRenderedPageBreak/>
        <w:t xml:space="preserve">radiopharmaceuticals (Table 248-1), which are injected intravenously and trapped in the heart and/or vascular cells. Radioactivity within the heart and vasculature decays by emitting gamma rays. The inter action between these gamma rays and the detectors in specialized scanners (single-photon emission computed tomography [SPECT] and PET) creates a scintillation event or light output, which can be captured by digital recording equipment to form an image of the heart and vasculature. Like CT and MRI, radionuclide images also generate tomographic (three-dimensional) views of the heart and vasculature. Radiopharmaceuticals Used in Clinical Imaging Table 248-1 summarizes the most commonly used radiopharmaceuticals in clinical SPECT and PET imaging. Protocols for Stress Myocardial Perfusion Imaging Both exercise and pharmacologic stress can be used for myocardial IMAGING TECHNIQUE PHYSICAL HALF-LIFE APPLICATION Technetium-99m sestamibi Technetium-99m tetrofosmin Thalium-201 Iodine-123 metaiodobenzylguanidine (MIBG) Rubidium-82 13N-ammonia 18F-fluorodeoxyglucose SPECT SPECT SPECT SPECT PET 6 h 6 h 72 h Myocardial perfusion imaging Myocardial perfusion imaging Myocardial perfusion imaging 13 h 76 s PET PET Technetium-99m pyrophosphate (PYP), technetium-99m hydroxymethylene diphosphonate (HMDP), technetium-99m 3,3-diphosphono-1,2-propanodicarboxylic acid (DPD) SPECT 10 min 110 min 6 h Cardiac sympathetic innervation Myocardial perfusion imaging Myocardial perfusion imaging Myocardial viability, infection and inflammation imaging Cardiac amyloidosis Abbreviations: PET, positron emission tomography; SPECT, single-photon emission computed tomography. 1879 perfusion imaging. Exercise stress is generally preferred because it is physiologic and provides additional clinically important informa tion (i.e., clinical and hemodynamic responses, ST-segment changes, exercise duration, and functional status). However, submaximal effort will lower the sensitivity of the test and should be avoided, especially if the test is requested for initial diagnosis of CAD. In patients who are unable to exercise or who exercise submaximally, pharmacologic stress offers an adequate alternative to exercise stress testing. Pharmacologic stress can be accomplished either with coronary vasodilators, such as adenosine, dipyridamole, or regadenoson, or β1-receptor agonists, such as dobutamine. For patients unable to exercise, vasodilators are the most commonly used stress agents in combination with myocardial perfusion imaging. Dobutamine is a potent β1-receptor agonist that increases myocardial oxygen demand by augmenting contractility, heart rate, and blood pressure such as exercise. It is generally used as an alternative to vasodilator stress in patients with chronic pulmonary disease, in whom vasodilators may be contraindicated. Dobutamine is also commonly used as a pharmacologic alternative to stress testing in stress echocardiography. Myocardial Perfusion and Viability Imaging Protocols Imaging protocols are tailored to the individual patient based on the clinical question, patient’s risk, ability to exercise, body mass index, and other factors. For SPECT imaging, technetium-99m (99mTc)-labeled tracers are the most used imaging agents because they are associated with the best image quality and the lowest radiation dose to the patient (Fig. 248-5). Selection of </w:t>
      </w:r>
      <w:r w:rsidRPr="00F23836">
        <w:lastRenderedPageBreak/>
        <w:t xml:space="preserve">the protocol (stress-only, single-day, or 2-day) depends on the patient and clinical question. After intravenous injection, myocardial uptake of 99mTc-labeled tracers is rapid (1–2 min). After uptake, these tracers become trapped intracellularly in mitochondria and show minimal change over time. This is why 99mTc tracers can be helpful in patients with chest pain of unclear etiology occurring at rest because patients can be injected while having chest pain and imaged sometime later after symptoms subside. Indeed, a normal myocardial perfusion study following a rest injection in a patient with active chest pain effectively excludes myocardial ischemia as the cause of chest Short axis Horizontal long axis pain (high negative predictive value). While used commonly in the past for perfusion imaging, thallium-201 protocols are now rarely used because they are associated with a higher radiation dose to the patient. PET myocardial perfusion imaging is an alternative to SPECT and is associated with improved diagnostic accuracy and lower radiation dose to patients (Table 248-1). The ultra-short half-life of some PET radiopharmaceuticals in clinical use (e.g., rubidium-82) is the primary reason why imaging is generally combined with pharmacologic stress, as opposed to exercise. However, exercise is possible for relatively longer-lived radiotracers (e.g., 13N-ammonia). PET imaging protocols are typically faster than SPECT, but more expensive. In comparison to SPECT, PET has improved spatial and contrast resolution and provides absolute measures of myocardial perfusion (in mL/min per gram of tis sue), thereby providing the patients’ regional and global coronary flow reserve. The latter helps improve diagnostic accuracy and risk stratifi cation, especially in obese patients, women, and higher risk individuals (e.g., diabetes mellitus) (Fig. 248-6). Contemporary PET and SPECT scanners are combined with a CT scanner (so-called hybrid PET/CT and SPECT/CT). CT is used primarily to guide patient positioning in the field of view and for correcting inhomogeneities in radiotracer distribution due to attenuation by soft tissues (so-called attenuation correction). However, it can also be used to obtain diagnostic data including coronary artery calcium (CAC) score and/or CT coronary angiography (discussed below). For the evaluation of myocardial viability in patients with ischemic cardiomyopathy, myocardial perfusion imaging (with SPECT or PET) is usually combined with metabolic imaging (i.e., fluorodeoxyglucose [FDG] PET). In hospital settings lacking access to PET scanning, thallium-201 SPECT imaging is an excellent alternative. FDG-PET is also used in the evaluation of myocardial and vascular inflammation and in patients with suspected infective endocarditis. Bone scintigraphy with SPECT is currently used for the evaluation of patients with suspected cardiac amyloidosis. As discussed below under applications in new-onset heart failure, bone-seeking 99mTc radiotracers (Table 248-1) are currently used to diagnose transthyretin cardiac amyloidosis with high accuracy. Total perfusion deficit Perfusion LAD Vertical long axis RCA Defect blackout map 506.0 LCX Perfusion 0.0 Defect blackout map 145.0 LAD RCA Gated perfusion images 12 13 14 15 16 Perfusion 17 LAD LCX 0.0 Defect blackout map 50.0% 100.0% 0.0% 100.0% 0.0% 100.0% CHAPTER 248 Noninvasive Cardiac Imaging: Echocardiography, Nuclear Cardiology, and Magnetic Resonance/Computed </w:t>
      </w:r>
      <w:r w:rsidRPr="00F23836">
        <w:lastRenderedPageBreak/>
        <w:t xml:space="preserve">Tomography Imaging LCX 18 24 19 25 20 26 21 27 22 28 23 29 RCA 0.0% 0.0% FIGURE 248-5 Tomographic stress (top of each pair) and rest myocardial perfusion images with technetium-99m sestamibi single-photon emission computed tomography imaging demonstrating a large perfusion defect throughout the anterior and anteroseptal walls. The right panel demonstrates the quantitative extent of the perfusion abnormality at stress (top bull’s-eye) and at rest (middle bull’s-eye), and the extent of defect reversibility (lower bull’s-eye). The lower left panel demonstrates electrocardiogram-gated myocardial perfusion images from which one can determine the presence of regional wall motion abnormalities and calculate left ventricular volumes and ejection fraction. 1880 Myocardial perfusion images 23 PART 6 Disorders of the Cardiovascular System 23 31 31 36 36 Total perfusion images Stress Rest Quantitative myocardial blood flow and flow reserve Flow (ml/min/g) Region Stress LAD LCX RCA TOT 2.32 2.29 2.30 2.30 Rest 1.09 1.08 0.99 1.06 Gated perfusion images GStrCTAC Frame: 1 of 8 19 29 39 900 800 700 600 (kBq/ml) 500 400 300 200 100 21 31 41 23 33 43 25 35 45 27 37 47 Stress time activity curves Mid-HLA Mid-VLA 0 600 500 Reserve 2.12 2.12 2.33 2.18 400 (kBq/ml) 300 200 100 0 5 10 15 20 Frame index Rest time activity curves 25 30 5 10 15 20 Frame index 25 30 35 35 FIGURE 248-6 Multidimensional cardiac imaging protocol with positron emission tomography. The left upper panel demonstrates stress and rest short-axis images of the left and right ventricles demonstrating normal regional myocardial perfusion. The middle panel demonstrates the quantitative bull’s-eye display to evaluate the extent and severity of perfusion defects. The lower right panel illustrates the time-activity curves for quantification of myocardial blood flow. The right upper panel demonstrates electrocardiogram-gated myocardial perfusion images from which one can determine the presence of regional wall motion abnormalities and calculate left ventricular volumes and ejection fraction. LAD, left anterior descending artery; LCX, left circumflex artery; RCA, right coronary artery; TOT, total left ventricle. </w:t>
      </w:r>
      <w:r w:rsidRPr="00F23836">
        <w:rPr>
          <w:rFonts w:ascii="Arial" w:hAnsi="Arial" w:cs="Arial"/>
        </w:rPr>
        <w:t>■</w:t>
      </w:r>
      <w:r w:rsidRPr="00F23836">
        <w:t xml:space="preserve">CARDIAC COMPUTED TOMOGRAPHY CT acquires images by passing a thin x-ray beam through the body at many angles to generate cross-sectional images. The x-ray transmission measurements are collected by a detector array and digitized into pixels that form an image. The grayscale information in individual pixels is determined by the attenuation of the x-ray beam along its path by tis sues of different densities, referenced to the value for water in units known as Hounsfield units. In the resulting CT images, bone appears bright white, air is black, and blood and muscle show varying shades of gray. However, due to the limited contrast between cardiac chambers and vascular structures, iodinated contrast agents are necessary for most cardiovascular indications. Cardiac CT produces tomographic images of the heart and surrounding structures. With modern CT scanners, a three-dimensional dataset of the heart can be acquired in 5–15 s with submillimeter spatial resolution. CT Calcium Scoring CT calcium scoring is the simplest applica tion of cardiac CT and does not require administration of iodinated contrast. The presence of coronary artery calcification has been associated with increased burden of atherosclerosis and cardiovas cular </w:t>
      </w:r>
      <w:r w:rsidRPr="00F23836">
        <w:lastRenderedPageBreak/>
        <w:t xml:space="preserve">mortality. Coronary calcium is then quantified (e.g., Agatston score) and categorized as minimal (0–10), mild (10–100), moder ate (100–400), or severe (&gt;400) (Fig. 248-7). CAC scores are then normalized by age and gender and reported as percentile scores. Population-based studies in asymptomatic cohorts have reported high cardiac prognostic value of CT calcium score. With appropriate techniques, the radiation dose associated with CAC scanning is very low (~1–2 mSv). CT Coronary Angiography Coronary CT angiography (CTA) is a clinically important alternative to stress testing in selected patients with suspected CAD. Imaging of the coronary arteries by CT is chal lenging because of their small luminal size and because of cardiac and respiratory motion. Respiratory motion can be reduced by breath holding, and cardiac motion is best reduced by slowing the patient’s heart rate, ideally to under 60 beats/min, using intravenous or oral beta blockade or other rate-lowering drugs. When performing a coronary CTA, image quality is further enhanced using sublingual nitroglycerin to enlarge the coronary lumen just prior to contrast injection. Imag ing the whole-heart volume is synchronized to the administration of weight-based and appropriately timed intravenous iodinated contrast. Image acquisition is linked to the timing of the cardiac cycle through ECG triggering. The resulting images are then postprocessed using a three-dimensional workstation, which facilitates interpretation of the coronary anatomy and estimation of the severity of atherosclerosis (Fig. 248-7). A modified version of the enhanced protocol outlined for coronary CTA is used for the evaluation of patients with structural heart disease, especially for preprocedural planning of those undergo ing transcatheter valve replacement. </w:t>
      </w:r>
      <w:r w:rsidRPr="00F23836">
        <w:rPr>
          <w:rFonts w:ascii="Arial" w:hAnsi="Arial" w:cs="Arial"/>
        </w:rPr>
        <w:t>■</w:t>
      </w:r>
      <w:r w:rsidRPr="00F23836">
        <w:t xml:space="preserve">CARDIAC MAGNETIC RESONANCE Cardiac magnetic resonance (CMR) imaging is based on imaging of protons in hydrogen, which is an advantage, given the abundance of water in the human body. When the body is placed inside an MRI scanner, protons in different tissues, such as in simple fluid or complex macromolecules such as fat or protein, interact with the magnetic field Noninvasive Cardiac Imaging: Echocardiography, Nuclear Cardiology, and Magnetic Resonance/Computed Tomography Imaging 1881 CHAPTER 248 Mixed Noncalcified RCA Ao Ao Ao LAD A B C D LAD Calcified PA FIGURE 248-7 Examples of non-contrast- and contrast-enhanced coronary imaging with computed tomography (CT). A. Calcified coronary plaques in the distal left main and proximal left anterior descending coronary artery (LAD) in a noncontrast cardiac CT scan. Calcium deposits are dense and present as bright white structures on CT, even without contrast enhancement. B, C, and D. Different types of atherosclerotic plaques on contrast-enhanced CT scans. Importantly, noncalcified plaques are evident only on contrast-enhanced CT scans. AO, aorta; PA, pulmonary artery; RCA, right coronary artery. TABLE 248-2 Clinical Cardiac Magnetic Resonance Pulse Sequences and Their Application PULSE SEQUENCE KEY IMAGING INTERESTS Cardiac Morphology  Still frame imaging (black or bright blood) Cardiac structures Cardiac Function  Cine imaging Left ventricular volume and function Cine myocardial tagging Left ventricular deformation (strain) Blood Flow Imaging  Velocity-encoded phase contrast Cardiac and great vessel flow Stress Testing  Myocardial </w:t>
      </w:r>
      <w:r w:rsidRPr="00F23836">
        <w:lastRenderedPageBreak/>
        <w:t xml:space="preserve">perfusion imaging Regional myocardial blood flow Cine imaging Regional wall motion Myocardial Tissue Characterization Late gadolinium enhancement Myocardial infarction and infiltrative disease T2-weighted imaging Myocardial edema Iron content imaging Myocardial iron infiltration Magnetic Resonance Angiography Aorta, peripheral and coronary arteries Luminal stenosis and vessel wall remodeling at their unique frequencies. A set of orthogonal gradient coils in the scanner is designed to locate protons spatially so that radiofrequency (RF) energy pulses can be delivered to select imaging planes of interest. Once the RF pulses stop, the energy absorbed will be released, collected by the phased-array receiver coils placed on the patient’s body surface, digitally recorded in a data matrix known as the K-space, then recon structed into a magnetic resonance image. The large arrays of software methods of delivering RF pulses are known as pulse sequences, which aim to extract different types of cardiac structural or physiologic infor mation. In CMR, T1-weighted pulse sequences are most common, and they assess cardiac structure and function, blood flow, and myocardial perfusion with pharmacologic stress. T2-weighted and T2*-weighted pulse sequences, on the other hand, evaluate myocardial edema and myocardial iron infiltration, respectively. In recent years, T1 and T2 mapping have become routinely used in experienced centers in quantifying myocardial tissue characteristics, with T1 mapping most commonly used to scale the spectrum of myocardial inflammation or fibrosis and T2 mapping for myocardial edema. Using a combination of these methods above, a CMR can accurately assess cardiac structures and function, myocardial infarction and viability, ischemia, and infil tration. Currently, the most common indications for a CMR include assessing the etiology of cardiomyopathy, myocardial ischemia from chest pain syndromes, myocardial viability for benefits of revascular ization, pericardial diseases, and myocardial substrates of arrhythmias. Vector ECG-gating and repetitive patient breath-holding are used by convention to suppress cardiac and respiratory motions, respectively. However, with technical advent, rapid data collection algorithms and diaphragmatic position gating have eliminated the need for ECG gating and breath-holding in challenging situations. A list of common pulse sequences used in CMR is shown in Table 248-2. ASSESSMENT OF CARDIAC STRUCTURE AND FUNCTION Echocardiography, CMR, and cardiac CT are all capable of assessing cardiac structure and function, although echocardiography is generally considered the primary imaging method for these assessments. Radio nuclide imaging can also be used to assess left ventricular regional and global systolic function. Echocardiography is most often used to assess the size of all four chambers and thickness of ventricular walls, which are affected by both cardiac and systemic diseases. The structure of the left ventricle is generally assessed by deter mining its volume and mass. Left ventricular volumes can be easily estimated from 2D echocardiography by using methods incorporat ing geometric assumptions. The accuracy of these echocardiographic methods is reduced when foreshortening of the imaging plane leads to underestimation of volumes. Moreover, these methods require accurate delineation of the endocardial border. In this </w:t>
      </w:r>
      <w:r w:rsidRPr="00F23836">
        <w:lastRenderedPageBreak/>
        <w:t xml:space="preserve">regard, high-resolution tomographic techniques such as CMR or cardiac CT are more accurate for volumetric assessment. Three-dimensional (3D) echocardiography does not require any geometric assumptions about the left ventricle for quantification of volumes and ejection fraction. However, 3D echocardiographic imaging requires substantial expertise and currently is not widely used in practice. Left ventricular dilatation is common to several cardiac diseases. For example, regional dysfunction secondary to myocardial infarction can ultimately lead to progressive ventricular dilatation or remodel ing. Although dilatation often begins in the region affected by the 1882 PART 6 Disorders of the Cardiovascular System infarction, subsequent compensatory dilatation can occur in remote myocardial regions as well. The presence of regional wall motion abnormalities associated with ventricular thinning (reflecting scar) in a coronary distribution is strongly suggestive of an ischemic etiology. Regional wall motion can be accurately assessed by echocardiography, CMR, and cardiac CT. Direct assessment of infarcted myocardium is possible with both CMR (evident as areas of late gadolinium enhance ment [LGE]) and radionuclide imaging (as assessed by regional perfu sion or metabolic defects at rest). CMR can be particularly useful in determining etiology of cardiomegaly and ventricular dysfunction, with LGE in coronary distributions being nearly pathognomonic for infarction (Video 248-1). More global ventricular dilatation is seen in cardiomyopathy and dilatation due to valvular heart disease. Idiopathic, nonischemic cardiomyopathies will typically result in global ventricular dilatation and dysfunction, with thinning of the walls. Patients with substantial ventricular dyssynchrony due to conduction abnormalities will have a typical pattern of contraction (e.g., delay of contraction of the lateral wall with left bundle branch block). As discussed later in this chapter, regurgitant lesions of either the mitral or aortic valves can lead to substantial ventricular dilatation, and assessment of ventricular size is integral in the evaluation and timing of surgical correction. Because changes in ventricular size are used clinically to determine which patients should undergo valve surgery, accurate assessment of changes in ventricular size is essential. Although serial echocardiography can provide these data, serial assessment by CMR may be more accurate when appreciation of subtle changes over time is important. Left ventricular wall thickness and mass are also important mea sures of cardiac and systemic disease. The left ventricle will hypertro phy under any condition in which its afterload is increased, including conditions that obstruct outflow, such as aortic stenosis, hypertrophic cardiomyopathy, and subaortic membranes; in postcardiac aortic obstruction seen in coarctation; or in systemic conditions character ized by increased afterload, such as hypertension. The pattern of ventricular hypertrophy can change depending on the etiology. Aortic stenosis and hypertension are typically characterized by concentric hypertrophy, in which the ventricular walls thicken “concentrically” and cavity size is usually small. In volume overload conditions such as mitral or aortic regurgitation, there may be minimal increase in ventricular wall thickness, but substantial ventricular dilatation leads to marked increases in left </w:t>
      </w:r>
      <w:r w:rsidRPr="00F23836">
        <w:lastRenderedPageBreak/>
        <w:t xml:space="preserve">ventricular mass. Ventricular wall thickness can be measured, and ventricular mass can be calculated by either echocardiography or CMR. Although radio nuclide imaging and cardiac CT can also provide measures of left ven tricular mass, they are not generally used for this purpose. Although measurement of wall thickness with echocardiography is relatively straightforward and accurate, determining left ventricular mass by echocardiography requires using one of several formulas that consider both wall thickness and ventricular cavity dimensions. Assessment of left ventricular mass volumetrically by CMR has the advantage of not requiring geometric assumptions and is thus more accurate than echocardiography. </w:t>
      </w:r>
      <w:r w:rsidRPr="00F23836">
        <w:rPr>
          <w:rFonts w:ascii="Arial" w:hAnsi="Arial" w:cs="Arial"/>
        </w:rPr>
        <w:t>■</w:t>
      </w:r>
      <w:r w:rsidRPr="00F23836">
        <w:t xml:space="preserve">ASSESSMENT OF LEFT VENTRICULAR SYSTOLIC FUNCTION Assessment of ejection fraction, or the percentage of blood ejected with each beat, has been the primary method to assess systolic func tion and is generally calculated by subtracting end-systolic volume from end-diastolic volume and dividing by end-diastolic volume. All cardiac imaging modalities can provide direct measurements of left ventricular ejection fraction (LVEF). As discussed above, tomographic techniques (e.g., CMR, CT, and radionuclide imaging) are generally more accurate and reproducible than echocardiography because there are no geometric assumptions and these techniques are not dependent on operator skill, although echocardiography remains the most utilized method. A LVEF of 55% or greater is generally considered normal, and an LVEF of 50–55% is considered in the low-normal range, although these can vary widely, and normal ejection fraction tends to be higher in women than in men. Newer methods to assess systolic function, such as myocardial strain or deformation imaging using speckle-tracking methods on echocar diography, myocardial tagging, and more recently, feature tracking on CMR, can provide a more sensitive approach to the detection of systolic dysfunction, in part because these measures are geometric assumption independent. Additional assessments based on these novel methods include assessment of myocardial twist and torsion. Regional strain patterns can differ in various diseases. For example, in subtypes of car diac amyloidosis, it is common to see a reduction in myocardial strain at the base of the heart with relative sparing of the apex. Strain imag ing is being increasingly utilized in conditions such as valvular heart disease and early detection of cardiotoxicity following chemotherapy and/or radiation therapy. In addition to the estimation or calculation of ejection fraction, stroke volume can be assessed by any of the imaging methods by subtracting the end-systolic volume from the end-diastolic volume or by quantifying forward flows using echocardiographic Dop pler methods or phase-contrast CMR imaging. They offer an estimated measure of cardiac output other than LVEF. </w:t>
      </w:r>
      <w:r w:rsidRPr="00F23836">
        <w:rPr>
          <w:rFonts w:ascii="Arial" w:hAnsi="Arial" w:cs="Arial"/>
        </w:rPr>
        <w:t>■</w:t>
      </w:r>
      <w:r w:rsidRPr="00F23836">
        <w:t xml:space="preserve">ASSESSMENT OF LEFT VENTRICULAR DIASTOLIC FUNCTION Echocardiography remains the primary method for clinical assessment of diastolic function, in part because echocardiography has the highest temporal resolution of all the imaging techniques. Recent advances in Doppler tissue imaging allow for accurate assessment of the velocity of myocardial wall motion by assessing the excursion of the mitral annulus in diastole. Mitral annular relaxation velocity, or E′, is inversely related to the </w:t>
      </w:r>
      <w:r w:rsidRPr="00F23836">
        <w:lastRenderedPageBreak/>
        <w:t xml:space="preserve">time constant of relaxation, tau, and has been shown to have prognostic significance in patients with heart failure. Dividing the standard mitral inflow maximal velocity, E, by the mitral annular relaxation velocity yields E/E′, which has been shown to correlate with left ventricular filling pressures. The utility of standard E and A wave ratios for assessment of diastolic function has been questioned. Mitral deceleration time can be a useful measure if very short (1 E 220 A A E &gt;1 E A 150–200 E A Restrictive Pattern &gt;1.5 E A 60 mL/min) is low. In most patients, CIN is self-limited, and renal function usually returns to baseline within 7–10 days, without progressing to chronic renal failure. However, this risk increases in patients with GFR 50–60%). Multicenter studies assessing the performance of individual modalities or comparing different modalities have consis tently resulted in more modest diagnostic accuracies, tracking more closely with how these tests perform in clinical practice. Stress Echocardiography The hallmark of myocardial ischemia during stress echocardiography is the development of new regional wall motion abnormalities and reduced systolic wall thickening (Video 248-3). Stress echocardiography can be performed in conjunc tion with exercise or dobutamine stress. Stress echocardiography is best at identifying inducible wall motion abnormalities in previously normally contracting segments. In a patient with wall motion abnor malities at rest, the specificity of stress echocardiography is reduced, and worsening regional function of a previously abnormal segment might reflect worsening contractile function in the setting of increased wall stress rather than new evidence of inducible ischemia. The advantages of stress echocardiography over other stress imaging techniques include its relatively good diagnostic accuracy, widespread TABLE 248-3 Comparative Diagnostic Accuracy of Cardiac Imaging Approaches to Coronary Artery Disease IMAGING MODALITY Exercise echocardiography Dobutamine echocardiography SPECT MPI Myocardial perfusion PET CMR perfusion CMR wall motion Coronary CTA PUBLISHED DATA 15 studies (n = 1849 patients) 28 studies (n = 2246 patients) 113 studies (n = 11,212 patients) SENSITIVITY 84% 80% 88% 9 studies (n = 650 patients) 37 studies (n = 2841 patients) 14 studies (n = 754 patients) 18 studies (n = 1286 patients) 93% 91% 83% 99% SPECIFICITY 82% 84% 76% 81% 81% 86% 89% Note: In these studies, the diagnosis of coronary artery disease was based on the presence of a &gt;50% or &gt;70% stenosis on invasive coronary angiography. Abbreviations: CMR, cardiac magnetic resonance; CTA, computed tomography angiography; MPI, myocardial perfusion imaging; PET, positron emission tomography; SPECT, single-photon emission computed tomography. 1885 availability, no use of ionizing radiation, and relatively low cost. Limi tations of stress echocardiography include (1) the technical challenges associated with image acquisition at peak exercise because of exertional hyperpnea and cardiac excursion, (2) the fact that rapid recovery of wall motion abnormalities can be seen with mild ischemia (especially with one-vessel disease, which limits sensitivity), (3) difficulty detect ing residual ischemia within an infarcted territory because of resting wall motion abnormality, (4) high operator dependence for acquisi tion of echocardiographic data and analysis of images, and (5) the fact that </w:t>
      </w:r>
      <w:r w:rsidRPr="00F23836">
        <w:lastRenderedPageBreak/>
        <w:t xml:space="preserve">good-quality complete images viewing all myocardial segments occurs in only 85% of patients. Newer techniques including second harmonic imaging and the use of intravenous contrast agents improve image quality, but their effect on diagnostic accuracy has not been well documented. As with nuclear perfusion imaging, stress echocardiography is often used for risk stratification in patients with suspected or known CAD. A negative stress echocardiogram is associated with an excellent progno sis, allowing identification of patients at low risk. Conversely, the risk of adverse events increases with the extent and severity of wall motion abnormalities on stress echocardiography. Stress Radionuclide Imaging SPECT myocardial perfusion imaging is the most common form of stress imaging tests for CAD evaluation. The presence of a reversible myocardial perfusion defect is indicative of ischemia (Fig. 248-9, left panel), whereas a fixed perfu sion defect generally reflects prior myocardial infarction (Fig. 248-9, right panel). As discussed above, PET has advantages compared to SPECT, but it is not widely available and is more expensive and, thus, considered an emerging technology in clinical practice. Nuclear perfusion imaging is another robust approach to diagnose obstructive CAD, quantify the magnitude of inducible myocardial ischemia, assess the extent of tissue viability, and guide therapeutic management (i.e., selection of patients for revascularization). One of the most valuable clinical applications of radionuclide perfusion imag ing is for risk stratification. It is well established that patients with a normal SPECT or PET study exhibit a low rate of major adverse cardiac events of 400). However, given the fact that CAC scores are not specific markers of obstructive CAD, one should be cautious in using this information as the basis for referral of patients to coronary angiography, especially in symptomatic patients with low-risk stress tests. Conversely, CAC scores 2.0), reflecting extensive myocardium risk that was underestimated by the semiquantitative estimates of myocardial perfusion. LAD, left anterior descending artery; LCX, left circumflex artery; LM, left main artery; RCA, right coronary artery. Stress Rest Stress Rest Stress Rest PA aAo dAo Calcium score: 1330 FIGURE 248-11 Stress and rest rubidium-82 myocardial perfusion positron emission tomography (PET) images (left) and noncontrast gated computed tomography (CT) images (right) delineating the extent and severity of coronary artery calcifications obtained with integrated PET/CT imaging. The images demonstrate extensive atherosclerosis (Agatston coronary calcium score = 1330) without flow-limiting disease based on the normal perfusion study. aAo, ascending aorta; dAo, descending aorta; PA, pulmonary artery. Stress 23 24 25 26 27 28 29 30 31 32 33 1887 24 Rest 64 25 65 26 66 27 67 28 68 29 30 64 31 63 32 33 34 62 Stress Rest 65 66 LM 67 LAD 68 69 64 63 62 61 61 60 60 FIGURE 248-12 Stress and rest rubidium-82 myocardial perfusion positron emission tomography images (top), noncontrast gated computed tomography images (lower right), and selected coronary angiographic images obtained on a 59-year-old male patient with atypical angina. Despite the absence of significant coronary calcifications (Agatston calcium score = 0), the perfusion images demonstrated a dense and reversible perfusion defect involving the anterior and anteroseptal walls (arrows), </w:t>
      </w:r>
      <w:r w:rsidRPr="00F23836">
        <w:lastRenderedPageBreak/>
        <w:t xml:space="preserve">reflecting significant obstructive disease in the left anterior descending coronary artery (LAD), confirmed on angiography. LM, left main artery. atherosclerosis with coronary CTA. The extremely high sensitivity of this approach offers a very effective means for excluding the presence of CAD (high negative predictive value) (Table 248-3). In the setting of high coronary calcium scores (e.g., &gt;400), however, specificity is reduced because the blooming artifact of calcium does not allow one to evaluate the vessel lumen accurately. Given the high negative predictive value of CTA, a normal scan result effectively excludes obstructive CAD and abolishes the need for further investigation. As discussed below, this may be quite useful in patients with low intermediate clinical risk presenting to the emergency room for chest pain. However, the limited capability of this technique to determine which coronary plaques are flow limiting can make abnormal scan results more difficult to interpret, especially in terms of the possible need of revascularization. There are emerging data suggesting that by adding a stress myocardial perfusion CT evaluation (similar to stress perfusion CMR) (Fig. 248-13, top panel) or an estimated fractional flow reserve (so-called FFRCT ) (Fig. 248-13, lower panel), one can define the hemodynamic significance of anatomic stenosis. FFRCT is beginning to enter routine clinical practice. However, CT myocardial perfusion remains an emerging technology. As with invasive coronary angiography, assessments of the extent of CAD by CTA can also provide useful prognostic information. A low 1-year cardiac event rate has been reported for patients without coro nary atherosclerosis on CTA. For patients with obstructive CAD, the risk of adverse cardiac events increases proportionally with the extent of angiographically obstructive CAD. There is new evidence that even the presence of nonobstructive atherosclerosis increases the risk of adverse cardiac events. Although CTA can be helpful in assessing patency of bypass grafts, the assessment of stents is somewhat more challenging because the limited spatial resolution of CT and stent diameter (5% reduction in LVEF to 10% drop in LVEF to 20, consistent with elevated left ventricular filling pressure). D. Bull’s-eye strain map demonstrating abnormal global longitudinal strain at the basal segments (pink and blue colors) with characteristic apical sparing (red color). E. Cardiac magnetic resonance imaging (MRI) study showing normal left ventricular (LV) cavity size and mildly increased LV mass and mildly enlarged right and left atria. F. The MRI shows a large amount of diffuse late gadolinium enhancement of all myocardial LV segments but more prominent in a circumferential subendocardial pattern (arrowheads). G. The 99mTc-pyrophosphate images demonstrate increased myocardial uptake of the radiotracer (uptake in the heart is greater than ribs, grade 3). (Images courtesy of Dr. Sarah Cuddy, Brigham and Women’s Hospital.) 1897 RV LV FIGURE 248-29 This figure demonstrates three pulse sequence techniques by cardiac magnetic resonance that are often used to assess patients with hypertrophic cardiomyopathy, all displayed in the mid short-axis scan plane. The center panel demonstrates that the left ventricle (LV) was markedly thickened in its wall thickness especially in the LV septum (red arrows). This finding was matched by marked regions of late gadolinium enhancement (LGE), which was </w:t>
      </w:r>
      <w:r w:rsidRPr="00F23836">
        <w:lastRenderedPageBreak/>
        <w:t xml:space="preserve">consistent with fibrosis in these segments (right panel, white arrows). The left panel was cine myocardial tagging in the same slice plane. Myocardial tagging is used to assess the normal intramyocardial strain by assessing distortion of the myocardial grids during systole. In this case, despite normal-appearing systolic radial wall thickening, the myocardial strain as assessed by the distortion of grids was markedly reduced (left panel, white arrows). This finding is consistent with substantial myofibril disarray in the anterior and anteroseptal segments in this patient. RV, right ventricle. bedside, and even by operators with limited skill. The distance from the parietal to the visceral pericardial layer can be measured, and when this exceeds ~1 cm, an effusion is considered significant. Echocardio graphic features suggestive of tamponade include diastolic collapse of the right ventricular free wall, suggestive of pericardial pressures that exceed right ventricular filling pressures, and Doppler evidence of respiratory flow variation, which is the Doppler equivalent of pulsus paradoxus. Despite the benefits of echocardiography in suspected pericardial tamponade, the diagnosis of tamponade remains a clinical diagnosis, and other important features, such as patient’s blood pres sure in the presence of pulsus paradoxus, need to be considered when weighing therapeutic options. RV LV Chronic inflammation of the pericardium leads to thickening and calcification of the parietal pericardium, resulting in pericardial con striction in which diastolic filling can be severely impaired. In these cases, filling of the ventricles comes to an abrupt halt when the volume of ventricular filling is impaired by the constricting pericardium. Assessment of pericardial thickness in these patients is important, but it is just as important to note that approximately one in five patients with severe pericardial constriction have no significant pericardial thickening by imaging or at surgery. Thus, a lack of thickened pericar dium does not rule out pericardial constriction, and patients’ signs and symptomatology and physiologic evidence of constriction should be assessed independently. Pericardial constriction typically demonstrates RV Ant Perfusion Metabolism Perfusion Metabolism Sep 24 34 38 Inf 21 Lat 25 35 39 22 26 36 40 23 27 37 41 24 28 38 42 25 29 39 43 FIGURE 248-30 Representative cardiac magnetic resonance (CMR; top panel) and positron emission tomography (PET; lower panel) images from a 45-year-old male presenting with complete heart block. The CMR images demonstrate extensive late gadolinium enhancement in the subepicardial left ventricular (LV) anterior and anteroseptal walls and also in the right ventricular (RV) free wall (arrows). The PET images demonstrate extensive fluorodeoxyglucose uptake in the same areas, most consistent with active inflammation due to sarcoidosis. CHAPTER 248 LV 26 30 40 44 27 31 41 45 28 32 42 46 29 33 43 47 Noninvasive Cardiac Imaging: Echocardiography, Nuclear Cardiology, and Magnetic Resonance/Computed Tomography Imaging 30 34 44 48 31 35 45 49 1898 PART 6 Disorders of the Cardiovascular System FIGURE 248-31 Pericardial effusion with tamponade physiology. The right ventricle (arrow) is small and collapsing in end diastole due to increased pericardial pressure. marked respiratory changes in diastolic flow on Doppler echocardiog raphy, in contrast to restrictive cardiomyopathy, but substantial </w:t>
      </w:r>
      <w:r w:rsidRPr="00F23836">
        <w:lastRenderedPageBreak/>
        <w:t xml:space="preserve">overlap exists. CT and CMR offer tomographic, whole-heart assessment of pericardial thickening and other anatomy abnormalities in pericardial constriction enlarged atria, vena cava, and pleural and pericardial effu sions (Figs. 248-32 and 248-33, and Videos 248-8 and 248-9). CMR offers the additional information of pericardial fibrosis and inflam mation by LGE imaging and evidence of constrictive physiology (e.g., regional relaxation concordance due to myocardial adhesions, abnor mal septal bounce with Valsalva maneuver) (Fig. 248-33). </w:t>
      </w:r>
      <w:r w:rsidRPr="00F23836">
        <w:rPr>
          <w:rFonts w:ascii="Arial" w:hAnsi="Arial" w:cs="Arial"/>
        </w:rPr>
        <w:t>■</w:t>
      </w:r>
      <w:r w:rsidRPr="00F23836">
        <w:t xml:space="preserve">CARDIAC THROMBUS AND MASS Echocardiography is usually the modality that first detects a cardiac mass with differential diagnoses including thrombus, tumor, or vegeta tion. Given their unrestricted tomographic views and multiplanar 3D imaging, CMR and CT can complement echocardiography by further characterizing the physical features of the cardiac mass. Compared to CT, CMR has the advantage of higher tissue contrast differentiation, more robust cine imaging, and the use of multifaceted techniques within the same imaging session to determine the physiologic char acteristics of the mass. Gadolinium contrast enhancement patterns of FIGURE 248-32 A female patient developed pericardial constriction and right heart failure, secondary to radiation therapy for breast cancer. Note the multiple pericardial adhesions (red arrows). increased capillary perfusion can detect vascularity within a mass that differentiates a tumor from a thrombus. Structures that are known to mimic a cardiac mass include (1) anatomic variants, such as the Eustachian valve, Chiari network, crista sagittalis or terminalis, and the right ventricular moderator band, and (2) “pseudotumors,” such as interatrial septal aneurysm, coronary or aortic aneurysm, lipoma tous hypertrophy of interatrial septum, hiatal hernia, or a catheter/ pacemaker lead. Coexisting abnormalities that raise the likelihood of a cardiac thrombus (Fig. 248-34) include regional wall motion abnor mality from an infarction or ventricular aneurysm, atrial fibrillation leading to slow flow in the left atrial appendage, or presence of venous catheters or recent endovascular injury. CMR has the advantage of being able to assess regional wall motion and infarction or ventricular aneurysm in matching scan planes, adjacent to the cardiac thrombus, using cine and LGE imaging, respectively. For ventricular thrombus, gadolinium-enhanced LGE imaging can detect thrombus at a higher sensitivity than echocardiography by depicting high-contrast differ ence between the dark thrombus and its adjacent structures and by imaging in three dimensions. In addition, mural thrombus does not enhance on first-pass perfusion and often has a characteristic “etched” appearance (black border surrounding a bright center) on LGE imaging, thus providing higher diagnostic specificity than anatomic information alone (Fig. 248-35). Comparing the signal intensities of a mass before and after contrast injection may confirm the lack of tissue vascularity (i.e., thrombus) by the lack of signal enhancement after contrast administration. Like intracardiac thrombus, regions of micro vascular obstruction also appear dark, but microvascular obstruction is confined within the myocardium and surrounded by infarction and thus can be differentiated from intracardiac thrombus. Cardiac CT imaging is ideally suited for small thrombus in the left atrial appendage especially in cases where transesophageal echocardiography </w:t>
      </w:r>
      <w:r w:rsidRPr="00F23836">
        <w:lastRenderedPageBreak/>
        <w:t xml:space="preserve">is subop timal or not feasible. Metastatic cardiac malignancy is about 20-fold more common than primary cardiac tumors. However, with the exception of involve ment of the pericardium, even metastatic tumors of the heart are rare. Metastasis to the heart can be the result of direct invasion (e.g., lung and breast), lymphatic spread (e.g., lymphomas and melanomas), or hematogenous spread (e.g., renal cell carcinoma). Primary benign car diac tumors are seen mostly in children and young adults and include atrial myxoma, rhabdomyoma, fibroma, and endocardial fibroelastoma (Fig. 248-36). Atrial myxomas are often seen as a round or multilobar mass in the left atrium (75%), right atrium (20%), or ventricles or mixed chambers (5%). They typically have inhomogeneous brightness in the center on cine steady-state free precession imaging due to their gelati nous contents and may have a pedunculated attachment to the fossa ovalis. Primary malignant cardiac tumors are rare and may include angiosarcoma, fibrosarcoma, rhabdomyosarcoma, and liposarcoma. </w:t>
      </w:r>
      <w:r w:rsidRPr="00F23836">
        <w:rPr>
          <w:rFonts w:ascii="Arial" w:hAnsi="Arial" w:cs="Arial"/>
        </w:rPr>
        <w:t>■</w:t>
      </w:r>
      <w:r w:rsidRPr="00F23836">
        <w:t xml:space="preserve">ROLE OF IMAGING IN INFECTIOUS AND INFLAMMATORY DISEASE Patients with suspected endocarditis often undergo echocardiography for the purpose of identifying vegetations or intramyocardial abscesses. Vegetations are generally highly mobile structures that most typically are attached to valves or present in areas of the heart with turbulent flow. The absence of a vegetation on echocardiography does not rule out endocarditis, because small vegetations below the resolution of the imaging techniques can be present. Echocardiography remains the best technique for assessment of vegetations because its high temporal reso lution allows visualization of the typical oscillating motion, although large vegetations can be visualized with other techniques (Fig. 248-37). The size and location of a vegetation do not necessarily provide any specific information about the type of infection. Abscesses, particu larly around the aortic and mitral annuli, are particularly concerning in patients with endocarditis and should be suspected in patients with prolongation of cardiac intervals in the setting of endocarditis. Visualization of both vegetations and possible abscesses is best done with transesophageal echocardiography, particularly in patients with prosthetic valves. Indeed, transesophageal echocardiography is the first test of choice in a patient with a mechanical mitral or aortic valve and Noninvasive Cardiac Imaging: Echocardiography, Nuclear Cardiology, and Magnetic Resonance/Computed Tomography Imaging 1899 CHAPTER 248 C D A B E F G H I FIGURE 248-33 Representative cardiac magnetic resonance (CMR) and computed tomography (CT) features of pericardial disease. A. Four-chamber late gadolinium enhanced image showing severe diffuse enhancement of both the visceral (arrowheads) and parietal (arrows) layers of the pericardium. The black signal between the two layers represents effusion. B. Axial T2-weighted image showing severe thickening and increased signal of both the visceral (arrowheads) and parietal (arrows) layers of the pericardium. C. Four-chamber steady-state free precession (bright-blood) image in early diastole showing the apical interventricular septum bowed to the left (white arrowhead) due to the increased right-sided ventricular volume at the expense of the left ventricular volume. Dilated atria (white arrows) are </w:t>
      </w:r>
      <w:r w:rsidRPr="00F23836">
        <w:lastRenderedPageBreak/>
        <w:t xml:space="preserve">also a feature of constriction. D. Axial T1-weighted double inversion recovery (black-blood) image showing increased thickness of the pericardium &gt;4 mm (black arrowhead). E. Four-chamber late gadolinium-enhanced image showing diffuse enhancement of the thickened pericardium (white arrows). F. Axial steady-state free precession (bright-blood) image showing dilated inferior vena cava (IVC; white arrowheads) that is greater than twice the size of the normal aorta (white arrow). Under normal conditions, the IVC should be similar in size to the aorta. G. Lateral chest radiograph showing calcification of the pericardium anteriorly (arrows). H. Corresponding sagittal view from CT angiography (CTA) showing the calcified pericardium (arrowheads). I. Three-dimensional rendered segmented image from the CTA showing the extent of the pericardial calcification. (Images courtesy of Dr. Michael Steigner, Brigham and Women’s Hospital.) suspected endocarditis (Fig. 248-37). Vegetations should be measured because their size has prognostic importance and can be used to decide whether a patient should be taken to surgery. PET metabolic imaging is emerging as a potentially useful imaging technique to identify the source of infection in patients with prosthetic valves, vascular grafts, and implantable pacemakers/defibrillators, especially in patients in whom echocardiography and/or blood cultures are negative. There is an emerging literature documenting the poten tial value of macrophage-targeted metabolic imaging with 18F-FDG and PET (Fig. 248-38). Likewise, FDG-PET is also useful to identify vascular inflammation and monitor the response to immunosuppres sive therapy (Fig. 248-39). </w:t>
      </w:r>
      <w:r w:rsidRPr="00F23836">
        <w:rPr>
          <w:rFonts w:ascii="Arial" w:hAnsi="Arial" w:cs="Arial"/>
        </w:rPr>
        <w:t>■</w:t>
      </w:r>
      <w:r w:rsidRPr="00F23836">
        <w:t xml:space="preserve">EVALUATION OF COMMON CONGENITAL ABNORMALITIES IN THE ADULT While a discussion of complex congenital heart disease is beyond the scope of this chapter, several common congenital abnormalities are present in adults, and cardiac imaging is essential to diagnosing and managing these conditions. Abnormalities of the interatrial sep tum probably represent the most common adult congenital cardiac 1900 PART 6 Disorders of the Cardiovascular System FIGURE 248-34 Cardiac thrombus (arrow) in an apical aneurysmal region following acute myocardial infarction. * FIGURE 248-35 Late gadolinium enhancement image of a massive anterior infarction complicated by a dyskinetic left ventricular aneurysm and intracavitary thrombus (red asterisk). abnormalities. Patent foramen ovale (PFO) can be identified in almost 25% of patients. In patients with PFO, a one-way flap in the region of the fossa ovalis is normally kept close by the left atrial pressure, which is generally higher than right atrial pressure for much of the cardiac cycle. However, right-to-left flow through a PFO can occur any time the right atrial pressure exceeds the left atrial pressure, including with maneuvers or conditions in which intrathoracic pressure is increased. The presence of a PFO can increase the likelihood of the paradoxical embolus, and thus the presence of a PFO should be determined in patients with stroke or systemic embolus of unknown etiology. Because the one-way flap of the PFO will be closed during much of the cardiac cycle, color flow Dop pler will usually not reveal a PFO. Instead, agitated saline (bubble study) is the best way to assess for PFO or atrial septal defect. Saline is agitated and injected </w:t>
      </w:r>
      <w:r w:rsidRPr="00F23836">
        <w:lastRenderedPageBreak/>
        <w:t xml:space="preserve">peripherally and then enters the right atrium. If no shunt is present, only the right side of the heart will be pacified because the air bubbles will be too small to traverse the lungs. Because PFO is a one-way flap, maneuvers should be used to temporarily increase right atrial pres sure. Either a Valsalva maneuver or sniff maneuver can be effective. Atrial septal defects occur most commonly in the region of the fossa ovalis, referred to as secundum-type defects (Fig. 248-40). Additional atrial septal defects include defects of the sinus venosus and atrium primum. Color flow Doppler echocardiography is usually sufficient for diagnosis of a secundum-type atrial septal defect, but agitated saline is generally needed for the diagnosis of other types of atrial septal defects. Ventricular septal defects can generally be visualized by color flow Doppler as turbulent high-velocity jets from the left to the right ven tricle. In cases where the jet origin is unclear, continuous wave Doppler can estimate the velocities. These would be expected to be extremely high to reflect the pressure gradient between the left and right ven tricles. Defects can occur in both the muscular and membranous por tions of the ventricular septum. In patients with either atrial or ventricular septal defects, estima tion of the severity of the left-to-right shunt is essential and can be an important determinant in management decisions. Shunts are generally assessed by echocardiography by assessing the relationship between pulmonary flow and aortic flow, the Qp/Qs ratio. Shunts and cardiac anatomy of most congenital heart diseases can also be accurately evalu ated by CMR (Fig. 248-41). ARTIFICIAL INTELLIGENCE IN CARDIAC IMAGING Artificial intelligence (AI) is poised to revolutionize cardiac imag ing over the next decade. AI methods have been applied to image acquisition, especially in echocardiography where a probe needs to * FIGURE 248-36 A case of a cardiac fibroma. A patient presented with shortness of breath and was found to have a large myocardial mass on echocardiography. Cine cardiac magnetic resonance imaging confirmed the large myocardial mass involving the anterolateral wall. Shortly after gadolinium contrast was injected, the myocardial mass demonstrated intense accumulation of contrast on late gadolinium enhancement imaging (right panel, asterisk). This is a case of cardiac fibroma. The patient also has gingival hyperplasia and bifid thoracic ribs, a part of the rare Gorlin’s syndrome. LV LA 1901 LA LV FIGURE 248-37 Vegetation on native mitral valve (left panel, arrow). Left atrium (LA) and left ventricle (LV) are indicated. Middle panel shows a vegetation on a mechanical prosthesis (St. Jude) indicated by an arrow; right panel shows vegetation on prosthesis after excision. CT Before treatment After treatment FDG PET A R PET/CT fusion L P FIGURE 248-38 Representative cross-sectional computed tomography (CT; left), fluorodeoxyglucose (FDG) positron emission tomography (PET; middle), and fused CT and PET (right) images before and after antibiotic treatment in a patient with fever and suspected infection of the stent placed in the descending portion of the aortic arch (arrow) for treatment of aortic coarctation. The FDG images before treatment demonstrate intense glucose uptake within the stent, consistent with inflammation/infection. The lower panel demonstrates significant attenuation of the FDG signal after treatment. (Images used with permission from Dr. </w:t>
      </w:r>
      <w:r w:rsidRPr="00F23836">
        <w:lastRenderedPageBreak/>
        <w:t xml:space="preserve">Sharmila Dorbala, Brigham and Women’s Hospital.) CTA Ao PET Ao PET/CT fusion Ao LV LV LV FIGURE 248-39 Representative coronal computed tomography (CT) angiographic (CTA; left panel), fluorodeoxyglucose (FDG) positron emission tomography (PET; middle panel), and fused CT and PET (right panel) images in a patient with suspected aortitis. The CTA images demonstrate thickening of the ascending aorta (Ao), which correlates with intense, focal FDG uptake consistent with active inflammation. LV, left ventricle. FIGURE 248-40 Large secundum-type atrial septal defect (arrow) noted in the subcostal view with color flow Doppler showing flow through the defect (right). be manually applied to a patient’s chest and the images acquired. AI software can direct a user to obtain optimal images. Likewise, cardiac MRI is a multicomponent examination that consists of numerous pulse sequences, and it is limited by the availability of an experienced scanning operator, the need for manual contouring and analysis, and a relatively long scan time of 45–60 min. FDA-approved commercial AI solutions are now available to guide the cardiac MRI scanning procedure, greatly reducing the complexities of image acquisition and reconstruction, and improving patient throughput and image quality. AI is also being embedded in postprocessing and routine quantifi cation. This includes image segmentation and routine measurements of cardiac dimension/volumes and function with echocardiography and CMR, quantification of CAC on nongated CT images (e.g., PET/CT and SPECT/CT), and plaque burden on coronary CTA. There is also growing evidence that AI may be able to refine risk prediction by integrating imaging markers of risk. CHAPTER 248 Noninvasive Cardiac Imaging: Echocardiography, Nuclear Cardiology, and Magnetic Resonance/Computed Tomography Imaging 1902 PART 6 Disorders of the Cardiovascular System A B Flow volume ms 0 1 0 20 30 40 50 800 750 700 650 600 550 500 450 400 350 300 250 200 150 100 50 0 60 70 80 90 Main pulmonary artery Ascending aorta 100–50 C 0 50 100 150 200 250 300 350 400 450 500 550 600 650 700 750 800 850 900 950 Time |ms| FIGURE 248-41 A and B are phase contrast images that display blood flow (phase images on A) and anatomy (structural images on B) of the aorta (red) and pulmonary artery (green). C demonstrates the flow curves of the aorta (red) and the pulmonary artery (green). Note that the total flow (area under the curve) was substantially higher in the pulmonary artery than the aorta, indicative of a marked elevated pulmonary-to-systemic shunt ratio, as a result of the partial anomalous pulmonary venous return that drained into the superior vena cava. </w:t>
      </w:r>
      <w:r w:rsidRPr="00F23836">
        <w:rPr>
          <w:rFonts w:ascii="Arial" w:hAnsi="Arial" w:cs="Arial"/>
        </w:rPr>
        <w:t>■</w:t>
      </w:r>
      <w:r w:rsidRPr="00F23836">
        <w:t>FURTHER READING Abbara S et al (eds): CT and MR in Cardiology. Philadelphia, PA, Elsevier, 2019. Di Carli MF (ed): Nuclear Cardiology and Multimodality Imaging: A</w:t>
      </w:r>
      <w:r w:rsidRPr="00F23836">
        <w:rPr>
          <w:rFonts w:ascii="Aptos" w:hAnsi="Aptos" w:cs="Aptos"/>
        </w:rPr>
        <w:t> </w:t>
      </w:r>
      <w:r w:rsidRPr="00F23836">
        <w:t>Companion to Braunwald</w:t>
      </w:r>
      <w:r w:rsidRPr="00F23836">
        <w:rPr>
          <w:rFonts w:ascii="Aptos" w:hAnsi="Aptos" w:cs="Aptos"/>
        </w:rPr>
        <w:t>’</w:t>
      </w:r>
      <w:r w:rsidRPr="00F23836">
        <w:t>s Heart Disease. Philadelphia, PA, Elsevier, 2022. Kwong RY et al (eds): Cardiovascular Magnetic Resonance Imaging, 2nd ed. New York, Humana Press, 2019. Solomon SD et al (eds): Essential Echocardiography: A Companion to Braunwald</w:t>
      </w:r>
      <w:r w:rsidRPr="00F23836">
        <w:rPr>
          <w:rFonts w:ascii="Aptos" w:hAnsi="Aptos" w:cs="Aptos"/>
        </w:rPr>
        <w:t>’</w:t>
      </w:r>
      <w:r w:rsidRPr="00F23836">
        <w:t xml:space="preserve">s Heart Disease. Philadelphia, PA, Elsevier, 2018. Vandoorne K, Nahrendorf M: Multiparametric imaging of organ system interfaces. Circ Cardiovasc Imaging 10:e005613, 2017. VIDEO 248-1 Cine steady-state free precession (SSFP) imaging (left) in short axis in a patient who had a large anterior myocardial infarction. </w:t>
      </w:r>
      <w:r w:rsidRPr="00F23836">
        <w:lastRenderedPageBreak/>
        <w:t xml:space="preserve">Only one cut of a stack of short axis is shown. This method allows quantification of left ventricular (LV) and right ventricular (RV) volumes in diastole and systole and calculation of the LV ejection fraction, stroke volumes, and cardiac output (a product of LV stroke volume and heart rate). Note that in this case there is anterior and anteroseptal akinesia (lack of systolic wall thickening, as shown by the left cine movie, red arrows) matching by a near-transmural myocardial infarction as seen by the matching late gadolinium enhancement (LGE) image (right picture, white arrows). VIDEO 248-2 This is cine cardiac magnetic resonance (CMR) imaging of a patient in the long-axis four-chamber view. Note that the basal aspect of the right ventricular (RV) free wall is thickened, aneurysmal, and akinetic (red arrows). The global RV systolic function is mildly reduced, and the RV is dilated. CMR can image the RV using tomographic views and can quantify the RV volumes and ejection fraction volumetrically. This is a patient who presented with syncopal spells and inducible ventricular tachycardia on subsequent workup. He was diagnosed to have arrhythmogenic right ventricular dysplasia. VIDEO 248-3 Exercise echocardiogram showing rest images on left and poststress images on right, with parasternal long-axis, upper panel, and apical four-chamber, lower panel, end-systolic frames. Following exercise, the distal septal/apical region becomes akinetic. A = upper left (UL); B = upper right (UR); C = lower left (LL); D = lower right (LR). VIDEO 248-4 The video shows cardiac magnetic resonance (CMR) myocardial perfusion imaging during vasodilating stress, in three parallel short-axis views. A bolus of gadolinium contrast was injected intravenously while rapid imaging acquisition occurred. The contrast enhances the right ventricle first, then travels through the pulmonary circulation, enters the left ventricle (LV), and then perfuses the LV myocardium. Myocardial perfusion defects with this technique show as black subendocardial rims, reflecting lack of contrast accumulation due to ischemia and/or scar. In this case, the anterior wall has a severe perfusion defect (red arrow). Figure 248-14 shows the late gadolinium enhancement (LGE) image of a mid short axis view. There is no evidence of infarction in the anterior wall, which would be seen as bright white areas, indicating that the stress perfusion defect primarily represents myocardial ischemia. This patient had a significant stenosis of the left anterior descending coronary artery. VIDEO 248-5 A 60-year-old female presented with intermittent chest pain of 3 days in duration but was pain-free at the time of assessment in the emergency room. Admission electrocardiogram (ECG) demonstrated T-wave inversion in the anterior Diagnostic Cardiac Catheterization and Coronary Angiography 1903 CHAPTER 249 VIDEO 248-6 A patient with severe aortic regurgitation quantified by cardiac magnetic resonance (CMR). Notice the dark flow jet during diastolic across the aortic valve. For quantitation of the aortic regurgitation severity, a cross-sectional cut was made just below the aortic valve, perpendicular to the aortic regurgitation jet, using phase contrast flow imaging. Apart from aortic regurgitation fraction and volume, CMR also can volumetrically quantify ventricular sizes and dimensions of the aorta, which are useful in monitoring patients with aortic valve diseases. VIDEO 248-7 These are T2* </w:t>
      </w:r>
      <w:r w:rsidRPr="00F23836">
        <w:lastRenderedPageBreak/>
        <w:t xml:space="preserve">images of the heart (left panel) and the liver (right panel) of a patient who has hemochromatosis. Note that iron and the liver are markedly darkened in these movies, indicating high load of iron in the heart muscle and liver. The rate of signal reduction (decay) in the myocardium and liver can be calculated as T2* value expressed in milliseconds. In this case, the T2* was at 10 ms. T2* 30 s) monomorphic ventricular tachycardia Nonsustained (0.5 mg/dL or 25% above baseline that occurs 48–72 h after contrast administration, occurs in ~2–7% of patients, with rates of 20–30% reported in high-risk patients. Risk factors for contrast induced kidney injury are diabetes mellitus, congestive heart failure, chronic kidney disease, anemia, older age, and ST-segment elevation myocardial infarction. Dialysis is required in 0.3–0.7% of patients and is associated with a fivefold increase in in-hospital mortality. For all patients, adequate intravascular volume expansion with intravenous 0.9% saline (1.0–1.5 mL/kg per hour) for 3–12 h before and continued 6–24 h after the procedure limits the risk of contrast-induced acute kidney injury by &gt;50%. Other strategies to decrease risk include the administration of sodium bicarbonate (3 mL/kg per hour) 1 h before and 6 h after the procedure (similar outcome to saline infusion); use of low- or iso-osmolar contrast agents; and limiting the volume Cardiac catheterization is performed after the patient has fasted for 6 h and has received intravenous conscious sedation to remain awake but sedated during the procedure. Diabetic patients who have a tendency to develop hypoglycemia should hold oral hypoglycemic medications. All patients with suspected coronary artery disease are pretreated with 325 mg of aspirin. In patients in whom the procedure is likely to progress to a percutaneous coronary intervention, an addi tional P2Y12 antiplatelet inhibitor agent should be started: clopidogrel (600-mg loading dose and 75 mg daily), prasugrel (60-mg loading dose and 10 mg daily), or ticagrelor (180-mg loading dose and 90 mg twice daily). Prasugrel should not be selected for individuals with prior stroke or transient ischemic attack and is not recommended for patients 75 years of age or older. Ticagrelor should not be chosen for patients with brady cardia; additionally, up to 10% of patients treated with ticagrelor may experience dyspnea. For those patients who will be treated with an oral anticoagulant after the procedure, clopidogrel is the antiplatelet agent of choice. Intravenous cangrelor may be used for patients who are unable to tolerate an oral P2Y12 inhibitor medication. Warfarin is held starting 2–3 days prior to the catheterization to allow the international normalized ratio (INR) to fall to 60 mmHg Right ventricle end-diastolic pressure &gt;1/3 right ventricular systolic pressure &gt;1/3 right ventricular systolic pressure 60 mmHg), a separation of the left and right ventricular diastolic pressures by &gt;5 mmHg (at baseline or with acute volume loading), and concordant changes in left and right ventricular diastolic filling pres sures with inspiration (both increase). Cardiac Output Cardiac output is measured by the Fick method or the thermodilution technique. Typically, the Fick method and thermo dilution technique are both performed during cardiac catheterization, although the Fick method is considered more reliable in the presence of tricuspid regurgitation and in low-output states. The Fick method uses oxygen as the indicator substance and </w:t>
      </w:r>
      <w:r w:rsidRPr="00F23836">
        <w:lastRenderedPageBreak/>
        <w:t xml:space="preserve">is based on the principle that the amount of a substance taken up or released by an organ (oxygen consumption) is equal to the product of its blood flow (cardiac output) and the difference in the concentration of the substance in the arterial and venous circulation (arterial-venous oxygen difference). Thus, the formula for calculating the Fick cardiac output is: Cardiac output (L/min) = (oxygen consumption [mL/min])/ (arterial-venous oxygen difference [mL/L]) If oxygen consumption is not measured directly, then it is estimated as 125 mL oxygen/minute × body surface area, and the arterial-venous oxygen difference is deter mined by first calculating the oxygen-carrying capacity of blood (hemoglobin [g/100 mL] × 1.36 [mL oxygen/g hemoglobin] × 10) and multiplying this product by the fractional oxygen saturation. The indicator dilution method measures the concentration of a substance that is injected proximally, adequately mixes with blood, and is then sampled distally. In contemporary practice, ther modilution cardiac outputs are measured using tem perature as the indicator. Measurements are made with a thermistor-tipped catheter that detects temperature deviations in the pulmonary artery after the injection of 10 mL of room-temperature normal saline into the right atrium. Vascular Resistance Resistance across the systemic and pulmo nary circulations is calculated by extrapolating from Ohm’s law of elec trical resistance and is equal to the mean pressure gradient divided by the mean flow (cardiac output). Therefore, systemic vascular resistance is ([mean aortic pressure − mean right atrial pressure]/cardiac output) multiplied by 80 to convert the resistance from Wood units to dyn-s-cm−5. Similarly, the pulmonary vascular resistance is ([mean pulmonary artery − mean pulmonary capillary wedge pressure]/cardiac output) × 80. Pul monary vascular resistance is lowered by oxygen, nitroprusside, calcium channel blockers, prostacyclin infusions, and inhaled nitric oxide; these therapies may be administered during catheterization to determine if increased pulmonary vascular resistance is fixed or reversible. Valve Area Hemodynamic data may also be used to calculate the valve area using the Gorlin formula that equates the area to the flow 1907 across the valve divided by the pressure gradient between the cardiac chambers surrounding the valve. The formula for the assessment of valve area is: Area = (cardiac output [cm3/min]/[systolic ejection period or diastolic filling period][heart rate])/44.3 C × square root of the pressure gradient, where C = 1 for aortic valve and 0.85 for the mitral valve. A valve area of 40 mmHg indi cate severe aortic stenosis, while a valve area of 5–10 mmHg are consistent with moderate-to-severe mitral stenosis; in symptomatic patients with a mitral valve area &gt;1.5 cm2, a mean gradient &gt;15 mmHg, pulmonary artery pressure &gt;60 mmHg, or a pulmonary artery wedge pressure &gt;25 mmHg after exercise is also considered significant and may warrant intervention. The modified Hakki formula has also been used to estimate aortic valve area. This formula calculates the valve area as the cardiac output (L/min) divided by the square root of the pressure gradient. Aortic valve area calcula tions based on the Gorlin formula are flow-dependent, and therefore, for patients with low cardiac outputs, it is imperative to determine if a decreased valve area actually reflects a fixed stenosis or is overesti </w:t>
      </w:r>
      <w:r w:rsidRPr="00F23836">
        <w:lastRenderedPageBreak/>
        <w:t xml:space="preserve">mated by a low cardiac output and stroke volume that is insufficient to open the valve leaflets fully. In these instances, cautious hemodynamic manipulation using dobutamine to increase the cardiac output and recalculation of the aortic valve area may be necessary. Intracardiac Shunts In patients with congenital heart disease or unexplained hypoxemia, detection, localization, and quantification of the intracardiac shunt should be evaluated. A shunt should be sus pected when there is unexplained arterial desaturation or increased oxygen saturation of venous blood. A “step up” or increase in oxygen content indicates the presence of a left-to-right shunt while a “step down” indicates a right-to-left shunt. The shunt is localized by detect ing a difference in oxygen saturation levels of 5–7% between adjacent cardiac chambers. The severity of the shunt is determined by the ratio of pulmonary blood flow (Qp ) to the systemic blood flow (Qs ), or Qp /Qs = ([systemic arterial oxygen content − mixed venous oxygen content]/ pulmonary vein oxygen content − pulmonary artery oxygen content). For an atrial septal defect, a shunt ratio of 1.5 is considered significant and fac tored with other clinical variables to determine the need for intervention. When a congenital ventricular septal defect is present, a shunt ratio of ≥1.5 with evidence of left ventricular volume overload is a strong indication for surgi cal correction. takotsubo cardiomyopathy, and can also be used to assess mitral valve prolapse and the severity of mitral regurgitation. The degree of mitral regurgitation is estimated by comparing the density of contrast opacifi cation of the left atrium with that of the left ventricle. Minimal contrast reflux into the left atrium is considered 1+ mitral regurgitation, while contrast density in the left atrium that is greater than that in the left ventricle with reflux of contrast into the pulmonary veins within three beats defines 4+ mitral regurgitation. When it takes more than three beats but fully fills the atrium, it is 3+. Both 3+ and 4+ are considered severe regurgitation. Ventriculography performed in the left anterior oblique projection can be used to identify a ventricular septal defect. Calculation of the ventricular volumes in systole and diastole allows calculation of stroke volume and cardiac output. Aortography in the cardiac catheterization laboratory visualizes abnormalities of the ascending aorta, including aneurysmal dilation and involvement of the great vessels, as well as dissection with com pression of the true lumen by an intimal flap that separates the true and false lumina. Aortography can also be used to identify patent saphenous vein grafts that elude selective cannulation, identify shunts that involve the aorta such as a patent ductus arteriosus, evaluate the takeoff or proximal anatomy of the great vessels, and provide a qualita tive assessment of aortic regurgitation using a 1+−4+ scale similar to that used for mitral regurgitation. </w:t>
      </w:r>
      <w:r w:rsidRPr="00F23836">
        <w:rPr>
          <w:rFonts w:ascii="Arial" w:hAnsi="Arial" w:cs="Arial"/>
        </w:rPr>
        <w:t>■</w:t>
      </w:r>
      <w:r w:rsidRPr="00F23836">
        <w:t xml:space="preserve">CINEFLUOROSCOPY OF PROSTHETIC MECHANICAL VALVES Prosthetic valve leaflet dysfunction may occur as a result of thrombus or obstruction of leaflet excursion by pannus (Fig. 249-4). The inci dence of prosthetic valve thrombosis in left-sided valves is 0.1–6.0% per patient-year with differences in rates attributable to valve type, posi tion, anticoagulation status, and left ventricular function. Prosthetic valve dysfunction should be suspected in patients with subtherapeutic anticoagulation with a low mean INR, a prothrombotic state, recent </w:t>
      </w:r>
      <w:r w:rsidRPr="00F23836">
        <w:lastRenderedPageBreak/>
        <w:t xml:space="preserve">onset heart failure, cardiogenic shock, cardiac arrest, thromboembolic CHAPTER 249 Diagnostic Cardiac Catheterization and Coronary Angiography DIASTOLE </w:t>
      </w:r>
      <w:r w:rsidRPr="00F23836">
        <w:rPr>
          <w:rFonts w:ascii="Arial" w:hAnsi="Arial" w:cs="Arial"/>
        </w:rPr>
        <w:t>■</w:t>
      </w:r>
      <w:r w:rsidRPr="00F23836">
        <w:t>VENTRICULOGRAPHY AND AORTOGRAPHY Ventriculography to assess left ven tricular function may be performed during cardiac catheterization. A pigtail catheter is advanced retrograde across the aortic valve into the left ventricle, and 30</w:t>
      </w:r>
      <w:r w:rsidRPr="00F23836">
        <w:rPr>
          <w:rFonts w:ascii="Aptos" w:hAnsi="Aptos" w:cs="Aptos"/>
        </w:rPr>
        <w:t>–</w:t>
      </w:r>
      <w:r w:rsidRPr="00F23836">
        <w:t xml:space="preserve">45 mL of contrast is power injected to visualize the left ventricular chamber during the cardiac cycle. The ventriculogram is usually performed in the right anterior oblique projection to examine wall motion and mitral valve function. Normal wall motion is observed as symmetric contraction of all segments; hypokinetic segments have decreased contraction, akinetic segments do not contract, and dyski netic segments appear to bulge para doxically during systole (Fig. 249-3). Ventriculography may also reveal a left ventricular aneurysm, pseudoan eurysm, or diverticulum, or an api cal ballooning pattern consistent with SYSTOLE FIGURE 249-3 Left ventriculogram at end diastole (left) and end systole (right). In patients with normal left ventricular function, the ventriculogram reveals symmetric contraction of all walls (top). Patients with coronary artery disease may have wall motion abnormalities on ventriculography as seen in this 60-year-old male following a large anterior myocardial infarction. In systole, the anterior, apical, and inferior walls are akinetic (white arrows) (bottom). 1908 DIASTOLE PART 6 SYSTOLE * Disorders of the Cardiovascular System FIGURE 249-4 Cinefluoroscopic detection of mechanical valve leaflet dysfunction. Images of a bileaflet mechanical valve in the aortic position taken during diastole (left) and systole (right) show that one leaflet opens normally during systole while the other leaflet (below asterisk) remains immobile and fixed consistent with valve leaflet thrombosis. event, or, in asymptomatic patients, an increasing gradient across the valve. Cinefluoroscopy visualizes the motion of mechanical valve leaf lets, is noninvasive, is available in most centers, and can be performed rapidly with minimal radiation exposure. Prosthetic mechanical valves should be imaged en face and at a 90° angle over several cardiac cycles to document opening and closing of the valve leaflets as well as motion of the base ring. Each type of prosthetic valve has leaflet opening and closing angles that are reported by the manufacturer and can be used to determine if movement or closure of the valve leaflets is restricted, suggestive of mechanical obstruction. CORONARY ANGIOGRAPHY Selective coronary angiography is almost always performed during cardiac catheterization and is used to define the coronary anatomy and determine the extent of epicardial coronary artery and coronary artery bypass graft disease. Specially shaped coronary catheters are used to engage the left and right coronary ostia. Injection of radiopaque con trast agents by hand or automated contrast injector system creates a coronary “luminogram” that is recorded as radiographic images (cine angiography). Because the coronary arteries are three-dimensional objects that are in motion with the cardiac cycle, angiograms of the vessels using several different orthogonal projections are taken to best visualize the vessels without overlap or foreshortening. The normal coronary anatomy is highly variable between indi viduals, but, in general, there are two </w:t>
      </w:r>
      <w:r w:rsidRPr="00F23836">
        <w:lastRenderedPageBreak/>
        <w:t xml:space="preserve">coronary ostia and three major coronary vessels—the left anterior descending, the left circumflex, and the right coronary arteries with the left anterior descending and left circumflex arteries arising from the left main coronary artery (Fig. 249-5). When the right coronary artery is the origin of the atrio ventricular nodal branch, the posterior descending artery, and the posterior lateral vessels, the circulation is defined as right dominant; this is found in ~85% of individuals. When these branches arise from the left circumflex artery, as occurs in ~5% of individuals, the circu lation is defined as left dominant. The remaining ~10% of patients have a codominant circulation with the posterior descending vessel LAD LCx LM LAD OM arising from both the right coronary and the posterior lateral vessels from left coronary circulation. In some patients, a ramus intermedius branch arises directly from the left main coronary artery that trifur cates into the left anterior descending, ramus, and circumflex arteries; this finding is a normal variant. Coronary artery anomalies occur in 1–2% of patients, with separate ostia for the left anterior descend ing and left circumflex arteries (0.41%), ectopic origin of the right coronary artery from the left coronary sinus (0.92%), ectopic origin of the left circumflex artery from the right coronary sinus (0.67%), and fistulas between the coronary arteries and cardiac chambers or the pulmonary artery or vein (0.87%) being the most common. Cer tain anomalous coronary artery patterns increase the risk of sudden cardiac death, especially if the artery travels between the pulmonary artery and aorta. Coronary angiography visualizes coronary artery stenoses as lumi nal narrowings on the cine angiogram. The degree of narrowing is referred to as the percent stenosis and is determined visually by comparing the most severely diseased segment with a proximal or distal “normal segment;” a stenosis &gt;50% is considered significant (Fig. 249-6). Online quantitative coronary angiography can provide a more accurate assessment of the percent stenosis and lessen the tendency to overestimate lesion severity visually. The presence of a myocardial bridge, which most commonly involves the left anterior descending artery, may be mistaken for a significant stenosis; this occurs when a portion of the vessel dips below the epicardial surface into the myocardium and is subject to compressive forces during ven tricular systole. The key to differentiating a myocardial bridge from a fixed stenosis is that the “stenosed” part of the vessel returns to normal during diastole. Coronary angiography may also reveal spontaneous coronary artery dissections that appear similar to a stenosis but tends to occur in an angiographically normal-appearing coronary artery; a linear dissection flap may be present. Coronary spasm appears similar to a fixed stenosis but resolves with the administration of intracoronary nitroglycerin. Coronary calcification is also seen during angiography prior to the injection of contrast agents. Collateral blood vessels may be seen traversing from one vessel to the distal vasculature of a severely stenosed or totally occluded vessel. Thrombolysis in myocardial infarc tion (TIMI) flow grade, a measure of the relative duration of time that it takes for contrast to opacify the coronary artery fully, may provide an additional clue to the degree of lesion severity, and the presence of TIMI grade 1 (minimal filling) or 2 (delayed filling) suggests that a severe </w:t>
      </w:r>
      <w:r w:rsidRPr="00F23836">
        <w:lastRenderedPageBreak/>
        <w:t xml:space="preserve">coronary artery stenosis is present. </w:t>
      </w:r>
      <w:r w:rsidRPr="00F23836">
        <w:rPr>
          <w:rFonts w:ascii="Arial" w:hAnsi="Arial" w:cs="Arial"/>
        </w:rPr>
        <w:t>■</w:t>
      </w:r>
      <w:r w:rsidRPr="00F23836">
        <w:t>INTRAVASCULAR ULTRASOUND, OPTICAL COHERENCE TOMOGRAPHY, FRACTIONAL FLOW RESERVE, AND CORONARY FLOW RESERVE During coronary angiography, intermediate stenoses (40</w:t>
      </w:r>
      <w:r w:rsidRPr="00F23836">
        <w:rPr>
          <w:rFonts w:ascii="Aptos" w:hAnsi="Aptos" w:cs="Aptos"/>
        </w:rPr>
        <w:t>–</w:t>
      </w:r>
      <w:r w:rsidRPr="00F23836">
        <w:t>70%), inde terminate findings, or anatomic findings that are incongruous with the patient</w:t>
      </w:r>
      <w:r w:rsidRPr="00F23836">
        <w:rPr>
          <w:rFonts w:ascii="Aptos" w:hAnsi="Aptos" w:cs="Aptos"/>
        </w:rPr>
        <w:t>’</w:t>
      </w:r>
      <w:r w:rsidRPr="00F23836">
        <w:t xml:space="preserve">s symptoms may require further interrogation. In these cases, intravascular ultrasound (IVUS) provides a more accurate anatomic D A B C RCA PDA FIGURE 249-5 Normal coronary artery anatomy. A. Coronary angiogram showing the left circumflex (LCx) artery and its obtuse marginal (OM) branches. The left anterior descending (LAD) artery is also seen but may be foreshortened in this view. B. The LAD and its diagonal (D) branches are best seen in cranial views. In this angiogram, the left main (LM) coronary artery is also seen. C. The right coronary artery (RCA) gives off the posterior descending artery (PDA), so this is a right dominant circulation. 1909 A B C D divided by the pressure in the artery proximal to the stenosis at maxi mal vasodilation. Fractional flow reserve is measured using a coronary pressure–sensor guidewire at rest and at maximal hyperemia following the infusion of adenosine (Fig. 249-8). A fractional flow reserve of 2 Gy of radiation during the procedure should be examined for signs of erythema. For patients who received higher doses (&gt;5 Gy), clinical follow-up within 1 month to assess for skin injury is recommended. CHAPTER 249 Diagnostic Cardiac Catheterization and Coronary Angiography Measurement of the fractional flow reserve provides a functional assessment of the stenosis and is more accurate in predicting long-term clinical outcome than imaging techniques. The fractional flow reserve is the ratio of the pressure in the coronary artery distal to the stenosis Fibrous Lipid plaque Thrombus S tent A B C D E FIGURE 249-7 Optical coherence tomography imaging. A. The optical coherence tomography (OCT) catheter (*) in the lumen of a coronary artery with limited neointima formation. The intima is seen with high definition, but unlike intravascular ultrasound imaging, the vessel media and adventitia are not well visualized. B. A fibrous plaque (arrow) is characterized by a bright signal. C. A large, eccentric, lipid-rich plaque obscures part of the vessel lumen. Because lipid in the plaque absorbs light, the lipid-rich plaque appears as a dark area with irregular borders (arrow). The plaque is covered by a thin fibrous cap (arrowhead) typical of a vulnerable plaque. D. A thrombus (arrow) adherent to a ruptured plaque that is protruding into the vessel lumen. E. A coronary stent is that is well apposed to the vessel wall. The stent struts appear as short bright lines with dropout behind the struts (arrow). 1910 PART 6 Disorders of the Cardiovascular System FIGURE 249-8 Fractional flow reserve. The fractional flow reserve is measured using a coronary pressure-sensor guidewire that measures the ratio of the pressure in the coronary artery distal to the stenosis (Pd, green) divided by the pressure in the artery proximal to the stenosis (Pa, red) at maximal hyperemia following the injection of adenosine. A fractional flow reserve of 35 years, RF delivery via catheters has been iteratively optimized such that it has become the most common and mainstay energy source for catheter ablation. Catheter ablation is indicated for a wide variety of clinical arrhythmias, including SVT, accessory pathways, atrial flutter, AF, </w:t>
      </w:r>
      <w:r w:rsidRPr="00F23836">
        <w:lastRenderedPageBreak/>
        <w:t xml:space="preserve">PVCs, and VT. Alternative B FIGURE 250-4 Catheter ablation of cardiac arrhythmias. A. A schematic of the catheter system and generator in a patient undergoing radiofrequency catheter ablation (RFCA); the circuit involves the catheter in the heart and a dispersive patch placed on the body surface (usually the back). The inset shows a diagram of the heart with a series of intracardiac catheters placed via the inferior vena cava (IVC), typically through femoral venous access. Catheters are located at the high right atrium, His bundle location, right ventricular (RV) apex, and through a transseptal puncture within the left atrium. B. Images from an electroanatomic mapping system are shown during mapping and ablation of typical cavo-tricuspid isthmus-dependent atrial flutter. This system allows three-dimensional real-time localization and annotation of catheter position and cardiac anatomy to guide mapping and ablation. In this instance, two projections of the map are shown at the top of the right atrium (RA), a right anterior oblique (RAO) and left anterior oblique (LAO) caudal view. Annotations of ablation lesion delivery are shown as red dots. In the left lower aspect of this panel, a simultaneous image from intracardiac echocardiography (ICE) is shown of the RA, with the ablation catheter in view in all three images. In the lower right aspect of this panel, surface electrocardiogram and intracardiac electrograms acquired in real time are shown. 251 1917 ablative energy sources have been explored over the years, includ ing cryothermy, light spectrum (laser), microwave, ultrasound, and more recently pulsed field electroporation, which injures targeted myocardium through high-energy, ultra-short pulses of electrical current that disrupts the lipid cell membrane, resulting in perma nent cell death. Recently, the well-established ablative technique of stereotactic (focused and directed) external beam ionizing radiation has been applied to the heart to treat various arrhythmias, includ ing VT and AF. This particular treatment modality holds promise given its ability to target regions of the heart that may be inacces sible to catheters, as well as the completely noninvasive nature of the procedure. A widely applied non-RF ablative energy source today is cryo thermy, where an ablative catheter tip is cooled to a temperature range (typically below –40°C) that results in permanent tissue death. Cryothermy is most widely applied to ablation of paroxysmal atrial ablation, via an expandable balloon introduced sequentially into each pulmonary vein and cooled to produce a circumferen tial ablative lesion at the ostium/antrum of each pulmonary vein. Similar catheter-based tools utilizing pulsed field ablation (PFA) have also been introduced for the purpose of electrically isolating pulmonary veins during AF ablation. IMPLANTED ELECTRICAL DEVICE THERAPY Implanted cardiac rhythm management devices are commonly utilized to manage arrhythmia. The first definitive pacemaker was implanted in 1958, and this technology has evolved to be the mainstay in the management of bradyarrhythmias. Sinus node dysfunction and AV conduction disease, particularly with symp toms, are the primary indications for most implanted pacemakers. Pacemakers are typically implanted percutaneously, with insulated wires, or leads, inserted through the upper extremity venous sys tem into the right atrial and/or ventricular myocardium, with the lead tip secured to the myocardium mechanically. The </w:t>
      </w:r>
      <w:r w:rsidRPr="00F23836">
        <w:lastRenderedPageBreak/>
        <w:t xml:space="preserve">leads are connected to a pulse generator placed in the prepectoral space, which contains electronic circuitry and a battery, allowing sensing and/or delivery of pacing stimuli to maintain adequate heart rate. More recently, a completely leadless pacemaker inserted through a large femoral venous sheath directly into the RA or right ventricle endocardium has become available. Although these devices possess more limited pacing options, they likely reduce the risks associated with transvenous lead systems, including infection or lead fracture requiring extraction. Implanted cardioverter-defibrillators (ICDs) are placed in a simi lar fashion to pacemakers. However, ICDs have the ability to sense abnormal ventricular arrhythmias and deliver either anti tachycardia pacing or defibrillation to prevent sudden death. In patients who experience a potentially lethal ventricular arrhyth mia, ICD therapy may be lifesaving. Indications for ICD therapy are considered for either primary prevention of sudden cardiac death (SCD) due to arrhythmia in an at-risk patient or as second ary prevention in a patient who has survived an SCD event. More recently, a completely subcutaneous ICD system has become available, avoiding intravenous leads that increase risk for sys temic infection, and potentially the procedure to extract a poten tially fibrosed lead in cases of lead malfunction or endovascular infection. </w:t>
      </w:r>
      <w:r w:rsidRPr="00F23836">
        <w:rPr>
          <w:rFonts w:ascii="Arial" w:hAnsi="Arial" w:cs="Arial"/>
        </w:rPr>
        <w:t>■</w:t>
      </w:r>
      <w:r w:rsidRPr="00F23836">
        <w:t>FURTHER READING Callans DJ: Josephson</w:t>
      </w:r>
      <w:r w:rsidRPr="00F23836">
        <w:rPr>
          <w:rFonts w:ascii="Aptos" w:hAnsi="Aptos" w:cs="Aptos"/>
        </w:rPr>
        <w:t>’</w:t>
      </w:r>
      <w:r w:rsidRPr="00F23836">
        <w:t xml:space="preserve">s Clinical Cardiac Electrophysiology: Techniques and Interpretations, 7th ed. Philadelphia, Wolters Kluwer, 2024. Ellenbogen K et al (eds): Clinical Cardiac Pacing, Defibrillation, and Resynchronization Therapy, 5th ed. Philadelphia, Elsevier, 2016. Jalife J, Stevenson W (eds): Zipes and Jalife’s Cardiac Electrophysiology: From Cell to Bedside, 8th ed. Philadelphia, Elsevier, 2021. The Bradyarrhythmias: Disorders of the Sinoatrial Node William H. Sauer, Bruce A. Koplan The sinoatrial (SA) node serves as the natural pacemaker of the heart and has variable rates in response to parasympathetic and sympathetic stimulation. If the sinus node is dysfunctional or suppressed, a subsid iary pacemaker in the atrioventricular node or specialized conduction system will take over, leading to a junctional or ventricular rhythm. Symptoms of sinus node dysfunction can vary but typically present as fatigue, exercise intolerance, or dyspnea. The diagnostic evaluation includes an investigation into reversible causes of sinus bradycardia, confirmation of sinus node dysfunction with outpatient telemetry monitoring or exercise testing, and possibly cardiac imaging if struc tural heart disease is suspected. Once irreversible sinus node dysfunc tion is confirmed, permanent pacemaker implantation is the only reliable long-term therapy for symptomatic bradycardia. </w:t>
      </w:r>
      <w:r w:rsidRPr="00F23836">
        <w:rPr>
          <w:rFonts w:ascii="Arial" w:hAnsi="Arial" w:cs="Arial"/>
        </w:rPr>
        <w:t>■</w:t>
      </w:r>
      <w:r w:rsidRPr="00F23836">
        <w:t xml:space="preserve">STRUCTURE AND PHYSIOLOGY OF THE SA NODE The SA node region is complex in structure. Clusters of myocytes with pacemaker activity are surrounded by fibroblasts, endothelial cells, and transitional cells. These clusters of small fusiform cells in the sulcus terminalis on the epicardial surface of the heart at the right atrial–supe rior vena cava junction envelop the SA nodal artery. The SA node is structurally heterogeneous, but the central prototypic nodal cells have fewer distinct myofibrils than does the surrounding atrial myocar dium, no intercalated disks visible on light microscopy, a poorly devel oped sarcoplasmic reticulum, and no T tubules. Cells in the </w:t>
      </w:r>
      <w:r w:rsidRPr="00F23836">
        <w:lastRenderedPageBreak/>
        <w:t xml:space="preserve">peripheral regions of the SA node are transitional in both structure and function. The SA nodal artery arises from the right coronary artery in 55–60% and the left circumflex artery in 40–45% of persons. This feature, along with a protective extracellular matrix of connective tissue, insulates the SA node from the hyperpolarizing influence of the larger atrium. In addition, the alignment of this complex matrix is associated with nearly unidirectional electrical propagation to the atrium (Fig. 251-1). CHAPTER 251 The Bradyarrhythmias: Disorders of the Sinoatrial Node Pacemaker cells spontaneously depolarize in a continuous manner setting the natural rate of depolarization and myocardial contraction. Action potential depolarization in the SA node is normally at a rest ing rate of 60–100 beats/min. The autonomic nervous system exhibits control over the sinus node, with a preponderance of parasympathetic innervation at baseline. Removal of parasympathetic tone or an increase in sympathetic innervation leads to an increase in rate of depolarization. In denervated hearts, the rate of electrical depolariza tion (intrinsic heart rate) is approximately 100 beats/min, reflecting the rate of automaticity of the sinus node uninhibited by parasympathetic tone. The complement of ionic currents present in nodal cells results in a less negative resting membrane potential compared with atrial or ventricular myocytes. Electrical diastole in nodal cells is characterized by slow diastolic depolarization (phase 4), which generates an action potential as the membrane voltage reaches threshold. The action potential upstrokes (phase 0) are slow compared with atrial or ventric ular myocytes, being mediated by calcium rather than sodium current. Cells with properties of SA nodal tissue are electrically connected to the remainder of the myocardium by cells with an electrophysiologic phenotype between that of nodal cells and that of atrial or ventricular myocytes. Cells in the SA node exhibit the most rapid phase 4 depo larization and thus are the dominant pacemakers in a normal heart. Myocytes within the SA node complex include specialized cells surrounded by fibrous tissue. Unlike atrial and ventricular cells, sinus node pacemaker cells have no true resting potential, but instead depo larize automatically and repetitively after the end of an action potential, and the depolarizing current in the SA node myocytes results primarily from slow calcium currents instead of fast sodium channels, which are 1918 Sinus Node Pacemaker Cells +30 mV PART 6 Disorders of the Cardiovascular System 0 mV–30 mV–60 mV Phase 0 Threshold Phase 4 if Phase 3 Phase 4 iK iCa-T iCa-L FIGURE 251-1 Cellular ion currents involved in depolarization and automaticity of sinoatrial (SA) nodal pacemaker cells. Phase 4 spontaneous depolarization results from i f (funny) current, along with T- and L-type calcium channels. Phase 0 is the depolarization phase of the action potential. This is followed by phase 3 repolarization, which results from the outward directed hyperpolarizing K+ currents. i f , funny current; iCa-T , T-type calcium current; iCa-L , L-type calcium current; iK , potassium current. absent in SA node cells. Spontaneous phase 4 depolarization results from a combination of slow inward depolarizing sodium current (If , “funny current”), along with inward calcium current controlled by T-type and L-type calcium channels. The upstroke of depolarization in SA </w:t>
      </w:r>
      <w:r w:rsidRPr="00F23836">
        <w:lastRenderedPageBreak/>
        <w:t xml:space="preserve">node myocytes is slower and lower in amplitude than in ventricular myocytes. In patients 200 ms) AV delay usually occurs within the AV node Second-Degree AV Block (intermittent failure of conduction between atrium and ventricle) Two subtypes Type I/Mobitz I/Wenckebach block: progressive prolongation of the PR interval until loss of conduction occurs Type II/Mobitz II: fixed PR interval precedes loss of conduction Usually associated with QRS widening Third-Degree AV Block (complete heart block) Complete interruption of conduction between atria and ventricles involves a fixed prolongation of the PR interval (&gt;200 ms). In first degree AV block, delay usually occurs within the AV node, although the atria, His bundle, and Purkinje system may also be involved. Although the term block is a misnomer of sorts because electrical con duction is delayed and not interrupted, it remains commonly in use. Second-degree AV block involves intermittent failure of conduction between the atrium and ventricle. There are two subtypes of second degree AV block. Type I (Mobitz I, Wenckebach) AV block manifests as progressive prolongation of the PR interval prior to one or more “dropped” QRS complexes. Progressive shortening of the RR interval and grouped beating of QRS complexes are classically seen in Mobitz I AV block. In addition, comparison of the last PR interval before and the first PR interval after the absent QRS complex will often reveal the greatest discrepancy of PR interval, making the diagnosis of Mobitz I AV block most evident. Mobitz I AV block typically involves the AV node, is hemodynamically stable, and in the absence of symptoms, does not typically warrant pacing. Type II second-degree AV block manifests on ECG as failed AV conduction preceded by fixed PR inter val (no prolongation of PR interval prior to a dropped beat). Type II block has more serious implications, including a risk of sudden death. It is infranodal in location and associated with a less reliable escape rhythm, and thus, permanent pacing is required even in the absence of symptoms. In the setting of 2:1 AV block, ECG differentiation of type I versus type II block is not possible. If the PR interval is 40 beats/min, and a temporary pacemaker is typically not required as the AV block is often reversible and successfully managed with pharmacologic therapy. High-grade AV block in the setting of anterior MI is typically indica tive of extensive infarction, is more often distal to the AV node, and is associated with an increased mortality. Temporary pacing in this circumstance is typically indicated. CHB in the setting of anterior MI may also be preceded by RBB block due to the arterial supply of the proximal RBB. </w:t>
      </w:r>
      <w:r w:rsidRPr="00F23836">
        <w:rPr>
          <w:rFonts w:ascii="Arial" w:hAnsi="Arial" w:cs="Arial"/>
        </w:rPr>
        <w:t>■</w:t>
      </w:r>
      <w:r w:rsidRPr="00F23836">
        <w:t xml:space="preserve">INFECTIOUS CAUSES OF AV BLOCK Infection can also cause AV block. AV block is a common manifes tation of Lyme carditis due to infection with Borrelia burgdorferi. 1927 400 ms There is a slowing of the sinus rate prior to AV block AV block in the setting of high vagal tone during sleep 17 mm/mV, 8 s 30 s FIGURE 252-2 Evidence of atrioventricular (AV) block during sleep. During sleep, increased vagal tone leads to sinus bradycardia with associated Mobitz I (Wenckebach) AV block. See Fig. 252-1 for an explanation of Mobitz I block. AV block is typically at the level of the AV node with narrow junctional escape rhythm &gt;40 beats/min. Less commonly, conduction abnormali ties can occur below the level of the AV node or in the sinus node. In Lyme carditis, AV block typically improves </w:t>
      </w:r>
      <w:r w:rsidRPr="00F23836">
        <w:lastRenderedPageBreak/>
        <w:t xml:space="preserve">within 1 week of antibiotic therapy, although a longer time frame can occur in some patients. AV block in the setting of infective endocarditis should raise concern for perivalvular abscess, which requires urgent surgical consultation. Viral myocarditis, Chagas’ disease, and toxoplasmosis are less com mon infectious causes of AV block. Infiltrative heart disease such as cardiac sarcoid, amyloid, and hemochromatosis can also present as AV block. Autoimmune diseases, including systemic lupus erythemato sus (SLE), rheumatoid arthritis, mixed connective tissue disease, and scleroderma, may cause AV block due to infiltration of the conduction system. Rare malignancies also may impair AV conduction. </w:t>
      </w:r>
      <w:r w:rsidRPr="00F23836">
        <w:rPr>
          <w:rFonts w:ascii="Arial" w:hAnsi="Arial" w:cs="Arial"/>
        </w:rPr>
        <w:t>■</w:t>
      </w:r>
      <w:r w:rsidRPr="00F23836">
        <w:t xml:space="preserve">AUTONOMIC AND FUNCTIONAL CAUSES OF AV BLOCK Functional causes of AV block (autonomic, metabolic/endocrine, and drug-related) tend to be reversible. Most other etiologies produce structural changes, typically fibrosis, in segments of the AV conduction axis that are generally permanent. Heightened vagal tone during sleep or in well-conditioned individuals can be associated with all grades of AV block (Fig. 252-2). Carotid sinus hypersensitivity, vasovagal syncope, and cough and micturition syncope may be associated with SA node slowing and AV conduction block. Transient metabolic and endocrinologic dis turbances and a number of pharmacologic agents also may produce reversible AV conduction block. </w:t>
      </w:r>
      <w:r w:rsidRPr="00F23836">
        <w:rPr>
          <w:rFonts w:ascii="Arial" w:hAnsi="Arial" w:cs="Arial"/>
        </w:rPr>
        <w:t>■</w:t>
      </w:r>
      <w:r w:rsidRPr="00F23836">
        <w:t xml:space="preserve">ACQUIRED AV BLOCK FROM FIBROSIS AND INFILTRATIVE CARDIOMYOPATHIES Idiopathic progressive fibrosis of the conduction system is one of the more common and degenerative causes of AV conduction block. Aging is associated with degenerative changes in the summit of the ventricu lar septum, central fibrous body, and aortic and mitral annuli and has been described as “sclerosis of the left cardiac skeleton.” The process typically begins in the fourth decade of life and may be accelerated by atherosclerosis, hypertension, and diabetes mellitus. Accelerated forms of progressive familial heart block have been identified in families with mutations in the cardiac sodium channel gene (SCN5A) and other loci that have been mapped to chromosomes 1 and 19. AV conduction block has been associated with heritable neuro muscular diseases, including the nucleotide repeat disease myotonic dystrophy, the mitochondrial myopathy Kearns-Sayre syndrome, and several of the monogenic muscular dystrophies. Patients with these neuromuscular diseases and evidence of AV block should be consid ered for permanent pacing support. </w:t>
      </w:r>
      <w:r w:rsidRPr="00F23836">
        <w:rPr>
          <w:rFonts w:ascii="Arial" w:hAnsi="Arial" w:cs="Arial"/>
        </w:rPr>
        <w:t>■</w:t>
      </w:r>
      <w:r w:rsidRPr="00F23836">
        <w:t>CONGENITAL AV BLOCK Congenital AV block may be observed in complex congenital cardiac anomalies, such as transposition of the great arteries, ostium primum ASDs, VSDs, endocardial cushion defects, and some single-ventricle defects. Congenital AV block in the setting of a structurally normal heart can occur sporadically and can also be seen in children born to mothers with SLE and other autoimmune diseases. DIAGNOSTIC TESTING Patients with conduction abnormalities should be evaluated for the presence or absence of structural heart disease. Physical exam may reveal valvular heart disease. ECG may suggest concomitant disease that predisposes to conduction abnormalities. Echocardiography is also indicated to evaluate for structural heart disease including val vular abnormalities, ejection fraction, and ventricular wall motion. Because age-</w:t>
      </w:r>
      <w:r w:rsidRPr="00F23836">
        <w:lastRenderedPageBreak/>
        <w:t xml:space="preserve">dependent progressive fibrosis of the conduction system is the most common cause, AV node block that develops at a younger age (≤60 years) warrants advanced imaging such as chest computed tomography (CT), cardiac magnetic resonance imaging (MRI), or CT/positron emission tomography (PET) scan to further evaluate for infiltrative heart disease such as sarcoidosis. Advanced imaging may also be warranted based on other factors in the history and testing that suggest the need for evaluation of infiltrative heart disease. Evalu ation for cardiac ischemia should be driven by the clinical suspicion at presentation (e.g., symptoms of ischemia, ECG abnormalities, etc.) (Fig. 252-3). Diagnostic testing in the evaluation of AV block is aimed at deter mining the level of conduction block, particularly in asymptomatic patients, since the prognosis and therapy depend on whether the block is in or below the AV node. Vagal maneuvers, carotid sinus massage, exercise, and administration of drugs such as atropine and isoproter enol may be diagnostically informative. Owing to the differences in the innervation of the AV node and infranodal conduction system, vagal stimulation and carotid sinus massage slow conduction in the AV node but have less of an effect on infranodal tissue and may even appear to improve conduction due to a reduced rate of activation of distal tissues. Conversely, atropine, isoproterenol, and exercise improve conduction through the AV node and may appear to impair infranodal conduction. In patients with congenital CHB and a narrow QRS complex, exercise typically increases heart rate; by contrast, those with acquired CHB, particularly with wide QRS, do not respond to exercise with an increase in heart rate. Additional diagnostic evaluation, including electrophysiologic test ing, may be indicated in patients with syncope and suspected high grade AV block. This is particularly relevant if noninvasive testing does not reveal the cause of syncope or if the patient has structural heart disease with ventricular tachyarrhythmias as a cause of symp toms. Electrophysiologic testing provides more precise information regarding the location of AV conduction block and permits studies of AV conduction under conditions of pharmacologic stress and exercise. Recording of the His bundle electrogram by a catheter positioned at the superior margin of the tricuspid valve annulus provides information about conduction at all levels of the AV conduction axis. A properly recorded His bundle electrogram reveals local atrial activity, the His electrogram, and local ventricular activation; when it is monitored simultaneously with recorded body surface ECG traces, intra-atrial, AV nodal, and infranodal conduction times can be assessed. The time from the most rapid deflection of the atrial electrogram in the His bundle recording to the His electrogram (AH interval) represents conduction through the AV node and is normally 500 ms (100 ms, the annual incidence of complete AV block approaches 10%, indicating a need for pacing. In patients with acquired CHB, even if intermittent, there is little role for electrophysiologic test ing, and pacemaker implantation is almost always indicated. 1930 AV Block PART 6 Disorders of the Cardiovascular System Marked first degree AV Block Symptoms Yes Neuromuscular disease No No Lamin A/C, neuromuscular disease Yes Lamin A/C Yes Permanent pacing (Class IIa) Permanent pacing (Class IIb) </w:t>
      </w:r>
      <w:r w:rsidRPr="00F23836">
        <w:lastRenderedPageBreak/>
        <w:t xml:space="preserve">Yes Permanent pacing (Class IIa) No Observation Permanent pacing (Class III: Harm) Mobitz Type I Block Symptoms Yes Permanent pacing (Class IIa) No Neuromuscular disease associated with progressive conduction tissue disorder Permanent pacing (Class I) Complete heart block (acquired), advanced AV block, Mobitz Type II, evidence for infranodal block Yes No Observation Permanent pacing (Class III: Harm) Permanent pacing (Class I) FIGURE 252-5 Indications for pacing in patients with atrioventricular (AV) block. In patients presenting with AV block, the category of AV block should be determined (first-degree, second-degree, or complete heart block). In first-degree AV block, permanent pacing may be indicated in the setting of symptoms or higher-risk systemic disease such as neuromuscular disease or Lamin A/C cardiomyopathy. In Mobitz I AV block, pacing may be considered in the setting of symptoms or the additional disease mentioned with first-degree AV block. In complete heart block or Mobitz II AV block, permanent pacing is generally indicated. Class I recommendations should be performed or are indicated. Class IIa recommendations are considered reasonable to perform. Class IIb recommendations may be considered. Class III recommendations are associated with harm more than benefit. (Reproduced with permission from FM Kusumoto et al: 2018 ACC/AHA/HRS guideline on the evaluation and management of patients with bradycardia and cardiac conduction delay. Heart Rhythm 16:e128, 2019.) correction of electrolyte abnormalities, relief of ischemia, treatment of certain infiltrative heart disease (e.g., immunosuppression in cardiac sarcoidosis), and treatment of sleep apnea in patients with nocturnal vagally mediated AV block. When symptomatic or infranodal AV block is not reversible, which is often the case, permanent pacing is warranted. PERMANENT PACEMAKER IMPLANTATION The indications for pacing in AV conduction block are shown in Fig. 252-5. In patients with acquired Mobitz type II AV block, high-grade AV block, or third-degree AV block that is not reversible or physiologic, permanent pacing is recommended regardless of symptoms. For all other types of AV block, in the absence of condi tions associated with progressive AV conduction abnormalities, permanent pacing should generally be considered only in the pres ence of symptoms that correlate with block. In patients with neuro muscular disease and other progressive cardiomyopathies affecting the conduction system, permanent pacemaker implantation is rec ommended for marked first-degree AV block and Mobitz I AV block. Pacemaker implantation should be performed in any patient with symptomatic bradycardia and irreversible second- or third degree AV block, regardless of the cause or level of block in the conducting system. Symptoms may include those directly related to bradycardia and low cardiac output or to worsening heart failure, angina, or intolerance to an essential medication. Pacing in patients with asymptomatic AV block should be individualized; situations in which pacing should be considered are patients with acquired CHB, particularly in the setting of cardiac enlargement; left ventricular dysfunction; and waking heart rates ≤40 beats/min. Patients who have asymptomatic second-degree AV block of either type should be considered for pacing if the block is demonstrated to be intra- or infra-His or </w:t>
      </w:r>
      <w:r w:rsidRPr="00F23836">
        <w:lastRenderedPageBreak/>
        <w:t xml:space="preserve">is associated with a wide QRS complex. Pacing may be indicated in asymptomatic patients in special circumstances, in patients with profound first-degree AV block and left ventricular dysfunction in whom a shorter AV interval produces hemodynamic improvement, and in the setting of milder forms of AV conduction delay (first-degree AV block, intraventricular conduction delay) in patients with neuromuscular diseases that have a predilection for the conduction system, such as myotonic dystrophy and other muscular dystrophies and Kearns-Sayre syndrome. AV block in acute MI is often transient, particularly in inferior infarction. The circumstances in which pacing is indicated in acute MI are persistent second- or third-degree AV block, particularly if symptomatic, and transient second- or third-degree AV block associated with bundle branch block. Pacing is generally not indi cated in the setting of transient AV block in the absence of intra ventricular conduction delays or in the presence of fascicular block or first-degree AV block that develops in the setting of preexisting bundle branch block. Fascicular blocks that develop in acute MI in the absence of other forms of AV block also do not require pacing. Distal forms of AV conduction block may require pacemaker implantation in certain clinical settings. Patients with bifascicular or trifascicular block and symptoms, particularly syncope that is not attributable to other causes, should undergo pacemaker implantation. Permanent pacemaker implantation is indicated in asymptomatic patients with bifascicular or trifascicular block who experience intermittent third-degree block, type II second-degree AV block, or alternating bundle branch block. In patients with fascicular block who are undergoing electrophysiologic study, a markedly prolonged HV interval or block below the His at long cycle lengths also may constitute an indication for permanent pac ing. Patients with fascicular block and the neuromuscular diseases previously described should also undergo pacemaker implantation. SELECTION OF PACING MODE AND SYSTEM In general, a pacing mode that maintains AV synchrony reduces com plications of pacing such as pacemaker syndrome and pacemaker mediated tachycardia. This is particularly true in younger patients; the importance of dual-chamber pacing in the elderly, however, is 1931 CHAPTER 252 The Bradyarrhythmias: Disorders of the Atrioventricular Node Pacing lead at His position The availability of leadless miniaturized pacing systems may be appropriate in selected patients. Leadless pacemakers are com pletely self-contained devices that are implanted via the femo ral vein into the right atrium and ventricle. The technology for these devices continues to evolve, and the most recent models are capable of detecting atrial mechanical contraction to allow for the preservation of AV synchrony. The device can provide single- or dual-chamber pacing in addition to containing technology that can sense atrial activity (utilizing the accelerometer in the pacemaker) to coordinate an atrial sensed, ventricular paced rhythm. Leadless pacemakers can be particularly useful in patients with vascular access limitations. Because there is no intravascular pacing wire or implanted subcutaneous pacemaker generator, the long-term infec tion rate is lower and there is no risk of lead fracture (Fig. 252-7). Several studies have failed to demonstrate a difference in mortal ity rate in older </w:t>
      </w:r>
      <w:r w:rsidRPr="00F23836">
        <w:lastRenderedPageBreak/>
        <w:t xml:space="preserve">patients with AV block treated with a single- (VVI) compared with a dual- (DDD) chamber pacing mode. In some of the studies that randomized pacing mode, the risk of chronic atrial fibril lation and stroke risk decreased with physiologic pacing. In patients with sinus rhythm and AV block, the very modest increase in risk with dual-chamber pacemaker implantation appears to be justified to avoid the possible complications of single-chamber pacing. FIGURE 252-6 Left bundle branch area pacing. The chest radiograph on the left shows a dual-chamber pacemaker with a pacing lead in the right atrium (upper left) and a pacing lead in the region of proximal ventricular septum to achieve physiologic pacing by pacing deep enough in the septum to achieve left bundle branch area pacing. The electrocardiograms demonstrated intrinsic conduction with complete heart block on the left and atrial sensed, ventricular paced rhythm with a narrow QRS complex by capturing the specialized conduction system of the heart. less well established, although AV synchrony in patients with sinus rhythm and AV block is typically desired. Physiologic Ventricular Pacing In patients with left ventricular ejection fraction 40% of the time, techniques to provide more physiologic ventricu lar activation are preferred to right ventricular pacing to prevent heart failure. Cardiac resynchronization therapy (CRT) involves placement of an additional pacing lead in a lateral or anterolateral branch of the coronary sinus to allow for simultaneous right ven tricle and lateral left ventricle pacing leading to a more physiologic left ventricular contraction. CRT pacing has been shown to improve outcomes and mortality in appropriately selected patients. Physi ologic ventricular pacing has also been achieved with placement of a ventricular pacing lead in the region of the His bundle. His bundle pacing recruits the specialized conduction system, leading to a more physiologic cardiac contraction. In addition to His bundle pacing, left bundle branch area pacing in the proximal interven tricular septal region has also been shown to achieve a more physi ologic pacing response. The selection of pacing lead location should be individualized based on expected pacing requirements, underly ing heart disease, and level of conduction block (Fig. 252-6). Single chamber leadless pacemaker Single chamber transvenous pacemaker FIGURE 252-7 Types of pacemakers. A single-chamber pacemaker with the pacing lead in the right ventricular outflow tract (arrow) is shown on the left. A single-chamber leadless pacemaker (arrow) is shown on the right. 1932 PART 6 Disorders of the Cardiovascular System </w:t>
      </w:r>
      <w:r w:rsidRPr="00F23836">
        <w:rPr>
          <w:rFonts w:ascii="Arial" w:hAnsi="Arial" w:cs="Arial"/>
        </w:rPr>
        <w:t>■</w:t>
      </w:r>
      <w:r w:rsidRPr="00F23836">
        <w:t>FURTHER READING Jalife J, Stevenson W (eds): Zipes and Jalife</w:t>
      </w:r>
      <w:r w:rsidRPr="00F23836">
        <w:rPr>
          <w:rFonts w:ascii="Aptos" w:hAnsi="Aptos" w:cs="Aptos"/>
        </w:rPr>
        <w:t>’</w:t>
      </w:r>
      <w:r w:rsidRPr="00F23836">
        <w:t xml:space="preserve">s Cardiac Electrophysiology: From Cell to Bedside, 8th ed. Philadelphia, Elsevier, 2022. Kusumoto FM et al: 2018 ACC/AHA/HRS guideline on the evaluation and management of patients with bradycardia and cardiac conduc tion delay: A report of the American College of Cardiology/American Heart Association Task Force on Clinical Practice Guidelines and the Heart Rhythm Society. Heart Rhythm 16:e128, 2019. Sidhu S, Marine JE: Evaluating and managing bradycardia. Trends Cardiovasc Med 30:265, 2020. Approach to Supraventricular Arrhythmias William H. Sauer, Paul C. Zei 253 Supraventricular arrhythmias refer to all abnormal heart rhythms originating above the level of the ventricle including the atria and the atrioventricular </w:t>
      </w:r>
      <w:r w:rsidRPr="00F23836">
        <w:lastRenderedPageBreak/>
        <w:t xml:space="preserve">(AV) junction. Supraventricular arrhythmias include premature atrial contractions (PACs), wandering atrial pacemaker, sinus arrhythmia, nonphysiologic sinus tachycardia, atrial tachycardia, junctional tachycardia, atrial flutter, and atrial fibrillation. Supraven tricular arrhythmias that result in an elevated heart rate (&gt;100 beats/ min) are broadly defined as supraventricular tachycardias (SVTs). SVTs originate from or are dependent on conduction through the atrium or AV node to the ventricles. Most produce narrow QRS complex tachycardia (QRS duration 120 ms. When there is an irregularity in the heart rhythm and there are different P-wave morphologies observed, then this arrhythmia is most likely due to premature atrial contractions (PACs) and not sinus arrhythmia. Sinus arrhythmia usu ally occurs at rest and is often eliminated with higher rates observed with exertion due to removal of vagal tone. The three types of sinus arrhythmias observed are respirophasic, ventriculophasic, and non phasic. Respirophasic sinus arrhythmia occurs when vagal tone is inhibited reflexively during inspiration and is restored with expira tion. A similar phenomenon is seen with breath-holding leading to exaggerated pauses most often seen with obstructive sleep apnea. Ventriculophasic sinus arrhythmia is most often observed with heart block or after a premature ventricular contraction (PVC). The P-P interval is shortened when there is an interposed ventricular complex seen in these conditions possibly related to the triggered baroreceptor reflex from the subsequent beat after a longer ventricular filling time and increased stroke volume. Nonphasic sinus arrhythmia refers to variations in sinus P-P intervals unrelated to the cardiac or respiratory cycle. Regardless of the mechanism, asymptomatic sinus arrhythmia does not warrant further cardiac evaluation and is not considered pathogenic. CHAPTER 254 Physiologic and Nonphysiologic Sinus Rhythm Crista terminalis CS Os aVR Eustachian ridge IVC Triangle of Koch A B Pectinate muscles TVA FIGURE 254-1 Right atrial anatomy pertinent to normal sinus rhythm and supraventricular tachycardia. A. Typical P-wave morphology during normal sinus rhythm based on standard 12-lead electrocardiogram. There is a positive P wave in leads II, III, and aVF and a biphasic, initially positive P wave in aVR. B. Right atrial anatomy seen from a right lateral perspective with lateral wall opened to view the septum. AVN, atrioventricular node; CS Os, coronary sinus ostium; FO, fossa ovalis; IVC, inferior vena cava; TVA, tricuspid valve annulus. 1936 12 am NONPHYSIOLOGIC SINUS TACHYCARDIA 6 am 200 PART 6 150 100 50 0 12 pm 6 pm 12 am A Disorders of the Cardiovascular System 12 am 200 150 100 50 0 6 am 12 pm 6 pm 12 am B FIGURE 254-2 Outpatient telemetry monitor in a patient with intermittent atrial tachycardia (A) and normal physiologic sinus tachycardia (B). PHYSIOLOGIC SINUS TACHYCARDIA Sinus tachycardia (&gt;100 beats/min) typically occurs in response to sympathetic stimulation and/or vagal withdrawal, whereby the rate of spontaneous depolarization of the sinus node increases and the focus of earliest activation within the node typically shifts more leftward and closer to the superior septal aspect of the crista terminalis, thus pro ducing taller P waves in the inferior limb leads when compared to nor mal sinus rhythm. Sinus bradycardia is defined as rates 120 beats/min within 10 min </w:t>
      </w:r>
      <w:r w:rsidRPr="00F23836">
        <w:lastRenderedPageBreak/>
        <w:t xml:space="preserve">of standing and in the absence of hypotension. Symptoms are often similar to those in patients with inappropriate sinus tachycardia. POTS is sometimes due to autonomic dysfunction following a viral illness and may resolve spontaneously over 3–12 months. Prolonged postviral symptoms after COVID-19 infection, sometimes referred to as “long COVID,” have been ascribed to autonomic dysfunction and a POTS-like presentation. Volume expansion with salt supplementation, oral fludrocortisone, compres sion stockings, and the α-agonist midodrine, often in combination, can be helpful. Exercise training has also been shown to improve symptoms Sinus tachycardia Identify and treat reversible causes (See Table 254-1) Evaluate for POTS IST suspected Beta blocker and/or ivabradine Consider catheter ablation Treatment of POTS • Recumbent exercise and conditioning regimen • High-salt diet • Compression stockings • Fludrocortisone • Midodrine FIGURE 254-3 Evaluation and treatment of sinus tachycardia. For the patient who presents with sinus tachycardia, reversible causes of appropriate sinus tachycardia must be excluded and treated as indicated. Otherwise, evaluation for a spectrum of syndromes resulting in inappropriate sinus tachycardia should be undertaken. Potential directed therapies are shown. IST, inappropriate sinus tachycardia; POTS, postural orthostatic tachycardia syndrome. 1937 and should be a part of a treatment strategy to reduce symptoms. While it is sometimes difficult to differentiate inappropriate sinus tachycardia from POTS, recognition of these distinct clinical syndromes is criti cal for treatment. Sinus node modification will be ineffective for the treatment of POTS and will possibly exacerbate the nontachycardia components of the condition. Likewise, treatment strategies aimed at increasing blood pressure will not be appropriate for inappropriate sinus tachycardia. </w:t>
      </w:r>
      <w:r w:rsidRPr="00F23836">
        <w:rPr>
          <w:rFonts w:ascii="Arial" w:hAnsi="Arial" w:cs="Arial"/>
        </w:rPr>
        <w:t>■</w:t>
      </w:r>
      <w:r w:rsidRPr="00F23836">
        <w:t xml:space="preserve">FURTHER READING Mayuga KA et al: Sinus tachycardia: A multidisciplinary expert focused review. Circ Arrhythm Electrophysiol 15:e007960, 2022. Vernino S et al: Postural orthostatic tachycardia syndrome (POTS): State of the science and clinical care from a 2019 National Insti tutes of Health Expert Consensus Meeting-Part 1. Auton Neurosci 235:102828, 2021. 255 Focal Atrial Tachycardia William H. Sauer, Paul C. Zei The underlying mechanisms of focal atrial tachycardia (AT) include abnormal automaticity, triggered automaticity, or a small reentry cir cuit in diseased atrial tissue. The term focal is used to differentiate this form of AT from typical and atypical atrial flutter but does not define a mechanism of the arrhythmia. ATs can originate from most regions of the atria, including atrial tissue extending into a pulmonary vein, the coronary sinus, or vena cava. It can be sustained, nonsustained, paroxysmal, or incessant. Focal AT accounts for ~10% of paroxysmal supraventricular tachycardia (PSVTs) in patients referred for catheter ablation. Nonsustained focal AT is commonly observed on ambulatory electrocardiogram (ECG) recordings, and the prevalence increases with age. Asymptomatic nonsustained ATs are often labeled as “SVT” on monitor reports, prompting patients to seek advice on catheter ablation. However, treatment is not recommended for asymptomatic nonsustained AT identified on ECG monitoring. Frequent atrial ectopy and nonsustained AT are often precursors to more significant arrhyth mias such as atrial fibrillation and </w:t>
      </w:r>
      <w:r w:rsidRPr="00F23836">
        <w:lastRenderedPageBreak/>
        <w:t xml:space="preserve">atrial flutter. Occasionally, nonsus tained, frequent atrial ectopy or short bursts of AT may be symptomatic and require therapy similar to that required for focal AT (Fig. 255-1). AT AVNRT AVRT AT can occur in the absence of structural heart disease or may be associated with any condition that causes atrial fibrosis, including atrial tissue targeted with prior catheter ablation. Areas of fibrosis can act as a nidus for abnormal automaticity from injured but partially living cells or microreentry in zones of slow conduction within and on the border of fibrotic areas. Sympathetic stimulation is a promoting factor, and the emergence of AT can be a sign of underlying illness or drug toxic ity. In particular, AT with atrioventricular (AV) block is characteristic of digitalis toxicity. Symptoms from AT are highly variable but similar to other supraventricular tachycardias (SVTs), and incessant AT can cause tachycardia-induced cardiomyopathy. AT typically presents with 1:1 AV conduction or with AV block in a Wenckebach or fixed (e.g., 2:1 or 3:1) pattern. Because it is not depen dent on AV nodal conduction, AT will not terminate with AV block, and the atrial rate will not be affected, which distinguishes AT from most AV nodal–dependent SVTs, such as AV nodal reentry and AV reentry using an accessory pathway (see below). A so-called warm up phase when the atrial activation rate increases after initiation or a cool-down phase when the rate slows prior to termination also favors AT rather than AV nodal–dependent SVT, as this is a common observation with enhanced automaticity. P waves are often discrete, with an intervening isoelectric segment, in contrast to atrial flutter and macroreentrant AT because atrial activation from a focal source occurs through a small portion of the tachycardia cycle (Fig. 255-2). When 1:1 conduction to the ventricles is present, the arrhythmia can resemble sinus tachycardia typically with a P-R interval shorter than the R-P interval, particularly when sympathetic tone results in rapid AV nodal conduction. It can be distinguished from sinus tachycardia by the P-wave morphology, which usually differs from sinus P waves depend ing on the location of the focus. Focal AT tends to originate in areas of complex atrial anatomy, such as the crista terminalis, valve annuli, atrial septum, and atrial muscle extending along cardiac thoracic veins (superior vena cava, coronary sinus, and pulmonary veins), and the location can often be approximated by the P-wave morphology. AT from the atrial septum will frequently have a narrower P-wave duration than sinus rhythm. AT from the left atrium will usually have a mono CHAPTER 255 Focal Atrial Tachycardia phasic, positive P wave in lead V1 and negative P waves in I and aVL, indicating an activation wavefront away from the left atrial free wall. AT that originates from superior atrial locations, such as the superior vena cava or superior pulmonary veins, will be positive in the inferior limb leads II, III, and aVF, whereas AT from a more inferior loca tion, such as the ostium of the coronary sinus, will inscribe negative P waves in these same leads. When the focus is in the superior aspect of the crista terminalis, close to the sinus node, however, the P wave will resemble that of sinus tachycardia. Abrupt onset and offset then favor AT rather than sinus tachycardia. Depending on the atrial rate, the P wave may fall on top of the T wave, or during 2:1 conduction, No P wave visible No P-wave visible RP &lt; PR RP &lt; PR RP &gt; PR RP </w:t>
      </w:r>
      <w:r w:rsidRPr="00F23836">
        <w:lastRenderedPageBreak/>
        <w:t xml:space="preserve">&gt; PR A B • AV node reentry • AV node reentry • AV reentry using an accessory pathway • Focal atrial tachycardia • AV reentry using an accessory pathway • AV node reentry uncommon form FIGURE 255-1 Common mechanisms underlying paroxysmal supraventricular tachycardia along with typical R-P relationships. A. Schematic showing a four-chamber view of the heart with atrioventricular (AV) node and specialized conduction tissue (His-Purkinje) in yellow. Atrial tachycardia (AT; red circuit) is confined completely to atrial tissue. Atrioventricular nodal reentry tachycardia (AVNRT; green circuit) uses AV nodal and perinodal atrial tissue. Atrioventricular reentry tachycardia (AVRT; blue circuit) uses atrial and ventricular tissue, accessory pathway between the ventricle and atrium, AV node, and His-Purkinje tissue as part of the reentry circuit. B. Typical relation of the P wave to QRS, commonly described as the R-P to P-R relationship, for the different tachycardia mechanisms. 1938 I I PART 6 Disorders of the Cardiovascular System II II III III VI VI III III V5 V5 aVR aVR aVL aVL aVF aVF V1 V1 V2 V2 V3 V3 aVR aVR V4 V4 V5 V5 V6 V6 FIGURE 255-2 Focal atrial tachycardia. In the right panel, a surface 12-lead electrocardiogram shows focal intermittent atrial tachycardia. Note the discrete P waves, with isoelectric segments between, as well as the sinus rhythm. The left panel shows an electroanatomic map of the same focal atrial tachycardia originating from the anterior interatrial septum, as viewed in an anterior-posterior (AP) view of the left atrium obtained during electrophysiology study and ablation. The colors represent the timing of local electrical activation during each tachycardia atrial activation, showing a focal early (red) site. Additional markers of white “flecks” represent conduction direction, demonstrating activation of the atrium dispersing from this focal site. Of note, the pink and red dots represent ablation lesions, in this case, for pulmonary vein isolation. (Adapted from J Brugada et al: 2019 ESC Guidelines for the management of patients with supraventricular tachycardia. The Task Force for the management of patients with supraventricular tachycardia of the European Society of Cardiology (ESC). Eur Heart J 41:655, 2020.) every other P wave may fall coincident with the QRS. Maneuvers that increase AV block, such as carotid sinus massage, Valsalva maneuver, or administration of AV nodal–blocking agents, such as adenosine, are useful to create AV block that will expose the P wave. Acute management of sudden-onset, sustained AT is the same as for other forms of PSVT, but the response to pharmacologic therapy is variable, likely depending on the mechanism (Fig. 255-3). For AT due to reentry, administration of adenosine or vagal maneuvers may transiently increase AV block without terminating tachycardia. Some ATs terminate with a sufficient dose of adenosine, consistent with triggered activity as the mechanism. Cardioversion can be effective in some but fails in others because of immediate recur rence, suggesting automaticity as the mechanism in these cases. Beta blockers and calcium channel blockers may slow the ventricular rate by increasing AV block, which can improve tolerance of the arrhythmias, but large doses are sometimes required. Potential precipitating factors Focal atrial tachycardia Hemodynamic instability No Adenosine Ineffective Non-DHP CCB and/or beta blocker Ineffective Antiarrhythmic therapy (see </w:t>
      </w:r>
      <w:r w:rsidRPr="00F23836">
        <w:lastRenderedPageBreak/>
        <w:t xml:space="preserve">Table 250-2) Ineffective Recurrent or incessant Yes Cardioversion Recurrent or incessant Catheter ablation and intercurrent illness should be sought and corrected. Underlying heart disease should be considered and excluded. For patients with recurrent episodes, beta blockers, calcium chan nel blockers such as diltiazem or verapamil, and antiarrhythmic drugs such as flecainide, propafenone, disopyramide, sotalol, and amioda rone can be effective, but potential toxicities and adverse effects often warrant avoidance of long-term use. Catheter ablation targeting the AT focus is effective in &gt;80% of patients and is recommended for recurrent symptomatic AT when drugs fail or are not desired or for incessant AT causing tachycardia induced cardiomyopathy. Although AT is often a precursor to atrial fibrillation or atrial flutter, the associated risk for stroke and, hence, indications for long-term anticoagulation are unclear but not consid ered equivalent. </w:t>
      </w:r>
      <w:r w:rsidRPr="00F23836">
        <w:rPr>
          <w:rFonts w:ascii="Arial" w:hAnsi="Arial" w:cs="Arial"/>
        </w:rPr>
        <w:t>■</w:t>
      </w:r>
      <w:r w:rsidRPr="00F23836">
        <w:t xml:space="preserve">FURTHER READING Brugada J et al: 2019 ESC Guidelines for the management of patients with supraventricular tachycardia. The Task Force for the Manage ment of Patients with Supraventricular Tachycardia of the European Society of Cardiology (ESC) developed in collaboration with the Association for European Paediatric and Congenital Cardiology (AEPC). Eur Heart J 41:655, 2020. Callans DJ: Josephson’s Clinical Cardiac Electrophysiology: Techniques and Interpretations, 7th ed. Philadelphia, Wolters Kluwer, 2024. 256 Paroxysmal Supraventricular Tachycardias William H. Sauer, Paul C. Zei FIGURE 255-3 Clinical approach and treatment algorithm for management of focal atrial tachycardia. CCB, calcium channel blocker; DHP, dihydropyridine. (Adapted from J Brugada et al: 2019 ESC Guidelines for the management of patients with supraventricular tachycardia The Task Force for the management of patients with supraventricular tachycardia of the European Society of Cardiology (ESC) [published correction appears in Eur Heart J 41:4258, 2020]. Eur Heart J 41:655, 2020.) In this chapter, sustained supraventricular tachycardias (SVTs) dependent on the atrioventricular (AV) node are discussed. These include AV nodal reentry tachycardia (AVNRT), junctional tachycar dia, AV reciprocating tachycardia (AVRT) utilizing an accessory path way, and a group of additional various SVTs that involve an accessory II 1939 P waves V1 CS Tricuspid valve Inferior AV node extension: Slow pathway Compact AV node: Fast pathway A B FIGURE 256-1 Atrioventricular (AV) node reentry. A. Leads II and V1 are shown. P waves are visible at the end of the QRS complex and are negative in lead II and may give the impression of S waves in the inferior limb leads II, III, and aVF and an R′ in lead V1 . B. Stylized version of the AV nodal reentry circuit within the triangle of Koch (see Fig. 254-1) that involves AV node and its extensions along with perinodal atrial tissue. CS, coronary sinus. pathway, termed preexcited tachycardias. The term SVT encompasses a broad group of tachyarrhythmias based on anatomic origin and techni cally includes sinus tachycardia, atrial tachycardia (AT), atrial flutter, and atrial fibrillation; however, for the purposes of describing an orga nized approach to diagnosis and treatment of SVT, a separate discus sion for these non-AV nodal–dependent SVTs are discussed elsewhere. ATRIOVENTRICULAR NODAL REENTRY TACHYCARDIA AVNRT is the most common form </w:t>
      </w:r>
      <w:r w:rsidRPr="00F23836">
        <w:lastRenderedPageBreak/>
        <w:t xml:space="preserve">of paroxysmal supraventricular tachycardia (PSVT), representing ~60% of cases referred for catheter ablation. It most commonly manifests in the second to fourth decades of life, more often in women. It is usually well tolerated, but rapid tachycardia, particularly in the elderly, may cause angina, pulmonary edema, hypotension, or syncope. It is not usually associated with structural heart disease. In patients without associated heart disease, AVNRT is not a life-threatening arrhythmia; however, it may cause significant symptoms. The mechanism is reentry involving the AV node and the perinodal atrium, made possible by the existence of multiple pathways for con duction from the atrium into the AV node that are capable of conduc tion in two directions (Fig. 256-1). Most forms of AVNRT utilize a slowly conducting AV nodal path way (right inferior extension) that extends from the compact AV node near the His bundle, inferiorly along the tricuspid valve annulus to the floor of the coronary sinus. The reentry wavefront propagates up this slowly conducting pathway to the compact AV node and then exits from the fast pathway at the top of the AV node. The path back to the I II III V1 aVR aVL aVF V1 V2 V3 V4 V5 slow pathway probably involves the left atrial septum, which has con nections to the coronary sinus musculature. More unusual forms of AVNRT utilize a left inferior extension that connects to the compact AV node through the roof of the coronary sinus or, in extremely rare cases, directly from the mitral valve annulus avoiding the coronary sinus musculature altogether. In typical forms, the conduction time from the compact AV node region to the atrium is similar to that from the compact node to the His bundle and ventricles, such that atrial activation occurs at about the same time as ventricular activation. The P wave is therefore inscribed during, slightly before, or slightly after the QRS and can be difficult to discern. Often the P wave is seen at the end of the QRS complex as a pseudo-r′ in lead V1 and pseudo-S waves in leads II, III, and aVF (Fig. 256-2). More unusual forms of AVNRT have P waves falling later, any where between QRS complexes, in which case, an inverted P wave is seen in the inferior limb leads with the inverted P wave seen in the subsequent T wave. The rate can vary with sympathetic tone through its effect on the conduction time of AV nodal tissues. Simultaneous atrial and ventricular contraction results in atrial contraction against a closed tricuspid valve, producing a cannon A wave visible in the jugular venous pulse often perceived as a fluttering sensation in the neck. Elevated venous pressures may also lead to release of natriuretic peptides that cause post-tachycardia diuresis. In contrast to ATs, maneuvers or medications that produce AV nodal block terminate the arrhythmia. Acute treatment is the same as for other forms of PSVT (discussed below). Whether ongoing therapy is warranted depends on the severity of symptoms and frequency of episodes. Reassurance and instruction as to how to perform the Valsalva maneuver or other vagal I II aVR V1 aVL III V6 V1 aVF V2 V3 CHAPTER 256 Paroxysmal Supraventricular Tachycardias V4 V5 V6 FIGURE 256-2 Atrioventricular nodal reentry tachycardia with retrograde P waves before and after adenosine termination. 1940 PART 6 Disorders of the Cardiovascular System nerve–stimulating maneuvers to terminate episodes are sufficient for many patients. Administration of an oral beta blocker, </w:t>
      </w:r>
      <w:r w:rsidRPr="00F23836">
        <w:lastRenderedPageBreak/>
        <w:t xml:space="preserve">verapamil, or diltiazem at the onset of an episode can be used to facilitate termina tion. Chronic therapy with these medications or flecainide is an option if prophylactic therapy is needed. Catheter ablation of the slow AV nodal pathway is recommended for patients with recurrent or severe episodes or when drug therapy is ineffective, not tolerated, or not desired by the patient. Catheter ablation is curative in &gt;95% of patients. The major risk is AV block requiring permanent pacemaker implanta tion, which occurs in 70% of patients experience recurrences. Therefore, catheter abla tion is recognized as first-line therapy due to its high success rate (i.e., &gt;95%), low risk of complications, and low recurrence rates. However, up to half of the patients undergoing cavotricuspid isthmus ablation go on to develop atrial arrhythmias, with atrial fibrillation being the most Typical flutter Reverse typical flutter 1945 Scar MRT Lower loop FI LA MRT FIGURE 257-2 Types of atrial flutter and macroreentrant atrial tachycardia. The typical, reverse typical, and lower-loop flutter circuits all involve the low right atrial isthmus. Additionally, other forms of macroreentrant flutters encompass scar-mediated reentrant tachycardia and left atrial mitral isthmus flutter. Fl, flutter; LA, left atrium; MRT, macroreentrant. (Reprinted with permission Circulation. 149:e1-e156, 2024. ©2023 American Heart Association, Inc.) FIGURE 257-3 Electroanatomic mapping of typical atrial flutter. Electroanatomic maps reveal counterclockwise (more common) cavotricuspid isthmus (CTI)–dependent atrial flutter. These maps depict the electrical activation pattern during flutter, obtained during electrophysiologic study and catheter ablation. Colors refer to local activation time where “early meets late” (red-purple). In the left panel, electrograms display atrial flutter with a cycle length of 260 ms. The middle panel shows an activation map with vector integration, while the right panel illustrates termination of the atrial flutter into sinus rhythm by delivering radiofrequency ablation lesions in the CTI. CHAPTER 257 Common Atrial Flutter and Macroreentrant and Multifocal Atrial Tachycardias 1946 Typical Atrial Flutter PART 6 Disorders of the Cardiovascular System Anticoagulation Based on CHA2DAS2VASc score and if a definite treatment is planned Rate control or rhythm control with AAD Rate control Amiodarone Beta blocker Calcium channel blocker Digoxin Poor response Successful typical AFL ablation Anticoagulation according to same risk profile as AF Known AF No known AF High-risk TE profile L Consider anticoagulation if high-risk features for development of AF (2b) ow-risk TE profile Monitor off anticoagulation (clinical follow-up and arrhythmia monitoring) Rhythm control AAD &gt;70% chances of failure Cardioversion Hemodynamically unstable Severe symptoms Catheter ablation First-line therapy CTI ablation PVI ablation High success rate FIGURE 257-4 Approach to the patient with atrial flutter. AAD, antiarrhythmic drug; AF, atrial fibrillation; AFL, atrial flutter; CTI, cavotricuspid isthmus; PVI, pulmonary vein isolation; TE, thromboembolic event. (Modified from JA Joglar et al: 2023 ACC/AHA/ACCP/HRS Guideline for the Diagnosis and Management of Atrial Fibrillation: A report of the American College of Cardiology/American Heart Association Joint Committee on Clinical Practice Guidelines. Circulation. 149:e1, 2024.) common among them. While prophylactic </w:t>
      </w:r>
      <w:r w:rsidRPr="00F23836">
        <w:lastRenderedPageBreak/>
        <w:t xml:space="preserve">cavotricuspid isthmus abla tion may not be beneficial in patients with atrial fibrillation, a recent study suggested that treating atrial flutter with pulmonary vein isola tion as first-line therapy can prevent recurrent atrial flutter, in addition to reducing the risk of new-onset atrial fibrillation. In summary, the management of atrial flutter involves a stepwise approach beginning with anticoagulation for thromboembolic preven tion, followed by rate control to manage symptoms and hemodynamic stability and, more importantly, rhythm control to maintain sinus rhythm. Catheter ablation is increasingly favored as the first-line ther apy for achieving long-term rhythm control and improving quality of life in these patients. More importantly, additional studies are needed to substantiate a more effective ablation strategy aimed at preventing the recurrence of atrial flutter and reducing the incidence of new-onset atrial fibrillation episodes. Lastly, postablation anticoagulation remains a subject of controversy, contingent upon the likelihood of developing atrial fibrillation (Fig. 257-4). MULTIFOCAL ATRIAL TACHYCARDIA Multifocal AT (MAT) is characterized by a rhythm with at least three dis tinct P-wave morphologies, with rates typically from 100 to 150 beats/min. Unlike atrial fibrillation, MAT exhibits clear isoelectric intervals between P waves, and the atrial rate tends to be slower. The underlying mechanism is often attributed to triggered automaticity originating from multiple atrial foci. This condition is commonly observed in patients with chronic pulmonary disease and acute illnesses (Fig. 257-5). Therapy for MAT is directed at treating the underlying disease and correcting any metabolic abnormalities. Electrical cardioversion is inef fective. Calcium channel blockers such as verapamil or diltiazem may be used to slow the atrial and ventricular rate. Patients with severe pulmo nary disease often do not tolerate beta-blocker therapy well. MAT may respond to amiodarone, but long-term therapy with this agent is usually avoided due to its potential toxicities, particularly pulmonary fibrosis. The associated risk of thromboembolism in MAT remains unclear but is not considered to be the same as atrial fibrillation or atrial flutter. FIGURE 257-5 Multifocal atrial tachycardia. Rhythm strip obtained from a patient with severe pulmonary disease during an acute illness. Note the irregularity of the rhythm but with distinct P waves. Arrows note three distinct P-wave morphologies. </w:t>
      </w:r>
      <w:r w:rsidRPr="00F23836">
        <w:rPr>
          <w:rFonts w:ascii="Arial" w:hAnsi="Arial" w:cs="Arial"/>
        </w:rPr>
        <w:t>■</w:t>
      </w:r>
      <w:r w:rsidRPr="00F23836">
        <w:t xml:space="preserve">FURTHER READING 1947 Brugada J et al: 2019 ESC Guidelines for the management of patients with supraventricular tachycardia. The task force for the management of patients with supraventricular tachycardia of the European Society of Cardiology (ESC) developed in collaboration with the Association for European Paediatric and Congenital Cardiology (AEPC). Eur Heart J 41:655, 2020. Callans DJ: Josephson’s Clinical Cardiac Electrophysiology: Techniques and Interpretations, 7th ed. Philadelphia, Wolters Kluwer, 2024. Jalife J, Stevenson W (eds): Zipes and Jalife’s Cardiac Electrophysiol ogy: From Cell to Bedside, 8th ed. Philadelphia, Elsevier, 2022. Joglar JA et al: 2023 ACC/AHA/ACCP/HRS Guideline for the Diagnosis and Management of Atrial Fibrillation: A report of the American College of Cardiology/American Heart Association Joint Committee on Clinical Practice Guidelines. J Am Coll Cardiol 83:109, 2024. 258 Atrial Fibrillation William H. Sauer, Jorge E. Romero, Paul C. Zei </w:t>
      </w:r>
      <w:r w:rsidRPr="00F23836">
        <w:lastRenderedPageBreak/>
        <w:t xml:space="preserve">PATHOPHYSIOLOGY AND EPIDEMIOLOGY Atrial fibrillation (AF) is a cardiac arrhythmia characterized by seemingly disorganized, rapid, and irregular atrial electrical activation, resulting in loss of organized atrial mechanical contraction. These rapid and irregular electrical signals input into the atrioventricular (AV) node, which deter mines ventricular activation and rate. The conducted ventricular rate is variable, resulting in an irregular, usually rapid ventricular rate, ranging typically between 110 and 160 beats/min in most. In some patients, the sustained ventricular rate can exceed 200 beats/min, whereas in others with either high vagal tone or AV nodal conduction disease, the ven tricular rate may be excessively slow (Fig. 258-1). The disorganized atrial activation is best appreciated in lead V1 for this patient. AF is the most common sustained arrhythmia; as a result, it is a major public health issue. Prevalence increases with age, with &gt;95% of AF patients &gt;60 years of age. The prevalence in humans over age 80 is ~20%. The lifetime risk of developing AF for men aged 40 years old is ~25%. AF is slightly more common in men than women and more common in whites than blacks. Risk factors for developing AF in addition to age and underlying cardiac disease include hypertension, diabetes mellitus, cardiac disease, family history of AF, obesity, thyroid disease, and sleep-disordered breathing. AF is not a benign condition, with a 1.5- to 1.9-fold increased risk of mortality after controlling for underlying cardiac disease. Perhaps the most important consequence of AF is a significantly increased risk of stroke compared to the general population, causing ~25% of all strokes. AF has been detected up to 8.9% of patients within 6 months following cryptogenic stroke using insertable cardiac monitors. The risk of dementia is increased in patients with AF, as is the risk of magnetic resonance imaging (MRI)-detected asymptomatic embolic infarct. AF, most often when ventricular rate remains uncontrolled for prolonged periods, increases the risk of developing congestive heart failure and cardiomyopathy. Moreover, as a corollary, patients with underlying heart disease, in particular cardiomyopathy and conges tive heart failure, are at higher risk for developing AF. AF is a marker for worsened morbidity and mortality in patients with existing heart disease, although the precise extent of the independent risk increase associated with AF in heart disease is unclear. AF may, on occasion, be associated with an identifiable precipitating factor, such as hyperthy roidism, acute alcohol intoxication, myocardial infarction, pulmonary embolism, pericarditis, and cardiac surgery, where AF occurs in up to 50% of patients postoperatively. AF is clinically most typically defined by the pattern of episodes. Paroxysmal AF is defined as a pattern of AF episodes that occur and terminate with a relatively short duration either spontaneously or by pharmacologic or electrical cardioversion, most commonly defined as 7 days or less. Persistent AF refers to AF that occurs continuously for &gt;7 days but 1 year. These descriptors for AF correlate somewhat with the underlying pathophysiology of AF. AF tends to be a progressive condition, with, at this point, no definitive “cure” that will completely eliminate AF durably in a predictable fashion. The patho physiology of AF, however, remains incompletely understood. Most data support a multifactorial process that leads to the </w:t>
      </w:r>
      <w:r w:rsidRPr="00F23836">
        <w:lastRenderedPageBreak/>
        <w:t xml:space="preserve">development of manifest AF. Clinical and epidemiologic studies have demonstrated that, in addition to cardiovascular disease, age, alcohol use, obesity, hypertension, diabetes mellitus, and sleep-disordered breathing are associated with higher risk of developing AF. The proposed pathophys iology suggests a “final common pathway” of these risk factors leading to electrophysiologic changes in atrial tissues. Alterations in regulation of membrane channels and other proteins result in abnormal electrical excitability. Atrial tissues, in particular pulmonary vein musculature, exhibit enhanced automaticity, resulting in ectopic beats (premature atrial contractions), as shown in Fig. 258-2. Bouts of rapid atrial ectopy may then initiate either atrial tachycardia or frank AF. Additional cel lular and, eventually, tissue remodeling results in abnormal conduction properties throughout the atria, including, in particular, shortening of atrial tissue refractory periods. This enables sustained AF through a combination of rapid automaticity-based “drivers” and areas of func tional reentry. Further remodeling leads to the development of fibrosis and left atrial enlargement (Table 258-1). These functional and anatomic changes in atrial tissues appear to correlate with the progression of clinical AF. AF tends to be a progres sive disease in most, although exceptions occur. Typically, for a period of time, patients experience sporadic ectopic beats and short runs of atrial tachycardia, likely originating from the pulmonary veins, preced ing the onset of frank AF. CHAPTER 258 Atrial Fibrillation Other regions of the atria have been demonstrated to produce ecto pic depolarizations that may trigger AF; these include the posterior wall of the left atrium and muscular tissue sleeves within the superior vena cava, coronary sinus, or the remnant of the vein of Marshall. When enough frequent bursts of ectopic beats/tachycardia and/or changes in underlying substrate support the maintenance of AF for short periods, the patient develops episodes of paroxysmal AF. In the untreated patient, over time, as the electrical, contractile, and structural remodeling continues to progress, episodes of paroxysmal AF may be prolonged to the point of not terminating spontaneously, the hallmark of persistent AF. After further remodeling, not only do patients con tinue to long-standing persistent AF but also the efficacy of therapeutic interventions to restore sinus rhythm diminishes. CLINICAL PRESENTATION AND MANIFESTATIONS The clinical manifestations of AF result from (1) symptoms related to the irregular, often rapid but sometimes slow ventricular rates that result; (2) the hemodynamic consequences of altered cardiac function; (3) the consequences of cardioembolic phenomena; and/or (4) the impact of AF on cardiovascular function over time. AF is diagnosed by electrocardiogram (ECG), either by 12-lead standard ECG, limited lead ambulatory monitor ECG and implantable loop recorders, with findings of lack of organized atrial activity (no P wave), with an irregu lar ventricular response. The role of screening populations for AF is evolving with the use of wearable monitors and home ECG capabilities. With irregular, rapid ventricular rates, there is variable cardiac dis placement and contraction, resulting in the sensation of palpitations and awareness of the heartbeat, when of course, in a normal rhythm, most humans do not sense each </w:t>
      </w:r>
      <w:r w:rsidRPr="00F23836">
        <w:lastRenderedPageBreak/>
        <w:t xml:space="preserve">heartbeat. Interestingly, many patients are, for the most part, unaware of the irregular ventricular beating for unknown reasons. 1948 I I PART 6 Disorders of the Cardiovascular System II II III III aVR aVR aVL aVL aVF aVF V1 V1 V2 V2 V3 V3 V4 V4 V5 V5 V6 V6 FIGURE 258-1 Electrocardiogram of an irregularly irregular heart rhythm without discernable P waves. The disorganized atrial activation is best appreciated in lead V1 for this patient. 25 mm/sec Sinus P wave Sinus P wave 10 mm/mV 0.5–40 Hz Blocked PAC PAC initiates AF FIGURE 258-2 Surface electrocardiogram (ECG) of atrial ectopy initiating atrial fibrillation (AF). In this single-lead surface ECG recording, the tracing begins with two conducted sinus beats. A nonconducted premature atrial contraction (PAC) (labeled “blocked PAC”) is shown after the second QRS complex. After the next sinus P wave and QRS, an ectopic beat (PAC) initiates atrial fibrillation, as demonstrated by (somewhat organized) erratic atrial activity and an irregular ventricular response. TABLE 258-1 Categorization of Atrial Fibrillation (AF) by Clinical Temporal Characteristics and Associated Features PAROXYSMAL AF Definition LA size LA scar burden Efficacy of AAD When to offer ablation? Ablation technique Episodes self-terminate or via phar macologic or electrical CV in 7 days and 1 year Typically, severely enlarged High Usually refractory After AAD failure, not always a good option PV isolation and any identified non-PV AF source PV isolation; additional ablation for substrate modification likely needed Note: With paroxysmal, persistent, and long-standing persistent AF, definitions are based on duration of events and diagnosis overall. These categorizations correlate with LA size, LA scar burden, and resultant efficacy of medical and ablative therapies. Abbreviations: AAD, antiarrhythmic drugs; CV, cardioversion; LA, left atrium; PV, pulmonary vein. 1949 During AF, there is loss of the contribution of atrial systole to overall cardiac output and, with irregular ventricular rates, variable ventricular filling and, consequently, variable stroke volume. The resultant impact on overall cardiac output may result in exercise intolerance, fatigue, weakness, presyncope, or dyspnea. In patients with underlying cardiac disease, the additional hemodynamic compromise resulting from AF may result in exacerbation of the disease and/or heart failure symp toms. Patients with hypertrophic cardiomyopathy, coronary artery disease, valvular disease, heart failure with either depressed or pre served ejection fraction, or amyloidosis are particularly susceptible. In patients with concomitant AV nodal conduction disease, bradycardia during AF may result in presyncope or syncope. Pauses at the time of spontaneous conversion from AF to sinus rhythm, a manifestation of sinus node dysfunction that commonly occurs in patients with AF, may result in presyncope or syncope as well. With the loss of atrial mechanical contraction, blood stasis may pro mote in situ thrombosis, which, when embolized, may result in a range of clinical consequences, most importantly, ischemic stroke. Thrombus formation occurs primarily in the left atrial appendage. Over time, recurrent thromboembolism to the brain, even if asymptomatic, may result in debilitating neurologic sequelae, including cognitive impair ment. An increased risk of dementia in patients with AF may be the consequence of this phenomenon, although the contribution of chronic hypoperfusion </w:t>
      </w:r>
      <w:r w:rsidRPr="00F23836">
        <w:lastRenderedPageBreak/>
        <w:t xml:space="preserve">in patients with long-standing persistent atrial fibrillation is unclear. In patients with prolonged periods of rapid ventricular rates resulting from AF, there is risk of developing a tachycardia-induced cardiomyopathy, with associated depressed left ventricular function. Tachycardia-induced myopathy appears generally to be reversible once ventricular rates are controlled. In patients with long-standing persis tent AF, the atria, especially the left atrium, tend to be more dilated and to contain a higher burden of fibrotic, noncontractile atrial tis sue. The hemodynamic consequences of a noncompliant, fibrotic left atrium, including elevated left atrial filling pressures, volume overload, and congestive heart failure, have been described as “stiff left atrial syndrome.” TREATMENT Atrial Fibrillation The treatment and management of the patient with AF centers on three aims: (1) control of patient symptoms through a strategy of rate control and/or rhythm control; (2) appropriate mitigation of thromboembolism risk; and (3) addressing modifiable risk factors for progression of AF. In the acute onset of AF, if significant hemo dynamic compromise, pulmonary edema, or evidence of coronary ischemia is present, emergent cardioversion is recommended. Elec trical cardioversion can be achieved with a QRS synchronous shock, preferably in a sedated patient, or via pharmacologic cardioversion, most typically with the intravenous administration of the class III antiarrhythmic ibutilide. Ibutilide should be avoided in patients with baseline prolonged QT interval or severe left ventricular dys function, given the risk of torsades des pointes. In the hemodynam ically stable patient with new-onset AF, therapy should focus on control of ventricular rate to prevent hemodynamic sequelae, con sideration of anticoagulation to mitigate thromboembolic risk, and consideration of restoration and maintenance of sinus rhythm—a so-called rhythm control strategy. If restoration of sinus rhythm is being considered, a more immediate risk of thromboembolism must be factored into the management strategy. Although there is a lack of definitive data, it is presumed that if the presenting epi sode of AF is &gt;48 h or if the episode duration is unknown, there is risk for precipitating a thromboembolic complication through cardioversion, whether electrically or pharmacologically achieved. Therefore, in this circumstance, the patient should be either initi ated on anticoagulation, with cardioversion deferred for at least 3 weeks after uninterrupted anticoagulation, or evaluated to exclude the presence of left atrial appendage thrombus. Most commonly, transesophageal echocardiography (TEE) is used to evaluate for left atrial appendage thrombus, although cardiac computed tomogra phy (CT) angiography using delayed acquisition imaging has been demonstrated to have excellent sensitivity and specificity as well. CARDIOVERSION AND ANTICOAGULATION The major source of thromboembolism and stroke in nonvalvular AF is formation of thrombus in the left atrial appendage where flow is relatively stagnant, although thrombus occasionally forms in other locations as well, particularly in patients with mitral valvular disease and severely dilated left atrium. Following conversion from prolonged AF to sinus rhythm, atrial mechanical function can be delayed for weeks (i.e., atrial stunning), such that thrombi can form even during sinus rhythm. When AF has been present for &gt;48 h and in </w:t>
      </w:r>
      <w:r w:rsidRPr="00F23836">
        <w:lastRenderedPageBreak/>
        <w:t xml:space="preserve">patients at high risk for thromboembolism, such as those with mitral stenosis or hypertrophic cardiomyopathy, conversion to sinus rhythm is associated with an increased risk of thrombo embolism. Thromboembolism can occur soon or several days after restoration of sinus rhythm if appropriate anticoagulation measures are not taken. In patients with AF and left atrial appendage closure devices (e.g., Watchman device), electrical cardioversion is feasible without the need for oral anticoagulation if preprocedural trans esophageal echocardiography shows good device position, absence of device-related thrombus, and peri-device leak of ≤5 mm. Cardioversion within 48 h of the onset of AF without TEE or cardiac CT is common practice in patients who have not been anticoagulated, provided that they are not at high risk for stroke due to a prior history of embolic events, rheumatic mitral stenosis, or hypertrophic cardiomyopathy with marked left atrial enlarge ment. These low-risk patients with occasional episodes of AF can be instructed to notify their physician when AF occurs to arrange for cardioversion to be done within 48 h. If the duration of AF exceeds 48 h or is unknown, there is greater concern for thromboembolism after cardioversion, even in patients considered low risk (CHA2 DS2-VASc of 0 or 1 [see below]) for stroke. There are two approaches to mitigate the risk related to car dioversion. One option is to anticoagulate continuously for 3 weeks before and a minimum of 4 weeks after cardioversion. A second more frequently used approach is to start anticoagulation and per form a TEE or high-resolution cardiac CT scan to detect the pres ence of thrombus in the left atrial appendage. If thrombus is absent, electrical or pharmacologic cardioversion can be performed and anticoagulation continued for a minimum of 4 weeks to allow time for recovery of atrial mechanical function. In either case, cardiover sion of AF is associated with a substantial risk of recurrence, which may not be symptomatic. It should be noted that these recommen dations for short-term anticoagulation and thrombus exclusion at the time of cardioversion lack contemporary robust data to support these strategies. Longer-term maintenance of anticoagulation is considered based on the patient’s individual risk for stroke, com monly assessed using the CHA2 DS2-VASc score. ACUTE RATE CONTROL The goal of rate control in AF is to allow more diastolic filling time, improving cardiac output and reducing patient symptoms. In the longer term, adequate rate control will minimize the risk of congestive heart failure and tachycardia-induced cardiomyopathy. Acute rate control can be achieved with beta blockers and/or the calcium channel blockers verapamil and diltiazem administered either intravenously or orally, as warranted by the urgency of the clinical situation. Digoxin has been used for several years for rate control, particularly in patients with labile blood pressure and in patients with cardiomyopathy susceptible to congestive heart fail ure, because it lacks the negative inotropic effect seen in calcium channel blockers and beta blockers. It acts synergistically with beta blockers and calcium channel blockers and, therefore, may be useful as an added agent when rate control is inadequate. However, recent evidence suggests increased mortality with its chronic use, and so its utilization has declined. CHAPTER 258 Atrial Fibrillation 1950 </w:t>
      </w:r>
      <w:r w:rsidRPr="00F23836">
        <w:lastRenderedPageBreak/>
        <w:t xml:space="preserve">CHRONIC RATE CONTROL CHA2DS2-VASc PART 6 Risk Criteria Congestive heart failure HAS-BLED 1 Hypertension Age &gt;75 2 Abnormal renal or liver function Hypertension 1 Stroke history 1 1 each Bleeding diasthesis Disorders of the Cardiovascular System For patients who remain in AF chronically, the goal of rate control is to both alleviate symptoms and prevent deterioration of ventricular function from excessive rates. β-Adrenergic blockers and calcium channel blockers are often used either alone or in combination. Exertion-related symptoms are often an indication of inadequate rate control. Rate should be assessed with exertion and medications adjusted accordingly. Adequate rate control is defined as a resting heart rate of 65) 1 Drugs that predispose to bleeding or alcohol Age &gt;65 1 Sex category (F) 1 Annual Stroke or Major Bleeding Rate (%) as a Function of Score 16 14 12 10 0 2 4 6 8 CHA2DS2-VASc HAS-BLED 1 1 each 1 2 3 4 5 6 FIGURE 258-3 CHA2 DS2-VASc and HAS-BLED systems. The CHA2 DS2-VASc scoring system gives a point for each outlined stroke risk factor, whereas the HAS-BLED scoring system gives a point for each bleeding risk factor, as outlined in the table. In the chart below the table, the corresponding risk of stroke (CHA2 DS2-VASC) or major bleed event (HAS-BLED) is plotted as a percent risk per annum as a function of score. F, female; INR, international normalized ratio; TIA, transient ischemic attack. STROKE PREVENTION IN ATRIAL FIBRILLATION Thromboembolic complications, in particular, stroke, are the most significant and potentially life-threatening sequelae of AF. There fore, appropriate stroke prevention strategies are a key aspect of AF management. The mainstay of stroke prevention is continuous anticoagulation therapy, most commonly using an oral medication. Specific patient populations have a high risk of stroke, includ ing patients with hypertrophic cardiomyopathy, mitral stenosis, and prior stroke history, and therefore, anticoagulation is recom mended, barring contraindications. AF in patients without mitral stenosis is commonly referred to as nonvalvular AF. In most patients with AF, the decision about whether a stroke prevention regimen is indicated is largely based on an assessment of stroke risk, balanced by the risk of the preventative therapy. The risk of stroke appears to be most accurately predicted by the presence of underly ing risk factors known to increase stroke risk. The CHA2 DS2-VASc scoring system (Fig. 258-3) is a widely used tool to estimate stroke risk. Anticoagulation is currently recommended in the United States and Europe for patients with a score of ≥1 unless the lone risk factor is female gender. Stroke risk increases with increasing CHA2 DS2-VASc score, such that annual stroke risk may be as high as nearly 20% without anticoagulation. On the other hand, antico agulation carries a risk of serious and potentially life-threatening bleeding complications, in particular, intracranial hemorrhage and gastrointestinal bleed. Bleeding risk is often assessed using the HAS-BLED scoring system (Fig. 258-3). If bleeding risk is deemed to be outweighed by stroke risk, anticoagulation is recommended. It is important to note the conventional wisdom that the perceived burden of AF has not been shown to predict stroke risk. The approach to patients with paroxysmal AF is therefore the same as for persistent AF. It is recognized that many patients who appear to have infrequent AF episodes based on </w:t>
      </w:r>
      <w:r w:rsidRPr="00F23836">
        <w:lastRenderedPageBreak/>
        <w:t xml:space="preserve">office visits often have asymptomatic episodes that put them at risk. Absence of AF during periodic monitoring is not sufficient to indicate low risk. The role of continuous monitoring with implanted recorders or pacemakers as a guide for anticoagulation in patients with a borderline risk profile is not clear. Subclinical AF is short-lasting and asymptomatic and can usually be detected only by long-term continuous monitoring with implantable loop recorders, pacemakers, or defibrillators. Subclinical AF is associated with an increased risk of stroke by a factor of 2.5. In patients with subclinical AF lasting 6 min to 24 h, apixaban has been shown to decrease the risk of stroke or systemic embolism but increases the risk of major bleeding. Therefore, a more accurate accounting for the impact of AF burden on stroke risk remains to be clarified. Antiplatelet agents alone are generally not sufficient. In non valvular AF, warfarin reduces the annual risk of stroke by 64% compared to placebo and by 37% compared to antiplatelet therapy. Patients with AF with an increased risk of stroke also have an increased risk of venous thromboembolism, which appears to be lower with oral anticoagulation. The direct-acting anticoagulants dabigatran, rivaroxaban, apixaban, and edoxaban were noninferior to warfarin in individual trials of nonvalvular AF patients, and intent-to-treat analysis of pooled data suggests superiority to warfa rin by small absolute margins of 0.4–0.7% in reduction of mortality, stroke, major bleeding, and intracranial hemorrhage. Warfarin is required for patients with rheumatic mitral stenosis or mechanical heart valves. Among patients with rheumatic heart disease–associ ated AF, warfarin therapy has led to a lower rate of a composite of cardiovascular events or death than rivaroxaban therapy, without 1951 a higher rate of bleeding. Similarly, apixaban and dabigatran have failed to demonstrate noninferiority to warfarin and are less effec tive than warfarin for the prevention of valve thrombosis or throm boembolism in patients with mechanical heart valves. Warfarin can be an inconvenient agent that requires several days to achieve a therapeutic effect (prothrombin time [PT]/international normalized ratio [INR] &gt;2), requires monitoring of PT/INR to adjust dose, and has many drug and food interactions that can hin der patient compliance and render maintaining a therapeutic effect challenging. The direct-acting agents are easier to use and achieve reliable anticoagulation promptly without requiring dosage adjust ment based on blood tests. Dabigatran, rivaroxaban, and apixaban have renal excretion and require dose adjustment for modest renal impairment, which is of particular concern in the elderly, who are at increased bleeding risk. Limited experience with apixaban and rivaroxaban demonstrates safety and efficacy in patients undergo ing chronic hemodialysis for end-stage kidney disease. Excretion can also be influenced by P-glycoprotein inducers and inhibitors. Warfarin anticoagulation can be reversed by administration of fresh frozen plasma, prothrombin complex concentrate, and vitamin K. Reversal agents are available for dabigatran (idarucizumab), and Xa inhibitors are available (andexanet alfa), and both are admin istered intravenously. These agents may be prothrombotic, and administration must be judicious. The antiplatelet agents aspirin and clopidogrel are inferior to warfarin for stroke prevention in AF and do not have less </w:t>
      </w:r>
      <w:r w:rsidRPr="00F23836">
        <w:lastRenderedPageBreak/>
        <w:t xml:space="preserve">risk of bleeding. Clopidogrel combined with aspirin is better than aspirin alone for stroke prevention, but this combination is inferior to warfarin and has a greater bleeding risk than aspirin alone. Bleeding is the major risk of anticoagulation. Major bleeding requiring transfusion and intracranial bleeding occur in ~1% of patients per year with warfarin. Direct-acting anticoagulants appear to have a lower risk of intracranial bleeding compared with warfarin without sacrificing protective effects against thromboembolism. Risk factors for bleeding include age &gt;65–75 years, heart failure, renal insufficiency, prior bleeding, and excessive alcohol or non steroidal anti-inflammatory drug use. In patients who require dual antiplatelet therapy (e.g., aspirin and clopidogrel) after coronary or peripheral arterial stenting, there is a substantially increased bleeding risk when standard oral anticoagulation with warfarin or a direct-acting anticoagulant is added. In AF patients undergo ing percutaneous coronary intervention, the combination of oral platelet inhibition with a P2Y12 inhibitor (preferably clopidogrel) is recommended. Triple antithrombotic therapy, preferably including a direct-acting anticoagulant, should be considered in patients with high ischemic risk (e.g., acute coronary syndrome) and for up to 30 days. Chronic anticoagulation is contraindicated in some patients due to bleeding risks. Because most atrial thrombi likely originate in the left atrial appendage, surgical removal of the appendage, combined with atrial maze surgery, may be considered for patients undergoing surgery, although removal of the appendage has not been unequivocally shown to reduce the risk of thromboembolism. Percutaneously deployed devices that occlude or ligate the left atrial appendage are also available, appear to be noninferior to warfarin in reducing stroke risk, and are considered in patients who have a high risk of thromboembolism but serious bleeding risk from TABLE 258-2 Novel Oral Anticoagulant Dosing DABIGATRAN Standard dose Reduced dose 150 mg bid 110 mg bid Dose reduction criteria Dabigatran 110 mg bid in patients with: age ≥80 years, concomitant use of verapamil, or increased bleeding risk RIVAROXABAN 20 mg qd 15 mg qd chronic oral anticoagulation (Table 258-2). Importantly, left atrial appendage closure devices (i.e., Watchman) provide stroke preven tion comparable to warfarin, with additional significant reductions in major bleeding, particularly hemorrhagic stroke, and all-cause mortality. Furthermore, left atrial appendage closure devices appear to be noninferior to direct-acting anticoagulants in preventing major AF-related cardiovascular, neurologic, and bleeding events. RHYTHM CONTROL The decision to administer antiarrhythmic drugs or perform cath eter ablation to attempt maintenance of sinus rhythm (commonly referred to as the rhythm control strategy) is mainly guided by patient symptoms and preferences regarding the benefits and risks of therapies. In general, patients who maintain sinus rhythm have better survival than those who continue to have AF. This may be because continued AF is a marker of disease severity or that AF promotes deterioration in cardiac function. In older randomized trials, administration of antiarrhythmic medications to maintain sinus rhythm did not improve survival or symptoms compared to a rate control strategy, and the drug therapy group had more </w:t>
      </w:r>
      <w:r w:rsidRPr="00F23836">
        <w:lastRenderedPageBreak/>
        <w:t xml:space="preserve">hospitalizations. Disappointing efficacy and toxicities of available antiarrhythmic drugs, in retrospect inappropriate discontinuation of anticoagulation in the rhythm control arms, and patient selec tion bias may be factors that influenced the results of these trials. Recently, a randomized trial evaluating an early rhythm control strategy (within 1 year of initial presentation) compared to standard rate control demonstrated a reduction in cardiovascular events, including death from cardiovascular causes and stroke. Differences between this study and earlier randomized trials that failed to show a significant difference in outcomes in rate versus rhythm control included the use of catheter ablation and a high adherence rate to anticoagulation despite apparent rhythm control. In patients with heart failure due to depressed left ventricular function, a catheter ablation–based strategy to maintain sinus rhythm appears to pro vide all-cause mortality benefit compared with a medical rhythm control strategy. Furthermore, the combination of catheter ablation and guideline-directed medical therapy in patients with symp tomatic AF and end-stage heart failure who are referred for heart transplantation evaluation is associated with a lower likelihood of a composite of death from any cause, implantation of a left ven tricular assist device, or urgent heart transplantation than medical therapy alone. A rhythm control strategy is usually selected for patients with symptomatic paroxysmal AF, recurrent episodes of symptomatic persistent AF, AF with difficult rate control, and AF that has resulted in depressed ventricular function or that aggravates heart failure. A rhythm control strategy is more likely to be favored in younger patients than in sedentary or elderly patients in whom rate control is more easily achieved. Even if sinus rhythm is apparently maintained, anticoagulation is recommended according to the CHA2 DS2-VASc stroke risk profile because asymptomatic episodes of AF are common. Following a first episode of persistent AF, a strategy using AV nodal–blocking agents, cardioversion, and anti coagulation is reasonable, in addition to addressing possible aggra vating factors. If recurrences are infrequent, periodic cardioversion is reasonable. However, if a patient has frequent symptomatic AF despite rate control, then a rhythm control strategy incorporating APIXABAN 5 mg bid EDOXABAN 60 mg qd 2.5 mg bid Creatine clearance 15–49 mL/min At least 2 of 3 criteria: age ≥80 years, body weight ≤60 kg, or serum creatinine ≥1.5 mg/dL (133 mol/L) 30 mg qd If any of the following: creatinine clearance 30–50 mL/min, body weight ≤60 kg, or concomitant use of dronedarone, cyclosporine, erythromycin, or ketoconazole Note: As of publication, four novel or direct oral anticoagulants are available and indicated for stroke prevention for atrial fibrillation. The standard dosing, reduced dosing, and criteria for reduced dosing are shown for each agent. CHAPTER 258 Atrial Fibrillation 1952 PART 6 Disorders of the Cardiovascular System catheter ablation and/or antiarrhythmic medications is indicated. Based on recent randomized trial data demonstrating superiority of ablation over medications for maintenance of sinus rhythm and benefits of an early rhythm control strategy, catheter ablation is considered first-line therapy, especially for individuals with parox ysmal AF. Pharmacologic Therapy for Maintaining Sinus Rhythm </w:t>
      </w:r>
      <w:r w:rsidRPr="00F23836">
        <w:lastRenderedPageBreak/>
        <w:t xml:space="preserve">The goal of pharmacologic therapy is to maintain sinus rhythm or reduce episodes of AF. Risks and side effects of antiarrhythmic drugs are a major consideration in selecting therapy. Drug therapy can be instituted once sinus rhythm has been established or in anticipa tion of cardioversion. However, antiarrhythmic medications may in some instances pharmacologically cardiovert the patient into sinus rhythm. Therefore, an appropriate anticoagulation strategy approach similar to electrical cardioversion is recommended, par ticularly at the time of initiation of therapy. β-Adrenergic blockers and calcium channel blockers help control ventricular rate, improve symptoms, and possess a low-risk profile, but have low efficacy for preventing or terminating AF episodes. Class I sodium channel blocking agents (e.g., flecainide, propafenone, disopyramide) are options for patients without significant structural heart disease, but negative inotropic and proarrhythmic effects warrant avoidance in patients with coronary artery disease or heart failure. The class III agents sotalol and dofetilide can be administered to patients with coronary artery disease or structural heart disease but have ~3% risk of inducing excessive QT prolongation and torsades des pointes. Dofetilide should be initiated only in a hospital with ECG monitoring, and many physicians take this approach with sotalol as well. Dronedarone increases mortality in patients with heart failure or long-standing persistent AF. All these agents have modest efficacy in patients with paroxysmal AF, of whom ~30–50% will benefit. Amiodarone is more effective, maintaining sinus rhythm in approximately two-thirds of patients. It can be administered to patients with heart failure and coronary artery disease. However, &gt;40% of patients experience amiodarone-related toxicities during long-term therapy, and thus, careful monitoring of potential toxici ties, including skin, liver, lung, and thyroid abnormalities, must be accompanied with this therapy. Catheter and Surgical Ablation for Maintaining Sinus Rhythm Suc cessful catheter ablation avoids antiarrhythmic drug toxicities, but procedural risks and efficacy depend on operator experience. For patients with previously untreated but recurrent paroxysmal AF, catheter ablation has superior efficacy compared to antiarrhythmic drug therapy, and ablation is even more clearly superior to antiar rhythmic drugs for patients who have recurrent AF despite drug treatment. Long-term control of AF is more difficult to achieve in patients with persistent and long-standing persistent AF, likely because of more extensive atrial abnormalities and associated greater comorbidities in these patients that may promote ongo ing progression of atrial abnormalities that in turn promote AF recurrence. Catheter ablation involves percutaneous venous access (typically via the femoral veins), trans (atrial) septal puncture, and radiofre quency ablation or cryoablation to electrically isolate the left atrial regions around the pulmonary vein antra, abolishing the ability of triggering foci in these regions to initiate AF and also likely impact ing the substrate for reentry in the left atrium (Fig. 258-4). Gaps in healed ablation areas or emergence of new trigger sites outside the pulmonary veins necessitate a repeat procedure in 10–30% of patients. Several alternative energy sources to create ablative lesions are being evaluated for ablation of AF and other </w:t>
      </w:r>
      <w:r w:rsidRPr="00F23836">
        <w:lastRenderedPageBreak/>
        <w:t xml:space="preserve">arrhythmias, includ ing laser, external beam radiation, and pulsed field electroporation. Pulsed-field ablation uses electric fields generated by short pulses of high energy and has shown promise by specifically targeting myocardium without generating heat or damaging adjacent tissue (Fig. 258-5). Myocardial cells are uniquely sensitive to high-voltage, short-duration electric fields with electroporation thresholds of 268–375 V/cm compared to other tissue types including nerves, endothelium, vascular smooth muscle, and blood cells, all of which have electroporation thresholds &gt;1600 V/cm. The pulse waveforms used to generate an electric field can have many different character istics including voltage amplitude, pulse width, cycle period, voltage polarity (monophasic vs. biphasic), electrode polarity (unipolar vs. bipolar), and the number of pulses delivered in a train. There are limited data evaluating the impact of how each of these variables affect lesion safety and efficacy (Fig. 258-5). Therefore, unlike radiofrequency ablation, pulsed-field ablation in its current clinical iteration lacks the ability to titrate and tailor energy delivery during ablation. In patients with paroxysmal AF, sinus rhythm is maintained for &gt;1 year after a single ablation procedure in ~80% of patients and is achieved in &gt;90% of patients after multiple procedures in some studies. Among patients with paroxysmal AF receiving a catheter-based therapy, pulsed-field ablation has demonstrated to be noninferior to conventional thermal ablation (i.e., radiofre quency ablation and cryoablation) with respect to freedom from a composite of initial procedural failure, documented atrial tachyar rhythmia after a 3-month blanking period, antiarrhythmic drug use, cardioversion, or repeat ablation and with respect to device- and procedure-related serious adverse events at 1 year. Many patients become more responsive to antiarrhythmic drugs or become less symptomatic with a reduced AF burden after a pulmonary vein isolation procedure, and thus, repeat ablation may not be required for symptom control in some. Ablation is less effective in patients with persistent AF, particularly long-standing persistent AF, especially when associated with more extensive car diac disease, comorbidities, and evidence of moderate and severe left atrial enlargement. More extensive ablation is often required, targeting areas that likely support reentry and/or AF maintenance and regions outside but adjacent to the pulmonary venous antra. Most ablation targets and strategies beyond pulmonary vein isolation have failed to show systematic outcome improvement in randomized controlled clinical trials. However, individualized FIGURE 258-4 A. (Left) Electroanatomic map superimposed on a cardiac computed tomography reconstruction of a left atrium with mapping catheter in the posterior wall of this chamber. (Middle) Final radiofrequency lesion set around the pulmonary veins. (Right) Multipolar catheter in the right inferior pulmonary vein B. Spontaneous pulmonary vein (PV) ectopy initiating fibrillatory conduction contained within the isolated vein while 12-lead electrocardiogram shows normal sinus rhythm. 1953 CHAPTER 258 Atrial Fibrillation Endothelium 1750 V/cm Nerve 3800 V/cm Myocardium 375 V/cm Smooth Muscle Cells 1600 V/cm Nerve 3800 V/cm Red Blood Cells 1600 V/cm C D A Pulse Train Time Voltage B Voltage Cycle Pulse Width Catheter Variables Waveform Variables • </w:t>
      </w:r>
      <w:r w:rsidRPr="00F23836">
        <w:lastRenderedPageBreak/>
        <w:t xml:space="preserve">Contact force • Pulse amplitude (voltage) • Electrode surface area • Pulse polarity (monophasic-biphasic) • Electrode polarity (uni vs bipolar) • Number of pulses in a train • Electrode shape (torus vs ring) • Pulse width • Electrode and tissue orientation • Cycle period Catheter ablation has a 2–7% risk of major procedure-related complications, with the long-term trend suggesting steady improve ment in complication rates. Complication rates are clearly lowest with high-volume operators and centers. Complications include stroke (0.5–1%), cardiac tamponade (1%), phrenic nerve paraly sis, bleeding from femoral access sites, and fluid overload with heart failure, which can emerge 1–3 days after the procedure. It is important to recognize the potential for delayed presentation of some complications. Ablation within the pulmonary vein can lead to pulmonary vein stenosis, presenting weeks to months after the procedure with dyspnea or hemoptysis. The esophagus abuts the posterior wall of the left atrium where it is subject to injury, and esophageal ulcers can form immediately after the procedure and may rarely lead to a fistula between the left atrium and esophagus (estimated incidence of 0.12 s, though there are unusual situations that can arise with narrow QRS duration as well. Premature ventricular beats (also referred to as a premature ventricular contractions or premature ventricular complexes [PVCs]) are single ven tricular beats that occur earlier than the next anticipated supraventricu lar beat (Fig. 259-1). PVCs that originate from the same focus will have the same QRS morphology and are referred to as unifocal (Fig. 259-1A). PVCs that originate from different ventricular sites have different QRS morphologies and are referred to as multifocal (Fig. 259-1B). Two con secutive ventricular beats are ventricular couplets. Ventricular tachycardia (VT) is three or more consecutive beats at a rate faster than 100 beats/min. Three or more consecutive beats at 1955 I Art. Pr. B A 1000 ms CHAPTER 259 C FIGURE 259-1 A. Unifocal premature ventricular contractions (PVCs) at bigeminal frequency. Trace shows electrocardiogram lead 1 and arterial pressure (Art. Pr.). Sinus rhythm beats are followed by normal arterial waveform. The arterial pressure following premature beats is attenuated (arrows) and imperceptible to palpation. The pulse in this patient is registered at half the heart rate. B. Multifocal PVCs. The two PVCs shown have different morphologies. C. Example of accelerated idioventricular rhythm. (See text for details.) slower rates are designated an idioventricular rhythm. VT that termi nates spontaneously within 30 s is designated nonsustained, whereas sustained VT persists for &gt;30 s or is terminated by an active interven tion, such as administration of an intravenous medication, external I II III V1 II aVR aVL aVF cardioversion, antitachycardia pacing, or a shock from an implanted cardioverter-defibrillator (Fig. 259-2). Monomorphic VT has the same QRS complex from beat to beat, indicating that the activation sequence is the same from beat to beat V1 V2 V4 V5 V3 V6 FIGURE 259-2 Repetitive monomorphic nonsustained ventricular tachycardia (VT) of right ventricular outflow tract origin. The VT has a left bundle branch block pattern with inferior axis with tall QRS complexes in the inferior leads. Approach to Ventricular Arrhythmias 1956 PART 6 Disorders of the Cardiovascular System and that each beat likely originates from </w:t>
      </w:r>
      <w:r w:rsidRPr="00F23836">
        <w:lastRenderedPageBreak/>
        <w:t xml:space="preserve">the same source (Fig. 259-3A). The initial site of ventricular activation largely determines the sequence of ventricular activation. Therefore, the QRS morphology of PVCs and monomorphic VT provides an indication of the site of origin within the ventricles (Fig. 259-4). The likely origin often suggests whether an arrhythmia is idiopathic or associated with structural disease. Arrhyth mias that originate from the right ventricle or septum result in late activation of much of the left ventricle, thereby producing a prominent S wave in V1 referred to as a left bundle branch block–like configura tion. Arrhythmias that originate from the free wall of the left ventricle have a prominent positive deflection in V1 , thereby producing a right bundle branch block–like morphology in V1 . The frontal plane axis of the QRS is also useful. An axis that is directed inferiorly, as indicated by dominant R waves in leads II, III, and AVF, suggests initial activation of the cranial portion of the ventricle, whereas a frontal plane axis that is directed superiorly (dominant S waves in II, III, and AVF) suggests initial activation at the inferior wall. Very rapid monomorphic VT has a sinusoidal appearance, also called ventricular flutter, because it is not possible to distinguish the QRS com plex from the T wave (Fig. 259-3B). Relatively slow sinusoidal VTs have a wide QRS indicative of slowed ventricular conduction (Fig. 259-3C). Hyperkalemia, toxicity from excessive effects of drugs that block sodium channels (e.g., flecainide, propafenone, or tricyclic antidepressants), and severe global myocardial ischemia are possible causes. Polymorphic VT has a continually changing QRS morphology indi cating a changing ventricular activation sequence. Polymorphic VT that occurs in the context of congenital or acquired prolongation of the QT interval often has a waxing and waning QRS amplitude, creating a characteristic shifting axis referred to as torsades des pointes after the classic ballet sequence (Fig. 259-3D). Ventricular fibrillation (VF) has continuous irregular activation with no discrete QRS complexes. Monomorphic or polymorphic VT may transition to VF in susceptible patients. Cardiac ischemia is the most common cause of VF (Fig. 259-3E). The term idiopathic ventricular arrhythmia generally refers to PVCs or VT that occurs in patients with a normal electrocardiogram (ECG), without structural heart disease, and not associated with an underlying genetic syndrome or risk of sudden death. CLINICAL MANIFESTATIONS Common symptoms of VAs include palpitations, dizziness, exercise intolerance, episodes of lightheadedness, syncope, or sudden cardiac arrest leading to sudden death if not resuscitated. VAs can also be asymptomatic and encountered unexpectedly as an irregular pulse or heart sounds on examination or may be seen on a routine ECG, exer cise test, or cardiac ECG monitoring. Occasionally when every other beat is a PVC (bigeminy), pulse measurements for heart rate can be erroneously low (pseudobradycardia) because the PVCs may not gener ate a separate pulse wave. Syncope is a concerning symptom, particularly when occurring without prodrome, during exercise, or in the setting of abnormal ECG or structural heart disease. Such episodes can be due to VT that pro duces severe hypotension, warranting concern for risk of cardiac arrest and sudden death with arrhythmia recurrence. Although benign pro cesses such as reflex-mediated </w:t>
      </w:r>
      <w:r w:rsidRPr="00F23836">
        <w:lastRenderedPageBreak/>
        <w:t xml:space="preserve">neurocardiogenic (vasovagal) episodes and orthostatic hypotension are the most common causes of syncope, it is important to consider the possibility of underlying heart disease or a genetic syndrome causing VT. When these are suspected, hospitaliza tion for further evaluation and monitoring is often appropriate. Sustained VT may present as a wide QRS complex tachycardia that must be distinguished from supraventricular tachycardia with aberrancy (Chap. 253). Symptoms can be minor but more commonly include hypotension with syncope and even imminent cardiac arrest, particularly in patients with structural heart disease. Sustained VT may degenerate to VF, most commonly if it is rapid and polymorphic. Many patients who are at risk for VT have known heart disease, and many have an implantable cardioverter-defibrillator (ICD). In patients with an ICD, VT episodes may cause transient lightheadedness, palpitations, or syncope followed by a shock from the ICD (see below). A B C D E FIGURE 259-3 A. Monomorphic ventricular tachycardia (VT) with dissociated P waves (short arrows). B. Ventricular flutter. C. Sinusoidal VT due to electrolyte disturbance or drug effects. D. Polymorphic VT resulting from prolongation of QT interval (torsade de pointe VT). E. Ventricular fibrillation. (See text for details.) EVALUATION OF PATIENTS WITH DOCUMENTED OR SUSPECTED VENTRICULAR ARRHYTHMIAS There are several important considerations that guide evaluation of patients with documented or suspected cardiac arrhythmias. First, establish whether a VA is the cause of the symptoms or clinical presen tation. Second, determine whether the arrhythmia is associated with a cardiac disease, and establish the prognostic significance of that disease and, in particular, whether it is associated with a risk of sudden cardiac death. Finally, define the likelihood of arrhythmia recurrence and the symptoms and risk imposed by the recurrence. The risks of cardiac arrest and sudden cardiac death are largely determined by the cause of the arrhythmia and the associated underlying heart disease. The diagnosis of VAs can be established by recording the arrhythmia on an ECG, by an ambulatory or implanted cardiac monitor, by an implanted rhythm management device such as a pacemaker or ICD, or in some cases, initiation of the arrhythmia during an electrophysiologic 1957 CHAPTER 259 Approach to Ventricular Arrhythmias A 12-lead ECG should be obtained even if the patient is not having symptoms at the time of evaluation. Occasionally, premature ventricular con tractions will be detected. Patients with benign idio pathic arrhythmias usually have a completely normal ECG during sinus rhythm. Any ECG abnormality warrants further evaluation. Particularly relevant findings include Q waves that indicate prior myo cardial infarction, which may have been silent, and ventricular hypertrophy, which may indicate hyper trophic cardiomyopathy or other ventricular disease. An ECG finding is the major diagnostic manifesta tion of several genetic arrhythmia syndromes in patients without structural heart disease, including the long QT syndrome, Brugada syndrome, and short QT syndrome. If there is suspicion of structural heart disease, cardiac imaging is warranted to assess ventricu lar function and structure. Transthoracic echocar diography is most frequently employed for initial evaluation. Depressed ventricular </w:t>
      </w:r>
      <w:r w:rsidRPr="00F23836">
        <w:lastRenderedPageBreak/>
        <w:t xml:space="preserve">function increases concern for a risk of sudden death and warrants fur ther evaluation to establish the cause, which may be cardiomyopathy, coronary artery disease, or valvular heart disease. Ventricular thickening may indicate hypertrophic cardiomyopathy or infiltrative diseases such as amyloidosis. Cardiac magnetic resonance imaging with gadolinium contrast imaging provides similar assessment but also can detect areas of ven tricular scar, evident as regions of delayed hyper enhancement, which are usually present in patients who have sustained monomorphic VT (Fig. 259-5). The nature and location of abnormalities are helpful in assessing the type of heart disease. Evaluation to V1 II III II, III AVF = Inferior axis superior origin V1 = RBBB LV origin LV RV II V1 = LBBB Septal or RV origin III exclude atherosclerotic coronary artery disease should be performed in patients at risk, guided by age and other risk factors. II, III AVF = Superior axis inferior origin FIGURE 259-4 Site of ventricular tachycardia origin based on QRS morphology. (See text for details.) LBBB, left bundle branch block; LV, left ventricle; RBBB, right bundle branch block; RV, right ventricle. </w:t>
      </w:r>
      <w:r w:rsidRPr="00F23836">
        <w:rPr>
          <w:rFonts w:ascii="Arial" w:hAnsi="Arial" w:cs="Arial"/>
        </w:rPr>
        <w:t>■</w:t>
      </w:r>
      <w:r w:rsidRPr="00F23836">
        <w:t xml:space="preserve">TREATMENT OPTIONS FOR VENTRICULAR ARRHYTHMIAS Treatment of VAs is guided by the severity and frequency of symptoms. For those with structurally normal hearts and normal ECGs, reassur ance and removal of aggravating factors (e.g., caffeine or alcohol) may be all that is needed. For arrhythmias associated with a sudden death risk, ICD implantation is usually indicated and will provide a </w:t>
      </w:r>
      <w:r w:rsidRPr="00F23836">
        <w:rPr>
          <w:rFonts w:ascii="Aptos" w:hAnsi="Aptos" w:cs="Aptos"/>
        </w:rPr>
        <w:t>“</w:t>
      </w:r>
      <w:r w:rsidRPr="00F23836">
        <w:t xml:space="preserve">safety net” to terminate life-threatening VT or VF, preventing sudden death but without preventing the arrhythmia. When suppression of the arrhythmia is required, antiarrhythmic drug therapy or catheter abla tion is a major consideration. study. A 12-lead ECG of the arrhythmia should be obtained when pos sible and often provides clues to the potential site of origin and possible presence of underlying heart disease (see above) (Fig. 259-4). For patients with sustained wide-complex tachycardia, initial man agement is guided by the patient’s hemodynamic stability. The approach to sustained wide-complex tachycardia is discussed in Chap. 261. The management of VT that causes cardiac arrest is discussed in Chap. 317. Once hemodynamic stability is restored, further management is guided by the possibility of a recurrence and the risk imposed by a recurrence. </w:t>
      </w:r>
      <w:r w:rsidRPr="00F23836">
        <w:rPr>
          <w:rFonts w:ascii="Arial" w:hAnsi="Arial" w:cs="Arial"/>
        </w:rPr>
        <w:t>■</w:t>
      </w:r>
      <w:r w:rsidRPr="00F23836">
        <w:t xml:space="preserve">EVALUATION OF THE PATIENT WITH ARRHYTHMIA SYMPTOMS </w:t>
      </w:r>
      <w:r w:rsidRPr="00F23836">
        <w:rPr>
          <w:rFonts w:ascii="Arial" w:hAnsi="Arial" w:cs="Arial"/>
        </w:rPr>
        <w:t>■</w:t>
      </w:r>
      <w:r w:rsidRPr="00F23836">
        <w:t xml:space="preserve">ANTIARRHYTHMIC DRUGS Use of antiarrhythmic drugs is based on consideration of the risks and potential benefit for the individual patient. Efficacy and side effects for the individual patient are not always predictable and are assessed by individual therapeutic trial. Causes of drug intolerance are mostly non cardiac and minor but can sometimes be severe enough to limit their use. Cardiac adverse events, however, include the potential for “proar rhythmia,” whereby a drug can increase the frequency of arrhythmia or cause a new arrhythmia. Aggravation of bradyarrhythmias is also a common concern. Although antiarrhythmic drugs are classified based on their actions on receptors or ion channels, most have multiple effects, affecting more than one channel. When symptoms are intermittent, initial evaluation aims to establish symptom severity, provocative factors, and presence of underlying heart disease. Syncope or near syncope raises concern that </w:t>
      </w:r>
      <w:r w:rsidRPr="00F23836">
        <w:lastRenderedPageBreak/>
        <w:t xml:space="preserve">an arrhyth mia is causing episodes of hypotension and that there may be a risk of cardiac arrest. Symptoms that occur with exertion suggest arrhythmias that are provoked by sympathetic stimulation but can also be related to exertional ischemia in patients with coronary artery disease, although nonarrhythmia causes must also be considered. A past history of any cardiac disease is important. A review of all medications is relevant. Medications that prolong the QT interval predispose to polymorphic VT (Chap. 262). Adrenergic stimulants can provoke PVCs. </w:t>
      </w:r>
      <w:r w:rsidRPr="00F23836">
        <w:rPr>
          <w:rFonts w:ascii="Arial" w:hAnsi="Arial" w:cs="Arial"/>
        </w:rPr>
        <w:t>■</w:t>
      </w:r>
      <w:r w:rsidRPr="00F23836">
        <w:t xml:space="preserve">a-ADRENERGIC BLOCKERS Many VAs are sensitive to sympathetic stimulation, and β-adrenergic stimulation may also interact with the electrophysiologic effects of many membrane-active antiarrhythmic drugs. The safety of β-blocking agents makes them the first choice of therapy for most VAs. β-Blockers are particularly useful for exercise-induced arrhythmias and idiopathic arrhythmias but have limited efficacy for most arrhythmias associated Family history should determine the presence of premature coro nary artery disease, cardiomyopathy, or cardiac arrhythmias, particu larly a history of sudden death. Family history may also suggest that the possibility of a genetic cause of an arrhythmia warrants careful consideration. Details of premature deaths are relevant. Sudden death victims are often said to have died of a “massive heart attack” despite absence of definite confirmation of thrombotic myocardial infarction and when other causes such as arrhythmia may have been possible. The physical examination focuses on evidence of structural heart disease with assessment of pulse, jugular venous pressure lung fields, and cardiac auscultation. Stigmata of neuromuscular disease or dys morphic features may suggest a genetic arrhythmia syndrome. 1958 PART 6 Disorders of the Cardiovascular System FIGURE 259-5 Imaging studies of the left ventricle (LV) used to assist ablation for ventricular tachycardia (VT). Left panel is a magnetic resonance image of a longitudinal section demonstrating thinning of the anterior wall and late gadolinium enhancement in a subendocardial scar (white arrows). The middle panel shows a two-dimensional image of the LV in long axis corresponding to the sector through the mid-LV (arrow in figure on right panel) obtained by an intracardiac echocardiography probe positioned in the right ventricle. An electroanatomic three-dimensional map of the LV in the left anterior oblique projection is displayed in the right panel. The purple areas depict areas of normal voltage (&gt;1.5 mV). Blue, green, and yellow represent progressively lower voltages, with the red areas indicating scar (24 h can cause severe peripheral thrombophlebitis. Dronedarone has structural similarities to amiodarone but without the iodine moiety. Efficacy for VAs is poor, and dronedarone increases mortality in patients with heart failure, so dronedarone is not typically used for treatment of VAs. </w:t>
      </w:r>
      <w:r w:rsidRPr="00F23836">
        <w:rPr>
          <w:rFonts w:ascii="Arial" w:hAnsi="Arial" w:cs="Arial"/>
        </w:rPr>
        <w:t>■</w:t>
      </w:r>
      <w:r w:rsidRPr="00F23836">
        <w:t xml:space="preserve">IMPLANTABLE CARDIOVERTER-DEFIBRILLATORS ICDs detect sustained VT, largely based on heart rate, and then ter minate the arrhythmia. In transvenous devices, VF is terminated by a shock applied between a lead in the right ventricle and the ICD pulse generator. The lead can provide pacing for bradycardia if needed. This transvenous form of ICD has the disadvantages of vascular occlusion, risk of lead fracture, endocarditis in the event of </w:t>
      </w:r>
      <w:r w:rsidRPr="00F23836">
        <w:lastRenderedPageBreak/>
        <w:t xml:space="preserve">infection, and dif ficulty with removal. Monomorphic VT can also be terminated by a burst of rapid pacing faster than the VT, known as antitachycardia pacing (ATP) (Fig. 259-6A). If ATP fails or is not a programmed treatment, as is often the case for rapid VT or VF, a shock is deliv ered (Fig. 259-6B). ICDs can also be subcutaneous or extravascular, without a transvenous lead. The rhythm is also sensed by this lead, in a manner similar to a surface ECG. The lead is placed overlying the left chest with a coil parallel and next to or underneath the sternum. No matter the type of ICD, shocks are uncomfortable and distressing if the patient is conscious, sometimes leading to a posttraumatic stress disorder (PTSD). The most common ICD complication is the delivery of unnecessary therapy (either ATP or shocks) in response to an inap propriately detected rapid supraventricular tachycardia or electrical noise as a result of an ICD lead fracture or electromagnetic interference from an external source. ICDs record and store electrograms from arrhythmia episodes that can be retrieved by interrogation of the ICD, which can be performed remotely and communicated via the internet. This assessment is critical after an ICD shock to determine the arrhyth mia diagnosis and exclude unnecessary therapy. Device infection is an important problem long term and occurs in ~1% of patients. This risk may be less for subcutaneous or extravascular implants. ICDs decrease mortality in patients at risk for sudden death due to structural heart diseases. In all cases, ICDs are recommended only if there is also an expectation for survival of at least a year with acceptable 1959 A Anti-tachycardia pacing B ICD shock Atrial lead RV lead C ICD LV lead FIGURE 259-6 Implantable cardioverter-defibrillator (ICD) and therapies for ventricular arrhythmias. A. A monomorphic ventricular tachycardia (VT) is terminated by a burst of pacing impulses at a rate faster than VT (antitachycardia pacing). B. A rapid VT is converted with a high-voltage shock (arrow). The chest x-ray in the panel C shows the components of an ICD capable of biventricular pacing (yellow arrows). ICD generator in the subcutaneous tissue of the left upper chest, pacing leads in the right atrium and the left ventricular (LV) branch of the coronary sinus (LV lead), and a pacing/defibrillating lead in the right ventricle (RV lead) are shown. functional capacity. The exception is in cases of patients with end stage heart disease who are awaiting cardiac transplantation outside the hospital or who have left bundle branch block QRS prolongation such that they are likely to have improvement in ventricular function with cardiac resynchronization therapy from a biventricular ICD or conduction system pacing (Fig. 259-6C). In these cases, an ICD may be warranted despite a guarded prognosis. A wearable ICD system with electrodes incorporated into a vest and an external battery pack is also available for short-term use in patients pending a decision regarding a permanent implanted system, or when a permanent system cannot be implanted for other reasons such as an ongoing infection. Despite prompt termination of VT or VF by an ICD, the occur rence of these arrhythmias predicts subsequent increased mortality and risk of heart failure. Occurrence of VT or VF should therefore prompt assessment for potential causes including worsening heart failure, electrolyte abnormalities, and ischemia. Repeated shocks, even if appropriate, </w:t>
      </w:r>
      <w:r w:rsidRPr="00F23836">
        <w:lastRenderedPageBreak/>
        <w:t xml:space="preserve">often induce posttraumatic stress disorder. Antiarrhyth mic drug therapy, most commonly amiodarone, or catheter ablation is often required for suppression of recurrent arrhythmias. Antiarrhyth mic drug therapy can alter the VT rate and the energy required for defibrillation, thereby necessitating programming changes in the ICD’s algorithms for detection and therapy. </w:t>
      </w:r>
      <w:r w:rsidRPr="00F23836">
        <w:rPr>
          <w:rFonts w:ascii="Arial" w:hAnsi="Arial" w:cs="Arial"/>
        </w:rPr>
        <w:t>■</w:t>
      </w:r>
      <w:r w:rsidRPr="00F23836">
        <w:t xml:space="preserve">CATHETER ABLATION FOR VT Catheter ablation is usually performed by applying radiofrequency (RF) current to cause thermal injury by resistive heating of cardiac tissue responsible for the arrhythmia. An electrode catheter with an electroanatomic mapping system is used to map local electrical activity to identify the ventricular myocardium that is causing the arrhythmia, referred to as the arrhythmia substrate. The size and location of the arrhythmia substrate determine the ease and likely effectiveness of the procedure, as well as the potential complications. When the arrhythmia originates from the endocardium, as is most commonly the case, it can be reached from an endovascular approach via a femoral vein or artery. Less commonly, arrhythmias originate from the subepicardium, and percutaneous pericardial puncture, similar to pericardiocentesis, is required to insert a catheter into the pericardial space for mapping and ablation. In patients with scar-related VT due to prior infarction or cardiomyopathy, ablation typically targets abnormal regions in the scar or region of fibrosis. Because these scars often contain multiple reentry circuits over relatively large regions, extensive areas of ablation can be required, and these areas are often identified as regions of low voltage displayed on electroanatomic reconstructions of the ventricle (Fig. 259-5). Catheter ablation is often performed in patients with recurrent VAs associated with poor cardiac function, and the procedure-related mortality in this situation is 0.5–3%. Outcomes are better for patients with prior infarction and VT than for patients with nonischemic car diomyopathies in which the scar locations are more variable and often intramural or subepicardial. Ablation can be lifesaving for patients with very frequent or incessant VT. Methods of delivering ablative energy to intramural areas or areas requiring very extensive ablation are under development. These include needle catheters capable of delivering ablative energy into intramural sources, and bipolar ablation where radiofrequency energy is delivered across two ablation catheters. Stereotactic body radiation therapy (SBRT), classically used for treating thoracic tumors, has been used to direct radiation therapy to a specific portion of the scar substrate to noninvasively ablate VT with encourag ing early studies. Idiopathic VTs and PVCs that occur in the absence of structural heart disease usually originate from a small focus, for which catheter ablation typically has a higher success rate for preventing recurrent arrhythmia. Long-term arrhythmia-free survival in these patients is excellent. ARRHYTHMIA SURGERY When antiarrhythmic drug therapy and catheter ablation fail or are not an option, surgical cryoablation, often combined with aneurysmec tomy, can be effective therapy for recurrent VT due to prior myocardial infarction and has also been used successfully in a few patients with nonischemic heart disease. Few centers now maintain the expertise for this therapy, though some use this therapy as an adjunct to ventricular assist device implantation. CHAPTER 259 Approach </w:t>
      </w:r>
      <w:r w:rsidRPr="00F23836">
        <w:lastRenderedPageBreak/>
        <w:t xml:space="preserve">to Ventricular Arrhythmias 1960 </w:t>
      </w:r>
      <w:r w:rsidRPr="00F23836">
        <w:rPr>
          <w:rFonts w:ascii="Arial" w:hAnsi="Arial" w:cs="Arial"/>
        </w:rPr>
        <w:t>■</w:t>
      </w:r>
      <w:r w:rsidRPr="00F23836">
        <w:t xml:space="preserve">FURTHER READING PART 6 Disorders of the Cardiovascular System Al-Khatib SM et al: 2017 AHA/ACC/HRS guideline for management of patients with ventricular arrhythmias and the prevention of sud den cardiac death: A report of the American College of Cardiology/ American Heart Association Task Force on Clinical Practice Guide lines and the Heart Rhythm Society. Heart Rhythm 15:e73, 2018. Deyell MW et al: 2020 Canadian Cardiovascular Society/Canadian Heart Rhythm Society position statement on the management of ven tricular tachycardia and fibrillation in patients with structural heart disease. Can J Cardiol 36:822, 2020. Jalife J, Stevenson W (eds): Zipes and Jalife’s Cardiac Electrophysiol ogy: From Cell to Bedside, 8th ed. Philadelphia, Elsevier, 2021. Zeppenfeld K et al: 2022 ESC Guidelines for the management of patients with ventricular arrhythmias and the prevention of sudden cardiac death: Developed by the task force for the management of patients with ventricular arrhythmias and the prevention of sudden cardiac death of the European Society of Cardiology (ESC) Endorsed by the Association for European Paediatric and Congenital Cardiol ogy (AEPC). Eur Heart J 43:3997, 2022. 260 Premature Ventricular Contractions, Nonsustained Ventricular Tachycardia, and Accelerated Idioventricular Rhythm William H. Sauer, Usha B. Tedrow Ventricular ectopic beats are very common and may be identified during outpatient or inpatient telemetry monitoring either due to symptoms of palpitations or as an incidental finding. In most cases, ventricular ectopy, presenting as premature ventricular contractions (PVCs), nonsustained ventricular tachycardia (NSVT), and accelerated idioventricular rhythm (AIVR), is asymptomatic and does not require specific treatment. While most commonly benign when presenting in patients with structurally normal hearts and normal electrocardio grams (ECGs), these ventricular arrhythmias can rarely be associated with structural heart disease and a risk of sudden death. PREMATURE VENTRICULAR CONTRACTIONS AND NONSUSTAINED VENTRICULAR TACHYCARDIA PVCs are very common and can be due to enhanced automaticity, triggered automaticity, or localized reentry. PVCs are often sensitive to sympathetic stimulation and can be a sign of increased sympathetic tone, myocardial ischemia, hypoxia, electrolyte abnormalities, or underlying heart disease. During myocardial ischemia or in associa tion with other structural heart disease, PVCs can be a harbinger of sustained ventricular tachycardia (VT) or ventricular fibrillation (VF). The ECG characteristics of the arrhythmia are often suggestive of whether structural heart disease is present. PVCs with smooth unin terrupted contours and sharp QRS deflections may suggest an ectopic focus in relatively normal myocardium, whereas broad notching and slurred QRS deflections may suggest a diseased myocardial substrate. The QRS morphology also suggests the likely site of origin within the ventricle. PVCs that have a dominant S wave in V1 , referred to as a left bundle branch block–like configuration, originate from the right ventricle or interventricular septum. Those with a dominant R wave in V1 originate from the left ventricle. A superior frontal plane axis (negative in II, III, aVF) indicates initial depolarization of the inferior wall </w:t>
      </w:r>
      <w:r w:rsidRPr="00F23836">
        <w:lastRenderedPageBreak/>
        <w:t xml:space="preserve">(diaphragmatic aspect of the heart), whereas an inferior frontal plane axis (positive in II, III, aVF) indicates an origin in the cranial aspect of the heart. The location of arrhythmia origin often suggests the nature of underlying heart disease. Most common ventricular arrhythmias that are not associated with structural heart disease have a left bundle branch block–like configuration. PVCs with a right bundle branch block configuration are more likely to be associated with struc tural heart disease. Multiple morphologies of PVCs (multifocal PVCs) are also more likely to indicate structural heart disease or a myopathic disease process. In patients with heart disease, greater frequency and complexity (couplets and NSVT) of these arrhythmias are associated with more severe disease. PVCs AND NSVT DURING ACUTE ILLNESS These arrhythmias are often encountered in patients who are being evaluated in the emergency department or who have been hospital ized and are on an ambulatory cardiac monitor. When encountered during acute illness or as a new finding, evaluation should focus on detection and correction of potential aggravating factors and causes, specifically myocardial ischemia, ventricular dysfunction, and elec trolyte abnormalities, most commonly hypokalemia. If there is a suspicion of underlying heart disease, then this should be evaluated. Otherwise, asymptomatic PVCs and NSVT in the hospitalized patient do not indicate any specific treatment outside the patient’s presenting illness. PVCs AND NSVT IN PATIENTS WITHOUT HEART DISEASE Idiopathic ventricular arrhythmias frequently originate from the left or right ventricular outflow tracts near the valve annuli, giving rise to PVCs or VT that have a left bundle branch block–like configuration, with an inferiorly directed frontal plane axis, as discussed below. Other regions that give rise to PVCs in normal hearts include the papillary muscles and fascicular tissue. NSVT from a benign idiopathic source is usually monomorphic, with rates 10 PVCs/h), repetitive PVCs with couplets, and NSVT are markers for depressed ventricular function and increased mortality, but routine antiarrhythmic drug therapy to suppress these arrhythmias has not been shown to improve mortality. Therefore, amiodarone is an option for treatment of symptomatic arrhythmias in this population when the potential benefit outweighs its potential toxicities. β-Adrenergic blockers reduce sudden death but have limited effect on spontaneous arrhythmias. For survivors of an acute MI, an implantable cardioverter-defibrillator (ICD) reduces mortality in certain high-risk groups: patients who have survived &gt;40 days after the acute MI and have a left ventricular ejection fraction of 5 days after MI who have a reduced left ventricular ejection frac tion, NSVT, and inducible sustained VT or VF on electrophysiologic testing. ICDs do not reduce total mortality when routinely implanted early after MI and have not been demonstrated to improve mortality when implanted early after coronary artery revascularization. PVCs AND NSVT ASSOCIATED WITH PVC AND NSVT ASSOCIATED WITH OTHER CARDIAC DISEASES Ventricular ectopy is associated with increased mortality in patients with hypertrophic cardiomyopathy or with congenital heart disease associated with right or left ventricular dysfunction. In these patients, management is similar to that for patients with ventricular dysfunc tion. Pharmacologic suppression of the arrhythmia has not been </w:t>
      </w:r>
      <w:r w:rsidRPr="00F23836">
        <w:lastRenderedPageBreak/>
        <w:t xml:space="preserve">shown to improve mortality. ICDs are indicated for patients considered at high risk for sudden cardiac death. PVC-INDUCED VENTRICULAR DYSFUNCTION Very frequent ventricular ectopy and repetitive NSVT can depress ventricular function, possibly through an effect similar to chronic tachycardia or by inducing ventricular dyssynchrony. Depression of ventricular function rarely occurs unless PVCs account for at least 10–20% of total beats over a 24-h period, and only a minority of patients with PVCs will have a reversible cardiomyopathy. Often the PVCs are idiopathic and unifocal, most commonly originating from the outflow tract regions or left ventricular papillary muscles (Fig. 260-2), where they can be targeted for ablation. Other sites of origin such as the mitral and tricuspid valve annuli, right ventricular moderator band, and even the epicardial surface of the heart also occur (Fig. 260-3). The factors that can potentially predict development of heart failure and increased risk of adverse out comes include PVC frequency, characteristics of the PVC morphology, and timing of the PVC coupling interval. In addition, the presence of late gadolinium enhancement on cardiac MRI may suggest the pres ence of an additional underlying cardiomyopathic process. The degree of expected recovery of ventricular function with PVC suppression is difficult to predict. Even in the setting of known underlying cardio myopathy, controlling frequent ventricular ectopy can be helpful to improve ejection fraction and improve other factors such as delivery of resynchronization pacing. CHAPTER 260 Premature Ventricular Contractions, Nonsustained Ventricular Tachycardia, and Accelerated Idioventricular Rhythm DEPRESSED VENTRICULAR FUNCTION AND HEART FAILURE PVCs and NSVT are common in patients with depressed ventricular function and heart failure and are markers for disease severity and increased mortality, but antiarrhythmic drug therapy to suppress these arrhythmias has not been shown to improve survival. The use of antiarrhythmic drugs whose major action is blockade of the cardiac sodium channel (flecainide, propafenone, mexiletine, quinidine, and disopyramide) is avoided in patients with structural heart disease because of a risk of proarrhythmia and negative inotropic effects. Amiodarone suppresses ventricular ectopy and reduces sudden death but does not improve overall survival. ICDs are the major therapy to protect against sudden death in patients at high risk and are recom mended for those with a left ventricular ejection fraction 85% of patients, most often show ing T-wave inversions in V1–V3 . Delayed activation of the right ventricle may cause a widened QRS (&gt;110 ms) in the right precordial leads (V1–V3 ) and a prolonged S-wave upstroke in those leads and, occasion ally, a notched deflection at the end of the QRS known as an epsilon wave. Cardiac imaging may show right ventricular enlargement or areas of abnormal motion or reveal areas of scar on contrast-enhanced MRI. LV involvement can occur and can occasionally precede manifest right ventricular disease. Clinical heart failure is rare except in late stages, and survival to advanced age can be anticipated provided that VT can be controlled. An ICD is recommended. When VT is exercise induced, it may respond to β-adrenergic blockers and limiting exercise. Sotalol, flecainide, and amiodarone have been used to reduce ventricu lar arrhythmias. Catheter ablation </w:t>
      </w:r>
      <w:r w:rsidRPr="00F23836">
        <w:lastRenderedPageBreak/>
        <w:t xml:space="preserve">prevents or reduces VT episodes in 70% of patients, but epicardial mapping and ablation are often required. ADULT CONGENITAL HEART DISEASE Among all patients with adult congenital heart disease (ACHD), sus tained monomorphic VT is quite rare. However, the most common substrate for sustained VT is seen in those with repairs of a ventricular 1967 septal defect, in particular tetralogy of Fallot (TOF). The prevalence of VT after TOF repair is estimated to be 3–14%, and risk of sudden car diac death may reach as high as 1% per year in adulthood by the fourth or fifth decade of life. The greatest risk for ventricular arrhythmias is posed via two potential mechanisms: (1) those who have undergone repair involving a ventriculotomy and (2) those with long-standing hemodynamic overload causing ventricular dysfunction and/or hyper trophy independent of surgical incisions. Monomorphic VT in TOF most commonly occurs in stereotyped circuits due to reentry around areas of surgically created scar in the right ventricle. Factors associated with VT risk include age &gt;5 years at the time of repair, high-grade ventricular ectopy, inducible VT on an electrophysiologic study, abnormal right ventricular hemodynamics, and sinus rhythm QRS duration &gt;180 ms. An ICD is usually warranted for patients who have a spontaneous episode of VT, but ICDs are also considered for patients with multiple risk factors. Catheter ablation or antiarrhythmic drug therapy is used to control recurrent episodes. BUNDLE BRANCH REENTRY VT Reentry through the Purkinje system occurs in ~5% of patients with monomorphic VT in the presence of structural heart disease. The reentry circuit typically revolves retrograde via the left bundle and anterograde down the right bundle, thereby producing VT that has a left bundle branch block configuration. The VT QRS morphology may closely resemble the QRS morphology in sinus rhythm. Catheter abla tion of the right bundle branch abolishes this VT. Bundle branch reen try is usually associated with severe underlying heart disease. Other scar-related VTs are often present and often require additional therapy. IDIOPATHIC MONOMORPHIC VT Idiopathic VT in patients without structural heart disease usually pres ents with palpitations, lightheadedness, and, rarely, syncope. Episodes can be provoked either by sympathetic stimulation or acute withdrawal of sympathetic tone, as in the immediate postexercise period. The QRS morphology of the arrhythmia suggests the diagnosis (see below). The sinus rhythm ECG is normal. Family history suggests no familial cardiomyopathy or sudden death. Cardiac imaging, including echocar diography and cardiac MRI, shows normal ventricular function and no evidence of ventricular scar. Occasionally, a patient with structural heart disease is found to have concomitant idiopathic VT unrelated to I II III aVR aVL aVF V1 V2 V3 V4 V5 V6 the structural disease, in which case, the underlying disease should be treated as per the guidelines, separate from the VT. Repeated bursts of nonsustained VT, which may occur incessantly, are known as repetitive monomorphic VT and can cause a tachycardia-induced cardiomyopa thy with depressed ventricular function that recovers after suppression of the arrhythmia. Sudden death in isolated idiopathic VT is rare, and an ICD is not recommended. Outflow tract VTs originate from a focus near the pulmonic or aortic valve annuli, usually with </w:t>
      </w:r>
      <w:r w:rsidRPr="00F23836">
        <w:lastRenderedPageBreak/>
        <w:t xml:space="preserve">features consistent with triggered auto maticity. The arrhythmia may present with sustained VT, nonsustained VT, or premature ventricular contractions (PVCs). Most originate in the right ventricular outflow tract, which gives rise to VT that has a left bundle branch block configuration in V1 and an axis that is directed inferiorly, with tall R waves in II, III, and aVF. Idiopathic VT can also arise in the LV outflow tract or in sleeves of myocardium that extend along the aortic root. LV origin is suspected when lead V1 or V2 has prominent R waves. Although this typical outflow tract QRS morphol ogy favors idiopathic VT, some cardiomyopathies, notably ARVC, can cause PVCs or VT from this region. Excluding these diseases is an initial focus of evaluation (Fig. 261-4). LV fascicular VT, sometimes referred to as Belhassen’s VT or verapamil-sensitive VT, is the second most common form of idiopathic VT after outflow tract VTs. It often presents with sustained VT that has a right bundle branch block–like configuration and is negative in the inferior leads. It is often exercise induced and occurs more often in men than women. The mechanism was originally thought to be focal but has been demonstrated to be due to a small reentry circuit in or near the septal ramifications of the LV Purkinje system. There can be an LV false tendon associated with this rhythm. Despite its reentrant nature, the course of this type of VT is typically benign. CHAPTER 261 Sustained Ventricular Tachycardia Other sites of origin for idiopathic VT exist, including papillary muscles, mitral and tricuspid valve annuli, and the moderator band in the right ventricle. Even focal sites from the epicardial surface have been described. The presence of VT from these more unusual sites should prompt even more careful assessment for structural heart disease. MANAGEMENT OF IDIOPATHIC VT Treatment is required for symptoms or when frequent or incessant arrhythmias depress ventricular function. Symptoms can be controlled with medications including beta blockers, calcium channel blockers, FIGURE 261-4 Idiopathic monomorphic ventricular tachycardia (VT). This is a 12-lead electrocardiogram showing the onset of idiopathic VT in a young patient without structural heart disease. The VT has a left bundle branch block configuration in V1 and an inferiorly directed axis consistent with an outflow tract origin. Note that the narrow (normal sinus) beats have a normal QRS configuration, consistent with the patient’s lack of structural heart disease. 1968 PART 6 Disorders of the Cardiovascular System FIGURE 261-5 Stereotactic body radiation therapy. Shown is a planning computed tomography scan for noninvasive cardiac ablation delivered with stereotactic radiation. The region of interest is determined by analysis of presenting arrhythmias, underlying structural heart disease, and proximity to adjacent structures such as coronary arteries, the phrenic nerve, and the gastrointestinal tract. Radiation is delivered to the chosen treatment volume in order to create conduction block in the culprit scar region. and sodium channel blockers such as flecainide. Although flecainide is not typically recommended in patients with structural heart disease, it has been used successfully to resolve tachycardia-induced cardiomyop athy in the setting of idiopathic PVCs and VT in patients with a normal underlying ECG and no fibrosis evident on cardiac MRI. Catheter abla tion is also indicated for control of symptoms, </w:t>
      </w:r>
      <w:r w:rsidRPr="00F23836">
        <w:lastRenderedPageBreak/>
        <w:t xml:space="preserve">has an overall success rate of 80%, and is recommended for those with symptomatic VT in whom medications are ineffective or not preferred by the patient. Efficacy and risks of catheter ablation vary with the specific site of origin of the VT, being most favorable for arrhythmias originating in the right ventricu lar outflow tract. Failure of ablation is most often due to inability to initiate the arrhythmia for mapping in the electrophysiology laboratory. LV interfascicular VT can be terminated by intravenous administra tion of verapamil, although chronic therapy with oral verapamil is not always effective. Catheter ablation is recommended if β-adrenergic blockers or calcium channel blockers are ineffective or not desired. FUTURE DIRECTIONS Treatment of monomorphic VT, especially in the setting of structural heart disease, is an important cause of morbidity and mortality. Limi tations of current therapies include toxicities of antiarrhythmic drugs and inability to successfully perform catheter ablation of the substrate for arrhythmias. Advances in imaging and intracardiac mapping tech niques are likely to improve success rates over time. In addition, the inability of ablative energy to reach deep intramural substrates is a current limitation. Innovations in delivery of ablative energy, includ ing bipolar ablation, needle catheter ablation, and electroporation, are ongoing. In addition, noninvasive ablation is a promising area of investigation. Proton beam or stereotactic radiation can be used to tar get VTs identified by advanced cardiac imaging or by a multielectrode ECG vest. Early multicenter studies suggest durable control of VT with noninvasive ablation (Fig. 261-5). </w:t>
      </w:r>
      <w:r w:rsidRPr="00F23836">
        <w:rPr>
          <w:rFonts w:ascii="Arial" w:hAnsi="Arial" w:cs="Arial"/>
        </w:rPr>
        <w:t>■</w:t>
      </w:r>
      <w:r w:rsidRPr="00F23836">
        <w:t xml:space="preserve">FURTHER READING Al-Khatib SM et al: 2017 AHA/ACC/HRS guideline for management of patients with ventricular arrhythmias and the prevention of sud den cardiac death: A report of the American College of Cardiology/ American Heart Association Task Force on Clinical Practice Guide lines and the Heart Rhythm Society. Heart Rhythm 15:e73, 2018. Callans DJ: Josephson’s Clinical Cardiac Electrophysiology: Techniques and Interpretations, 7th ed. Philadelphia, Wolters Kluwer, 2024. Cronin EM et al: 2019 HRS/EHRA/APHRS/LAHRS expert consensus statement on catheter ablation of ventricular arrhythmias. EP Euro pace 21:1143, 2019. Jalife J, Stevenson W (eds): Zipes and Jalife’s Cardiac Electrophysiol ogy: From Cell to Bedside, 8th ed. Philadelphia, Elsevier, 2022. Zeppenfeld K et al: 2022 ESC Guidelines for the management of patients with ventricular arrhythmias and the prevention of sudden cardiac death: Developed by the task force for the management of patients with ventricular arrhythmias and the prevention of sudden cardiac death of the European Society of Cardiology (ESC) Endorsed by the Association for European Paediatric and Congenital Cardiol ogy (AEPC). Eurn Heart J 43:3997, 2022. 262 Polymorphic Ventricular Tachycardia and Ventricular Fibrillation William H. Sauer, Usha B. Tedrow POLYMORPHIC VENTRICULAR TACHYCARDIA Sustained polymorphic ventricular tachycardia (VT) has a continuously changing QRS configuration from beat to beat, indicating a continually changing ventricular activation sequence. However, unlike sustained monomorphic VT, polymorphic VT does not necessarily indicate a fixed structural abnormality or focus of automaticity. Reentry can occur with variable reentrant paths, spiral wave reentry, and </w:t>
      </w:r>
      <w:r w:rsidRPr="00F23836">
        <w:lastRenderedPageBreak/>
        <w:t xml:space="preserve">multiple automatic foci as potential mechanisms. This type of reentry can occur 1969 near fibrotic areas of myocardium, potentiated by proximity to dam aged Purkinje cells or ventricular hypertrophy. Abnormal transmural dispersion of repolarization can occur in the setting of channelopathies or antiarrhythmic drugs in the absence of structural heart disease. Sustained polymorphic VT usually degenerates into ventricular fibril lation (VF). Polymorphic VT is typically seen in association with acute myocardial infarction or ischemia (MI), ventricular hypertrophy, and a number of genetic mutations that affect cardiac ion channels. POLYMORPHIC VT ASSOCIATED WITH ACUTE MYOCARDIAL INFARCTION/ ISCHEMIA Acute MI or ischemia is a common cause of polymorphic VT and should be the initial consideration in management. Approximately 10% of patients with acute MI develop VT that degenerates to VF, likely related to reentry through the infarct border zone. The risk is greatest in the first hour of acute MI. More rarely, surviving Purkinje cells with automaticity can initiate polymorphic VT. Following defibril lation as per the Advanced Cardiac Life Support (ACLS) guidelines, management is as for acute MI. β-Adrenergic blockers, correction of electrolyte abnormalities, and prompt myocardial reperfusion are required. Repeated episodes of polymorphic VT may suggest ongoing MI and warrant assessment of adequacy of myocardial reperfusion. Polymorphic VT and VF that occur within the first 48 h of acute MI are associated with greater in-hospital mortality, but patients who survive past hospital discharge are not at increased risk for arrhythmic sudden death. Long-term therapy for postinfarct ventricular arrhythmia is determined by residual left ventricular (LV) function, with an implant able cardioverter defibrillator (ICD) indicated for persistent severe LV dysfunction (LV ejection fraction 440 ms in men and 460 ms in women. Symptoms are due to torsades des pointes VT. Several forms of congenital LQTS have been identified, but three groups of mutations that lead to LQTS-1, LQTS-2, and LQTS-3 CHAPTER 262 Polymorphic Ventricular Tachycardia and Ventricular Fibrillation V1 V2 V3 V4 V5 V6 Long interval B Short interval Initiating beat of polymorphic VT QT = 680 ms II V1 FIGURE 262-1 Torsades des pointes ventricular tachycardia (VT) in a patient with bradycardia and marked QT prolongation. A. Twelve-lead electrocardiogram showing 2:1 atrioventricular block (P waves marked by blue arrows) with a heart rate of 40 beats/min and QT interval of 680 ms and corrected QT of 550 ms. B. The bottom panel shows a telemetry rhythm strip with periods of self-limiting torsades des pointes polymorphic VT. Following a normally conducted sinus beat, a premature ventricular contraction (PVC) causes a compensatory pause, leading to a long RR interval. A PVC after the next sinus beat initiates VT. This is the classic pause-dependent mode of initiation of torsades des pointes VT with long–short intervals. 1970 PART 6 Disorders of the Cardiovascular System TABLE 262-1 Causes of QT Prolongation and Torsades des Pointes 1. Congenital long QT syndromes Long QT syndrome type 1: Reduced repolarizing current IKs due to mutation in KCNQ1 gene Long QT syndrome type 2: Reduced repolarizing current IKr due to mutation in KCNH2 gene Long QT syndrome type 3: Delayed inactivation of the INa due to mutations in SCN5A gene Others: Several other types of long QT syndromes </w:t>
      </w:r>
      <w:r w:rsidRPr="00F23836">
        <w:lastRenderedPageBreak/>
        <w:t xml:space="preserve">have been described; long QT syndrome types 1, 2, and 3 account for 80–90% of cases 2. Electrolyte abnormalities: Hypokalemia, hypomagnesemia, hypocalcemia 3. Drug-induced acquired prolongation of QT interval Antiarrhythmic drugs Class IA: Quinidine, disopyramide, procainamide Class III: Sotalol, dronedarone, ranolazine, amiodarone, ibutilide, dofetilide Antibiotics Macrolides: Erythromycin, clarithromycin, azithromycin Fluroquinolones: Levofloxacin, moxifloxacin Trimethoprim-sulfamethoxazole Clindamycin Pentamidine Chloroquine Antifungals: Ketoconazole, itraconazole Antivirals: Amantadine Antipsychotics Haloperidol, phenothiazines, thioridazine, trifluoperazine, sertindole, zimelidine, ziprasidone Tricyclic and tetracyclic antidepressants Antihistamines (histamine 1-receptor antagonists) Astemizole, diphenhydramine, hydroxyzine Other drugs Citrate (massive blood transfusions) Cocaine Methadone Hydroxychloroquine 4. Cardiac conditions Myocardial ischemia and infarction Myocarditis Marked bradycardia Stress cardiomyopathy 5. Endocrine disorders Hypothyroidism Hyperparathyroidism Pheochromocytoma Hyperaldosteronism 6. Intracranial disorders Subarachnoid hemorrhage Thalamic hematoma Cerebrovascular accident Encephalitis Head injury 7. Nutritional disorders Anorexia nervosa Starvation Liquid protein diets Gastroplasty and ileojejunal bypass Celiac disease particularly swimming. In LQTS-2, sudden auditory stimuli or emo tional upset predisposes to events. In LQTS-3, sudden death tends to occur during sleep. Asymptomatic patients may be discovered in the course of family screening or on a routine electrocardiogram (ECG). Genotyping can be helpful for family screening and to provide reassur ance regarding the diagnosis. Correlations of genotype with risk and response to therapy are beginning to emerge. In most patients with LQTS-1 or LQTS-2, adequate doses of beta-blocker therapy (the non selective agents nadolol and propranolol are favored) are sufficient pro tection from arrhythmia episodes. Markers of increased risk include QTc interval exceeding 500 ms, female gender, and a history of syncope or cardiac arrest. Recurrent syncope despite beta-blocker therapy or a high-risk profile merits consideration of an ICD. Avoidance of QT prolonging drugs is critical for all patients with LQTS, including those who are genotype positive but have normal QT intervals. </w:t>
      </w:r>
      <w:r w:rsidRPr="00F23836">
        <w:rPr>
          <w:rFonts w:ascii="Arial" w:hAnsi="Arial" w:cs="Arial"/>
        </w:rPr>
        <w:t>■</w:t>
      </w:r>
      <w:r w:rsidRPr="00F23836">
        <w:t xml:space="preserve">SHORT QT SYNDROME Short QT syndrome is very rare compared to LQTS. The QTc is 0.2 mV of ST segment elevation with a coved ST segment and negative T wave in more than one anterior precordial lead (V1–V3 ) (see Fig. 260-1) and episodes of syncope or cardiac arrest due to polymorphic VT in the absence of structural heart disease. The term Brugada syndrome is distinguished from Brugada pattern observed in asymptomatic individuals with the characteristic ECG findings, similar to how Wolff-Parkinson-White syndrome is distinguished from the Wolff-Parkinson-White pattern. Cardiac arrest may occur during sleep or be provoked by febrile illness. The mechanism of the ventricular arrhythmias associated with Bru gada syndrome are related to the dispersion of repolarization across the ventricular wall with epicardial and M cells that are more affected than endocardial cells. The characteristic coved ST segment in the anterior precordial leads is a consequence of this difference in transmembrane action </w:t>
      </w:r>
      <w:r w:rsidRPr="00F23836">
        <w:lastRenderedPageBreak/>
        <w:t xml:space="preserve">potentials localized to the right ventricular outflow tract. This regionalized substrate is apparent with epicardial mapping and allows for ablation as a potential treatment option for patients with recurrent VT/VF despite pharmacologic therapy. Males are more commonly affected than females and men are much more likely to have Brugada pattern on ECG compared to women. In cases where there is a family history, Brugada syndrome demonstrates an autosomal dominant inheritance pattern with variable penetrance. Mutations involving cardiac sodium channels (SCN5A, SCN1B, and SCN10A) are identified in ~25% of cases. There are non–sodium chan nel genes that have also been described including loss-of-function mutations in calcium and gain-of-function mutations in potassium channel component genes affecting the transient outward current (Ito ). Structural and trafficking proteins have also been implicated in Brugada syndrome, revealing a higher level of complexity compared to other monogenetic arrhythmia substrates. Distinction from patients with similar ST elevation owing to LV hypertrophy, pericarditis, myocardial ischemia or MI hyperkalemia, hypothermia, right bundle branch block, and arrhythmogenic right ven tricular cardiomyopathy is often difficult. Furthermore, the characteristic ST-segment elevation can wax and wane over time and may become pro nounced during acute illness and fever or with changes in autonomic tone. Administration of the sodium channel–blocking drugs flecainide, ajma line, or procainamide can augment or unmask ST elevation in affected individuals. An ICD is indicated for individuals who have had unex plained syncope or have been resuscitated from cardiac arrest. Patients with Brugada syndrome must avoid drugs known to affect sodium channels including cocaine, cannabis, some sodium channel antiepileptic agents, and other psychotropic medications. Quinidine and catheter abla tion of abnormal regions in the epicardial right ventricular outflow tract have been used successfully to suppress frequent episodes of VT. syndromes account for 90% of cases. The most frequently encountered mutations (LQTS-1 and LQTS-2) are due to abnormalities of potas sium channels, but mutations affecting the sodium channel (LQTS-3) and calcium channels have also been described. Typical presentation is with syncope or cardiac arrest, usually dur ing childhood. In LQTS-1, episodes tend to occur during exertion, </w:t>
      </w:r>
      <w:r w:rsidRPr="00F23836">
        <w:rPr>
          <w:rFonts w:ascii="Arial" w:hAnsi="Arial" w:cs="Arial"/>
        </w:rPr>
        <w:t>■</w:t>
      </w:r>
      <w:r w:rsidRPr="00F23836">
        <w:t xml:space="preserve">EARLY REPOLARIZATION SYNDROME 1971 Patients resuscitated from VF who have no structural heart disease or other identified abnormality have a higher prevalence of J-point elevation with notching in the terminal QRS. A family history of sud den death is present in some patients, suggesting a potential genetic basis. J-point elevation is also seen in some patients with the Brugada syndrome and is associated with a higher risk of arrhythmias. An ICD is recommended for those who have had prior cardiac arrest. It should be noted that J-point elevation is commonly seen as a normal variant in patients without arrhythmias, and in the absence of specific symptoms, the clinical relevance is not known. </w:t>
      </w:r>
      <w:r w:rsidRPr="00F23836">
        <w:rPr>
          <w:rFonts w:ascii="Arial" w:hAnsi="Arial" w:cs="Arial"/>
        </w:rPr>
        <w:t>■</w:t>
      </w:r>
      <w:r w:rsidRPr="00F23836">
        <w:t xml:space="preserve">CATECHOLAMINERGIC POLYMORPHIC VT This rare familial syndrome is due to mutations in the cardiac ryano dine receptor and, less commonly, the sarcoplasmic calcium binding protein calsequestrin 2. These mutations result in abnormal sarcoplas </w:t>
      </w:r>
      <w:r w:rsidRPr="00F23836">
        <w:lastRenderedPageBreak/>
        <w:t xml:space="preserve">mic calcium handling and polymorphic ventricular arrhythmias that resemble those seen with digitalis toxicity. The VT is polymorphic or has a characteristic alternating QRS morphology termed bidirec tional VT. Patients usually present during childhood with exercise or emotion-induced palpitations, syncope, or cardiac arrest. β-Adrenergic blockers (e.g., nadolol and propranolol) and an ICD are usually recom mended. Verapamil, flecainide, or surgical left cardiac sympathetic denervation reduces or prevents recurrent VT in some patients. The use of ICDs is controversial because of the fear that an ICD shock could initiate a vicious cycle of adrenergic output and escalated ventricular arrhythmias, leading to death. </w:t>
      </w:r>
      <w:r w:rsidRPr="00F23836">
        <w:rPr>
          <w:rFonts w:ascii="Arial" w:hAnsi="Arial" w:cs="Arial"/>
        </w:rPr>
        <w:t>■</w:t>
      </w:r>
      <w:r w:rsidRPr="00F23836">
        <w:t xml:space="preserve">HYPERTROPHIC CARDIOMYOPATHY Hypertrophic cardiomyopathy (HCM) is the most common genetic cardiovascular disorder, occurring in 1 in 500 individuals, and is a prominent cause of sudden death before the age of 35 years. Sudden death can be due to polymorphic VT/VF. Rarely, sustained monomor phic VT occurs related to areas of ventricular scar, most commonly in patients who develop an apical aneurysm. Risk factors for sudden death in this disease include young age, nonsustained VT, failure of blood pressure to increase during exercise, recent (within 6 months) syncope, ventricular wall thickness &gt;3 cm, and possibly the severity of LV outflow obstruction. An ICD is generally indicated for high-risk subjects, but the specific risk profile warranting an ICD continues to be debated. Surgical myectomy, performed to relieve outflow obstruc tion, has been associated with a sudden death rate of 70% of VT episodes, even when VT is very rapid. Most ICDs can be programmed to attempt overdrive pace termination during capacitor charge. If the arrhythmia then terminates, the shock is aborted. Appropriate programming of antitachycardia pac ing is therefore critical for reducing shocks. For patients implanted with ICDs as primary prevention, programming of VF detection zones &gt;220 beats/min significantly reduces unnecessary and inappropriate shocks. Long detection times will also help avoid unnecessary therapies for VT episodes liable to terminate spontaneously. Recurrent symptomatic episodes of VT or VF (Fig. 263-2) warrant specific therapy with antiarrhythmic drugs or ablation as discussed for the specific arrhythmia. The beta blockers sotalol and amiodarone are the most common pharmacologic options. Amiodarone combined with beta blockers is more effective than sotalol or beta blockers alone. It is important to recognize that although VT/VF episodes may rep resent a deterioration of clinical status in these patients, interventions to control the arrhythmia itself may have adverse effects on outcome. Most antiarrhythmic drugs have the potential to induce bradycardia to the point of requiring pacing from the ICD that, in itself, may have deleterious effects on ventricular function. Catheter ablation is an important option for patients with monomorphic VT. MANAGEMENT OF THE PATIENT WITH ELECTRICAL STORM Patients should be adequately sedated to allay anxiety and provide pain relief. Recurrent VT/VF is treated using standard Advanced Cardiac Life Support guidelines; treatment includes the use of medications such as beta blockers, amiodarone, and lidocaine with correction of any metabolic abnormalities. Recordings from electrocardiogram (ECG) monitoring or an </w:t>
      </w:r>
      <w:r w:rsidRPr="00F23836">
        <w:lastRenderedPageBreak/>
        <w:t xml:space="preserve">implanted ICD are important to assess whether VT Spontaneous recurrence of VT FIGURE 263-1 Example of incessant monomorphic ventricular tachycardia (VT). In the initial portion of this electrocardiogram tracing, monomorphic VT is present. A train of antitachycardia pacing (area bracketed by arrows) that is initiated at the fourth VT complex results in ventricular capture with fusion by the eighth beat and termination of VT at cessation of pacing. The patient has underlying atrial fibrillation. Multifocal premature ventricular contractions are present. VT similar in morphology to the initial VT restarts spontaneously toward the latter part of the trace (arrow). Electrical Storm and Incessant Ventricular Tachycardia 1973 CHAPTER 263 6.0 sec 0.0 sec S S S S S S S S S • 6.0 sec 12.0 sec S S • S • S S S S • 18.0 sec 12.0 sec S S S S S S S S S S S S • 18.0 sec 24.0 sec S S S S S S S S S S S S 24.0 sec 30.0 sec • S S S S S S S S S S S S 120.7 sec 124.3 sec S S S S S 120.7 sec 113.1 sec T TTT T TTT T T T T T TTT T CS S S S 30.0 sec 36.0 sec • S S S S S S S S S S S 42.0 sec 36.0 sec • S S S S T T T TT TTT TT TT T T TT T T TT T T C 48.0 sec 42.0 sec • S S S S T T T T TTTTTT T T T T TT T T TTT TT 55.6 sec 48.0 sec T T TT • • • T T T S S S S S S S C S 61.6 sec 55.6 sec S S S S S S S S S S S S S 113.1 sec 61.6 sec S S S S S S S T TT T T TT T T TTT FIGURE 263-2 Multiple implantable cardioverter-defibrillator (ICD) shocks from a subcutaneous ICD. Shown is a tracing from a patient with a subcutaneous ICD with recurrent episodes of ventricular fibrillation. The first five lines show gradually increasing amounts of ventricular ectopy and then ventricular fibrillation on the sixth line, which is terminated by a shock (thunderbolt) on the ninth line. The sequence repeats itself, and the patient receives a second shock that successfully terminates the arrhythmia. 1974 Electrical storm treatments Speed of Deployment PART 6 Disorders of the Cardiovascular System Rapid Delayed Stabilize rhythm Relieve triggers • Defibrillation • Amiodarone • Lidocaine • Quinidine • Ranolazine • Procainamide • Catheter ablation • Electrolyte management • Volume removal • Coronary revascularization • Overdrive pacing Reduce sympathetic drive • Beta blockers • Sedation and intubation • Anxiolytics • Mechanical support (ECMO/IABP) • Consideration of biopsy/anti inflammatory therapies • Stellate ganglion block (SGB) • Cardiac surgical sympathetic denervation FIGURE 263-3 Global strategy for managing electrical storm. Shown are considerations for stabilization of electrical storm with medication strategies and procedures. ECMO, extracorporeal membrane oxygenation; IABP, intra-aortic balloon pump. is monomorphic or polymorphic. The initiation and termination of tachycardia in the stored ICD electrograms may also suggest possible precipitating or aggravating factors. Sedation or general anesthesia should be considered for suppression of recurrent hemodynamically unstable ventricular arrhythmia. Percutaneous stellate ganglion block and upper thoracic epidural anesthesia may reduce cardiac sympa thetic outflow and have been used to restore stability in some patients. Rarely, mechanical ventricular support with extracorporeal membrane oxygenation, percutaneous left ventricular assist device, or intra-aortic balloon pump may be considered (Fig. 263-3). </w:t>
      </w:r>
      <w:r w:rsidRPr="00F23836">
        <w:rPr>
          <w:rFonts w:ascii="Arial" w:hAnsi="Arial" w:cs="Arial"/>
        </w:rPr>
        <w:t>■</w:t>
      </w:r>
      <w:r w:rsidRPr="00F23836">
        <w:t xml:space="preserve">VT/VF IN THE SETTING OF MYOCARDIAL ISCHEMIA Ischemia should be considered especially if polymorphic VT or </w:t>
      </w:r>
      <w:r w:rsidRPr="00F23836">
        <w:lastRenderedPageBreak/>
        <w:t xml:space="preserve">VF is identified as the primary arrhythmia. If electrical storm is occurring in the setting of an acute coronary syndrome, emergent revascularization and alleviation of anginal symptoms should be attempted. Within the infarcted myocardium, surviving Purkinje cells can exhibit triggered automaticity and lead to recurrent episodes of polymorphic VT/VF requiring frequent car dioversions before and after revascularization. Catheter ablation of premature ventricular contractions (PVCs) that are observed to repeatedly initiate the arrhythmia can be effective (Fig. 263-5). </w:t>
      </w:r>
      <w:r w:rsidRPr="00F23836">
        <w:rPr>
          <w:rFonts w:ascii="Arial" w:hAnsi="Arial" w:cs="Arial"/>
        </w:rPr>
        <w:t>■</w:t>
      </w:r>
      <w:r w:rsidRPr="00F23836">
        <w:t>PVC-INITIATED POLYMORPHIC VT/VF Similar to the post</w:t>
      </w:r>
      <w:r w:rsidRPr="00F23836">
        <w:rPr>
          <w:rFonts w:ascii="Aptos" w:hAnsi="Aptos" w:cs="Aptos"/>
        </w:rPr>
        <w:t>–</w:t>
      </w:r>
      <w:r w:rsidRPr="00F23836">
        <w:t xml:space="preserve">myocardial infarction electrical storm, patients without myocardial infarction or ischemia can have PVC-initiated polymorphic VT/VF storm. This idiopathic form of VF is usually caused by triggering PVCs originating from fascicular tissue or papillary muscles. Often, the ventricular ectopy is from scarred myocardial tissue detected on cardiac magnetic resonance imaging. Catheter ablation is indicated for this condition when antiarrhythmic medication is ineffective. </w:t>
      </w:r>
      <w:r w:rsidRPr="00F23836">
        <w:rPr>
          <w:rFonts w:ascii="Arial" w:hAnsi="Arial" w:cs="Arial"/>
        </w:rPr>
        <w:t>■</w:t>
      </w:r>
      <w:r w:rsidRPr="00F23836">
        <w:t xml:space="preserve">ACQUIRED OR CONGENITAL LONG QT SYNDROME In addition to this global strategy of stabilizing the heart rhythm, reducing sympathetic drive, and relieving any triggering mechanisms for the management of electrical storm, there are some specific thera pies to be considered for patients with unique electrophysiologic sub strate (Fig. 263-4). If QT prolongation causing torsades des pointes (TdP) is possible, intra venous magnesium should be administered for its immediate effect on repolarization. In addition, electrolyte repletion, especially potassium, should be aggressively pursued. Increasing the heart rate can some times normalize the QT interval, and thus, pharmacologic or pacing support should be considered. Isoproterenol can be used to increase a patient’s sinus rate, but there is the possibility of increased ectopy with high doses of isoproterenol possibly exacerbating ventricular Electrical Storm (&gt;3 episodes of VT/VF in 24 h) MMVT Beta blockade Amiodarone Lidocaine Sedation ECMO SGB Catheter ablation PMVT/VF Long QT Normal QT/ ischemic PVC-initiated Electrolyte repletion Magnesium Pacing Isoproterenol Lidocaine SGB Beta blockade Amiodarone Lidocaine IABP Revascularization Beta blockade Amiodarone Lidocaine SGB Sedation Catheter ablation Brugada Quinidine Non-DHP CCB Isoproterenol Catheter ablation Inflammatory Steroid pulse Amiodarone SGB FIGURE 263-4 Management algorithm for electrical storm. Shown is a suggested strategy for managing electrical storm based on the underlying rhythm and substrate. CCB, calcium channel blocker; DHP, dihydropyridine; ECMO, extracorporeal membrane oxygenation; IABP, intra-aortic balloon pump; MMVT, monomorphic ventricular tachycardia; PMVT, polymorphic ventricular tachycardia; PVC, premature ventricular contraction; SGB, stellate ganglion block; VF, ventricular fibrillation; VT, ventricular tachycardia. 1975 N V V N V V V V V V V V V V V V V V V V V V V V V V V V V V N N V V N N V V V N V V V V V V V V V V V V V V V T1mV Scale (0.0/40.0/80.0/120.0) FIGURE 263-5 Premature ventricular contraction (PVC)–triggered ventricular fibrillation (VF) after myocardial infarction electrical storm. Shown is a series of monitoring strips from a patient with VF occurring in a PVC-triggered fashion after myocardial infarction. A single electrocardiogram lead and the </w:t>
      </w:r>
      <w:r w:rsidRPr="00F23836">
        <w:lastRenderedPageBreak/>
        <w:t xml:space="preserve">blood pressure tracings are shown. The triggering PVCs are indicated with red arrows. The VF results in prompt hemodynamic collapse as evidenced by the blood pressure tracing. CHAPTER 264 Heart Failure: Pathophysiology and Diagnosis arrhythmias. Although lidocaine can reduce the QT interval, other antiarrhythmic agents should be avoided because of their effect on repolarization. </w:t>
      </w:r>
      <w:r w:rsidRPr="00F23836">
        <w:rPr>
          <w:rFonts w:ascii="Arial" w:hAnsi="Arial" w:cs="Arial"/>
        </w:rPr>
        <w:t>■</w:t>
      </w:r>
      <w:r w:rsidRPr="00F23836">
        <w:t>BRUGADA SYNDROME If the QT interval is not prolonged and a Brugada pattern of Rsr</w:t>
      </w:r>
      <w:r w:rsidRPr="00F23836">
        <w:rPr>
          <w:rFonts w:ascii="Aptos" w:hAnsi="Aptos" w:cs="Aptos"/>
        </w:rPr>
        <w:t>′</w:t>
      </w:r>
      <w:r w:rsidRPr="00F23836">
        <w:t xml:space="preserve"> with ST elevation in leads V1 or V2 is seen on resting ECG, administration of quinidine and/or isoproterenol may abolish recurrent polymorphic VT/VF episodes. Nondihydropyridine calcium channel blockers and isoproterenol have also been used to reduce arrhythmic events. An epicardial substrate-based catheter ablation over the right ventricular outflow tract has been described as a strategy for drug-refractory ven tricular tachyarrhythmias in Brugada syndrome. </w:t>
      </w:r>
      <w:r w:rsidRPr="00F23836">
        <w:rPr>
          <w:rFonts w:ascii="Arial" w:hAnsi="Arial" w:cs="Arial"/>
        </w:rPr>
        <w:t>■</w:t>
      </w:r>
      <w:r w:rsidRPr="00F23836">
        <w:t xml:space="preserve">INFLAMMATORY CARDIOMYOPATHY If the patient has no known previous cardiac disease, consider ation should be given to an inflammatory myocarditis causing the frequent ventricular arrhythmias. Giant cell myocarditis, cardiac sarcoidosis, and certain viral myocarditis can present with VT/VF storm. An endomyocardial biopsy should be considered to poten tially identify new-onset inflammatory cardiomyopathies that may require urgent anti-inflammatory therapy. Once the acute episode is controlled, strategies to prevent recurrent VT or VF should be considered. </w:t>
      </w:r>
      <w:r w:rsidRPr="00F23836">
        <w:rPr>
          <w:rFonts w:ascii="Arial" w:hAnsi="Arial" w:cs="Arial"/>
        </w:rPr>
        <w:t>■</w:t>
      </w:r>
      <w:r w:rsidRPr="00F23836">
        <w:t>FURTHER READING Callans DJ: Josephson</w:t>
      </w:r>
      <w:r w:rsidRPr="00F23836">
        <w:rPr>
          <w:rFonts w:ascii="Aptos" w:hAnsi="Aptos" w:cs="Aptos"/>
        </w:rPr>
        <w:t>’</w:t>
      </w:r>
      <w:r w:rsidRPr="00F23836">
        <w:t xml:space="preserve">s Clinical Cardiac Electrophysiology: Techniques and Interpretations, 7th ed. Philadelphia, Wolters Kluwer, 2024. Jalife J, Stevenson W (eds): Zipes and Jalife’s Cardiac Electrophysiol ogy: From Cell to Bedside, 8th ed. Philadelphia, Elsevier, 2022. Zeppenfeld K et al: 2022 ESC Guidelines for the management of patients with ventricular arrhythmias and the prevention of sudden cardiac death: Developed by the task force for the management of patients with ventricular arrhythmias and the prevention of sudden cardiac death of the European Society of Cardiology (ESC) Endorsed by the Association for European Paediatric and Congenital Cardiol ogy (AEPC). Eur Heart J 43:3997, 2022. Section 4 Disorders of the Heart, Muscles, Valves, and Pericardium 264 Heart Failure: Pathophysiology and Diagnosis Michael M. Givertz, Mandeep R. Mehra CLINICAL DEFINITIONS, EPIDEMIOLOGY, AND PHENOTYPES </w:t>
      </w:r>
      <w:r w:rsidRPr="00F23836">
        <w:rPr>
          <w:rFonts w:ascii="Arial" w:hAnsi="Arial" w:cs="Arial"/>
        </w:rPr>
        <w:t>■</w:t>
      </w:r>
      <w:r w:rsidRPr="00F23836">
        <w:t xml:space="preserve">DEFINITIONS Heart failure (HF) is a common final pathway for most chronic car diovascular diseases including hypertension, coronary artery disease, and valvular heart disease. The American Heart Association/American College of Cardiology/Heart Failure Society (AHA/ACC/HFSA) guideline defines HF as a complex clinical syndrome with symptoms and signs that result from any structural or functional impairment of ventricular filling or ejection of blood. The European Society of Cardiology’s (ESC) definition emphasizes cardinal symptoms (e.g., breathlessness, ankle swelling, and fatigue) that may be accompanied by signs (e.g., elevated jugular venous pressure, pulmonary crackles, and peripheral edema) due to a structural and/or functional abnormal ity of the heart that results in elevated intracardiac pressures and/or inadequate cardiac output at rest and/or during exercise. An interna tional consensus conference proposed a universal definition of HF that is comprehensive and </w:t>
      </w:r>
      <w:r w:rsidRPr="00F23836">
        <w:lastRenderedPageBreak/>
        <w:t xml:space="preserve">practical enough to encompass formal disease stages, with universal applicability, prognostic and therapeutic validity, and acceptable sensitivity and specificity (Fig. 264-1). Because some patients present without signs or symptoms of vol ume overload, the term heart failure is preferred over the older term 1976 Percent 16 14 12 PART 6 Disorders of the Cardiovascular System Symptoms and/or signs of HF caused by a structural and/or functional cardiac abnormality and corroborated by at least one of the following Elevated natriuretic peptide levels 10 0 2 4 6 8 10.14% 6.96% 4.93% 1. 73% 0.35% 20–39 40–49 60–69 70–79 80+ FIGURE 264-2 Heart failure prevalence by age categories. Prevalence of heart failure among U.S. adults ≥20 years of age by age, from the National Health and Nutrition Examination Survey (NHANES), 2017–2020. (Reproduced with permission from B Bozkurt et al: J Card Fail 29:1412, 2023.) or Objective evidence of cardiogenic pulmonary or systemic congestion FIGURE 264-1 Universal definition of heart failure (HF). This contemporary universal definition of HF is simple but conceptually comprehensive, with near universal applicability, prognostic and therapeutic validity, and acceptable sensitivity and specificity. (Reproduced with permission from B Bozkurt et al: Universal Definition and Classification of Heart Failure. J Card Fail 27:387, 2021.) congestive heart failure. Cardiomyopathy and left ventricular dysfunction are more general terms that describe disorders of myocardial structure and/or function, which may lead to HF. In pathophysiologic terms, HF has been defined as a syndrome characterized by elevated cardiac filling pressure and/or inadequate peripheral oxygen delivery, at rest or during stress, caused by cardiac dysfunction. Chronic heart failure describes patients with longstanding (e.g., months to years) symptoms and/or signs of HF typically treated with medical and device therapy as described in Chap. 265. Such patients are at risk of worsening heart failure, and when the episode resolves, the use of the term remission rather than stable HF is preferred, since these patients continue to retain the risk for further decompensation and sudden death. Acute heart failure, previously termed acute decom pensated HF, refers to the rapid onset or worsening of symptoms of HF. Most episodes of acute HF result from worsening of chronic HF, but ~20% are due to new-onset HF that can occur in the setting of acute coronary syndrome, acute valvular dysfunction, hypertensive urgency, or postcardiotomy syndrome. Similarly, acute pulmonary edema in HF describes a clinical scenario in which a patient presents with rapidly worsening signs and symptoms of pulmonary congestion, typically due to severe elevation of left heart filling pressures. </w:t>
      </w:r>
      <w:r w:rsidRPr="00F23836">
        <w:rPr>
          <w:rFonts w:ascii="Arial" w:hAnsi="Arial" w:cs="Arial"/>
        </w:rPr>
        <w:t>■</w:t>
      </w:r>
      <w:r w:rsidRPr="00F23836">
        <w:t xml:space="preserve">EPIDEMIOLOGY Global Incidence and Prevalence HF is a major cause of mor bidity and mortality worldwide. An estimated 6.7 million American adults are being treated for HF, with &gt;600,000 new cases diagnosed each year. Globally, it is estimated that 56.2 million people are living with HF with prevalence varying greatly by country. The prevalence of HF increases significantly with age, occurring in 1–2% of the population aged 40–49 years and 10% or more in adults &gt;80 years old (Fig. 264-2). The lifetime risk of HF has increased to 24%; approxi mately one in four persons will develop HF in their lifetime. Projec tions based on National Health and Nutrition Examination </w:t>
      </w:r>
      <w:r w:rsidRPr="00F23836">
        <w:lastRenderedPageBreak/>
        <w:t xml:space="preserve">Survey and U.S. Census Bureau data show that the prevalence of HF is expected to rise to 8.5 million Americans by 2030. According to the Nationwide Readmission Database, rates of HF hospitalizations in the United States declined from 2010 to 2014, followed by an increase from 2014 to 2017. HF readmissions after index hospitalization followed a similar trend. While prevalence of HF continues to rise, incidence may be decreasing due to improved recognition and treatment of cardiovascular disease and its comorbidities as well as disease prevention. However, as rates of obesity rise globally, these favorable trends in HF incidence may reverse. There are distinct racial and ethnic differences in HF epidemiol ogy (Fig. 264-3). In community-based studies, black individuals have the highest risk of developing HF, followed by Hispanic, white, and Chinese Americans. These differences are attributed to disparities in cardiometabolic risk factors (e.g., obesity, hypertension, diabetes) as well as social determinants of health including socioeconomic status and access to health care. Similarly, studies have shown that age-adjusted rates of HF hospitalization are highest for black men, fol lowed by black women, white men, and white women. Accurate data on HF prevalence from emerging nations are lacking. As developing nations undergo socioeconomic development, the epidemiology of HF is becoming like that of Western Europe and North America, with coronary artery disease emerging as the most common cause of HF, although hypertension remains the highest population attributable risk for HF occurrence. Morbidity and Mortality In primary care, the overall 5-year sur vival following the diagnosis of HF is ~50%. For patients with severe HF, the 1-year mortality may be as high as 40%. In the United States, one in eight deaths list HF on the death certificate. The majority of these patients die of cardiovascular causes, most commonly progres sive HF or sudden cardiac death. A number of clinical and laboratory parameters are independent predictors of mortality (Table 264-1). In a population-based study, hospitalizations were common after an HF diagnosis, with 83% hospitalized at least once, and 67%, 54%, and 43% hospitalized at least two, three, and four times, respectively. Following an HF admission, mortality rates range from 8–14% at 30 days to 26–37% at 1 year to up to 75% at 5 years. Readmission with HF is also common, ranging from 20–25% at 60 days to nearly Incidence of HF in 1,000 Person (Years) 5.0 4.5 4.0 3.5 3.0 2.5 2.0 1. 5 1. 0 0.5 0.0 4.6 Median follow-up: 4.0 years (log-rank test: P=0.01) 3.5 2.4 1. 0 Black Hispanic White Race/Ethnicity Chinese FIGURE 264-3 Incidence of heart failure (HF). HF incidence rates by race/ethnicity in the United States. (Reproduced with permission from IL Pina et al: J Am Coll Cardiol 78:2589, 2021.) Heart Failure: Pathophysiology and Diagnosis 1977 CHAPTER 264 50% at 6 months. With each subsequent admission, the risk of death rises. There are racial disparities in outcomes, with black patients having higher case–fatality rates compared to white patients. Men have higher age-adjusted mortality rates for death related to HF than women; and in the United States, mortality rate from HF varies by region (highest in Midwest) and population density (highest in rural areas). Despite these statistics, the overall prognosis for patients with HF is improving due to treatment of risk factors and </w:t>
      </w:r>
      <w:r w:rsidRPr="00F23836">
        <w:lastRenderedPageBreak/>
        <w:t xml:space="preserve">increased use of guideline-directed therapies. Costs The overall cost of HF care is high (estimated $22.3 billion in the United States in 2018) and rising. Projections for 2030 are that hospitalization costs for HF in the United States will increase to $70 billion. Indirect costs due to lost work and productivity may equal or exceed this amount. The global economic burden of HF in 2012 was estimated at $108 billion, with direct costs accounting for 60%. For pediatric patients with acute HF, inpatient costs are estimated at $1 billion annually and rising. </w:t>
      </w:r>
      <w:r w:rsidRPr="00F23836">
        <w:rPr>
          <w:rFonts w:ascii="Arial" w:hAnsi="Arial" w:cs="Arial"/>
        </w:rPr>
        <w:t>■</w:t>
      </w:r>
      <w:r w:rsidRPr="00F23836">
        <w:t xml:space="preserve">PHENOTYPES AND CAUSES HF with Reduced Versus Preserved Ejection Fraction Epi demiologic studies have shown that approximately one-half of patients who develop HF have reduced left ventricular ejection fraction (EF; </w:t>
      </w:r>
      <w:r w:rsidRPr="00F23836">
        <w:rPr>
          <w:rFonts w:ascii="Aptos" w:hAnsi="Aptos" w:cs="Aptos"/>
        </w:rPr>
        <w:t>≤</w:t>
      </w:r>
      <w:r w:rsidRPr="00F23836">
        <w:t>40%), while the other half have near normal or preserved EF (</w:t>
      </w:r>
      <w:r w:rsidRPr="00F23836">
        <w:rPr>
          <w:rFonts w:ascii="Aptos" w:hAnsi="Aptos" w:cs="Aptos"/>
        </w:rPr>
        <w:t>≥</w:t>
      </w:r>
      <w:r w:rsidRPr="00F23836">
        <w:t xml:space="preserve">50%) or are classified as having HF with mildly reduced EF (41–49%). Because most patients with HF (regardless of EF) have abnormalities in both systolic and diastolic function, the older terms of systolic heart failure and diastolic heart failure have been abandoned. Classifying patients based on their EF (HF with reduced EF [HFrEF], HF with mildly reduced EH [HFmrEF], or HF with preserved EF [HFpEF]) is important due to differences in demographics, comorbidities, and response to therapies (Chap. 265). Underlying causes of HF may be associated with reduced or preserved EF and include disorders of the coronary arteries, myocardium, pericardium, heart valves, and great vessels (Table 264-2). The diagnosis of HFpEF is often more challeng ing due to the need to rule out noncardiac causes of shortness of breath and/or fluid retention. HF with Recovered EF A subgroup of patients who are diag nosed with HFrEF and treated with guideline-directed therapy have rapid or gradual improvement in EF to the normal range and are referred to as having HF with recovered EF (HFrecEF). Predictors of HFrecEF include younger age, shorter duration of HF, nonischemic eti ology, smaller ventricular volumes, and absence of myocardial fibrosis. Specific clinical examples include fulminant myocarditis, stress car diomyopathy, peripartum cardiomyopathy, and tachycardia-induced cardiomyopathy, as well as reversible toxin exposures such as chemo therapy, immunotherapy, or alcohol. Despite recovery of EF, patients may remain symptomatic due to persistent abnormalities in dia stolic function, exercise-induced pulmonary hypertension, or related comorbidities (e.g., obesity). For patients who become asymptomatic, withdrawal of disease-modifying therapy can lead to recurrence of HF symptoms and decrease in EF in up to half of such patients within 6 months. In general, prognosis of patients with HFrecEF is superior to that of patients with either HFrEF or HFpEF. TABLE 264-1 Independent Predictors of Adverse Outcomes in Heart Failure Clinical Male sex Older age Diabetes mellitus Chronic kidney disease Coronary artery disease Advanced NYHA classa Presence of third heart sound or elevated JVP Decreased exercise capacity Cardiac cachexia Depression Structural Reduced left ventricular ejection fraction Reduced right ventricular ejection fraction Increased ventricular volumes and mass Secondary mitral or tricuspid regurgitation Hemodynamic Elevated pulmonary capillary wedge pressure Reduced cardiac index Reduced peak oxygen consumption Pulmonary hypertension Diastolic dysfunction </w:t>
      </w:r>
      <w:r w:rsidRPr="00F23836">
        <w:lastRenderedPageBreak/>
        <w:t xml:space="preserve">Biochemical Worsening renal function Hyponatremia Hyperuricemia Elevated cardiac biomarkers (troponin and natriuretic peptides) Elevated plasma neurohormones (norepinephrine, renin, aldosterone, and endothelin-1) Electrophysiologic Tachycardia Widened QRS interval or LBBB Atrial fibrillation Ventricular ectopic activity Ventricular tachycardia and sudden death aSee Table 264-4. Abbreviations: JVP, jugular venous pressure; LBBB, left bundle branch block; NYHA, New York Heart Association. TABLE 264-2 Selected Causes of Heart Failure Heart Failure with Reduced Ejection Fraction Coronary artery disease Myocardial infarction Myocardial ischemia Nonischemic cardiomyopathy Infiltrative disorders Familial disorders Tachycardia induced Valvular heart disease Aortic stenosis or regurgitation Mitral or tricuspid regurgitation Toxic cardiomyopathy Chemotherapy, immunotherapy Drugs such as hydroxychloroquine Alcohol, cocaine Congenital heart disease Intracardiac shunts Repaired defects Systemic right ventricular failure Chronic lung/pulmonary vascular disease Cor pulmonale Pulmonary arterial hypertension Infectious Chagas HIV Autoimmune disease Giant cell myocarditis Lupus myocarditis Heart Failure with Preserved Ejection Fraction Hypertension Coronary artery disease Valvular heart disease Aortic stenosis Mitral stenosis Restrictive cardiomyopathy Amyloidosis Sarcoidosis Hemochromatosis Glycogen storage disease Hypertrophic cardiomyopathy Radiation therapy Constrictive pericarditis Aging Myocarditis Endomyocardial fibroelastosis Obesity End-stage renal disease High-Output Heart Failure Thyrotoxicosis Arteriovenous shunt Obesity Cirrhosis Anemia Vitamin B deficiency (beriberi) Chronic lung disease Myeloproliferative disorder Abbreviation: HIV, human immunodeficiency virus. 1978 Men Women Valvular disease PART 6 Disorders of the Cardiovascular System LVH Diabetes Angina pectoris 4% 6% 5% Myocardial infarction Valvular disease Hypertension 7% 34% 39% LVH Diabetes 5% 8% 12% Angina pectoris 5% Hypertension 59% 13% Myocardial infarction FIGURE 264-4 Population attributable risk of heart failure (HF) incidence. Based on longitudinal data from the Framingham Heart Study, the risk factors contributing most significantly to the population attributable risk (PAR) of HF in men were previous myocardial infarction and hypertension (in men, both represented equal contributions to HF PAR). In contrast, hypertension was the risk factor accounting for the majority of total PAR in women. In women, previous myocardial infarction accounted for only 13% of the PAR of HF compared with 34% in men. PAR values are developed based on individual calculations for each variable using hazard ratio and prevalence statistics. Thus, they may not, in aggregate, equal 100%. LVH, left ventricular hypertrophy. (Reproduced with permission from Givertz MM and Colucci WS. Heart failure. In: Libby P, editor. Essential Atlas of Cardiovascular Disease. Philadelphia: Current Medicine; 2009.) HF with Mildly Reduced EF (HFmrEF) Patients with HF and an EF between 40 and 50% represent an intermediate group that are often treated for risk factors and comorbidities and with guideline directed medical therapy similar to patients with HFrEF. They are felt to have primarily mild systolic dysfunction, but with features of dia stolic dysfunction. They may also include either patients with reduced EF who experience partial improvement in their EF </w:t>
      </w:r>
      <w:r w:rsidRPr="00F23836">
        <w:lastRenderedPageBreak/>
        <w:t xml:space="preserve">or those with ini tially preserved EF who suffer a decline in their systolic performance. The AHA/ACC/HFSA guideline requires evidence of spontaneous or provokable increased left ventricular filling pressures in their classifica tion of HFmrEF. Acquired Versus Familial, Congenital, and Other Disorders In developed countries, coronary artery disease is responsible for approximately two-thirds of the cases of HF, with hypertension as a principal contributor in up to 75% and diabetes mel litus in 10–40% (Fig. 264-4). Notably, population attributable risk for hypertension, obesity, diabetes mellitus, and coronary artery disease varies according to sex, race, and ethnicity (Fig. 264-5). While most cardiovascular disease underlying HF is acquired in mid and later life (Chaps. 272, 284, and 288), a wide range of congenital and inherited disorders leading to HF may be diagnosed in children and younger adults. It is currently estimated that 13.3 million people globally and approximately 467,000 U.S. adults are living with congenital heart disease (CHD). In general, adults with CHD who develop HF can be divided into one of three pathophysiologic groups: uncorrected defects with late presentation due to missed diagnosis, nonintervention, or lack of access to care; repaired or palliated defects with late valvular and/or ventricular failure; or failing single-ventricle physiology. In addition, each adult with CHD often presents with unique anatomic and physiologic challenges that affect HF and its treatment. Inherited cardiomyopathies are also increasingly recognized in adults presenting with HF. These include more common disorders, such as hypertrophic and arrhythmogenic cardiomyopathies, and lesser known heart muscle disease related to pathogenic variants in genes encoding lamin and titin, muscular dystrophies, and mitochondrial disease. Most forms of familial cardiomyopathy are inherited in an autosomal domi nant fashion. Society guidelines have been published documenting the importance of taking a detailed three-generational family history and indications for (and limitations of) clinical genetic testing. A myriad of systemic diseases with cardiac and extracardiac manifestations (e.g., amyloidosis, sarcoidosis), autoimmune disorders (e.g., systemic lupus erythematosus, rheumatoid arthritis), infectious diseases (e.g., Chagas, HIV), and drug toxicities (chemotherapy, other prescribed or illicit agents) can result in HF with either reduced or preserved EF. In Africa and Asia, rheumatic heart disease remains a major cause of HF, especially in the young. Finally, disorders associated with a high cardiac output state (e.g., anemia, thyrotoxicosis) are sel dom associated with HF in the absence of underlying structural heart disease. However, diagnosis and treatment of high-output HF will be missed if not considered in the differential diagnosis of patients with predisposing conditions (e.g., severe obesity, severe anemia, cirrhosis, end-stage renal disease with arteriovenous fistula, Paget’s disease, or nutritional deficiency such as beriberi). PATHOPHYSIOLOGY </w:t>
      </w:r>
      <w:r w:rsidRPr="00F23836">
        <w:rPr>
          <w:rFonts w:ascii="Arial" w:hAnsi="Arial" w:cs="Arial"/>
        </w:rPr>
        <w:t>■</w:t>
      </w:r>
      <w:r w:rsidRPr="00F23836">
        <w:t xml:space="preserve">PROGRESSIVE DISEASE HFrEF is a progressive disease that typically involves an index event followed by months to years of structural and functional cardiovas cular remodeling (Fig. 264-6). The primary event may be sudden in onset, such as an acute myocardial infarction; more gradual, as occurs in the setting of chronic pressure or volume overload (with valvular heart disease); inherited, </w:t>
      </w:r>
      <w:r w:rsidRPr="00F23836">
        <w:lastRenderedPageBreak/>
        <w:t xml:space="preserve">as seen with genetic cardiomyopathies; or congenital disease in origin. Despite an initial reduction in cardiac performance, patients may be asymptomatic or mildly symptom atic for prolonged periods due to the activation of compensatory mechanisms (described below) that ultimately contribute to disease progression. Ventricular Remodeling As demonstrated in both animal and human studies, different patterns of ventricular remodeling occur in response to excess cardiac workload. Concentric hypertrophy, in which increased mass is out of proportion to chamber volume, effec tively reduces wall stress under conditions of pressure overload (e.g., hypertension, aortic stenosis). By contrast, an increase in cavity size or volume (eccentric hypertrophy) occurs in volume overload condi tions (e.g., aortic regurgitation, mitral regurgitation). In both forms of remodeling, an increase in ventricular mass is accompanied by changes at the cellular level with myocyte hypertrophy and interstitial fibrosis, at the protein level with alterations in calcium-handling and cytoskel etal protein abundance and/or function, and at the molecular level by reexpression of fetal genes (Table 264-3). In addition to cell loss from necrosis, myocytes that are unable to adapt to remodeling stimuli may be triggered to undergo apoptosis or programmed cell death. Further impairment in pump function and increased wall stress in the face of systemic vasoconstriction and loss of neurohormonal adaptation (discussed below) can lead to afterload mismatch. These events feed back on remodeling stimuli, setting up a cycle of deleterious processes resulting in clinical HF. While our understanding of ventricular remodeling in HFrEF is well supported by animal and human studies, the mechanisms underlying HFpEF are less clear. The original descriptions of HFpEF focused on diastolic dysfunction as the primary mediator of HF Population Attributable Risk (%) 60.0 1979 53.6 50.0 40.0 40.9 39.0 40.4 38.4 34.0 30.0 20.0 10.0 0.0 A 25.8 14.8 10.1 10.1 Overall 25.0 22.3 12.1 9.6 Caucasian 12.3 African American 13.1 8.2 Hispanic CHD Diabetes Hypertension Obesity * - sum of PAR % within race/ethnicity may be greater than 100% as incidence rates are not adjusted for other risk factors 60.0 50.0 Population Attributable Risk (%) B 40.0 30.0 20.0 10.0 0.0 52.2 45.7 42.7 40.7 19.0 12.0 13.6 Overall 13.5 10.8 9.2 7.1 Caucasian 6.6 African American 41.1 16.5 4.5 Hispanic 25.9 CHD Diabetes Hypertension Obesity * - sum of PAR % within race/ethnicity may be greater than 100% as incidence rates are not adjusted for other risk factors FIGURE 264-5 Population attributable risk (PAR) for heart failure (HF) by race and ethnicity. PAR* by race and ethnicity for (A) HF with preserved ejection fraction (HFpEF) and (B) HF with reduced ejection fraction (HFrEF). *Sum of PAR% within race/ethnicity may be &gt;100% as incidence rates are not adjusted for other risk factors. CHD, coronary heart disease. (Reproduced with permission from CB Eaton, M Pettinger, J Rossouw, LW Martin et al: Risk factors for incident hospitalized heart failure with preserved versus reduced ejection fraction in a multiracial cohort of postmenopausal women. Circ Heart Fail 9(10): e002883, 2016.) signs and symptoms as exemplified in older women with hyperten sion. At the myocyte level, impaired uptake of cytosolic calcium into the sarcoplasmic reticulum by reductions in adenosine triphosphate explained </w:t>
      </w:r>
      <w:r w:rsidRPr="00F23836">
        <w:lastRenderedPageBreak/>
        <w:t xml:space="preserve">abnormalities in myocardial relaxation. As different phe notypes of HFpEF have emerged, many pathophysiologic processes that work in concert with each other, beyond diastolic dysfunction, have been implicated in disease progression, including vascular stiff ness, renal dysfunction, sodium avidity, and inflammation related to regional adiposity. Furthermore, biologic alterations including oxidative stress, impaired nitric oxide signaling leading to nitrosative stress, and insulin resistance may play a role in disease activity and inform future therapies. Autophagy is a natural process that removes unwanted cellular components by forming autophagosomes that fuse with lysosomes. While autophagy is deemed cytoprotective and adaptive, unchecked induction of autophagy may be maladaptive and a target by which disease-modifying therapy may exert beneficial effects. </w:t>
      </w:r>
      <w:r w:rsidRPr="00F23836">
        <w:rPr>
          <w:rFonts w:ascii="Arial" w:hAnsi="Arial" w:cs="Arial"/>
        </w:rPr>
        <w:t>■</w:t>
      </w:r>
      <w:r w:rsidRPr="00F23836">
        <w:t xml:space="preserve">MECHANISMS OF DISEASE PROGRESSION Several compensatory mechanisms become activated during the development of HF and contribute to disease progression. Our under standing of these mechanisms derives from preclinical studies, in vivo human studies, and randomized clinical trials demonstrating benefit of therapies targeted to attenuating or reversing these biologic processes. Neurohormonal Activation Activation of the sympathetic ner vous system (SNS) and renin-angiotensin-aldosterone system (RAAS) plays a critical role in the development and progression of HF. Initially, neurohormonal activation leads to increases in heart rate, blood pres sure, and cardiac contractility and retention of sodium and water to augment preload and maintain cardiac output at rest and during exercise. Over time, these unchecked compensatory responses lead to excessive vasoconstriction and volume retention, electrolyte and renal abnormalities, baroreceptor dysfunction, direct myocardial toxicity, and cardiac arrhythmias. At the tissue level, neurohormonal activation CHAPTER 264 Heart Failure: Pathophysiology and Diagnosis 1980 Increased wall stress PART 6 Disorders of the Cardiovascular System Remodeling stimuli Wall stress Cytokines Neurohormonal Oxidative stress Myocyte hypertrophy Altered interstitial matrix Fetal gene expression Altered calcium-handling proteins Myocyte death Ventricular enlargement Systolic or diastolic dysfunction FIGURE 264-6 Remodeling stimuli in heart failure. Chronic hemodynamic stimuli such as pressure and volume overload lead to ventricular remodeling through increases in myocardial wall stress, inflammatory cytokines, signaling peptides, neuroendocrine signals, and oxidative stress. The myocardium responds with adaptive as well as maladaptive changes. Reexpression of fetal contractile proteins and calcium handling proteins may contribute to impaired contraction and relaxation. Myocytes unable to adapt might be triggered to undergo programmed cell death (apoptosis). The net result of these changes is further impairment in pump function and increased wall stress, thus completing a vicious cycle that leads to further progression of myocardial dysfunction. (Reproduced with permission from Givertz MM and Colucci WS. Heart failure. In: Libby P, editor. Essential Atlas of Cardiovascular Disease. Philadelphia: Current Medicine; 2009.) contributes to remodeling of the heart, blood vessels (atherosclero sis), kidneys, and other organs (Fig. 264-7) and the development of </w:t>
      </w:r>
      <w:r w:rsidRPr="00F23836">
        <w:lastRenderedPageBreak/>
        <w:t xml:space="preserve">symptomatic HF. Landmark clinical trials in HF have demonstrated that antagonism of the RAAS and SNS with renin-angiotensin system inhibitors, mineralocorticoid receptor antagonists, and beta blockers attenuates or reverses ventricular and vascular remodeling and reduces morbidity and mortality (Chap. 265). Vasodilatory Hormones While RAAS and SNS activation con tributes to disease progression in HF, a number of counterregulatory hormones are upregulated and exert beneficial effects on the heart, kidney, and vasculature. These include the natriuretic peptides (atrial TABLE 264-3 Mechanisms of Ventricular Remodeling Changes in Myocyte Biology Abnormal excitation-contraction coupling and crossbridge interaction Fetal gene expression (e.g., β-myosin heavy chain) β-Adrenergic receptor desensitization Myocyte hypertrophy Impaired cytoskeletal proteins Changes in Myocardial Composition Myocyte necrosis, apoptosis, and autophagy Interstitial and perivascular fibrosis Matrix degradation Changes in Ventricular Geometry Ventricular dilation and wall thinning Increased sphericity and displacement of papillary muscles Atrioventricular valve regurgitation natriuretic peptide [ANP] and B-type natriuretic peptide [BNP]), prostaglandins (prostaglandin E1 [PGE1 ] and prostacyclin [PGI2 ]), bra dykinin, adrenomedullin, and nitric oxide. ANP and BNP are stored and released primarily from the atria and ventricles, respectively, in response to increased stretch or pressure. Beneficial actions are medi ated through stimulation of guanylate cyclase and include systemic and pulmonary vasodilation, increased sodium and water excretion, inhibition of renin and aldosterone, and baroreceptor modulation. Bradykinin and natriuretic peptides are inactivated by neprilysin, a membrane-bound peptidase, which explains in part the beneficial clinical impact of angiotensin receptor–neprilysin inhibition in HF (Chap. 265). As described below, natriuretic peptide levels can be used to assist in the diagnosis and risk stratification of patients with HF. Endothelin, Inflammatory Cytokines, and Oxidative Stress Endothelin is a potent vasoconstrictor peptide with growth promoting effects that may play an important role in pulmonary hypertension and right ventricular failure. Endothelin is released from a variety of vascular and inflammatory cells within the pulmonary circulation and myocardium in response to increased pressure and has direct deleterious effects on the heart, leading to myocyte hypertrophy and interstitial fibrosis. Unlike RAAS and SNS inhibition, however, endothelin blockade has not been shown to slow the progression of clinical HF due to left ventricular failure but is beneficial for treat ment of pulmonary arterial hypertension and consequent right HF (Chap. 294). Other factors that have the potential to cause or contrib ute to ventricular remodeling in HF include inflammatory cytokines such as tumor necrosis factor (TNF) α and interleukin (IL) 1β and reactive oxygen species such as superoxide and peroxynitrite. Potential sources of these biologically active substances are the liver and gastro intestinal tract, as described below. The role of anti-inflammatory and antioxidant therapies remains unproven. Novel Biologic Targets Sodium-glucose cotransporter 2 (SGLT-2) is a protein located on the proximal tubule of the kidney that is respon sible for reabsorption of up to 90% of filtered glucose. In </w:t>
      </w:r>
      <w:r w:rsidRPr="00F23836">
        <w:lastRenderedPageBreak/>
        <w:t xml:space="preserve">patients with HF, activity of SGLT-2 contributes to sodium and water reten tion, endothelial dysfunction, abnormal myocardial metabolism, and impaired calcium handling. Inhibitors of SGLT-2 were developed for the treatment of type 2 diabetes mellitus to take advantage of their glycosuric and metabolic effects (Chap. 416). Subsequent large clini cal trials in cardiovascular disease including HF (with or without dia betes mellitus) have demonstrated not only safety of these agents (as required by the U.S. Food and Drug Administration) but also, more importantly, beneficial effects on morbidity and mortality. Whether benefits of SGLT-2 inhibitors in HF are due primarily to diuretic effects or to effects on cardiac and vascular remodeling, proarrhyth mia, renal function, and/or metabolic function, inflammation or dys regulated autophagy remains to be conclusively determined. Another pathway that is downregulated in HF and contributes to endothelial dysfunction involves cyclic guanosine monophosphate (cGMP). Oral soluble guanylate cyclase stimulators enhance the cGMP pathway and exert beneficial myocardial and vascular effects in experimental and clinical HF. Dyssynchrony and Electrical Instability In up to one-third of patients with HF, disease progression is associated with prolongation of the QRS interval. Electrical dyssynchrony in the form of left bundle branch block (LBBB) or intraventricular conduction delay results in abnormal ventricular contraction. As discussed in Chap. 265, cor rection of electrical dyssynchrony with left or biventricular pacing can improve contractile function, decrease mitral regurgitation, and reverse ventricular remodeling. In patients with symptomatic HFrEF and LBBB on guideline-directed medical therapy, cardiac resynchroni zation therapy or LBBB (or His bundle) pacing is suggested to reduce morbidity and mortality. Other forms of electrical instability, including atrial fibrillation with inadequate rate control and frequent prema ture ventricular complexes, can also contribute to worsening HF. In addition to the direct impact of tachycardia and irregular rhythm on disease progression, the link between these arrhythmias and cardiac 1981 Baroreceptor dysfunction CHAPTER 264 Heart Failure: Pathophysiology and Diagnosis ↓ Afferent inhibitory signals Vasomotor center ↑ Vasopressin secretion ↑ Angiotensin II ↑ Renin secretion ↓ Renal blood flow ↑ Aldosterone secretion ↑ Sodium reabsorption ↑ Water reabsorption ↑ Sympathetic nervous system activity ↓ Limb blood flow ↓ Limb blood flow FIGURE 264-7 Activation of neurohormonal systems in heart failure. Decreased cardiac output in heart failure (HF) results in an “unloading” of high-pressure baroreceptors (circles) in the left ventricle, carotid sinus, and aortic arch, which in turn causes reduced parasympathetic tone. This decrease in afferent inhibition results in a generalized increase in efferent sympathetic tone and nonosmotic release of arginine vasopressin from the pituitary. Vasopressin is a powerful vasoconstrictor that also leads to reabsorption of free water by the kidney. Afferent signals to the central nervous system also activate sympathetic innervation of the heart, kidney, peripheral vasculature, and skeletal muscles. Sympathetic stimulation of the kidney leads to the release of renin, with a resultant increase in circulating levels of angiotensin II and aldosterone. The activation of the renin-angiotensin-aldosterone system promotes salt </w:t>
      </w:r>
      <w:r w:rsidRPr="00F23836">
        <w:lastRenderedPageBreak/>
        <w:t xml:space="preserve">and water retention, peripheral vasoconstriction, myocyte hypertrophy, cell death, and myocardial fibrosis. Although these neurohormonal mechanisms facilitate short-term adaptation by maintaining blood pressure and organ perfusion, they also result in end-organ changes in the heart and circulation. (Modified from A Nohria et al: Atlas of Heart Failure: Cardiac Function and Dysfunction, 4th ed, WS Colucci [ed]. Philadelphia, Current Medicine Group, 2002, p. 104, and J Hartupee, DL Mann: Nat Rev Cardiol 14:30, 2017.) impairment in forward flow (cardiac output) leading to a decrease in renal arterial perfusion, worsening renal function, and neurohormonal activation with release of arginine vasopressin, resulting in water and sodium retention. However, evidence has emerged that renal dysfunc tion may not be adequately explained simply by arterial underfilling and a decline in cardiac output. Systemic venous congestion in HF with increased backward pressure may be operative in determining the development of the cardiorenal syndrome, and relief of venous conges tion is associated with significant improvement in renal function in HF. Increased intraabdominal pressure, as noted in right-sided HF, and a rise in abdominal congestion are correlated with renal dysfunc tion in worsening HF. The interaction is not only confined to the renal component of the abdominal compartment but also involves the liver and spleen. The splanchnic veins serve as a blood reservoir and actively function in regulation of cardiac preload during changes in volume status, regulated by transmural pressure changes or mechanisms of systemic sympathetic activation. The liver and spleen participate in determining volume regulation in HF in addition to several additional interactive pathways. Splanchnic congestion results in portal vein dis tension and activation of the hepatorenal reflex as well as the spleno renal reflex, which induces renal vasoconstriction. Thus, decongestion in HF by diuretic therapy or mechanical means such as ultrafiltration reduces volume, but also facilitates a decrease in pressure within the abdominal compartment, and this combination of therapeutic effect may serve to improve or stabilize renal function in HF. remodeling (atrial and ventricular) involves increased wall stress, neu rohormonal activation, and inflammation. Secondary Mitral Regurgitation A large number of patients with HFrEF demonstrate evidence of mitral regurgitation. This occurs due to a distortion in the mitral valve apparatus and includes the effects of various pathophysiologic mechanisms including reduced contractile force, which leads to decreased coaptation of the leaflets, a spheri cal shape of the ventricle that influences length and function of the chordal-papillary muscle structure, increased dimension of the mitral annulus (and inability of the annulus to contract during systole) with reduced leaflet alignment, and dilation of the posterior wall of the left atrium, which distorts the posterior leaflet of the valve. This worsening in regurgitant volume contributes to progression in HF and adversely influences prognosis. Ensuring that this vicious cycle is interrupted is now a therapeutic target in HF. Some success has been noted by treating the mitral valve using transcatheter techniques when patients are carefully selected after exposure to optimal medical therapy when residual and significant secondary mitral regurgitation persists. Simi larly, progressive tricuspid </w:t>
      </w:r>
      <w:r w:rsidRPr="00F23836">
        <w:lastRenderedPageBreak/>
        <w:t xml:space="preserve">regurgitation can result from and promote adverse right ventricular remodeling. Current interventional studies are underway to assess the impact of transcatheter tricuspid valve repair or replacement in patients with advanced HF. </w:t>
      </w:r>
      <w:r w:rsidRPr="00F23836">
        <w:rPr>
          <w:rFonts w:ascii="Arial" w:hAnsi="Arial" w:cs="Arial"/>
        </w:rPr>
        <w:t>■</w:t>
      </w:r>
      <w:r w:rsidRPr="00F23836">
        <w:t xml:space="preserve">CARDIORENAL AND ABDOMINAL INTERACTIONS </w:t>
      </w:r>
      <w:r w:rsidRPr="00F23836">
        <w:rPr>
          <w:rFonts w:ascii="Arial" w:hAnsi="Arial" w:cs="Arial"/>
        </w:rPr>
        <w:t>■</w:t>
      </w:r>
      <w:r w:rsidRPr="00F23836">
        <w:t xml:space="preserve">GUT CONGESTION, THE MICROBIOME, AND INFLAMMATION As noted above, circulating levels of proinflammatory cytokines are elevated in a number of cardiovascular disease states, including HF, and have been associated with disease progression. While the primary source of inflammation is unknown, emerging evidence suggests that an alteration in gut microbial composition and loss of microbial diver sity may play an important role. The potential role of gut congestion An important concept underlying the pathophysiology of HF recog nizes the systemic nature of disease. Thus, while the primary hemo dynamic problem in HF is related to abnormalities in myocardial function (preload, afterload, and contractility), many of the present ing signs and symptoms are related to end-organ failure, including dysfunction of the kidneys, liver, and lungs. The heart and kidney interaction increases circulating volume, worsens symptoms of HF, and results in disease progression, referred to as the cardiorenal syndrome. Traditionally, this relationship was deemed to be a consequence of an 1982 TABLE 264-4 New York Heart Association Functional Classification FUNCTIONAL CLASS PART 6 Disorders of the Cardiovascular System Class 1 Class II Class III and also altered gut microbial composition may propagate the chronic state of inflammation and immune system dysregulation, eventu ally leading to progression of HFrEF. Lipopolysaccharide (LPS) is a gram-negative bacterial cell wall product whose levels are increased in patients with HF in the setting of increased intestinal permeability during periods of congestion, which is reduced with diuretic treatment. LPS is a strong stimulator of the immune system and can lead to dys regulated systemic inflammation via macrophage activation. Resulting increases in cytokines such as TNF-α, IL-1, and IL-6 in these pathways can cause progressive loss of cardiac function and also contribute to cardiac cachexia. A mechanistic link has been shown between gut microbe–dependent generation of trimethylamine N-oxide derived from specific dietary nutrients such as choline and carnitine and poor outcomes in patients with both acute and chronic HF. Microbe generated uremic toxins, such as indoxyl sulfate, may play an impor tant role in the development of HF, particularly in interaction with renal insufficiency. Thus, bowel ischemia and/or congestion depending on HF severity may be associated with morphologic and functional alterations in the intestines and result in bacterial endotoxemia and a proinflammatory state. </w:t>
      </w:r>
      <w:r w:rsidRPr="00F23836">
        <w:rPr>
          <w:rFonts w:ascii="Arial" w:hAnsi="Arial" w:cs="Arial"/>
        </w:rPr>
        <w:t>■</w:t>
      </w:r>
      <w:r w:rsidRPr="00F23836">
        <w:t xml:space="preserve">HIGH-OUTPUT STATES Although most patients with HF, with either reduced or preserved EF, have low or normal cardiac output (CO) accompanied by elevated sys temic vascular resistance (SVR), a minority of patients with HF pres ent with a high-output state with low SVR (Table 264-2). High-output states by themselves are seldom responsible for HF, but their develop ment in the presence of underlying cardiovascular disease can precipi tate HF. For example, chronic anemia is associated with high CO when hemoglobin reduces significantly, for example, to a level that is ≤8 g/dL. An increase in vasodilatory </w:t>
      </w:r>
      <w:r w:rsidRPr="00F23836">
        <w:lastRenderedPageBreak/>
        <w:t xml:space="preserve">metabolites and arteriolar vasodilation in response to decreased oxygen-carrying capacity of the blood in addi tion to a decrease in blood viscosity contributes to low SVR. Even when severe, anemia rarely causes high-output HF in the absence of a specific cardiac abnormality such as ischemic or valvular heart disease. Patients with end-stage renal disease (Chap. 323) are at particular risk of developing high-output HF when chronic anemia is exacerbated by increased flow through an arteriovenous fistula. In a recent analysis of the National Readmission Database, the most common causes of high output HF included pulmonary disease (19.8%), severe obesity (9.9%), sepsis (9.6%), cirrhosis (8.9%), myelodysplastic syndrome (7.9%), hyperthyroidism (5.5%), and sickle cell disease (3.3%). Class IV LIMITATION CLINICAL ASSESSMENT None Mild Moderate Severe Ordinary physical activity does not cause undue fatigue, dyspnea, palpitations, or angina. Comfortable at rest. Ordinary physical activity (e.g., carrying heavy packages) may result in fatigue, dyspnea, palpitations, or angina. Comfortable at rest. Less than ordinary physical activity (e.g., getting dressed) leads to symptoms. Symptoms of heart failure or angina are present at rest and worsen with any activity. to decreased lung compliance, and, in patients with ascites or hepato megaly, an elevation of the diaphragm. Orthopnea typically occurs in the awake patient within 1–2 min of lying down and may be relieved by raising the head and chest with pillows or an adjustable bed. With more severe HF, patients may end up sleeping in a recliner chair or sitting up, although for some, orthopnea may diminish as symptoms of right HF appear. Orthopnea may be accompanied by nocturnal cough related to pulmonary congestion. Paroxysmal nocturnal dyspnea (PND) refers to episodes of short ness of breath that awaken a patient suddenly from sleep with feelings of anxiety and suffocation and require sitting upright for relief. In con trast to orthopnea, PND usually occurs after prolonged recumbency, is less predictable in occurrence, and may require 30 min or longer in the upright position for relief. Episodes are often accompanied by coughing and wheezing (so-called cardiac asthma) thought to be due to increased bronchial arterial pressure leading to airway compression and interstitial pulmonary edema causing increased airway resistance. Acute pulmonary edema, due to marked elevation of the pulmonary capillary wedge pressure, is manifested by severe shortness of breath and pink, frothy sputum (Chap. 316). Cheyne-Stokes respiration and central sleep apnea may precipitate episodes of PND in HF and are related to increased sensitivity of the respiratory center to arterial PCO2 and a prolonged circulatory time. Unlike obstructive sleep apnea, which can be treated with positive airway pressure, oral appliance, or surgical therapy, central sleep apnea has no proven therapy beyond the directed treatment of HF (Chap. 308). EVALUATION </w:t>
      </w:r>
      <w:r w:rsidRPr="00F23836">
        <w:rPr>
          <w:rFonts w:ascii="Arial" w:hAnsi="Arial" w:cs="Arial"/>
        </w:rPr>
        <w:t>■</w:t>
      </w:r>
      <w:r w:rsidRPr="00F23836">
        <w:t xml:space="preserve">HISTORY Symptoms of Congestion: Pulmonary Versus Systemic The most common symptoms of HF are related to volume overload with elevation in pulmonary and/or systemic venous pressures. Shortness of breath is a cardinal manifestation of left HF and may arise with increas ing severity as exertional dyspnea, orthopnea, paroxysmal nocturnal dyspnea, and dyspnea at rest. Mechanisms of dyspnea include pulmo nary venous congestion </w:t>
      </w:r>
      <w:r w:rsidRPr="00F23836">
        <w:lastRenderedPageBreak/>
        <w:t xml:space="preserve">and transudation of fluid into the interstitium and/or alveoli, leading to decreased lung compliance, increased airway resistance, hypoxemia, and ventilation/perfusion mismatch. Stimula tion of juxtacapillary J receptors leading to an increased ventilatory drive and reduced blood flow to respiratory muscles may cause lactic acidosis and a sensation of dyspnea. The New York Heart Associa tion (NYHA) functional classification (Table 264-4) may be used to categorize patients based on the amount of effort required to provoke breathlessness. Notably, however, NYHA class does not correlate well with other objective measures of cardiac structure (e.g., left ventricular size, EF) or function (e.g., peak oxygen consumption). Shortness of breath when bending forward (e.g., to put on socks or tie a shoe) has been associated with an increase in cardiac filling pressure, especially in the presence of a low CO, a symptom referred to as “bendopnea.” Orthopnea refers to dyspnea that occurs in the recumbent position and is due to redistribution of fluid from the abdo men and lower body into the chest, increased work of breathing due In contrast to symptoms of left HF due to pulmonary venous con gestion, symptoms of right HF are typically related to systemic venous congestion. Weight gain and lower extremity edema may be the initial manifestations followed by a range of gastrointestinal symptoms due to edema of the bowel wall and hepatic congestion. Abdominal bloating, anorexia, and early satiety are common. Some patients develop right upper quadrant pain related to stretching of the hepatic capsule with consequent nausea and vomiting. When these symptoms are associated with abnormal liver function tests (see below), misdiagnosis of bili ary tract disease may occur. For patients with refractory right HF, the development of massive edema involving the entire body with recur rent pleural effusions and/or ascites is termed anasarca. Symptoms of Reduced Perfusion Some patients with advanced HF present with symptoms related to decreased CO, sometimes referred to as low-output syndrome. Fatigue and weakness, particularly of the lower extremities, are nonspecific symptoms that can occur with exertion or at rest. Pathophysiology includes reduced blood flow to exercising muscles with endothelial dysfunction and increased SVR from neurohormonal activation. Chronic alterations in skeletal muscle structure and metabolism have also been demonstrated. In older patients with HF and cerebrovascular disease, reduced systemic perfu sion may result in mental dullness, depressed affect, and confusion. In addition to low CO, fatigue may be caused by volume depletion, hypo natremia, iron deficiency, and medication effect (e.g., beta blockers). Other Symptoms Patients with HF may present with mood distur bances and poor sleep, both of which may be exacerbated by nocturnal Heart Failure: Pathophysiology and Diagnosis 1983 CHAPTER 264 dyspnea and obstructive and/or central sleep apnea. Nocturia due to improved CO and renal perfusion in the supine position, in addition to delayed diuretic effects, can also contribute to sleep disturbances. Oliguria due to severe reductions in renal blood flow may be a sign of advanced-stage HF. Precipitating Factors Patients with HF may be asymptomatic or mildly symptomatic either because the cardiac impairment is mild or because </w:t>
      </w:r>
      <w:r w:rsidRPr="00F23836">
        <w:lastRenderedPageBreak/>
        <w:t xml:space="preserve">compensatory mechanisms help to balance or normalize cardiac function. Symptoms of HF may develop when one or more precipitating factors increase cardiac workload and disrupt the bal ance in favor of decompensation. Specific factors may be identified in 50–90% of admissions and can be divided into patient-related factors, provider-related factors, HF-related disease states, and other causes (Table 264-5). Inability to recognize and correct these factors promptly may lead to persistent HF despite adequate treatment. </w:t>
      </w:r>
      <w:r w:rsidRPr="00F23836">
        <w:rPr>
          <w:rFonts w:ascii="Arial" w:hAnsi="Arial" w:cs="Arial"/>
        </w:rPr>
        <w:t>■</w:t>
      </w:r>
      <w:r w:rsidRPr="00F23836">
        <w:t xml:space="preserve">PHYSICAL EXAMINATION General Appearance Most patients with mild-moderate HF will appear well nourished and comfortable at rest. Even patients with more advanced disease may be in no distress after resting for a few minutes but may demonstrate immediate dyspnea with limited exertion such as walking across the room. In contrast, patients with severe HF may need to sit upright and appear anxious, diaphoretic, and dyspneic at rest with pallor due to anemia or duskiness due to low output. Other signs of severe HF include cool extremities and peripheral cyanosis. Cardiac cachexia (Table 264-6), defined partially as unintentional edema-free weight loss of &gt;5% over 12 months, may be observed in patients with longstanding, severe HF as bitemporal or upper body muscle wast ing. Contributing factors include poor oral intake due to anorexia, decreased fat absorption due to bowel wall edema, and catabolic/meta bolic imbalance from activation of inflammatory cytokines (see above) and dysregulation of the growth hormone–insulin-like growth factor 1 pathway. Rarely, scleral icterus and jaundice may result from severe right HF. Others may demonstrate frailty, which can be diagnosed in the presence of sarcopenia and is exemplified by poor hand-grip strength or severely reduced gait speed. Vital Signs With new-onset HF, heart rate rises and blood pressure may initially be increased due to sympathetic activation. In patients TABLE 264-5 Precipitating Factors in Heart Failure Patient-Related Excess exertion or emotional stress Excess fluid and/or sodium intake Nonadherence with medications Heavy alcohol use Provider-Related Use of medications that cause salt and water retention (e.g., NSAIDs) Prescribed use of medications with negative inotropic properties (e.g., CCBs) Unrecognized congestion and inadequate use of diuretics Heart Failure–Related Uncontrolled hypertension Myocardial ischemia or infarction Atrial or ventricular arrhythmias Pulmonary embolism Other Disease States Systemic infection Worsening renal or hepatic failure Hyperthyroidism Untreated sleep apnea Anemia or iron deficiency syndrome Abbreviations: CCB, calcium channel blocker; NSAID, nonsteroidal anti inflammatory drug. TABLE 264-6 Diagnostic Criteria for Cachexia in Adults • Underlying disease and body weight loss ≥5% in ≤12 months (or BMI 0.5) and pulmonary venous congestion. Early radiologic signs of acute HF include upper zone venous redistribution and thickening of interlobu lar septa. When the pulmonary capillary wedge pressure is moderate to severely elevated, alveolar edema can present as diffuse haziness extending downward toward the lower lung fields. The absence of these findings in patients with chronic HF reflects the increased capacity of the lymphatics to remove interstitial and/or pulmonary fluid. Pleural effusions of varying size and distribution are common in biventricular HF. Chest x-ray can also be used to </w:t>
      </w:r>
      <w:r w:rsidRPr="00F23836">
        <w:lastRenderedPageBreak/>
        <w:t xml:space="preserve">identify noncardiac causes of dys pnea (e.g., pneumonia, COPD). Electrocardiogram No specific electrocardiographic (ECG) pat tern is diagnostic of HF. Rather, the ECG may provide important information regarding presence of underlying cardiac disease. For example, left ventricular hypertrophy and left atrial enlargement suggest HFpEF due to hypertension, aortic stenosis, or hypertrophic cardiomyopathy. The presence of Q waves or infarction is suggestive of ischemic heart disease, whereas Q waves with reduced QRS voltage (pseudo-infarct pattern) may be seen with restrictive or infiltrative cardiomyopathies (e.g., amyloid). Conduction system disease should raise concern for cardiac sarcoid or Chagas cardiomyopathy in the right clinical setting. Paroxysmal or persistent atrial fibrillation is present in up to 40% of patients with chronic HF and is an indication for anticoagulation. Premature ventricular complexes (PVCs) and nonsustained ventricular tachycardia can reflect worsening HF and are markers of increased risk. Conversely, frequent PVCs can cause cardiomyopathy that may be treated successfully with ablation (Chap. 260). Finally, determination of the QRS width and presence of LBBB is used to ascertain whether the patient may benefit from cardiac resynchronization or left bundle branch (or His bundle) pacing therapy. Noninvasive Imaging Noninvasive cardiac imaging (Chap. 248) is essential for the diagnosis, evaluation, and management of HF. Two-dimensional echocardiography provides an accurate and rapid determination of ventricular size and function and valvular mor phology and function and can detect intracavitary thrombi and pericardial effusions. When left ventricular ejection fraction (LVEF) is ≥50%, systolic function is deemed to be normal. Myocardial strain rate imaging using speckle tracking can add incremental value to LVEF and carries prognostic value. Doppler techniques can be used to estimate CO, pulmonary artery pressures, and valve areas, and may detect abnormalities in left ventricular diastolic filling in patients with HFpEF. For patients with end-stage HF, echocardiography is critical for assessment of right ventricular function before and after mechanical circulatory support and heart transplant. Transesopha geal echocardiogram (TEE) or cardiac computed tomography (CT) with contrast is indicated to rule out left atrial appendage thrombus prior to cardioversion and can assess aortic or mitral valve pathology in planning for transcatheter valvular replacement or repair. TEE can also be used to assess for endocarditis in patients with bacteremia or acute valvular regurgitation. Cardiac magnetic resonance imaging (CMR) has emerged as a highly accurate and quantitative tool for evaluation of left ventricular mass, volumes, and function and for determining specific causes of HF (e.g., ischemic cardiomyopathy, myocarditis, amyloidosis, hemochro matosis). CMR is particularly helpful in defining multiple anatomic and functional abnormalities in adults with CHD. Serial CMR studies can assess ventricular remodeling in response to therapy and are useful in clinical research. For patients who cannot undergo CMR (e.g., due to implantable devices), cardiac CT is particularly helpful to rule out pericardial disease or left ventricular apical thrombus. Coronary CT angiography has also emerged as a useful noninvasive test to rule out obstructive coronary artery disease as a cause of HF. While limited by </w:t>
      </w:r>
      <w:r w:rsidRPr="00F23836">
        <w:lastRenderedPageBreak/>
        <w:t xml:space="preserve">availability and cost, cardiac positron emission tomography (PET) plays a role in evaluating the extent of ischemia, infarction, or hibernat ing myocardium in patients with coronary artery disease and, in the case of sarcoidosis, can reliably determine the severity and distribution of cardiac inflammation. Cardiopulmonary Exercise Testing While not routinely per formed in HF, cardiopulmonary exercise testing using a symptom limited, ramp protocol can provide an objective assessment of peak functional capacity in patients being evaluated for mechanical circu latory support or heart transplant (Chap. 271). Several parameters including absolute and percent-predicted peak oxygen consumption (VO2 ) and ventilatory efficiency (VE; assessed by the VE/VCO2 slope) are independent predictors of survival. Additional data including heart rate and blood pressure response to exercise and exercise-induced arrhythmias can also be assessed. This test may also be useful in defin ing the cause of dyspnea when the diagnosis is uncertain. Biomarkers Circulating levels of natriuretic peptides are useful, adjunctive tools in the diagnosis of HF. BNP and N-terminal pro-BNP (NT-proBNP) are released from the atria and ventricles in response to increased wall stress. Patients with HFrEF tend to have higher levels than patients with HFpEF, whereas levels may be falsely low in obesity. In ambulatory patients with dyspnea, the measurement of BNP or NT proBNP is useful to support clinical decision-making regarding the diagnosis of HF, especially in the setting of clinical uncertainty or with concomitant lung disease. Moreover, natriuretic peptide levels can be used to establish disease severity and prognosis in chronic HF and may help to guide optimal dosing of medical therapy in stable outpatients. Importantly, many noncardiac factors, including age, female sex, and chronic kidney disease, increase natriuretic peptide levels. Other car diovascular diseases including atrial fibrillation, pulmonary embolism, and pulmonary arterial hypertension can also increase BNP levels. Galectin-3 and soluble ST2 (suppression of tumorigenicity 2 protein) are newer biomarkers that have been approved for assessment of prog nosis in HF but are not widely used. Biomarkers of renal injury require further study in HF, although use of cystatin C to measure renal func tion may be more accurate than a creatinine, which can be influenced by muscle mass. CHAPTER 264 Heart Failure: Pathophysiology and Diagnosis Invasive Studies In the intensive care setting, assessment of cardiac filling pressures and CO may be necessary to differentiate cardiogenic from noncardiogenic pulmonary edema and manage hemodynamic instability. Placement of a pulmonary artery catheter can be performed safely at the bedside and used to determine response to intravenous vasoactive and diuretic therapy in severe HF. Simultaneous measure ment of right and left heart filling pressures in the cardiac catheterization laboratory can be used to distinguish restrictive cardiomyopathy from constrictive pericarditis. Coronary angiography is indicated to exclude ischemic heart disease as an underlying, potentially reversible cause of left ventricular dysfunction. The management of coronary artery disease in the setting of chronic HF is discussed in Chaps. 285–287. If echocardiographic windows are suboptimal, left ventriculography can provide an assessment of left ventricular size and function and </w:t>
      </w:r>
      <w:r w:rsidRPr="00F23836">
        <w:lastRenderedPageBreak/>
        <w:t xml:space="preserve">severity of mitral regurgitation. The role of right ventricular endomyocardial biopsy in the management of HF and cardiomyopathy remains con troversial. Indications include detection of myocarditis (lymphocytic, eosinophilic, sarcoid, or giant cell), diagnosis of cardiac amyloidosis and chemotherapy- or immunotherapy-related left ventricular failure, and screening for cardiac allograft rejection following heart transplant. COMORBIDITIES </w:t>
      </w:r>
      <w:r w:rsidRPr="00F23836">
        <w:rPr>
          <w:rFonts w:ascii="Arial" w:hAnsi="Arial" w:cs="Arial"/>
        </w:rPr>
        <w:t>■</w:t>
      </w:r>
      <w:r w:rsidRPr="00F23836">
        <w:t xml:space="preserve">DIABETES Type 2 diabetes mellitus is a risk factor for the development of HF (Table 264-7) and increases the risk of morbidity and mortality in 1986 TABLE 264-7 Mechanisms That Contribute to Development of Heart Failure in Patients with Type 2 Diabetes Mellitus PART 6 Disorders of the Cardiovascular System Altered myocardial substrate Abnormal mitochondrial bioenergetics Oxidative stress and inflammation Lipotoxicity Endoplasmic reticulum stress Impaired insulin signaling β2-Adrenergic receptor signaling G protein–coupled receptor kinase 2 signaling RAAS activation Advanced glycation end products Autophagy Abbreviation: RAAS, renin-angiotensin-aldosterone system. Source: Modified with permission from TA Zelniker: Mechanisms of cardiorenal effects of sodium-glucose cotransporter 2 inhibitors: JACC state-of-the-art review. J Am Coll Cardiol 75:422, 2020. patients with established disease. In ambulatory HF cohorts, the preva lence of diabetes ranges from 10 to 40%, with prevalence even higher in patients hospitalized with HF. When the two diseases coexist, patients are at increased risk for adverse outcomes, worse quality of life, and higher costs of care. Recent data from cardiovascular outcomes trials demonstrate that HF is a critical outcome in patients with diabetes and that glucose-lowering therapies can impact morbidity and mortal ity. As discussed above, SGLT-2 inhibitors in particular have not only been shown to be safe in patients with HF but can also improve renal function, enhance quality of life, increase LVEF, and decrease the risk of hospitalization and death. Use of other guideline-directed medical therapy is indicated in patients with HF regardless of diabetes status. </w:t>
      </w:r>
      <w:r w:rsidRPr="00F23836">
        <w:rPr>
          <w:rFonts w:ascii="Arial" w:hAnsi="Arial" w:cs="Arial"/>
        </w:rPr>
        <w:t>■</w:t>
      </w:r>
      <w:r w:rsidRPr="00F23836">
        <w:t xml:space="preserve">SLEEP APNEA Sleep-disordered breathing is common in HF, with increased incidence of both obstructive sleep apnea and central sleep apnea (Chap. 308). The pathophysiologic link between these disorders has been studied in both animal models and humans and includes increased afterload, decreased preload, intermittent hypoxia, and sympathetic activation. Increase in sympathetic tone can provoke ischemia and arrhythmias and complicate blood pressure management. Approximately one-third of patients with HF and sleep-disordered breathing have central sleep apnea, which is associated with increased mortality independent of other known risk factors. In patients with HFrEF and obstructive sleep apnea, continuous positive airway pressure has been shown to improve quality of life, decrease blood pressure and arrhythmias, and increase LVEF. Unlike obstructive sleep apnea, there is no proven therapy for central sleep apnea, although phrenic or hypoglossal nerve pacing may provide benefit in some cases. </w:t>
      </w:r>
      <w:r w:rsidRPr="00F23836">
        <w:rPr>
          <w:rFonts w:ascii="Arial" w:hAnsi="Arial" w:cs="Arial"/>
        </w:rPr>
        <w:t>■</w:t>
      </w:r>
      <w:r w:rsidRPr="00F23836">
        <w:t xml:space="preserve">OBESITY Similar to diabetes, obesity is both a risk factor for the development of HF and highly prevalent in patients with HF. In particular, obesity is common in patients with HFpEF and complicates the assessment of volume status in both ambulatory and </w:t>
      </w:r>
      <w:r w:rsidRPr="00F23836">
        <w:lastRenderedPageBreak/>
        <w:t xml:space="preserve">inpatient settings. Unlike diabetes, the risk of morbidity and mortality in patients with obesity and HF is complex. The obesity paradox refers to the observation that obese patients diagnosed with HF have a more favorable prognosis than patients with low or even normal body mass index. While weight loss has been shown to improve quality of life and exercise capacity and may contribute to reverse ventricular remodeling in patients with HF, the impact on survival is unknown. Large randomized clinical trials are assessing safety and efficacy of glucagon-like peptide-1 (GLP-1) agonists such as semaglutide in patients with heart failure and obesity. </w:t>
      </w:r>
      <w:r w:rsidRPr="00F23836">
        <w:rPr>
          <w:rFonts w:ascii="Arial" w:hAnsi="Arial" w:cs="Arial"/>
        </w:rPr>
        <w:t>■</w:t>
      </w:r>
      <w:r w:rsidRPr="00F23836">
        <w:t xml:space="preserve">DEPRESSION Depression is an independent risk factor for adverse outcomes in HF (Table 264-1), especially in older women. The mechanisms TABLE 264-8 Differential Diagnosis of Heart Failure SYMPTOM OR SIGN Dyspnea Edema Ascites Pleural effusion(s) Jugular venous distension DIFFERENTIAL DIAGNOSIS Chronic lung disease Pulmonary arterial hypertension Neuromuscular disease Anemia Iron-deficiency anemia Venous insufficiency Nephrotic syndrome Deep vein thrombosis Lymphedema Hepatic cirrhosis Portal vein thrombosis Malignant carcinomatosis Chronic infection Lung cancer Collagen vascular or rheumatologic disease Constrictive pericarditis Pericardial effusion Superior vena cava syndrome underlying this risk remain unknown but may involve neuroendo crine dysfunction and systemic inflammation, as well as contribu tions from poor sleep, decreased appetite, and adverse effects of medications and alcohol. The AHA recommends screening for depression among patients with cardiovascular disease including HF using validated patient health questionnaires. Selective serotonin reuptake inhibitors are safe for treating depression in HF but do not appear to affect the natural history of disease. The effects of cognitive behavioral therapy and the collaborative care model, as well as newer therapies such as transcranial magnetic stimulation, on HF morbidity and mortality require further study. DIFFERENTIAL DIAGNOSIS Many symptoms and signs suggesting HF may be caused by other conditions (Table 264-8). In a patient with dyspnea, the clinician must distinguish cardiac from pulmonary causes, although the differentiation may be difficult. For example, orthopnea may be a well-established symptom in some patients with severe chronic lung disease. Patients with underlying pulmonary disease may also experi ence episodic shortness of breath during sleep that mimics PND. In chronic lung disease, this is usually due to accumulation of tracheo bronchial secretions and is relieved by coughing and expectoration, whereas in cardiac disease, the patient has to sit upright. Wheezing caused by bronchoconstriction may be a prominent symptom when left ventricular failure supervenes in individuals with reactive airways disease. Patients with cardiac asthma may be more likely to exhibit diaphoresis and varying degrees of cyanosis compared to patients with bronchial asthma. Differentiating dyspnea related to HF versus pulmonary disease may be impossible when the diseases coexist, a situation that is common in chronically ill older patients with active or prior smoking. Following effective diuresis, pulmonary function tests may help to determine the predominant cause of dyspnea. In ambulatory patients with advanced HF, </w:t>
      </w:r>
      <w:r w:rsidRPr="00F23836">
        <w:lastRenderedPageBreak/>
        <w:t xml:space="preserve">cardiopulmonary exercise testing can also help to make this distinction. Finally, a very low BNP or NT-proBNP level may be helpful in excluding HF as the cause of dyspnea in nonobese patients. Apart from pulmonary disease, HF needs to be distinguished from conditions in which congestion results from abnormal salt and water retention but in which cardiac structure and function are normal (e.g., acute or chronic kidney disease) and from noncardiac causes of pulmo nary edema (e.g., acute respiratory distress syndrome). Non-HF causes of lower extremity edema such as venous insufficiency, lymphedema, and obesity should also be considered. </w:t>
      </w:r>
      <w:r w:rsidRPr="00F23836">
        <w:rPr>
          <w:rFonts w:ascii="Arial" w:hAnsi="Arial" w:cs="Arial"/>
        </w:rPr>
        <w:t>■</w:t>
      </w:r>
      <w:r w:rsidRPr="00F23836">
        <w:t xml:space="preserve">FURTHER READING 1987 Aimo A et al: Cardiac remodeling - Part 2: Clinical, imaging and labo ratory findings. A review from the Study Group on Biomarkers of the Heart Failure Association of the European Society of Cardiology. Eur J Heart Fail 24:944, 2022. Alcaide P et al: Myocardial inflammation in heart failure with reduced and preserved ejection fraction. Circ Res 134:1752, 2024. Boorsma EM et al: Congestion in heart failure: A contemporary look at physiology, diagnosis and treatment. Nat Rev Cardiol 17:641, 2020. Bozkurt B et al: Heart failure epidemiology and outcomes statistics: A report of the Heart Failure Society of America. J Card Fail 29:1412, 2023. Bozkurt B et al: Universal definition and classification of heart failure: A report of the Heart Failure Society of America, Heart Failure Asso ciation of the European Society of Cardiology, Japanese Heart Failure Society and Writing Committee of the Universal Definition of Heart Failure. J Card Fail 27:387, 2021. Campbell P et al: Heart failure with preserved ejection fraction: Everything the clinician needs to know. Lancet 403:1083, 2024. Dunlay SM et al: Type 2 diabetes mellitus and heart failure: A scien tific statement from the American Heart Association and the Heart Failure Society of America. Circulation 140:e294, 2019. Heidenreich PA et al: 2022 AHA/ACC/HFSA guideline for the management of heart failure: a report of the American College of Cardiology/American Heart Association Joint Committee on Clinical Practice Guidelines. Circulation 145:e895, 2022. Houston BA et al: Right ventricular failure. N Engl J Med 388:1111, 2023. Lam CSP et al: Classification of heart failure according to ejection frac tion. J Am Coll Cardiol 77:3217, 2021. Lembo M et al: Obesity: The perfect storm for heart failure. ESC Heart Fail 11:1841, 2024. McDonagh TA et al: 2021 ESC guidelines for the diagnosis and treat ment of acute and chronic heart failure. Eur Heart J 42:3599, 2021. Pandey A et al: Exercise intolerance in older adults with heart failure with preserved ejection fraction: JACC State-of-the-Art Review. J Am Coll Cardiol 78:1166, 2021. Talha KM et al: Frailty and heart failure: State-of-the-art review. J Cachexia Sarcopenia Muscle 14:1959, 2023. Xanthopoulos A et al: Heart failure and liver disease: Cardiohepatic interactions. JACC Heart Fail 7:87, 2019. 265 Heart Failure: Management Akshay Desai, Mandeep R. Mehra Clinical management of patients with heart failure (HF) varies widely based on the clinical phenotype at presentation. Those in the earliest stage of disease with asymptomatic ventricular dysfunction (American College of Cardiology [ACC]/American Heart Association [AHA] stage B) may be amenable to treatment with neurohormonal antago nists, including angiotensin-converting inhibitors and β-adrenergic receptor antagonists, with the goal </w:t>
      </w:r>
      <w:r w:rsidRPr="00F23836">
        <w:lastRenderedPageBreak/>
        <w:t xml:space="preserve">of facilitating ventricular recovery and preventing the development of clinical HF (not further discussed). Those with symptomatic HF (ACC/AHA stage C) comprise a het erogeneous group in whom the approach to therapy is differentiated largely based on measurement of the left ventricular ejection frac tion (LVEF). Data from prospective, randomized clinical outcomes trials enrolling patients with symptomatic chronic HF and reduced ejection fraction (HFrEF; LVEF ≤40%) have provided a rich evidence base that supports the efficacy of stepped pharmacologic therapy with renin-angiotensin-aldosterone system (RAAS) antagonists (including angiotensin-converting enzyme inhibitors, angiotensin receptor block ers, and mineralocorticoid receptor antagonists), neprilysin inhibitors, β-adrenergic receptor antagonists, and sodium-glucose cotransporter 2 (SGLT-2) inhibitors as a complement to device-based treatment with cardiac resynchronization therapy and implantable cardioverter defibrillators. By contrast, treatment of patients with symptomatic chronic HF and mildly reduced (HFmrEF; LVEF 41–49%) or pre served ejection fraction (HFpEF; LVEF ≥50%) has, until recently, been symptom-focused owing to the lack of evidence-based therapies but is evolving in the wake of favorable results from recently reported trials of SGLT-2 inhibitors, glucagon-like peptide 1 (GLP-1) agonists, and angiotensin-neprilysin inhibitors. Even with effective therapy, patients with HFrEF, HFmrEF, and HFpEF are at risk for clinical deterioration, typically because of progressive sodium and fluid retention that fuels the development of congestive symptoms and acute decompensated HF (ADHF). Management of these exacerbations (frequently hospital based) is heavily focused on hemodynamic stabilization, decongestion, and institution of appropriate disease-modifying therapy in the transi tion back to chronic ambulatory management. Recurrent episodes of ADHF despite careful follow-up and effective treatment may signal the onset of an advanced or refractory HF phenotype (ACC/AHA stage D) in which the risk of mortality from sudden death or end-stage HF is high, and consideration of salvage therapies including cardiac trans plant or mechanical circulatory support may be appropriate prior to escalation to palliative measures (Chap. 271). CHAPTER 265 Heart Failure: Management HEART FAILURE WITH MILDY REDUCED OR PRESERVED EJECTION FRACTION </w:t>
      </w:r>
      <w:r w:rsidRPr="00F23836">
        <w:rPr>
          <w:rFonts w:ascii="Arial" w:hAnsi="Arial" w:cs="Arial"/>
        </w:rPr>
        <w:t>■</w:t>
      </w:r>
      <w:r w:rsidRPr="00F23836">
        <w:t xml:space="preserve">GENERAL PRINCIPLES Although clinical trials of RAAS antagonists, digoxin, β-adrenergic receptor blockers, and neprilysin inhibitors have been conducted in patients with HFpEF, none has conclusively demonstrated a mortal ity reduction. Variable benefits, measured in the form of reduced HF hospitalizations, have been seen with mineralocorticoid receptor antagonists, angiotensin receptor blockers, and angiotensin receptor neprilysin inhibitors, but benefits are principally confined to those with LVEF below the normal range (45%, and sinus rhythm, although a modest reduction in HF hospitalizations was noted. While no dedicated study of beta blockers has been conducted in HFpEF, the subgroup of elderly patients with prior hospitalization and HFpEF enrolled in the Study of the Effects of Nebivolol Interven tion on Outcomes and Rehospitalization in Seniors with Heart Failure (SENIORS) trial of nebivolol, a vasodilating beta blocker, did not appear to experience </w:t>
      </w:r>
      <w:r w:rsidRPr="00F23836">
        <w:lastRenderedPageBreak/>
        <w:t xml:space="preserve">significant reductions in all-cause or cardiovas cular mortality. Regarding mineralocorticoid receptor antagonists, which have potent antifibrotic effects in HFrEF, the Treatment of Preserved Cardiac Func tion Heart Failure with an Aldosterone Antagonist (TOPCAT) trial explored the potential benefit of spironolactone compared to placebo in HFpEF. This trial demonstrated no improvement in the primary composite endpoint of cardiovascular death, HF hospitalizations, or aborted cardiac arrest but did show a reduction in HF hospitalizations among those allocated to spironolactone. Post hoc analyses of the study suggested significant regional differences in the baseline charac teristics, event rates, adverse effects, and adherence to spironolactone among patients randomized in Russia and the Republic of Georgia compared with those randomized in the Americas that raised concerns about study conduct in Russian and Georgian sites. Apparent reduc tions in cardiovascular death and HF hospitalization associated with spironolactone among the subgroup of patients randomized in the Americas suggest that these study design issues may have obscured a signal of spironolactone benefit. These data have supported a weak recommendation for spironolactone in patients with HFpEF who meet the inclusion criteria for the TOPCAT trial and are at low risk for adverse effects, including hyperkalemia and worsening renal func tion, in the most recent U.S. and European guidelines. However, the results of the Aldosterone Receptor Blockade in Diastolic Heart Failure (ALDO-DHF) study in which spironolactone improved echocardio graphic indices of diastolic dysfunction but failed to improve exercise capacity, symptoms, or quality-of-life (QOL) measures highlight the need for further study. Ongoing trials, including the registry-based Spironolactone Initiation Registry Randomized Interventional Trial in Heart Failure with Preserved Ejection Fraction (SPIRRIT-HFpEF) (SPIRRIT-HFpEF; clinicaltrials.gov identifier NCT02901184) and the randomized Study to Evaluate the Efficacy and Safety of Finerenone on Morbidity and Mortality in Participants with Heart Failure and Left Ventricular Ejection Fraction Greater than or Equal to 40% (FINE ARTS-HF, clinicaltrials.gov identifier: NCT04435626) may provide additional insight in this regard. Addition of the SGLT-2 inhibitors dapagliflozin and empagliflozin to guideline-directed medical therapy of HFrEF has been associated with reductions in cardiovascular mortality and HF hospitalization among patients with and without diabetes mellitus enrolled in the Dapagliflozin and Prevention of Adverse Outcomes in Heart Fail ure (DAPA-HF) and Empagliflozin Outcome Trial in Patients with Chronic Heart Failure with Reduced Ejection Fraction (EMPEROR REDUCED) trials. These benefits have recently been extended to the population of patients with symptomatic HF and LVEF &gt;40% based on observed reductions in the composite of cardiovascular death or HF hospitalization among those assigned to SGLT-2 inhibitors compared to placebo in the Dapagliflozin Evaluation to Improve the Lives of Patients with Preserved Ejection Fraction Heart Failure (DELIVER) and Empagliflozin Outcome Trial in Patients with Chronic Heart Fail ure with Preserved Ejection Fraction (EMPEROR-PRESERVED) trials. Pooled analysis of the data from these trials is associated with a reduc tion in the </w:t>
      </w:r>
      <w:r w:rsidRPr="00F23836">
        <w:lastRenderedPageBreak/>
        <w:t>composite or cardiovascular death or HF hospitalization. Beyond pharmacologic therapy, small studies of exercise training and cardiac rehabilitation in patients with HFpEF have suggested benefits on functional capacity and QOL, indicating a possible role for lifestyle interventions to improve cardiorespiratory fitness in this population. For obese patients with HFpEF, aggressive efforts at weight loss (includ ing bariatric surgery) may also be associated with improvements in hemodynamics and exercise capacity. Recently, the randomized STEP HFpEF trial of the once-weekly GLP-1 agonist semaglutide in obese (body mass index ≥30 kg/m2) HFpEF patients without diabetes mellitus demonstrated improvements in functional capacity and QOL associated with incremental weight loss of nearly 12% relative to placebo. Several ongoing trials including STEP-HFpEF DM (Semaglutide Treatment Effect in People with Obesity and HFpEF and Type 2 Diabetes; clinical trials.gov identifier: NCT04916470) and the SUMMIT trial of the dual GLP-1/glucose-dependent insulinotropic polypeptide (GIP) agonist tirzepatide (clinicaltrials.gov identifier: NCT04847557) will provide further data for clinical utility in this population. A novel paradigm for understanding the pathophysiology of HFpEF has focused on the role of microvascular endothelial inflammation driven by comorbidities that results in impaired nitric oxide (NO) signaling and associated increases in myocardial stiffening. This para digm has emphasized the potential for improving outcomes in HFpEF by enhancing NO bioavailability and improving downstream protein kinase G–based signaling. In this regard, a small trial demonstrated that the phosphodiesterase-5 inhibitor sildenafil improved filling pres sures and right ventricular function in a cohort of HFpEF patients with pulmonary venous hypertension. This finding led to the phase 2 trial, Phosphodiesterase-5 Inhibition to Improve Clinical Status and Exer cise Capacity in Diastolic Heart Failure (RELAX), in HFpEF patients (LVEF &gt;50%) with New York Heart Association (NYHA) functional class II or III symptoms, who received sildenafil at 20 mg three times daily for 3 months, followed by 60 mg three times daily for another 3 months, compared with a placebo. There was no improvement in functional capacity, QOL, or other clinical and surrogate parameters in those allocated to sildenafil compared to placebo. On the premise that nitrates, which are NO donors, might improve preload, coronary perfusion, endothelial function, and exercise tolerance, the Nitrate’s Effect on Activity Tolerance in Heart Failure with Preserved Ejection Fraction (NEAT-HFpEF) study was conducted. Isosorbide mono nitrate did not improve QOL or submaximal exercise capacity and decreased overall activity levels in treated patients. Inorganic nitrate compounds have also been shown to enhance NO signaling but did not improve functional capacity compared to placebo among patients with HFpEF randomized in the Inorganic Nitrite Delivery to Improve Exercise Capacity in Heart Failure with Preserved Ejection Fraction (INDIE-HFpEF) trial. Neprilysin inhibition is known to increase circulating levels of various vasoactive peptides, including the natriuretic peptides, which may facilitate cyclic guanosine 3′,5′-monophosphate–based signaling, enhance myocardial relaxation, and reduce ventricular hypertrophy. Composite angiotensin receptor-</w:t>
      </w:r>
      <w:r w:rsidRPr="00F23836">
        <w:lastRenderedPageBreak/>
        <w:t xml:space="preserve">neprilysin inhibition (ARNI) with sacubitril-valsartan reduced cardiovascular mortality, overall mortality, and HF hospitalization compared with enalapril among patients with HFrEF randomized in the PARADIGM-HF trial. The PARAGON HF trial randomized 4822 patients with symptomatic HFpEF (LVEF ≥45%), elevated natriuretic peptides, and structural heart disease to treatment with either sacubitril-valsartan or valsartan with the novel composite primary endpoint of cardiovascular death and total hospi talizations for HF. Although there was a 13% reduction in the rate of the primary composite endpoint in those allocated to sacubitril-valsartan, this result narrowly missed the margin for statistical significance in the Heart Failure: Management 1989 CHAPTER 265 primary statistical analysis (p = .06). Directional benefits in secondary endpoints including QOL, NYHA class, and renal function favoring sacubitril-valsartan support a possible modest benefit of neprilysin inhibition in this population, particularly among patients with lower (i.e., mildly reduced) EF and in women, subgroups who appeared to derive greater benefit. Based on these data, sacubitril-valsartan has recently been approved in the United States for treatment of symptom atic HF across the full spectrum of EF, with benefits acknowledged to be greatest in those with LVEF below normal. The PARAGLIDE-HF trial randomly assigned patients with HF and EF &gt;40% within 30 days of a worsening HF event to treatment with sacubitril-valsartan or valsartan. Although those assigned to sacubitril-valsartan experienced greater reductions in N-terminal prohormone of brain natriuretic peptide (NTproBNP) at 8 weeks, clinical benefits were modest and appeared to be confined to those with EF ≤60%, suggesting this therapy may be most effective in that subgroup. </w:t>
      </w:r>
      <w:r w:rsidRPr="00F23836">
        <w:rPr>
          <w:rFonts w:ascii="Arial" w:hAnsi="Arial" w:cs="Arial"/>
        </w:rPr>
        <w:t>■</w:t>
      </w:r>
      <w:r w:rsidRPr="00F23836">
        <w:t>CLINICAL GUIDING PRINCIPLES Beyond disease-modifying therapy, treatment of HFpEF should focus on decongestion, aggressive management of medical comorbidities, and relief of exacerbating factors. A careful diagnostic approach is critical, since patients with HF and a normal or near-normal LVEF compose a heterogenous group that includes patients with infiltrative heart disease (amyloidosis, hemochromatosis, sarcoidosis), storage disease (Fabry</w:t>
      </w:r>
      <w:r w:rsidRPr="00F23836">
        <w:rPr>
          <w:rFonts w:ascii="Aptos" w:hAnsi="Aptos" w:cs="Aptos"/>
        </w:rPr>
        <w:t>’</w:t>
      </w:r>
      <w:r w:rsidRPr="00F23836">
        <w:t>s disease, Gaucher</w:t>
      </w:r>
      <w:r w:rsidRPr="00F23836">
        <w:rPr>
          <w:rFonts w:ascii="Aptos" w:hAnsi="Aptos" w:cs="Aptos"/>
        </w:rPr>
        <w:t>’</w:t>
      </w:r>
      <w:r w:rsidRPr="00F23836">
        <w:t xml:space="preserve">s disease), hypertrophic cardiomy opathy, pericardial disease, pulmonary arterial hypertension, valvular heart disease, and primary right ventricular failure who may require a different management approach. For those with true HFpEF, aggres sive control of blood pressure to guideline-recommended targets and relief of volume overload with diuretics are critical to symptom relief. Excessive decrease in preload with diuretics and vasodilators may lead to underfilling the ventricle and subsequent azotemia, hypotension, and syncope. For patients at risk for coronary heart disease, deliberate evaluation for ischemia and consideration of coronary revasculariza tion may be important. Since clinical outcomes in HFpEF are worse in the setting of atrial fibrillation, aggressive rate control, anticoagulation, and early consideration of sinus rhythm restoration are important. Comorbidities such as obesity, obstructive lung disease, sleep apnea, chronic kidney disease, and anemia/iron deficiency are increasingly recognized as important contributors to diminished functional capac ity and QOL in patients with HFpEF and may be additional targets for </w:t>
      </w:r>
      <w:r w:rsidRPr="00F23836">
        <w:lastRenderedPageBreak/>
        <w:t xml:space="preserve">therapy. Some investigators have suggested that the exercise intolerance in HFpEF is a manifestation of chronotropic insufficiency. While this hypothesis appears to be supported by small trials randomized trials of beta blocker withdrawal, improving chronotropic response through rate-adaptive atrial pacing did not improve functional capacity in the randomized RAPID-HF trial (Fig. 265-1). ACUTE DECOMPENSATED HEART FAILURE </w:t>
      </w:r>
      <w:r w:rsidRPr="00F23836">
        <w:rPr>
          <w:rFonts w:ascii="Arial" w:hAnsi="Arial" w:cs="Arial"/>
        </w:rPr>
        <w:t>■</w:t>
      </w:r>
      <w:r w:rsidRPr="00F23836">
        <w:t xml:space="preserve">GENERAL PRINCIPLES ADHF is a heterogeneous clinical syndrome most often resulting in need for hospitalization due to confluence of interrelated abnormali ties of decreased cardiac performance, renal dysfunction, and altera tions in vascular compliance. Admission with a diagnosis of ADHF is associated with excessive morbidity and mortality, with nearly half of these patients readmitted for management within 6 months, and a high short-term (5% in-hospital) and long-term cardiovascular mortality Pathology Hypertrophy Fibrosis/altered collagen Infarction/ischemia Heart Failure with Preserved Ejection Fraction: Pathology and Management General Therapeutic Principles • Reduce the congestive state – Caution to not reduce preload excessively – Use of implantable hemodynamics monitors to guide management is useful • Renin-angiotensin-aldosterone–directed therapy – ACEIs and ARBs ineffective (except in “prevention”) – Aldosterone antagonists (may be beneficial) • Digoxin – Ineffective (may reduce hospitalizations) • Beta blockers and calcium channel blockers – Ineffective (useful in preventing tachycardia in patients with AF) • Phosphodiesterase-5 inhibitors – Sildenafil ineffective • Novel Therapy – ARNIs (may be effective in selected patients) – SGLT-2 inhibitors (reduce HF hospitalization) • Chronotropic insufficiency – ? Targeted pacing (likely ineffective) • Control blood pressure – Central aortic blood pressure control may be more relevant • Maintain atrial contraction and prevent tachycardia – Efforts to maintain sinus rhythm in atrial fibrilation may be beneficial (atrial fibrillation ablation may reduce morbidity and mortality) • Treat and prevent myocardial ischemia – May mimic HF as an “angina equivalent” • Detect and treat sleep apnea – Common co-morbidity causing systemic hypertension, pulmonary hypertension, and right heart dysfunction (adaptive servo-ventilation ineffective) • Lifestyle modification – Diet and exercise to promote weight reduction and improve functional capacity Specific Therapy Targets (beyond general management) Diabetes Obesity Aging Atherosclerosis Hypertension Risk markers • Obesity treatment – GLP-1 agonists (improve QOL irrespective of diabetes mellitus) FIGURE 265-1 Pathophysiologic correlations, general therapeutic principles, and results of specific “directed” therapy in heart failure (HF) with preserved ejection fraction. ACEI, angiotensin-converting enzyme inhibitor; ARB, angiotensin receptor blocker; ARNI, angiotensin receptor-neprilysin inhibitor; GLP-1, glucagon-like peptide 1; SGLT-2, sodium-glucose cotransporter 2; QOL, quality of life. 1990 PART 6 Disorders of the Cardiovascular System (20% at 1 year). Importantly, long-term outcomes remain poor, with a combined incidence of cardiovascular deaths, HF hospitalizations, myocardial infarction, strokes, or sudden death reaching 50% at 12 months after hospitalization. The management of these patients remains difficult and principally revolves around </w:t>
      </w:r>
      <w:r w:rsidRPr="00F23836">
        <w:lastRenderedPageBreak/>
        <w:t xml:space="preserve">volume control and hemodynamic optimization to maximize end-organ perfusion. The first principle of management in ADHF is to identify and address the factors that precipitated decompensation. Important his torical factors to consider are nonadherence to medications, dietary salt indiscretion, and usage of medications (including over-the-counter preparations) that may exacerbate HF, including nonsteroidal anti inflammatory drugs, thiazolidinediones, tumor necrosis factor inhibi tors, selected antidepressants, selected cancer therapies, cold and flu preparations with cardiac stimulants, and some herbal preparations. Coronary ischemia frequently drives HF exacerbation in patients with atherosclerotic cardiovascular disease and should be systematically investigated (either invasively or noninvasively) in all patients at risk to identify candidates for revascularization. Atrial and ventricular arrhythmias are common contributors to HF exacerbation and may trigger the need for antiarrhythmic drug suppression, cardioversion, or catheter ablation. Valvular heart disease is increasingly recognized as a target for therapy in patients with recurrent HF exacerbations and can be readily identified through echocardiography. Systemic infec tion and pulmonary thromboembolism are additional triggers of HF decompensation and should be routinely considered. Concurrent with the identification of HF precipitants, effective management of ADHF requires pharmacologic therapy directed at hemodynamic optimization, including relief of congestion, reduction in afterload, and maximization of vital organ perfusion. The routine use of a pulmonary artery catheter is not recommended and should be restricted to those who present with features typical of low-output HF or cardiogenic shock who may require vasopressor or mechanical circu latory support, those who are resistant or refractory to diuretic therapy, those with combined cardiorenal dysfunction in whom therapeutic goals are difficult to define at the bedside, and those with known or sus pected pulmonary arterial hypertension in whom vasodilator therapy may be appropriate. Analysis of in-hospital registries has identified several parameters associated with worse outcomes: a blood urea nitro gen level &gt;43 mg/dL (to convert to mmol/L, multiply by 0.357), systolic blood pressure 2.75 mg/dL (to convert to μmol/L, multiply by 88.4), and elevated cardiac biomarkers including natriuretic peptides and cardiac troponins. A useful clinical schema to identify treatment targets for the various phenotypic presen tations and management goals in ADHF is depicted in Fig. 265-2. </w:t>
      </w:r>
      <w:r w:rsidRPr="00F23836">
        <w:rPr>
          <w:rFonts w:ascii="Arial" w:hAnsi="Arial" w:cs="Arial"/>
        </w:rPr>
        <w:t>■</w:t>
      </w:r>
      <w:r w:rsidRPr="00F23836">
        <w:t xml:space="preserve">VOLUME MANAGEMENT Intravenous Diuretic Agents Intravenous loop diuretic agents rapidly and effectively relieve symptoms of congestion and are essential when oral drug absorption is impaired. When high doses of diuretic agents are required or when the effect of bolus dosing is suboptimal, a continuous infusion may be needed to reduce toxicity and maintain stable serum drug levels. Randomized clinical trials of high- versus low-dose and bolus versus continuous infusion diuresis have not pro vided clear justification for the best diuretic strategy in ADHF, and as such, the use of diuretic regimens remains an art rather than science. For those refractory to loop diuretic treatment alone, addition of a thiazide diuretic agent such as chlorothiazide or metolazone to provide sequential nephron blockade may </w:t>
      </w:r>
      <w:r w:rsidRPr="00F23836">
        <w:lastRenderedPageBreak/>
        <w:t xml:space="preserve">enhance natriuresis and facilitate decongestion, but also increases the risk of significant hypokalemia. Addition of acetazolamide to loop diuretic therapy in the randomized ADVOR trial was demonstrated to facilitate greater decongestion but was not associated with reduction in HF readmissions or mortality. Extreme distress Pulmonary congestion Renal failure Low pulse pressure Cool extremities Cardio-renal syndrome Hepatic congestion New onset arrhythmia Valvular heart disease Inflammatory heart disease Myocardial ischemia CNS injury Drug toxicity Renal insufficiency Biomarkers of injury Acute coronary syndrome, arrhythmia, hypoxia, pulmonary embolism, infection High-Risk Features Hypertensive Heterogeneity of ADHF: Management Principles Severe Pulmonary Congestion with Hypoxia Hypoperfusion with End-Organ Dysfunction Hypotension, Low Cardiac Output, and End-Organ Failure Acute Decompensation “Typical” Acute Decompensation “Pulmonary edema” Acute Decompensation “Low output” Acute Decompensation “Cardiogenic shock” Normotensive (usually volume overloaded) (usually not volume overloaded) Hemodynamic monitoring (suboptimal initial therapeutic response) Inotropic therapy (usually catecholamines) Mechanical circulatory support (IABP, percutaneous VAD, ultrafiltration) Inotropic therapy (if low blood pressure or diuretic refractoriness) Vasodilators Vasodilators Vasodilators Opiates Diuretics O2 and noninvasive ventilation Diuretics FIGURE 265-2 The distinctive phenotypes of acute decompensated heart failure (ADHF), their presentations, and suggested therapeutic routes. (Unique causes of ADHF, such as isolated right heart failure and pericardial disease, and rare causes, such as aortic and coronary dissection or ruptured valve structures or sinuses of Valsalva, are not delineated and are covered elsewhere.) CNS, central nervous system; IABP, intraaortic balloon pump; VAD, ventricular assist device. 1991 Change in weight is often used as a surrogate for adequate diuresis, but this objective measure of volume status may be surprisingly difficult to interpret, and weight loss during hospitalization does not necessarily correlate closely with outcomes. Effective decongestion may also be confirmed by improvement in clinical symptoms as well as the bedside examination documenting normalization of the jugular venous pres sure, clearance of pulmonary rales, suppression of cardiac gallops, and resolution of peripheral edema, hepatomegaly, and abdominal ascites. It is generally advisable to continue diuresis until euvolemia has been achieved, since residual congestion or volume overload is strongly associated with risk for recurrent decompensation. Predischarge mea surement of natriuretic peptide levels, which are highly correlated with risk for postdischarge mortality and readmission, may also be useful in assessing the adequacy of therapy and stratifying risk. Chronic oral loop diuretic therapy is appropriate at discharge for most patients to maintain decongestion. The TRANSFORM-HF trial did not demon strate any mortality or morbidity advantage of torsemide compared to furosemide for this purpose despite its greater oral bioavailability, longer half-life, and other potential beneficial effects on myocardial fibrosis, aldosterone production, sympathetic activation, ventricular remodeling, and natriuretic peptides </w:t>
      </w:r>
      <w:r w:rsidRPr="00F23836">
        <w:lastRenderedPageBreak/>
        <w:t xml:space="preserve">noted in small studies. The Cardiorenal Syndrome The cardiorenal syndrome is increas ingly being recognized as a complication of ADHF. Multiple definitions have been proposed for the cardiorenal syndrome, but at its simplest, it can be thought to reflect the interplay between abnormalities of heart and kidney function, with deteriorating function of one organ while therapy is administered to preserve the other. Approximately 30% of patients hospitalized with ADHF exhibit abnormal renal func tion at baseline, and this is associated with longer hospitalizations and increased mortality. However, mechanistic studies have been largely unable to find correlation between deterioration in renal function, cardiac output, left-sided filling pressures, and reduced renal perfusion; most patients with cardiorenal syndrome demonstrate a preserved car diac output. It is hypothesized that in patients with established HF, this syndrome represents a complex interplay of neurohormonal factors, potentially exacerbated by “backward failure” resulting from increased intraabdominal pressure and impairment in return of renal venous blood flow. Continued use of diuretic therapy may be associated with a reduction in glomerular filtration rate and a worsening of the car diorenal syndrome when right-sided filling pressures remain elevated. In patients in the late stages of disease characterized by profound low cardiac output state, inotropic therapy or mechanical circulatory sup port has been shown to preserve or improve renal function in selected individuals in the short term until more definitive therapy such as assisted circulation or cardiac transplantation is implemented. Ultrafiltration Ultrafiltration (UF) is an invasive fluid removal technique that may supplement the need for diuretic therapy. Proposed benefits of UF include controlled rates of fluid removal, neutral effects on serum electrolytes, and decreased neurohormonal activity. This technique has also been referred to as aquapheresis in recognition of its electrolyte depletion–sparing effects. In an initial study evaluating UF versus conventional therapy, fluid removal was improved, and subsequent HF hospitalizations and urgent clinic visits were reduced with UF; however, no improvement in renal function and no subjec tive differences in dyspnea scores or adverse outcomes were noted. In the Cardiorenal Rescue Study in Acute Decompensated Heart Failure (CARRESS-HF) trial, 188 patients with ADHF and worsening renal failure were randomized to stepped pharmacologic care or UF. The primary endpoint was a change in serum creatinine and change in weight (reflecting fluid removal) at 96 h. Although similar weight loss occurred in both groups (~5.5 kg), there was a rise in serum creatinine among patients allocated to the UF group. Deaths and hospitaliza tions for HF were no different between groups, but there were more adverse events in the UF group, mainly due to kidney failure, bleeding complications, and intravenous catheter-related complications. This investigation argues against using UF as a primary strategy in patients with ADHF who are diuretic-responsive. Whether UF is useful as a res cue strategy in diuretic refractory patients with advanced renal disease remains an open question, and this strategy continues to be employed judiciously in such situations. </w:t>
      </w:r>
      <w:r w:rsidRPr="00F23836">
        <w:rPr>
          <w:rFonts w:ascii="Arial" w:hAnsi="Arial" w:cs="Arial"/>
        </w:rPr>
        <w:t>■</w:t>
      </w:r>
      <w:r w:rsidRPr="00F23836">
        <w:t xml:space="preserve">VASOACTIVE THERAPY Vasodilators including intravenous nitroglycerin, sodium nitroprusside, and nesiritide (a recombinant </w:t>
      </w:r>
      <w:r w:rsidRPr="00F23836">
        <w:lastRenderedPageBreak/>
        <w:t xml:space="preserve">brain-type natriuretic peptide) are fre quently used in ADHF to lower intracardiac filling pressures and reduce systemic vascular tone. Rapid reduction in ventricular preload and after load with these therapies may be effective in providing symptom relief in patients with pulmonary edema and in restoring end-organ perfusion for those with low cardiac output and high systemic vascular resistance. Nitroglycerine principally impacts venous tone and ventricular preload, whereas sodium nitroprusside is a potent arterial and venous vasodila tor with more comprehensive effects on both preload and afterload. While intravenous nitroglycerine is commonly utilized as an adjunct to diuretics for acute management of symptomatic HF and pulmonary edema, nitroprusside is typically reserved for use in those with adequate arterial pressure or invasive hemodynamic monitoring due to the risk for hypotension. The hemodynamic effects of nesiritide are intermediate between those of nitroglycerine and nitroprusside, with head-to-head comparisons with nitroglycerine suggesting more rapid reduction in pulmonary capillary wedge pressure and pulmonary vascular resistance. Clinical utilization of nesiritide has waned due to concerns raised regarding heightened risks of renal insufficiency and mortality identified in early trials. The Acute Study of Clinical Effectiveness of Nesiritide in Decompensated Heart Failure (ASCEND-HF) randomizing 7141 patients with ADHF to nesiritide or placebo did not confirm this risk but identified no clear clinical benefit regarding subsequent HF admissions, mortality, or symptom relief (reduction in dyspnea). Renal function did not worsen, but increased rates of hypotension were noted. A smaller study of low-dose nesiritide in acute HF (Renal Optimization Strategies Evaluation Acute Heart Failure Study [ROSE-AHF]) also showed no incremental benefit over intravenous diuretics for relief of congestion or preservation of renal function. Despite apparent safety in ADHF, the routine use of nesiritide is accordingly not recommended. CHAPTER 265 Heart Failure: Management Other novel vasodilators have been explored for the management of ADHF. Recombinant human relaxin-2, or serelaxin, is a vasodilatory hormone known to contribute to cardiovascular and renal adaptations during pregnancy. In the Relaxin in Acute Heart Failure (RELAX AHF) trial, 1161 patients hospitalized with ADHF, evidence of conges tion, and systolic pressure &gt;125 mmHg were randomized to treatment with serelaxin or placebo in addition to standard HF therapy. Serelaxin improved dyspnea, reduced signs and symptoms of congestion, and was associated with less early worsening of HF. A positive signal of reduced mortality identified in an exploratory analysis prompted a second study (RELAX-AHF2), which did not confirm an effect on cardiovascular death or worsening HF. Accordingly, this agent was not approved for use in clinical practice. One hypothesis for the failure of vasodilator therapies to improve clinical outcomes in ADHF despite favorable hemodynamic effects is related to the acute injury hypothesis; in this model, acute HF is analogous to presentation with an acute coronary syndrome, with the initial hours of presentation representing a period of vulnerability to myocardial damage (reflected in a rise in markers of myocyte injury such as cardiac troponins) as a consequence of abrupt increases in ven tricular wall stress related to acute plasma </w:t>
      </w:r>
      <w:r w:rsidRPr="00F23836">
        <w:lastRenderedPageBreak/>
        <w:t xml:space="preserve">volume expansion. To test this hypothesis, the Trial of Ularitide Safety and Efficacy in Acute Heart Failure (TRUE-AHF) randomly allocated 2157 patients with acute HF to early treatment with the synthetic natriuretic peptide ularitide (at a dose sufficient to reduce ventricular wall stress) or placebo. Despite a very short duration between initial clinical presentation and phar macologic intervention (10 μg/kg per min). Low-dose (“renal dose”) dopamine has been explored as an adjunctive strategy for preservation of renal function and augmentation of diuresis in acute HF but does not appear to provide incremental advantage over routine therapy with intravenous diuretics (ROSE-AHF). Milrinone is typically associated with a greater reduction in sys temic and pulmonary vascular resistance than dobutamine and, accord ingly, carries a higher risk of systemic hypotension. Moreover, because milrinone has a longer half-life and is renally excreted, it requires dose adjustments in the setting of kidney dysfunction. Because milrinone acts downstream from the β1-adrenergic receptor, it may provide an advantage in patients receiving beta blockers when admitted to the hospital. Long-term inotropic therapy is associated with a heightened risk of mortality in HF, perhaps due to the increased risk of arrhythmia and sudden death. Routine, short-term use of milrinone in patients hospitalized with ADHF in the Outcomes of a Prospective Trial of Intravenous Milrinone for Exacerbations of Chronic Heart Failure (OPTIME-CHF) trial was associated with increased risk of atrial arrhythmias and prolonged hypotension, but no benefit regarding subsequent mortality or HF hospitalization. Accordingly, routine use of inotropic support in ADHF is discouraged, and these agents are currently indicated principally for short-term use as bridge therapy (to either left ventricular assist device support or to transplant) in cardiogenic shock or as selectively applied palliation in end-stage HF. Novel inotropic agents that leverage the concept of myofilament calcium sensitization rather than increasing intracellular calcium levels have been introduced. Levosimendan is a calcium sensitizer that provides inotropic activity but also possesses phosphodiesterase-3 inhibition properties that are vasodilatory. Two trials, the second Randomized Multicenter Evaluation of Intravenous Levosimendan Efficacy (REVIVE II) and Survival of Patients with Acute Heart Failure in Need of Intravenous Inotropic Support (SURVIVE), have tested this agent in ADHF. SURVIVE compared levosimendan with dobuta mine, and despite an initial reduction in circulating B-type natriuretic peptide levels in the levosimendan group compared with patients in the dobutamine group, this drug did not reduce all-cause mortality at 180 days or affect any secondary clinical outcomes. The second trial compared levosimendan against traditional noninotropic therapy and found a modest improvement in symptoms with worsened short-term mortality and ventricular arrhythmias. Although levosimendan has been approved for use to support management of HF in several coun tries worldwide, it is not approved for use in the United States, largely owing to the lack of compelling data for incremental efficacy in com parison with conventional inotropic drugs or standard HF therapies. (Table 265-1 depicts typical inotropic, vasodilator, and diuretic drugs used in ADHF.) </w:t>
      </w:r>
      <w:r w:rsidRPr="00F23836">
        <w:rPr>
          <w:rFonts w:ascii="Arial" w:hAnsi="Arial" w:cs="Arial"/>
        </w:rPr>
        <w:t>■</w:t>
      </w:r>
      <w:r w:rsidRPr="00F23836">
        <w:t xml:space="preserve">OTHER THERAPIES FOR ADHF Other trials testing unique agents have yielded </w:t>
      </w:r>
      <w:r w:rsidRPr="00F23836">
        <w:lastRenderedPageBreak/>
        <w:t xml:space="preserve">disappointing results in the situation of ADHF. Adenosine has been implicated as a mediator of worsening renal function and diuretic resistance, and accordingly, treatment with adenosine receptor antagonists was postulated to be potentially beneficial in relieving symptoms and preserving renal func tion in patients with acute HF. Among patients with acute HF and renal dysfunction enrolled in the Placebo-Controlled Randomized Study of the Selective A1 Adenosine Receptor Antagonist Rolofylline for Patients Hospitalized with Acute Decompensated Heart Failure and Volume Overload to Assess Treatment Effect on Congestion and Renal Func tion (PROTECT) trial, no cardiovascular or renal benefit was observed. Similarly, despite compelling theoretical benefit of vasopressin receptor antagonism in acute HF (based on the central role of vasopressin in mediating the fluid retention that contributes to worsening HF), no benefit of the oral selective vasopressin-2 antagonist tolvaptan was seen regarding mortality or HF-associated morbidity in the Efficacy of Vaso pressin Antagonism in Heart Failure Outcome Study with Tolvaptan (EVEREST) trial. </w:t>
      </w:r>
      <w:r w:rsidRPr="00F23836">
        <w:rPr>
          <w:rFonts w:ascii="Arial" w:hAnsi="Arial" w:cs="Arial"/>
        </w:rPr>
        <w:t>■</w:t>
      </w:r>
      <w:r w:rsidRPr="00F23836">
        <w:t xml:space="preserve">CLINICAL GUIDING PRINCIPLES In the absence of data to support specific pharmacologic interven tions in ADHF, management is largely goal-directed and focused on decongestion to relieve symptoms, investigation and suppression of triggers for recurrent decompensation, and careful transition to lon gitudinal HF management. Patients who fail to respond adequately to medical therapy or who develop hemodynamic instability may benefit from pulmonary artery catheter placement to guide titration of vasoactive therapy or inotropic support; in those with hemody namics suggestive of cardiogenic shock, mechanical assist devices may be required (Chap. 271). Following stabilization, all patients should receive education regarding HF self-management prior to dis charge, including guidance regarding diet and lifestyle modification, identification of worsening HF symptoms, and whom to contact in the event of clinical deterioration. Early postdischarge follow-up of patients following hospitalization for management of worsening HF is associated with lower rates of hospital readmission. For patients with HFrEF hospitalized with ADHF, data suggest that institution of appropriate guideline-directed medical therapy prior to hospital discharge is associated with higher rates of adherence to appropriate pharmacologic treatment in longitudinal follow-up and may be asso ciated with improved outcomes in the early postdischarge interval. In the Comparison of Sacubitril-Valsartan Versus Enalapril on Effect on NTproBNP in Patients Stabilized from an Acute Heart Failure Episode (PIONEER-HF) study of patients with HFrEF stabilized after hospital admission for ADHF, predischarge initiation of sacubitril-valsartan compared with enalapril was associated with greater reductions in natriuretic peptides as well as lower rates of composite death and HF readmission at 8 weeks. Similarly, in the EMPULSE trial, predischarge initiation of the SGLT-2 inhibitor empagliflozin in hospitalized HF patients across the spectrum of EF was associated with reductions in a hierarchical clinical composite outcome at 90 days. More recently, in the STRONG-HF trial, an intensive postdischarge treatment strategy of frequent follow-up and rapid uptitration of guideline recommended medical </w:t>
      </w:r>
      <w:r w:rsidRPr="00F23836">
        <w:lastRenderedPageBreak/>
        <w:t xml:space="preserve">therapy was associated with lower rates of death and HF readmission at 180 days compared with usual care. These results were consistent in those with EF ≤40% and those with EF &gt;40%, underscoring the need for early postdischarge follow-up and medical optimization in high-risk patients following a worsening HF event, regardless of EF. HEART FAILURE WITH REDUCED EJECTION FRACTION The past 50 years have witnessed great strides in the manage ment of HFrEF. Treatment of symptomatic HF has evolved from a renocentric (diuretics) and hemodynamic therapy model (digoxin, inotropic therapy) to an era of disease-modifying therapy with neu rohormonal antagonism. In this regard, RAAS blockers (including ARNIs), β-adrenergic receptor blockers, and, most recently, SGLT-2 inhibitors form pillars of pharmacotherapy and facilitate stabiliza tion and even improvement in cardiac structure and function with consequent reduction in symptoms, improvement in QOL, decreased burden of hospitalizations, and a decline in mortality from both pump failure and arrhythmic deaths (Fig. 265-3). Heart Failure: Management 1993 CHAPTER 265 TABLE 265-1 Vasoactive Therapy in Acute Decompensated Heart Failure DRUG CLASS GENERIC DRUG USUAL DOSING SPECIAL CAUTION COMMENTS Inotropic therapy   Use in hypotension, end-organ hypoperfusion, or shock states Dobutamine 2–20 μg/kg per min Increased myocardial oxygen demand, arrhythmia Short acting, an advantage; variable efficacy in presence of beta blockers (requires higher doses); clinical tolerance to prolonged infusions; concerns with hypersensitivity carditis (rare) Milrinone 0.375–0.75 μg/kg per min Hypotension, arrhythmia Decrease dose in renal insufficiency; avoid initial bolus; effectiveness retained in presence of beta blockers Levosimendan 0.1 μg/kg per min; range, 0.05–0.2 μg/kg per min Hypotension, arrhythmia Long acting; should not be used in presence of low blood pressure; similar effectiveness as dobutamine but effectiveness retained in presence of beta blockers Vasodilators   Use in presence of pulmonary congestion for rapid relief of dyspnea, in presence of a preserved blood pressure Nitroglycerin 10–20 μg/min, increase up to 200 μg/min Headache, flushing, tolerance Most common vasodilator but often underdosed; effective in higher doses Nesiritide Bolus 2 μg/kg and infusion at 0.01 μg/kg per min Hypotension Decrease in blood pressure may reduce renal perfusion pressure; bolus may be avoided since it increases hypotension predilection Nitroprusside 0.3 μg/kg per min titrated to 5 μg/kg per min Thiocyanate toxicity in renal insufficiency (&gt;72 h) Requires arterial line placement for titration for precise blood pressure management and prevention of hypotension Serelaxin N/A (tested at 30 μg/kg per d) Baseline blood pressure should be &gt;125 mmHg Not widely commercially available; ineffective in confirmatory trials Ularitide 15 ng/kg per min (48 h) Baseline blood pressure &gt;116 mmHg Excess hypotension and increased serum creatinine Diuretics   First line of therapy in volume overload with congestion; may use bolus or continuous dosing; initial low dose (1 × home dose) or high dose (2.5 × home dose) equally effective with higher risk of renal worsening with higher dose Furosemide 20–240 mg daily Monitor for electrolyte loss In severe congestion, use intravenously and consider continuous </w:t>
      </w:r>
      <w:r w:rsidRPr="00F23836">
        <w:lastRenderedPageBreak/>
        <w:t xml:space="preserve">infusion (not trial supported) Torsemide 10–100 mg daily Monitor for electrolyte loss High bioavailability, can be given orally; anecdotally more effective in advanced heart failure states if furosemide less bioavailable (due to gut congestion) Bumetanide 0.5–5 mg daily Monitor for electrolyte loss Can be used orally; intermediate bioavailability Adjuvant diuretics for augmentation N/A Metolazone, chlorthalidone, spironolactone, acetazolamide Acetazolamide is useful in presence of alkalosis (bicarbonate level &gt;27mEq/L); metolazone given in 2.5- to 10-mg doses; concomitant use of loop diuretics and thiazides associated with risk for severe hypokalemia, careful laboratory monitoring advised; spironolactone is useful in presence of severe hypokalemia and normal renal function Abbreviation: N/A, not applicable. Placebo ACE inhibitor/ARB β-Blockers (carvedilol, metoprolol succinate, bisoprolol) Mineralocorticoid receptor antagonist Higher Lower ARNI (instead of ACEI/ARB) Vericiguat Omecamtiv mecarbil SGLT-2 i Endothelin antagonists Xamoterol (mixed β-agonist/antagonist) Moxonidine (imidazoline receptor agonist) Oral inotropes (vesnarinone, flosequinan) • Erythropoietin for anemia • Warfarin/low-dose rivaroxaban to prevent thromboembolism (absent high-risk features) • SSRI for depression • Statins for HF • Adaptive servo-ventilation for central sleep apnea (increased mortality) Potentially Effective Ineffective Adjuncts • N-3 PUFA • Iron supplementation Special Populations • Hydralazine/isosorbide • Ivabradine Risk of mortality FIGURE 265-3 Progressive decline in mortality with angiotensin-converting enzyme (ACE) inhibitors (ACEIs) or angiotensin receptor blockers (ARBs), angiotensin receptor neprilysin inhibitors (ARNIs), beta blockers, mineralocorticoid receptor antagonists, sodium-glucose cotransporter-2 (SGLT-2) inhibitors, and balanced vasodilators (*selected populations such as African Americans). Addition of selected therapies (ivabradine, vericiguat) may further reduce heart failure (HF) hospitalization but does not substantially impact mortality. Further stack-on neurohormonal therapy is ineffective or results in worse outcome. Management of comorbidity (e.g., iron deficiency, sleep apnea) is of unproven efficacy. HFrEF, heart failure with reduced ejection fraction; PUFA, polyunsaturated fatty acid; SSRI, selective serotonin reuptake inhibitor. 1994 </w:t>
      </w:r>
      <w:r w:rsidRPr="00F23836">
        <w:rPr>
          <w:rFonts w:ascii="Arial" w:hAnsi="Arial" w:cs="Arial"/>
        </w:rPr>
        <w:t>■</w:t>
      </w:r>
      <w:r w:rsidRPr="00F23836">
        <w:t xml:space="preserve">NEUROHORMONAL ANTAGONISM PART 6 Disorders of the Cardiovascular System left ventricular dysfunction complication myocardial infarction) lacks the antiandrogen effects of spironolactone and may be a suitable alter native for patients who experience sexual side effects (gynecomastia, erectile dysfunction, diminished libido). </w:t>
      </w:r>
      <w:r w:rsidRPr="00F23836">
        <w:rPr>
          <w:rFonts w:ascii="Arial" w:hAnsi="Arial" w:cs="Arial"/>
        </w:rPr>
        <w:t>■</w:t>
      </w:r>
      <w:r w:rsidRPr="00F23836">
        <w:t xml:space="preserve">RAAS THERAPY AND NEUROHORMONAL </w:t>
      </w:r>
      <w:r w:rsidRPr="00F23836">
        <w:rPr>
          <w:rFonts w:ascii="Aptos" w:hAnsi="Aptos" w:cs="Aptos"/>
        </w:rPr>
        <w:t>“</w:t>
      </w:r>
      <w:r w:rsidRPr="00F23836">
        <w:t>ESCAPE</w:t>
      </w:r>
      <w:r w:rsidRPr="00F23836">
        <w:rPr>
          <w:rFonts w:ascii="Aptos" w:hAnsi="Aptos" w:cs="Aptos"/>
        </w:rPr>
        <w:t>”</w:t>
      </w:r>
      <w:r w:rsidRPr="00F23836">
        <w:t xml:space="preserve"> Meta-analyses suggest a 23% reduction in mortality and a 35% reduc tion in the combined endpoint of mortality and hospitalizations for HF in patients with symptomatic HFrEF treated with ACE inhibitors (ACEIs). Addition of </w:t>
      </w:r>
      <w:r w:rsidRPr="00F23836">
        <w:rPr>
          <w:rFonts w:ascii="Aptos" w:hAnsi="Aptos" w:cs="Aptos"/>
        </w:rPr>
        <w:t>β</w:t>
      </w:r>
      <w:r w:rsidRPr="00F23836">
        <w:t xml:space="preserve">-adrenergic receptor blockers to background therapy with ACEIs provides a further 35% reduction in mortality. Although placebo-controlled studies are lacking, several noninferior ity trials have demonstrated comparable efficacy of ARBs and ACEIs in patients with HFrEF, making ARBs a suitable alternative for patients who are intolerant to ACEIs due to cough or angioedema. Abundant data support the efficacy across the </w:t>
      </w:r>
      <w:r w:rsidRPr="00F23836">
        <w:lastRenderedPageBreak/>
        <w:t xml:space="preserve">full spectrum of HF severity (including those with NYHA class III–IV functional capacity), as well as the safety data of these agents. These observations demonstrate the basis for the tolerability of these agents even in subgroups at higher risk for adverse effects such as those with mild-moderate chronic kid ney disease. In diabetes mellitus and chronic obstructive lung disease, these agents have been established as foundational therapy for HFrEF as directed by consensus guidelines. Both agents are generally recom mended for all patients with HFrEF, independent of symptom burden, and should be titrated to the doses proven to provide clinical benefit or to the maximally tolerated dose. The inability to tolerate initiation or dose titration of neurohumoral antagonists due to hypotension, worsening HF, or progressive renal insufficiency is a poor prognos tic marker and may be a cardinal manifestation of transition to an advanced HF phenotype. Class Effect and Sequence of Administration ACEIs and ARBs exert their beneficial effects in HFrEF as a class; however, the beneficial effects of beta blockers are thought to be limited to spe cific drugs. Beta blockers with intrinsic sympathomimetic activity (xamoterol) and other agents, including bucindolol, have not dem onstrated a survival benefit. Based on the available data, beta blocker use in HFrEF should ideally be restricted to carvedilol, bisoprolol, and metoprolol succinate—agents tested and proven to improve survival in clinical trials. Whether beta blockers or ACEIs should be started first was answered by the Cardiac Insufficiency Bisoprolol Study (CIBIS) III, in which outcomes did not vary based on the sequence of drug initiation. Thus, it matters little which agent is initiated first; what does matter is that optimally titrated doses of both ACEIs and beta blockers be established in a timely manner. Dose and Outcome In general, the benefits of neurohumoral antagonists in HFrEF are closely related to the dose achieved, gird ing the rationale for aggressive titration to target doses as defined by clinical trials. Prospective trials of high- versus low-dose ACEIs (ATLAS), ARBs (HEAAL), and beta blockers (MOCHA) consistently favor the higher dose, with lower rates of death and HF hospitaliza tion seen in the higher-dose group. Clinical experience suggests that, in the absence of symptoms to suggest hypotension (fatigue and diz ziness), pharmacotherapy may be uptitrated every 2 weeks in stable ambulatory patients as tolerated. Notably, data from large registries in the United States and Europe suggest that guideline-directed medi cal therapy for patients with HFrEF is frequently underutilized and underdosed, leaving considerable room for quality improvement. </w:t>
      </w:r>
      <w:r w:rsidRPr="00F23836">
        <w:rPr>
          <w:rFonts w:ascii="Arial" w:hAnsi="Arial" w:cs="Arial"/>
        </w:rPr>
        <w:t>■</w:t>
      </w:r>
      <w:r w:rsidRPr="00F23836">
        <w:t xml:space="preserve">MINERALOCORTICOID RECEPTOR ANTAGONISTS Addition of mineralocorticoid receptor antagonists to treatment with ACEI/ARBs and beta blockers in patients with symptomatic HFrEF (NYHA class II–IV) is associated with further reductions in morbidity and mortality. Elevated aldosterone levels in HFrEF promote sodium retention, electrolyte imbalance, and endothelial dysfunction and may directly contribute to myocardial fibrosis. Hyperkalemia and worsen ing renal function are concerns, especially in patients with underly ing chronic kidney disease, and renal function and serum potassium levels must be closely monitored. Spironolactone is the most utilized agent in this class based on efficacy demonstrated in the Randomized Aldactone </w:t>
      </w:r>
      <w:r w:rsidRPr="00F23836">
        <w:lastRenderedPageBreak/>
        <w:t xml:space="preserve">Evaluation Study (RALES) in patients with HFrEF and NYHA class III–IV symptoms. Eplerenone (studied principally in patients with milder NYHA class II symptoms and those with HF or Since angiotensin II can be generated by non-ACE pathways, levels of angiotensin II may recover to pretreatment levels during long-term ACEI therapy. This phenomenon of neurohormonal “escape” has fueled interest in dual blockade of the RAAS using ACEI and ARBs in combination. In both the Valsartan Heart Failure Trial (Val-HeFT) and the Candesartan in Heart Failure Assessment of Reduction in Mortality and Morbidity (CHARM-Added) trial, addition of an ARB to an ACEI and other HF therapy was associated with a lower risk of HF hospitalizations. Since neither trial mandated an evidence-based dose of an ACEI, it remains unclear whether combination therapy was clearly superior to a strategy of maximizing a single agent through dose titration. Subsequent data from the Valsartan in Acute Myocar dial Infarction (VALIANT) trial suggested that the addition of the ARB valsartan to an evidence-based dose of the ACEI captopril in patients with HF complicating myocardial infarction was associated with an increase in adverse events without any added benefit compared with monotherapy for either group. The findings of the VALIANT trial are also informed by the Aliskiren Trial to Minimize Outcomes in Patients with Heart Failure (ATMOSPHERE), which randomly allocated 7016 patients with HFrEF to treatment with enalapril (targeted dose 10 mg twice daily as recommended by guidelines), the plasma renin inhibitor aliskiren, or the combination on top of standard HF therapy. In that study, combination treatment with aliskiren and enalapril was associ ated with higher rates of hyperkalemia, hypotension, and worsening renal function, but no incremental benefit regarding HF hospital ization or cardiovascular mortality. Together, these data argue for a ceiling of benefit of angiotensin inhibition in HFrEF, beyond which further inhibition brings more adverse effects without additional effi cacy. Guidelines discourage the combination of an ACEI, ARB, and spironolactone in HFrEF due to the risks of hyperkalemia and renal dysfunction, and for patients, treatment with either an ACEI or ARB and spironolactone is deemed most appropriate. </w:t>
      </w:r>
      <w:r w:rsidRPr="00F23836">
        <w:rPr>
          <w:rFonts w:ascii="Arial" w:hAnsi="Arial" w:cs="Arial"/>
        </w:rPr>
        <w:t>■</w:t>
      </w:r>
      <w:r w:rsidRPr="00F23836">
        <w:t xml:space="preserve">ALTERNATIVE VASODILATORS The combination of hydralazine and nitrates has been demonstrated to improve survival in HFrEF. Hydralazine reduces systemic vascular resistance and induces arterial vasodilatation by affecting intracellular calcium kinetics; nitrates are transformed in smooth muscle cells into NO, which stimulates cyclic guanosine monophosphate produc tion and consequent arterial-venous vasodilation. This combination improves survival but to a lesser extent than ACEIs. However, in individuals with HFrEF unable to tolerate RAAS-based therapy for reasons such as renal insufficiency or hyperkalemia, this combina tion is preferred as a disease-modifying approach. A trial conducted in self-identified African Americans, the African-American Heart Failure Trial (A-HeFT), studied a fixed dose of isosorbide dinitrate with hydralazine in patients with advanced symptoms of HFrEF who were receiving standard background therapy including an ACEI and beta blocker. The study demonstrated improvements in survival and hospital admission for HF in the treatment group. Adherence to this regimen is limited by the thrice-daily </w:t>
      </w:r>
      <w:r w:rsidRPr="00F23836">
        <w:lastRenderedPageBreak/>
        <w:t xml:space="preserve">dosing schedule. </w:t>
      </w:r>
      <w:r w:rsidRPr="00F23836">
        <w:rPr>
          <w:rFonts w:ascii="Arial" w:hAnsi="Arial" w:cs="Arial"/>
        </w:rPr>
        <w:t>■</w:t>
      </w:r>
      <w:r w:rsidRPr="00F23836">
        <w:t xml:space="preserve">NOVEL NEUROHORMONAL ANTAGONISTS Despite an abundance of animal and clinical data demonstrating deleterious effects of activated neurohormonal pathways beyond the RAAS and sympathetic nervous system, targeting such pathways with incremental blockade has been largely unsuccessful. As an example, the endothelin antagonist bosentan is associated with worsening HF in HFrEF despite demonstrating benefits in right-sided HF due to pul monary arterial hypertension. Similarly, the centrally acting sympa tholytic agent moxonidine worsens outcomes in left HF. The combined drug omapatrilat hybridizes an ACEI with a neutral endopeptidase (neprilysin) inhibitor, and this agent was tested in the Omapatrilat Heart Failure: Management 1995 CHAPTER 265 Versus Enalapril Randomized Trial of Utility in Reducing Events (OVERTURE) trial. This drug did not favorably influence the primary outcome measure of the combined risk of death or hospitalization for HF requiring intravenous treatment compared with enalapril alone, and notably, the risk of angioedema was increased in patients assigned to omapatrilat. The risk of angioedema with composite ACE/neprilysin inhibition appears to be related to excessive blockade of bradykinin breakdown by this combination. Blockade of angiotensin at the receptor level with an ARB leaves the ACE pathway for bradykinin breakdown intact and is associated with lower angioedema risk. Recently, a composite ARNI, sacubitril-valsartan (formerly LCZ696), was developed and applied to the treatment of patients with HFrEF. In the PARADIGM-HF trial, 8399 patients with HFrEF treated with guideline-directed medical therapy were randomly allocated to treatment with either enalapril or sacubitril-valsartan after a run-in period designed to ensure tolerabil ity of both drugs at target doses. Compared to those assigned to enala pril, patients assigned to sacubitril-valsartan experienced a dramatic 20% reduction in the composite primary endpoint of cardiovascular death or HF hospitalization and a 16% reduction in all-cause mortal ity, as well as clinically important improvements in QOL measures. Sacubitril-valsartan was well tolerated and associated with lower rates of hyperkalemia and worsening renal function, but greater rates of symptomatic hypotension, than enalapril. Guidelines now advocate a switch to ARNI for patients with symptomatic HFrEF who tolerate ACEIs and ARBs, and emerging data suggest that up-front utilization of ARNI in patients with de novo HF naïve to ACEIs/ARBs may also be appropriate for those with adequate blood pressure to tolerate it. Given ongoing concern for angioedema, use of ARNI is contraindi cated in patients with prior history of angioedema, and those being transitioned from ACEIs should receive ARNI only after a 36-h gap to limit the risk of overlap. Table 265-2 lists the common neurohormonal and vasodilator regimens for HFrEF. </w:t>
      </w:r>
      <w:r w:rsidRPr="00F23836">
        <w:rPr>
          <w:rFonts w:ascii="Arial" w:hAnsi="Arial" w:cs="Arial"/>
        </w:rPr>
        <w:t>■</w:t>
      </w:r>
      <w:r w:rsidRPr="00F23836">
        <w:t xml:space="preserve">HEART RATE MODIFICATION Distinct from β-adrenergic receptor blockers, ivabradine, an inhibi tor of the If current in the sinoatrial node, selectively reduces heart rate without affecting cardiac contractility or vascular tone. The Systolic Heart Failure Treatment with Ivabradine Compared with Placebo Trial (SHIFT) was conducted in patients with NYHA class II or III HFrEF, prior HF hospitalization, sinus rhythm, and heart rate &gt;70 beats/min. Ivabradine reduced the combined endpoint of cardiovascular-related death and HF </w:t>
      </w:r>
      <w:r w:rsidRPr="00F23836">
        <w:lastRenderedPageBreak/>
        <w:t xml:space="preserve">hospitalization in proportion to the degree of heart rate reduction, which supports the notion that heart rate may be a therapeutic target in patients with HFrEF in sinus rhythm. Importantly, despite a protocol requirement for patients to be treated with a maximally tolerated dose of a beta blocker prior to study entry, 10% of patients randomized were not treated with a beta blocker, and 75% were treated at subtarget doses. Accordingly, it remains unclear whether this agent would have been effective in patients receiving robust, guideline-recommended therapy for HF; however, these data do support the potential value of ivabradine as an adjunct or alternative in those who are intolerant to initiation or dose titration of beta blockers. Clinical guidelines have been adapted TABLE 265-2 Guideline-Directed Pharmacologic Therapy and Target Doses in Heart Failure with Reduced Ejection Fraction DRUG CLASS GENERIC DRUG MEAN DAILY DOSE IN CLINICAL TRIALS (mg) INITIATION (mg) TARGET DOSE (mg) Angiotensin-Converting Enzyme Inhibitors  Lisinopril 4.5–33 2.5–5 qd 20–35 qd Enalapril 17 2.5 bid 10–20 bid Captopril 123 6.25 tid 50 tid Trandolapril N/A 0.5–1 qd 4 qd Angiotensin Receptor Blockers  Losartan 129 50 qd 150 qd Valsartan 254 40 bid 160 bid Candesartan 24 4–8 qd 32 qd Aldosterone Antagonists  Eplerenone 42.6 25 qd 50 qd Spironolactone 26 12.5–25 qd 25–50 qd Beta Blockers  Metoprolol succinate CR/XL 159 12.5–25 qd 200 qd Carvedilol 37 3.125 bid 25–50 bid Bisoprolol 8.6 1.25 qd 10 qd Arteriovenous Vasodilators  Hydralazine isosorbide dinitrate 270/136 37.5/20 tid 75/40 tid Fixed-dose hydralazine/isosorbide dinitrate 143/76 37.5/20 qid 75/40 qid Angiotensin Receptor-Neprilysin Inhibitor  Sacubitril-valsartan 375 100 bid 200 bid SGLT-2 Inhibitor  Dapagliflozin Empagliflozin Sotagliflozin 10 10 200 10 qd 10 qd 200 qd 10 qd 10 qd 200 qd Novel Therapies  Vericiguat (sGC stimulator) 9.2 2.5 qd 10 qd Omecamtiv mecarbil (myosin activator) Not reported 25 bid Up to 50 mg bid (based on plasma concentrations) Abbreviations: sGC, soluble guanylyl cyclase; SGLT-2, sodium-glucose cotransporter 2. 1996 PART 6 Disorders of the Cardiovascular System to encourage consideration of ivabradine in patients with HFrEF who remain symptomatic after treatment with guideline-based ACEI/ARB/ ARNIs, beta blockers, and mineralocorticoid receptor antagonists; are in sinus rhythm; and have a residual heart rate &gt;70 beats/min. </w:t>
      </w:r>
      <w:r w:rsidRPr="00F23836">
        <w:rPr>
          <w:rFonts w:ascii="Arial" w:hAnsi="Arial" w:cs="Arial"/>
        </w:rPr>
        <w:t>■</w:t>
      </w:r>
      <w:r w:rsidRPr="00F23836">
        <w:t xml:space="preserve">SGLT-2 INHIBITION Inhibitors of SGLT-2 have been shown to reduce cardiovascular events and mortality among patients with type 2 diabetes mellitus at high cardiovascular risk or with established atherosclerotic cardiovascular disease. A particular signal of benefit has been seen regarding the inci dence of HF hospitalization, which was reduced by 35% in comparison to placebo in the Empagliflozin Cardiovascular Outcome Event Trial in Type 2 Diabetes Mellitus Patients (EMPA-REG OUTCOMES) study. Because the cardiovascular benefits of SGLT-2 inhibition appear to be unrelated to the degree of reduction in hemoglobin A1c , it has been postulated that the HF benefits of this therapy might be extended to patients without diabetes mellitus. Recently, the Dapagliflozin in Heart Failure (DAPA-HF) study randomized 4744 patients with symptom atic HFrEF treated with guideline-directed medical therapy (includ ing a beta blocker, ACEI/ARB/ARNI, and spironolactone in &gt;70% </w:t>
      </w:r>
      <w:r w:rsidRPr="00F23836">
        <w:lastRenderedPageBreak/>
        <w:t xml:space="preserve">of patients) to treatment with either the SGLT-2 inhibitor dapagliflozin (dosage 10 mg daily) or placebo over a median duration of follow up of 18.2 months. Patients allocated to dapagliflozin experienced a highly significant 26% reduction in the primary composite endpoint of worsening HF or death from cardiovascular causes, an effect that was consistent in both patients with (42%) and without diabetes mellitus at baseline. These results have been reinforced by the results of the EMPEROR-Reduced trial, in which 3730 patients with symptomatic HF and EF of ≤40% were randomized to treatment with empagliflozin (dosage 10 mg once daily) or placebo in addition to recommended therapy. Over a median 16-month follow-up, patients allocated to empagliflozin experienced a 25% reduction in the primary composite endpoint of cardiovascular death or hospitalization for HF, an effect that was again consistent regardless of the presence or absence of diabetes mellitus. Together, these studies have driven consensus guide lines to consider use of SGLT-2 inhibitors as foundational therapy for HF alongside ARNIs, beta blockers, and mineralocorticoid receptor antagonists. </w:t>
      </w:r>
      <w:r w:rsidRPr="00F23836">
        <w:rPr>
          <w:rFonts w:ascii="Arial" w:hAnsi="Arial" w:cs="Arial"/>
        </w:rPr>
        <w:t>■</w:t>
      </w:r>
      <w:r w:rsidRPr="00F23836">
        <w:t xml:space="preserve">SOLUBLE GUANYLYL CYCLASE STIMULATION Soluble guanylyl cyclase (sGC) is a key enzyme of the NO signaling pathway that catalyzes synthesis of cyclic guanosine monophosphate (GMP), producing vasodilation. Vericiguat is a novel oral sGC stimu lator that enhances cyclic GMP and NO signaling by directly stimu lating sGC and sensitizing sGC to endogenous NO. The Vericiguat Global Study in Subjects with Heart Failure with Reduced Ejection Fraction (VICTORIA) randomly assigned 5050 patients with chronic HF, NYHA class II–IV symptoms, LVEF 149 ms and a left bundle branch block pattern. Attempts to further optimize risk stratification and expand indications for CRT using modalities other than electrocardiography have proven disap pointing. Echocardiographically derived measures of dyssynchrony vary tremendously, and narrow QRS dyssynchrony has not proven to be a good target for treatment. Uncertainty surrounds the benefits of CRT in those with ADHF, a predominant right bundle branch block pattern, atrial fibrillation, and evidence of scar in the lateral wall, which is the precise location where the CRT lead is positioned. His-Purkinje conduction system or left bundle branch area pacing are evolving alter natives to biventricular pacing; however, the evidence supporting their benefits over conventional CRT remains less certain. SUDDEN CARDIAC DEATH PREVENTION IN HEART FAILURE Sudden cardiac death (SCD) due to ventricular arrhythmias is the mode of death in approximately half of patients with HF and is par ticularly proportionally prevalent in HFrEF patients with early stages of the disease. Patients who survive an episode of SCD are at very high risk and qualify for placement of an implantable cardioverter defibrillator (ICD). Although primary prevention is challenging, the degree of residual left ventricular dysfunction despite optimal medical therapy (≤35%) to allow for adequate remodeling and the underlying etiology (post–myocardial infarction or ischemic cardiomyopathy) are the two single most important risk markers for stratification of need and benefit. Currently, patients with NYHA class II or III symptoms of HF and an LVEF 68 years old) Abbreviations: HF, heart failure; ICD, implantable cardioverter-defibrillator; LVD, left </w:t>
      </w:r>
      <w:r w:rsidRPr="00F23836">
        <w:lastRenderedPageBreak/>
        <w:t xml:space="preserve">ventricular disease; LVEF, left ventricular ejection fraction; MI, myocardial infarction. approach, nor did it help to define a population unlikely to benefit if hibernation was not detected. Notably, a strategy of percutaneous cor onary revascularization in patients with ischemic left ventricular dys function in the REVIVED-BCIS2 study did not show clinical benefit. Surgical ventricular restoration (SVR), a technique character ized by infarct exclusion to remodel the left ventricle by reshaping it surgically in patients with ischemic cardiomyopathy and dominant anterior left ventricular dysfunction, has been proposed. However, in a 1000-patient trial in patients with HFrEF who underwent CABG alone or CABG plus SVR, the addition of SVR to CABG had no disease-modifying effect. However, left ventricular aneurysm surgery is still advocated in those with refractory HF, ventricular arrhythmias, or thromboembolism arising from an akinetic aneurysmal segment of the ventricle. Other remodeling procedures, such as use of an external mesh-like net attached around the heart to limit further enlargement, have not been shown to provide hard clinical benefits, although favor able cardiac remodeling was noted. Functional (or secondary) mitral regurgitation (MR) occurs with varying degrees in patients with HFrEF and dilated ventricles, and its severity is correlated inversely with prognosis. Annular dilatation and leaflet noncoaptation related to distorted papillary muscle geom etry in the context of ventricular remodeling is typically responsible, although in patients with ischemic heart disease and prior myocardial infarction, leaflet tethering and displacement may contribute. The primary approach to management of functional MR is optimization of guideline-directed medical therapy, followed by CRT in eligible patients, but relief may be incomplete for many patients with advanced HF. In these patients with HF and severe left ventricular dysfunc tion who are not candidates for surgical coronary revascularization, surgical mitral valve repair (MVR) to remedy functional MR car ries significant risk and remains controversial. The development of percutaneous approaches to edge-to-edge MVR has provided a less invasive approach that enables reduction in functional MR at lower risk than conventional surgery. Recently, two large, randomized tri als of transcatheter MVR using this approach have been conducted in patients with symptomatic HFrEF and moderate-severe functional MR. In the Cardiovascular Outcomes Assessment of the MitraClip Percutaneous Therapy for Heart Failure Patients with Functional Mitral Regurgitation (COAPT) study, patients allocated to MVR versus standard HF therapy experienced a marked reduction in both HF hospitalizations and mortality at 2 years, supporting the efficacy of this approach. In the second trial, Percutaneous Repair with the MitraClip Device for Severe Functional/Secondary Mitral Regurgi tation (MITRA-FR), which employed a similar design, the rates of CHAPTER 265 Heart Failure: Management 2000 PART 6 Disorders of the Cardiovascular System stability because most HF-related readmissions tend to occur within the first 2 weeks after discharge. The results of the recent STRONG-HF trial suggest that a strategy of intensive titration of medical therapy to guideline-recommended targets within 2 weeks of hospital discharge and frequent ambulatory follow-up through 2 months is associated with a substantial reduction in all-cause </w:t>
      </w:r>
      <w:r w:rsidRPr="00F23836">
        <w:lastRenderedPageBreak/>
        <w:t xml:space="preserve">mortality and HF readmis sion at 180 days, underscoring the importance of timely application of targeted pharmacologic therapy and intensive clinical surveillance in the early postdischarge interval. death or HF hospitalization did not differ between the percutaneous MVR and medical therapy groups. The precise reason for discrepant results between these studies remains unclear but may be related to differences in background utilization of guideline-directed medical therapy, procedural success rates, and patient selection (particularly whether the severity of MR is proportionate or disproportionate to the degree of left ventricular cavity dilation). Because mortality rates at 2 years remain high even with percutaneous MVR, patients with advanced symptoms of HF in whom MR severity is driven principally by end-stage left ventricular remodeling should also be considered for advanced therapies such as mechanical circulatory support if symp toms remain refractory to medical therapy. CELLULAR AND GENE-BASED THERAPY The cardiomyocyte possesses regenerative capacity, and such renewal is accelerated under conditions of stress and injury, such as an isch emic event or HF. Investigations that use either bone marrow–derived precursor cells or autologous cardiac-derived cells have gained trac tion but have not generally improved clinical outcomes in a convinc ing manner. More promising, however, are cardiac-derived stem cells. Two preliminary pilot trials delivering cells via an intracoronary approach have been reported. In one, autologous c-kit–positive cells isolated from the atria obtained from patients undergoing CABG were cultured and reinfused. In another, cardiosphere-derived cells grown from endomyocardial biopsy specimens were used. These small trials demonstrated improvements in left ventricular function but require far more work to usher in a clinical therapeutic success. Efforts to utilize mesenchymal stem cells to facilitate left ventricular recovery and weaning from mechanical circulatory support in patients with left ventricular assist devices have also been disappointing. The appropri ate route of administration, the quantity of cells to achieve a minimal therapeutic threshold, the constitution of these cells (single source or mixed), the mechanism by which benefit accrues, and short- and long term safety remain to be elucidated. Targeting molecular aberrations using gene transfer therapy, mostly with an adenoviral vector, has been tested in HFrEF. A cel lular target includes calcium cycling proteins such as inhibitors of phospholamban such as SERCA2a, which is deficient in patients with HFrEF. Primarily responsible for reincorporating calcium into the sarcoplasmic reticulum during diastole, this target was tested in the CUPID (Efficacy and Safety Study of Genetically Targeted Enzyme Replacement Therapy for Advanced Heart Failure) trial. This study used coronary arterial infusion of adeno-associated virus type 1 carrying the gene for SERCA2a and initially demonstrated that natriuretic peptides were decreased, reverse remodeling was noted, and symptomatic improvements were forthcoming. However, a confirmatory trial failed to meet its primary efficacy endpoint. The DREAM-HF trial was a randomized, double-blind, multicenter study of a single transendocardial administration of mesenchymal precur sor cells in patients in HFrEF. The primary and secondary endpoints of the trial were negative. More advanced therapies for late-stage </w:t>
      </w:r>
      <w:r w:rsidRPr="00F23836">
        <w:lastRenderedPageBreak/>
        <w:t xml:space="preserve">HF such as left ventricu lar assist devices and cardiac transplantation are covered in detail in Chap. 271. DISEASE MANAGEMENT AND SUPPORTIVE CARE Despite stellar outcomes with medical therapy, admission rates fol lowing HF hospitalization remain high, with nearly half of all patients readmitted to hospital within 6 months of discharge. Recurrent HF and related cardiovascular conditions account for only half of read missions in patients with HF, whereas other comorbidity-related conditions account for the rest. The key to achieving enhanced out comes must begin with the attention to transitional care at the index hospitalization with facilitated discharge through comprehensive discharge planning, patient and caregiver education, appropriate use of visiting nurses, and planned follow-up. Early postdischarge follow up, whether by telephone or clinic-based, may be critical to ensuring Although routinely advocated, intensive surveillance of weight and vital signs with use of telemonitoring has not decreased hospi talizations. Serial measurement of intrathoracic impedance has been utilized to identify early signals of worsening congestion to guide preemptive management to obviate the need for hospitalization. How ever, when systematically studied in randomized trials, this approach has not been proven to improve outcomes in comparison with routine HF care and may even enhance the rate of hospitalization due to the high frequency of impedance threshold crossings and device alerts. Implantable hemodynamic monitoring systems that directly measure pulmonary artery pressure tend to provide signals for early decom pensation, and in patients with HF and moderately advanced symp toms across the full spectrum of EF, such systems have been shown to provide information that can allow implementation of therapy to avoid hospitalizations by as much as 39% (in the CardioMEMS Heart Sensor Allows Monitoring of Pressure to Improve Outcomes in NYHA Class III Heart Failure Patients [CHAMPION] trial). More recently, in the larger Hemodynamic Guided Management of Heart Failure (GUIDE-HF) Trial, hemodynamic-guided management with the same sensor did not result in a lower rate of composite mortality and total HF events in the primary analysis, the results of which were confounded by the impact of the COVID-19 pandemic on overall hos pitalization rates. In a prespecified analysis of patients enrolled prior to the pandemic onset, there was a statistically significant reduction in the composite endpoint driven by lower rates of HF hospitalization in those assigned to the hemodynamic-guided therapy arm. Benefits were consistent across patients with prior HF hospitalization within 12 months and in those with elevated natriuretic peptide levels but no recent hospitalization. These data in aggregate suggest that hemody namic-guided management is a useful adjunct to routine clinical care in selected high-risk patients with chronic HF across the spectrum of EF. Alternate approaches to longitudinal HF monitoring that lever age multiparameter signals derived from implantable cardiac rhythm devices such as pacemakers and defibrillators to provide a global index of congestion are also being explored as adjuncts to longitudinal HF management. Once HF becomes advanced, regularly scheduled review of the disease course and options with the patient and family is recom mended, including discussions </w:t>
      </w:r>
      <w:r w:rsidRPr="00F23836">
        <w:lastRenderedPageBreak/>
        <w:t xml:space="preserve">surrounding end-of-life preferences when patients are comfortable in an outpatient setting. As the disease state advances further, integrating care with social workers, pharma cists, and community-based nursing may be critical in improving patient satisfaction with the therapy, enhancing QOL, and avoid ing HF hospitalizations. Equally important is attention to seasonal influenza vaccinations and periodic pneumococcal vaccines that may obviate non-HF hospitalizations in these ill patients. When nearing end of life, facilitating a shift in priorities to outpatient and hospice palliation is key, as are discussions around advanced therapeutics and continued use of ICD prophylaxis, which may worsen QOL and prolong death. Small, randomized trials have suggested that systematic integration of palliative care considerations in high-risk HF patients by a specialized team has been demonstrated to improve QOL, anxiety, depression, and spiritual well-being and to facilitate goal-concordant care. GLOBAL CONSIDERATIONS Substantial differences exist in the practice of HF therapeutics and outcomes by geographic location. The penetrance of CRT and ICD is higher in the United States than in Europe. Conversely, therapy unavailable in the United States, such as levosimendan, is designated 2001 as useful in Europe, although the usefulness is disputable. Variation in the benefits of beta blockers based on world region remains an area of controversy. In oral pharmacologic therapy trials of HFrEF, patients from southwest Europe have a lower incidence of ischemic cardiomy opathy and those in North America tend to have more diabetes and prior coronary revascularization. There is also regional variation in medication use even after accounting for indication. In trials of HF, disparate effects are noted across populations. As a recent example, in TOPCAT, the drug spironolactone was effective when used in the U.S. population, whereas patients recruited from Russia and con tiguous territories showed no difference. Whether this represents population differences or trial conduct disparity remains a serious question. ADHF patients in Eastern Europe tend to be younger, with higher EFs and lower natriuretic peptide levels. Patients from South America tend to have the lowest rates of comorbidities, revascular ization, and device use. In contrast, patients from North America have the highest comorbidity burden with high revascularization and device use rates. Given geographic differences in baseline char acteristics and clinical outcomes, the generalizability of therapeutic outcomes in patients in the United States and Western Europe may require verification. </w:t>
      </w:r>
      <w:r w:rsidRPr="00F23836">
        <w:rPr>
          <w:rFonts w:ascii="Arial" w:hAnsi="Arial" w:cs="Arial"/>
        </w:rPr>
        <w:t>■</w:t>
      </w:r>
      <w:r w:rsidRPr="00F23836">
        <w:t xml:space="preserve">FURTHER READING Anker SD et al: Empagliflozin in heart failure with a preserved ejection fraction. N Engl J Med 385:1451, 2021. Borlaug BA: The pathophysiology of heart failure with preserved ejection fraction. Nat Rev Cardiol 11:507, 2014. Braunwald E: Heart failure. JACC Heart Fail 1:1, 2013. Heidenreich PA et al: 2022 AHA/ACC/HFSA guideline for the management of heart failure: A report of the American College of Cardiology/American Heart Association Joint Committee on Clinical Practice Guidelines. Circulation 145:e895, 2022. Hein AM et al: Medical management of heart failure with reduced ejection fraction in patients with advanced renal disease. JACC Heart Fail 7:371, 2019. Hollenberg SM et al: 2019 ACC Expert Consensus Decision Pathway on Risk Assessment, Management, and Clinical </w:t>
      </w:r>
      <w:r w:rsidRPr="00F23836">
        <w:lastRenderedPageBreak/>
        <w:t xml:space="preserve">Trajectory of Patients Hospitalized with Heart Failure: A report of the American College of Cardiology Solution Set Oversight Committee. J Am Coll Cardiol 74:1966, 2019. Hussein AA, Wilkoff BL: Cardiac implantable electronic device therapy in heart failure. Circ Res 124:1584, 2019. Kittleson MM et al: 2023 ACC Expert Consensus Decision Pathway on Management of Heart Failure With Preserved Ejection Fraction: A report of the American College of Cardiology Solution Set Oversight Committee. J Am Coll Cardiol 81:1835, 2023. Kusumoto FM et al: HRS/ACC/AHA expert consensus statement on the use of implantable cardioverter-defibrillator therapy in patients who are not included or not well represented in clinical trials. Circu lation 130:94, 2014. McMurray JJ et al: Angiotensin-neprilysin inhibition versus enalapril in heart failure. N Engl J Med 371:993, 2014. McMurray JJV et al: Dapagliflozin in patients with heart failure and reduced ejection fraction. N Engl J Med 381:1995, 2019. Obadia JF et al: Percutaneous mitral valve repair or medical ther apy for secondary mitral regurgitation. N Engl J Med 379:2297, 2018. Packer M, Grayburn PA: Neurohormonal and transcatheter repair strategies for proportionate and disproportionate functional mitral regurgitation in heart failure. JACC Heart Fail 7:518, 2019. Packer M et al: Cardiovascular and renal outcomes with empagliflozin in heart failure. N Engl J Med 383:1413, 2020. Solomon SD et al: Angiotensin-neprilysin inhibition in heart failure with preserved ejection fraction. N Engl J Med 381:1609, 2019. Solomon SD et al: Dapagliflozin in heart failure with mildly reduced or preserved ejection fraction. N Engl J Med 387:1089, 2022. Stone GW et al: Transcatheter mitral valve repair in patients with heart failure. N Engl J Med 379:2307, 2018. Teerlink JR et al: Cardiac myosin activation with omecamtiv mecarbil in systolic heart failure. N Engl J Med 384:105, 2021. Velazquez EJ et al: Coronary-artery bypass surgery in patients with ischemic cardiomyopathy. N Engl J Med 374:1511, 2016. 266 Classification of Cardiomyopathy CHAPTER 266 Lynne Warner Stevenson, Neal K. Lakdawala, Joseph Loscalzo The term cardiomyopathy describes primary disease of the heart muscle itself, originally excluding myocardial dysfunction resulting from other cardiovascular disease. Common usage, however, often includes diagnoses of ischemic cardiomyopathy, valvular cardiomyopa thy, and hypertensive cardiomyopathy. The traditional morphologic classification defines the three major phenotypes of hypertrophic car diomyopathy (HCM), dilated cardiomyopathy (DCM), and restrictive cardiomyopathy (RCM) (Table 266-1). Classification of Cardiomyopathy Left ventricular wall thickness is increased (≥13–15 mm depending on context) and ejection fraction is normal or high with HCM. DCM is defined when the left ventricular ejection fraction (LVEF) is ≤0.50, but most clinical presentations are with LVEF ≤0.40. RCMs typically pres ent with mildly decreased ejection fraction and variably increased wall thickness and are often defined less by morphology than by evidence of abnormal diastolic physiology on echocardiography or invasive hemodynamic measurement. Although these phenotypes are helpful to guide initial evalua tion of clinical disease, the phenotypes increasingly overlap over time as there is increasing recognition that DCMs can respond to recommended therapies with “reverse remodeling” to higher ejec tion fraction and </w:t>
      </w:r>
      <w:r w:rsidRPr="00F23836">
        <w:lastRenderedPageBreak/>
        <w:t xml:space="preserve">smaller ventricles, while HCM evolves in ~5% of patients to a reduced ejection fraction (HCM-rEF) with more restric tive physiology. A fourth evolving phenotype with predominantly genetic causes is arrhythmogenic right ventricular cardiomyopathy (ARVC), originally termed arrhythmogenic right ventricular dysplasia, characterized by life-threatening arrhythmias and abnormal right ventricular structure and function, with variable expression in the left ventricle. As new phenotype-genotype connections are revealed, the terminology continues to evolve, as arrhythmogenic right ven tricular dysplasia may also be termed ACM-RV (arrhythmogenic cardiomyopathy–right ventricle predominant), in line with ACM-LV, in which the arrhythmias and structural changes are predominantly in the left ventricle. If the ACM terminology is expanded to include acquired disease, the granulomatous disease of sarcoidosis and the protozoal myocarditis of Chagas’ disease can both cause phenotypes with cardiomyopathy and ventricular arrhythmias that qualify as ACM-RV and ACM-LV. Reliance upon phenotypic presentation is diminishing as more is learned about the underlying causes of cardiomyopathy. The cata log is rapidly growing of pathogenic genetic variants that can lead to heritable cardiomyopathies, which new imaging techniques can now sometimes identify prior to clinical disease. Expanding knowledge of immune response pathways reveals how some aspects of myocardi tis may also be inherited and how they contribute to infectious and noninfectious inflammation that can cause clinical myocarditis and cardiomyopathy. Diagnosis and outcomes of clinical cardiomyopathies are further complicated by the frequent two-hit models where the clinical expression of a genetic predisposition to cardiomyopathy may 2002 PART 6 Disorders of the Cardiovascular System TABLE 266-1 Classification of Cardiomyopathies CARDIOMYOPATHY (CM) PHENOTYPE DIAGNOSTIC CRITERIA OTHER MORPHOLOGY COMMON CHALLENGES IN DIAGNOSIS Hypertrophic cardiomyopathy (HCM) Mid-range LVEF includes rare transition to HCM with LV systolic dysfunction (LVEF 0.60 LV chamber volume ≤normal. Patterns of LV hypertrophy (LVH) in HCM: • Asymmetric septal hypertrophy • Inverse (sigmoid pattern) septal hypertrophy • Concentric LVH • Apical hypertrophy Distinction from athlete’s heart and severe chronic hypertension The storage diseases of GLA (Anderson Fabry), PRKAG2, and LAMP2 (Danon’s), which can mimic HCM morphology Exclude aortic stenosis In older patients, exclude amyloidosis, which can also cause asymmetric septal thickening Restrictive cardiomyopathy (RCM) Least common cardiomyopathy (CM) phenotype Functional diagnosis based on moderate-severe diastolic dysfunction and/or elevated cardiac filling pressures. Wall thickness often increased but can appear normal. LVEF usually mildly reduced, occasionally normal. Usually marked atrial enlargement Although both ventricles affected, clinical right heart failure often dominates. Marked wall thickness suggests: • Amyloidosis • Inherited storage diseases • Inborn metabolic diseases Common etiologies of radiation, scleroderma-type connective tissue diseases, doxorubicin and other medications Some sarcomeric variants and storage diseases can appear with RCM as well as HCM phenotypes Although traditionally listed as restrictive, sarcoidosis </w:t>
      </w:r>
      <w:r w:rsidRPr="00F23836">
        <w:lastRenderedPageBreak/>
        <w:t xml:space="preserve">more often has morphology of regional wall motion abnormalities, DCM phenotype, or right ventricular (RV) involvement with systolic dysfunction Mid-range LVEF is often a transition in DCM, either deterioration from early DCM or improvement into DCM remission LV dilated cardiomyopathy (DCM) • Early: LVEF ≤0.50 and/or LVEDV &gt;112% normal for age/sex or LVEDD &gt;95% predicted sex/height • LVEF ≤0.40: threshold for traditionally recommended therapies for heart failure with low LVEF • Persistent LVEF ≤0.30–0.35: threshold for primary prevention ICD Can involve LV alone or with RV involvement either from primary cause or from secondary RV failure due to chronically elevated pulmonary artery pressures Structural heart disease such as coronary artery disease or infarction from other cause, primary valve disease Arrhythmogenic CM Dominant in LV (ACM-LV) Usually DCM, occasionally RCM Morphologic criteria generally those for DCM. Ventricular tachyarrhythmias dominate without or before severely reduced LVEF and heart failure. Primary prevention ICD considered even when LVEF &gt;0.35. Suggestive but not necessarily conclusive differences in patterns of late gadolinium enhancement between different variants Occasional ACM-LV with RCM phenotype For frequent PVCs or NSVT, may be difficult to distinguish PVC-related CM from genetic CM causing both the arrhythmias and the CM Arrhythmogenic CM Dominant in RV (ACM-RV; also termed ARVC) Biventricular arrhythmogenic CM Modified task force criteria from 2010 include combinations of major and minor criteria Ventricular arrhythmias and evidence of both ACM-RV and ACM-LV Abnormal RV function or structure Biventricular ACM often diagnosed from LGE in ventricle with less involvement Cardiac sarcoidosis can cause predominantly RV involvement with ventricular arrhythmias, RV wall motion abnormalities, aneurysms, and dilation Trait of LV noncompaction (LVNC) Implications determined by CM phenotype and genotype Often assessed by maximum ratio of noncompacted/compacted LV myocardium &gt;2.3 and other criteria Can occur with HCM, DCM, some dystrophies, and other syndromic presentations Can occur in normal hearts, pregnancy Increased prevalence in athletic hearts Abbreviations: ICD, implantable cardioverter-defibrillator; LGE, late gadolinium enhancement; LV, left ventricle; LVEDD, left ventricular end-diastolic dimension; LVEDV, left ventricular end-diastolic volume; LVEF, left ventricular ejection fraction; NSVT, nonsustained ventricular tachycardia; PVC, premature ventricular contraction. Mid-range LVEF (0.40–0.50) be triggered by acquired conditions such as infections, toxic exposures, pregnancy, or tachycardia. CLINICAL PRESENTATION AND EVALUATION OF CARDIOMYOPATHY Early symptoms of cardiomyopathy often reflect exertional intolerance with breathlessness or fatigue. Arrhythmias are often presenting events of unrecognized cardiomyopathy, which can also present with embolic events related to atrial fibrillation or apical ventricular thrombi. Car diomyopathy may often present first with the syndrome of congestion, with fluid retention and elevated left heart filling pressures causing shortness of breath with minimal activity or even at rest, particularly with orthopnea. It may be accompanied by elevated right-sided filling pressures causing edema and often abdominal symptoms. The non specific historical term congestive </w:t>
      </w:r>
      <w:r w:rsidRPr="00F23836">
        <w:lastRenderedPageBreak/>
        <w:t xml:space="preserve">heart failure describes the syndrome of congestion, which is common to diverse cardiac diagnoses such as congenital heart disease, primary pulmonary hypertension, and struc tural valve disease. “Congestive heart failure” should not be considered a diagnosis or an etiology of cardiomyopathy but a nonspecific syn drome requiring thorough evaluation of possible etiology/ies. Initial evaluation of possible cardiomyopathy begins with a detailed clinical history and examination seeking clues to cardiac, genetic, and systemic causes of heart disease, which help to guide subsequent evaluation (Table 266-2). Echocardiography remains the initial imaging modality to define morphology and function, with increasing use of magnetic resonance imaging to provide further information on myocardial tissue charac terization, patterns of fibrosis indicated by late gadolinium enhance ment, and T1 and T2 mapping for evidence of focal and diffuse inflammation. TABLE 266-2 Initial Evaluation of Cardiomyopathy 267 2003 Clinical Evaluation Thorough history and physical examination to identify cardiac and noncardiac disorders Detailed family history of heart failure, cardiomyopathy, skeletal myopathy, conduction disorders, tachyarrhythmias, and sudden death History of alcohol, illicit drugs, chemotherapy or radiation therapy Assessment of changing ability to perform routine and desired activities Assessment of jugular venous pressure, edema, orthostatic blood pressure, adequacy of perfusion Laboratory Evaluation Electrocardiogram Chest radiograph Two-dimensional and Doppler echocardiogram Magnetic resonance imaging for evidence of myocardial inflammation and fibrosis Chemistry: Serum sodium, potassium, calcium, magnesium Fasting glucose (glycohemoglobin in diabetes mellitus) Creatinine, blood urea nitrogen Albumin, total protein, liver function tests Lipid profile Thyroid-stimulating hormone Serum iron, transferrin saturation Urinalysis Creatine kinase isoforms Cardiac troponin level Hematology: Hemoglobin/hematocrit White blood cell count with differential Total eosinophil count if abnormal % on differential Erythrocyte sedimentation rate Evaluation When Specific Diagnoses Are Suspected Respiratory pathogen panel during acute respiratory syndromes Diagnosis of other specific infections such as: Human immunodeficiency virus Chagas’ disease (Trypanosoma cruzi) Lyme disease (Borrelia burgdorferi) and other tick-borne diseases Toxoplasmosis Trichinosis Genetic counseling and testing with multigene cardiomyopathy panel Serologies for active rheumatologic disease Endomyocardial biopsy including sample for electron microscopy when suspecting specific diagnosis with therapeutic implications Catheterization with coronary angiography in patients who have evidence of ischemia/infarction and are candidates for intervention </w:t>
      </w:r>
      <w:r w:rsidRPr="00F23836">
        <w:rPr>
          <w:rFonts w:ascii="Arial" w:hAnsi="Arial" w:cs="Arial"/>
        </w:rPr>
        <w:t>■</w:t>
      </w:r>
      <w:r w:rsidRPr="00F23836">
        <w:t xml:space="preserve">FURTHER READING Arbelo E et al: 2023 ESC guidelines for the management of cardiomy opathies. Eur Heart J 44:3503, 2023. Elliott P: Towards a new classification of cardiomyopathies. Curr Cardiol Rep 25:229, 2023. Kontorovich AR: Approaches to genetic screening in cardiomy opathies: Practical guidance for clinicians. JACC Heart Fail 11:133, 2023. Merlo M et al: Clinical application of CMR in cardiomyopathies: Evolving concepts and techniques: A position paper of myocardial and pericardial diseases and cardiac magnetic resonance </w:t>
      </w:r>
      <w:r w:rsidRPr="00F23836">
        <w:lastRenderedPageBreak/>
        <w:t xml:space="preserve">work ing groups of Italian Society of Cardiology. Heart Fail Rev 28:77, 2023. Genetic Cardiomyopathies Neal K. Lakdawala, Lynne Warner Stevenson, Joseph Loscalzo Each of the traditional morphologic forms of cardiomyopathy, hyper trophic, dilated, and restrictive, can be caused or modified by under lying genetic factors (Table 267-1). Estimates for the prevalence of a genetic etiology for cardiomyopathy continue to rise, with increasing availability of genetic testing and attention to the family history. Well recognized in hypertrophic cardiomyopathy, heritability is also pres ent in at least 30% of dilated cardiomyopathy (DCM) without other clear etiology. Careful family history should elicit information about not only known cardiomyopathy and heart failure, but also family members who have had sudden death, often incorrectly attributed to a “heart attack,” who have had atrial fibrillation or pacemaker implanta tion by middle age, or who have muscular dystrophy. Most familial cardiomyopathies are inherited in an autosomal domi nant pattern, with occasional autosomal recessive, matrilineal (mito chondrial), and X-linked inheritance (Table 267-1). Missense variants with amino acid substitutions and truncating variants are the most common genetic abnormalities in cardiomyopathy. Expressed mutant proteins may interfere with function of the normal allele through a dominant negative mechanism. Variants introducing a premature stop codon (nonsense) or shift in the reading frame (frameshift) may create a truncated or unstable protein, the lack of which causes cardiomyopa thy (haploinsufficiency). In some forms of genetic DCM, both haplo insufficiency and the dominant negative effect of a truncated allele may contribute to pathophysiology. Deletions or duplications of an entire exon or gene are uncommon causes of cardiomyopathy, except for the dystrophinopathies. Many different genes have been implicated in human cardiomyopa thy (locus heterogeneity), and many pathogenic or likely pathogenic variants (i.e., variants) within those genes have been associated with disease (allelic heterogeneity). Although most identified variants are “private” to individual families, several specific variants are found repeatedly, either due to a founder effect or recurrent variants at a com mon residue. While most patients with genetic cardiomyopathy have a single rare, “high effect,” disease allele, there is a growing appreciation for the effect of multiple less rare “intermediate effect” alleles on pen etrance and expression. While the additive effects of multiple common alleles/variants captured as a polygenic risk score have shown greatest utility in common diseases such as atherosclerosis, they may also pro vide insight into the subset of patients with primary cardiomyopathy without an identifiable “high effect” allele. Genetic cardiomyopathy is characterized by age-dependent and incomplete penetrance. The defining phenotype of cardiomyopathy is rarely present at birth and, in some individuals, may never mani fest. Related individuals who carry the same variant may differ in the severity and rate of progression of cardiac dysfunction and associ ated rhythm disorders, indicating the important role of other genetic, epigenetic, and environmental modifiers in disease expression. Sex appears to play a role, as penetrance and clinical severity may be greater in men for most cardiomyopathies. The clinical course of a patient usu ally cannot be predicted based </w:t>
      </w:r>
      <w:r w:rsidRPr="00F23836">
        <w:lastRenderedPageBreak/>
        <w:t xml:space="preserve">on which variant is present; thus, cur rent therapy is based on the phenotype rather than the genetic defect. Currently, the greatest utility of genetic testing for cardiomyopathy is to inform family evaluations. However, genetic testing can provide risk stratification in some forms of cardiomyopathy and occasion ally enables the detection of a disease for which specific therapy is indicated, such as the replacements for defective metabolic enzymes in Fabry’s disease and Gaucher’s disease. Moreover, clinical trials are interrogating the role of gene therapies for cardiomyopathy, which will provide greater impetus for genetic testing. CHAPTER 267 Genetic Cardiomyopathies 2004 PART 6 Disorders of the Cardiovascular System TABLE 267-1 Selected Genetic Defects Associated with Cardiomyopathy  GENE PRODUCT INHERITANCE CARDIAC PHENOTYPE ISOLATED CARDIAC PHENOTYPEa EXTRACARDIAC MANIFESTATIONS Sarcomere ACTC1 (cardiac actin) AD HCM, DCM Yes   MYH7 (β myosin heavy chain) AD HCM, DCM, LVNC Yes Skeletal myopathy MYBPC3 (myosin binding protein C) AD HCM Yes  TNNT2 (cardiac troponin T) AD HCM, DCM, LVNC Yes  TNNI3 (cardiac troponin I) AD, AR HCM, DCM, RCM Yes  TTN (Titin) AD DCM Yes  TPM1 (α-tropomyosin) AD HCM, DCM Yes  TNNC1 (cardiac troponin C) AD DCM Yes  MYL2 (myosin regulatory light chain) AD HCM Yes Skeletal myopathy MYL3 (myosin essential light chain) AD HCM Yes  Z-disk and cytoskeleton DES (desmin) AD RCM, DCM Yes Skeletal myopathy FLNC (filamin C) AD DCM Yes Skeletal myopathy NEXN (nexilin) AD DCM Yes  VCL (vinculin) AD DCM Yes  Nuclear membrane LMNA (lamin A/C) AD, AR CDDC Yes Skeletal myopathy  EMD (emerin) X-linked CDDC No Skeletal myopathy, contractures Excitation contraction coupling PLN (phospholamban) AD DCM, ARVC Yes   SCN5A (NAV 1.5) AD CDDC Yes Note other variants associated with Brugada syndrome RYR2 (cardiac ryanodine receptor) AD ARVC Yes  CASQ2 (calsequestrin 2) AR ARVC Yes  Cellular metabolism PRKAG2 (γ-subunit of AMP kinase) AD HCM+ Yes  LAMP2 (lysosomal associated membrane protein) X-linked HCM+ Nob Danon’s disease: skeletal myopathy, cognitive impairment TAZ (tafazzin) X-linked DCM, LVNC No Barth’s syndrome: skeletal myopathy, cognitive impairment, neutropenia FXN (frataxin) AR HCM No Friedreich’s ataxia: ataxia, diabetes mellitus type 2 TMEM43 (transmembrane protein 43) AD ARVC Yes  GLA (α-galactosidase-A) X-linked HCM+ No Fabry’s disease: renal failure, angiokeratomas and painful neuropathy Mitochondria Mitochondrial DNA Maternal transmission DCM, HCM No MELAS, MERRF, Kearns-Sayre syndrome, ocular myopathy Sarcolemmal membrane DMD (dystrophin) X-linked DCM Nob Duchenne’s and Becker’s muscular dystrophy DMPK (dystrophica myotonica protein kinase) AD DCM No Myotonic dystrophy type 1 Desmosome DSP (desmoplakin), JUP (plakoglobin) AD, AR ARVC, DCM Yes Carvajal syndrome (AR), Naxos syndrome (AR), “woolly hair” and hyperkeratosis of palms and soles DSG2 (desmoglein 2), DSC2 (desmocollin 2), PKP2 (plakophilin 2) AD ARVC Yes  Other examples RBM20 (RNA binding motif 20) AD DCM Yes   BAG3 (BCL2-associated athanogene 3) AD DCM Yes  ALPK3 (α-kinase 3) AR HCM Yes  aIndicates that the usual clinical presentation is of isolated cardiomyopathy; however, occasionally present extracardiac manifestations are also provided. bIndicates that isolated cardiac </w:t>
      </w:r>
      <w:r w:rsidRPr="00F23836">
        <w:lastRenderedPageBreak/>
        <w:t xml:space="preserve">phenotype can occur in women with the X-linked defects. Abbreviations: AD, autosomal dominant; AR, autosomal recessive; ARVC, arrhythmogenic right ventricular cardiomyopathy; CDDC, conduction disease with dilated cardiomyopathy; DCM, dilated cardiomyopathy; HCM, hypertrophic cardiomyopathy; HCM+, HCM with preexcitation; LVNC, left ventricular noncompaction; MELAS, (mitochondrial) myopathy, encephalopathy, lactic acidosis, and strokelike episodes syndrome; MERRF, myoclonic epilepsy with ragged red fibers; RCM, restrictive cardiomyopathy. The genetic architecture of hypertrophic, dilated, arrhythmogenic, and restrictive cardiomyopathy are overlapping, summarized in Table 267-1 and Fig. 267-1 and detailed in the subsequent sections organized by phenotype. For any patient with suspected or proven genetic disease, family members should be considered and evaluated in a longitudinal fashion. Screening generally includes both an echocardiogram and electrocar diogram (ECG). The indications and implications for confirmatory specific genetic testing vary depending on the specific variant. The profound questions raised by families about diseases shared and passed down merit serious and sensitive discussion, ideally provided by a trained genetic counselor. 2005 FIGURE 267-1 Drawing of myocyte indicating multiple sites of abnormal gene products associated with cardiomyopathy. Major functional groups include the sarcomeric proteins (actin, myosin, tropomyosin, and the associated regulatory proteins), the dystrophin complex stabilizing and connecting the cell membrane to intracellular structures, the desmosome complexes associated with cell-cell connections and stability, and multiple cytoskeletal proteins that integrate and stabilize the myocyte. ATP, adenosine triphosphate. (Figure adapted from Jeffrey A. Towbin, MD, University of Tennessee Health Science Center.) HYPERTROPHIC CARDIOMYOPATHY </w:t>
      </w:r>
      <w:r w:rsidRPr="00F23836">
        <w:rPr>
          <w:rFonts w:ascii="Arial" w:hAnsi="Arial" w:cs="Arial"/>
        </w:rPr>
        <w:t>■</w:t>
      </w:r>
      <w:r w:rsidRPr="00F23836">
        <w:t xml:space="preserve">EPIDEMIOLOGY, ETIOLOGY, AND PATHOLOGY Hypertrophic cardiomyopathy is defined as left ventricular hypertro phy that develops in the absence of causative hemodynamic factors, such as hypertension, aortic valve disease, or systemic infiltrative or storage diseases (Figs. 267-2 and 267-3). It has previously been termed hypertrophic obstructive cardiomyopathy (HOCM); however, the accepted terminology is now hypertrophic cardiomyopathy with or without obstruction. Prevalence in North America, Africa, and Asia is about 1:500. It is a leading cause of sudden death in the young and is an important cause of heart failure. Pediatric presentation is associated with increased early morbidity and mortality, and patients diagnosed as adults have decreased survival compared to age-matched individuals without hypertrophic cardiomyopathy. A sarcomere gene variant is present in ~40–50% of patients with hypertrophic cardiomyopathy and is more common in those with familial disease and characteristic asymmetric septal hypertrophy. More than nine different genes with &gt;1500 variants have been impli cated, although ~80% of patients have a variant in either MYH7 or MYBPC3 (Table 267-1), which encode the thick myofilament of the sarcomere. Hypertrophic cardiomyopathy is characterized by age-dependent and incomplete penetrance. The defining phenotype of left ventricular hypertrophy is rarely present at birth and usually develops later in life. Women appear to </w:t>
      </w:r>
      <w:r w:rsidRPr="00F23836">
        <w:lastRenderedPageBreak/>
        <w:t xml:space="preserve">have lower penetrance of sarcomere variants and an older age at hypertrophic cardiomyopathy diagnosis but subsequently increased rates of heart failure and mortality thereafter. Accordingly, screening of family members should begin in childhood, usually at adolescence, and extend through adulthood. In MYBPC3 variant carriers, the average age of disease development is ~40 years, while 30% remain free from hypertrophy after 70 years. Related individuals who carry the same variant may have a different extent and pattern of hypertrophy (e.g., asymmetric vs concentric), occurrence of outflow tract obstruction, and associated clinical outcomes, although sudden death and progression to heart failure occur more commonly in fami lies with that history. At the level of the sarcomere, hypertrophic cardiomyopathy variants lead to enhanced calcium sensitivity, maximal force generation, and ATPase activity. Calcium handling is affected through modification of regulatory proteins. Sarcomere variants lead to abnormal energetics and impaired relaxation, both directly and as a result of hypertrophy. Hypertrophic cardiomyopathy is characterized by misalignment and disarray of the enlarged myofibrils and myocytes (Fig. 267-4), which can also occur to a lesser extent in other cardiac diseases. Although hypertrophy is the defining feature of hypertrophic cardiomyopathy, fibrosis and microvascular disease are also present. Interstitial fibrosis is detectable before overt hypertrophy develops and likely results from early activation of profibrotic pathways. In the majority of patients with overt cardiomyopathy, focal areas of replacement fibrosis can be readily CHAPTER 267 Genetic Cardiomyopathies 2006 PART 6 Disorders of the Cardiovascular System LV Septum MV LA FIGURE 267-2 Hypertrophic cardiomyopathy. This echocardiogram of hypertrophic cardiomyopathy shows asymmetric hypertrophy of the septum compared to the lateral wall of the left ventricle (LV). The mitral valve (MV) is moving anteriorly toward the hypertrophied septum in systole. The left atrium (LA) is enlarged. Note that the echocardiographic and pathologic images are vertically opposite, such that the LV is by convention on the top right in the echocardiographic image and bottom right in the pathologic images. (Image courtesy of Justina Wu, MD, Brigham and Women’s Hospital, Boston.) Mitral valve LV free wall LV Chamber IVS FIGURE 267-3 Hypertrophic cardiomyopathy. Gross specimen of a heart with hypertrophic cardiomyopathy removed at the time of transplantation, showing asymmetric septal hypertrophy (septum much thicker than left ventricular free wall) with the septum bulging into the left ventricular outflow tract causing obstruction. The forceps are retracting the anterior leaflet of the mitral valve, demonstrating the characteristic plaque of systolic anterior motion, manifest as endocardial fibrosis on the interventricular septum in a mirror-image pattern to the valve leaflet. There is patchy replacement fibrosis, and small thick-walled arterioles can be appreciated grossly, especially in the interventricular septum. IVS, interventricular septum; LV, left ventricle; RV, right ventricle. (Image courtesy of Robert Padera, MD, PhD, Department of Pathology, Brigham and Women’s Hospital, Boston.) FIGURE 267-4 Hypertrophic cardiomyopathy. Microscopic image of hypertrophic cardiomyopathy showing the characteristic disarrayed myocyte architecture with </w:t>
      </w:r>
      <w:r w:rsidRPr="00F23836">
        <w:lastRenderedPageBreak/>
        <w:t xml:space="preserve">swirling and branching rather than the usual parallel arrangement of myocyte fibers. Myocyte nuclei vary markedly in size, and interstitial fibrosis is present. (Image courtesy of Robert Padera, MD, PhD, Department of Pathology, Brigham and Women’s Hospital, Boston.) Tricuspid valve RV free wall RV Chamber detected with magnetic resonance imaging (MRI). These areas of “scar” may represent substrate for the development of ventricular arrhyth mias. Increased thickness and decreased luminal area of the intramural vessels in hypertrophied myocardium contribute to microvascular ischemia and angina. Microinfarction of hypertrophied myocardium is a hypothesized mechanism for replacement scar formation. Macroscopically, hypertrophy is typically manifest as nonuniform ventricular thickening (Fig. 267-3). The interventricular septum is the typical location of maximal hypertrophy, although other patterns of hypertrophic remodeling include concentric and midventricular. Hypertrophy confined to the ventricular apex (apical hypertrophic car diomyopathy) is less often familial and has a different genetic substrate, with sarcomere variants present in only ~15%. Left ventricular outflow tract obstruction represents the most common focus of diagnosis and intervention, although diastolic dysfunction, myocardial fibrosis, and microvascular ischemia also contribute to contractile dysfunction and elevated intracardiac pressures. Obstruction is present in ~30% of patients at rest and can be provoked by exercise in another ~30%. Systolic obstruction is initiated by drag forces, which push an anteri orly displaced and enlarged anterior mitral leaflet into contact with the hypertrophied ventricular septum. Mitral leaflet coaptation may ensue, leading to posteriorly directed mitral regurgitation. To maintain stroke volume across outflow tract obstruction, the ventricle generates higher pressures, leading to higher wall stress and myocardial oxygen demand. Smaller chamber size and increased contractility exacerbate the sever ity of obstruction. Conditions of low preload, such as dehydration, and low afterload, such as arterial vasodilation, may lead to transient hypotension and near-syncope. The systolic ejection murmur of left ventricular outflow tract obstruction is harsh and late peaking and can be enhanced by bedside maneuvers that diminish ventricular volume and transiently worsen obstruction, such as the Valsalva maneuver or standing from a squatting position. </w:t>
      </w:r>
      <w:r w:rsidRPr="00F23836">
        <w:rPr>
          <w:rFonts w:ascii="Arial" w:hAnsi="Arial" w:cs="Arial"/>
        </w:rPr>
        <w:t>■</w:t>
      </w:r>
      <w:r w:rsidRPr="00F23836">
        <w:t xml:space="preserve">DIAGNOSIS The substantial variability of hypertrophic cardiomyopathy pathology is reflected in the diversity of clinical presentations. Patients may be diagnosed after undergoing evaluations triggered by the abnormal physical findings (murmur) or by symptoms of exertional dyspnea, angina, or syncope. Alternatively, diagnosis may follow evaluations prompted by the detection of disease in family members. Cardiac imaging (Fig. 267-2) is central to diagnosis, for which the physical examination and ECG are insensitive. The identification of a disease causing variant in a proband can focus family evaluations on variant carriers, but this strategy requires a high degree of certainty that the 2007 variant is truly pathogenic and not a benign DNA variant. Biopsy is not recommended to diagnose hypertrophic cardiomyopathy but can be used to exclude infiltrative and metabolic diseases. Rigorous athletic training (athlete’s heart) may cause intermediate degrees of </w:t>
      </w:r>
      <w:r w:rsidRPr="00F23836">
        <w:lastRenderedPageBreak/>
        <w:t xml:space="preserve">physiologic hypertrophy difficult to differentiate from mild hypertrophic cardio myopathy. Unlike hypertrophic cardiomyopathy, hypertrophy in the athlete’s heart regresses with cessation of training and is accompanied by supernormal exercise capacity (VO2max &gt;50 mL/kg per min), mild ventricular dilation, and normal diastolic function. TREATMENT Hypertrophic Cardiomyopathy Management focuses on treatment of symptoms and prevention of sudden death and stroke (Fig. 267-5). Left ventricular outflow tract obstruction can be controlled medically in the majority of patients. β-Adrenergic blocking agents and L-type calcium channel block ers (e.g., verapamil) are first-line agents that reduce the severity of obstruction by slowing heart rate, enhancing diastolic filling, and decreasing contractility. Persistent symptoms of exertional dyspnea or chest pain can be controlled occasionally with the addition of disopyramide, an antiarrhythmic agent with potent negative ino tropic properties. The recently introduced small-molecule cardiac myosin inhibitors mavacamten (U.S. Food and Drug Administra tion approved) and aficamten (under investigation) have shown high efficacy in the treatment of symptomatic obstructive hyper trophic cardiomyopathy, including in patients with persistent symptoms despite treatment with a beta blocker and/or those Hypertrophic Cardiomyopathy In all patients, evaluate risk for sudden death No considering septal reduction therapy. The principal risk of cardiac myosin inhibitors is a transient reduction in left ventricular ejec tion fraction (LVEF), which warrants frequent echocardiographic monitoring. Patients with or without obstruction may develop heart failure symptoms due to fluid retention and require diuretic therapies for venous congestion. Severe medically refractory symptoms develop in ~5% of patients, for whom septal reduction therapy with surgical myectomy or alcohol septal ablation may be effec tive. Developed over 60 years ago, surgical myectomy effectively relieves outflow tract obstruction by excising part of the septal myocardium involved in the dynamic obstruction. In selected patients, perioperative mortality is extremely low with excellent long-term survival free from recurrent obstruction and symp toms. Mitral valve repair or replacement is usually unnecessary as associated eccentric mitral regurgitation resolves with myectomy alone. Alcohol septal ablation in patients with suitable coronary anatomy can relieve outflow tract obstruction via a controlled infarction of the proximal septum, which produces similar peri procedural outcomes and gradient reduction as surgical myec tomy. Although head-to-head comparisons between the two septal reduction therapies do not exist, septal ablation is relegated pri marily to patients who wish to avoid surgery or who have limiting comorbidities. Neither procedure has been shown to improve outcomes other than symptoms. With both procedures, the most common complication is the development of complete heart block necessitating permanent pacing. However, ventricular pacing as a primary therapy for outflow tract obstruction is ineffective and not generally advised. Symptomatic? If high, consider ICD If low, follow with serial evaluation Evidence of fluid retention? Use diuretics with caution to avoid hypovolemia, particularly in presence of outflow gradient Yes Yes Titrate beta blocker and/or calcium </w:t>
      </w:r>
      <w:r w:rsidRPr="00F23836">
        <w:lastRenderedPageBreak/>
        <w:t xml:space="preserve">channel blocker Persistent symptoms No Outflow gradient? Evidence of severe progressive LV dysfunction? Yes Try mavacamten or disopyramide No Reevaluate cause of symptoms Yes Rarely, consider cardiac transplantation Refractory severe symptoms Consider procedure Septal ablation Septal myectomy FIGURE 267-5 Treatment algorithm for hypertrophic cardiomyopathy depending on the presence and severity of symptoms and the presence of an intraventricular gradient with obstruction to outflow. Note that all patients with hypertrophic cardiomyopathy should be evaluated for atrial fibrillation and risk of sudden death, whether or not they require treatment for symptoms. ICD, implantable cardioverter-defibrillator; LV, left ventricular. CHAPTER 267 Genetic Cardiomyopathies 2008 PART 6 Disorders of the Cardiovascular System cardioverter-defibrillator implantation for primary prevention has emphasized discussions of estimated risk levels rather than dichoto mous yes–no criteria. Long-term use of a defibrillator may be associated with serious device-related complications, particularly in young active patients. Refinement of sudden death risk through the application of contemporary technologies such as cardiac MRI is ongoing. Patients with hypertrophic cardiomyopathy have an increased risk of sudden cardiac death from ventricular tachyarrhythmias. Vigorous physical activity and competitive sports have been his torically prohibited; however, recent studies have failed to identify a relationship between exertion and ventricular arrhythmias in hypertrophic cardiomyopathy, empowering patients and provid ers to make shared decisions about exercise. Factors that increase the risk of sudden death from a baseline of 0.5% per year are pre sented in Table 267-2. As sudden death has not been reduced by medical or procedural interventions, traditionally an implantable cardioverter-defibrillator has been advised for patients with one or more major risk factors and advised on a selected basis for patient with more than one modifying risk factor. Nevertheless, the posi tive predictive value of most risk factors is low, and many patients receiving a defibrillator never receive an appropriate device therapy. A complementary approach to sudden death risk stratification and discussion with patients is the application of an externally validated European Society of Cardiology risk score using major criteria from Table 267-2 and continuous variables such as outflow tract gradi ent and left atrial size. Shared decision-making around implantable TABLE 267-2 Risk Stratification for Sudden Death in Hypertrophic Cardiomyopathy MAJOR RISK FACTOR  History of cardiac arrest or spontaneous sustained ventricular tachycardiaa Syncope Family history of sudden cardiac death Left ventricular apical aneurysm LV thickness &gt;30 mm LV systolic dysfunction (ejection fraction 3 beats at rate &gt;120 Echocardiography with contrast, cardiac magnetic resonance imaging Echocardiography or cardiac magnetic resonance imaging Echocardiography or cardiac magnetic resonance imaging Echocardiography Echocardiography Echocardiography As above Cardiac magnetic resonance imaging Exercise or 24-h to 48-h ambulatory recording aImplantable cardioverter-defibrillator advised for patients with prior arrest or sustained ventricular tachycardia regardless of other risk factors if life expectancy is estimated to be &gt;1 year. The European Society of </w:t>
      </w:r>
      <w:r w:rsidRPr="00F23836">
        <w:lastRenderedPageBreak/>
        <w:t xml:space="preserve">Cardiology risk calculator can be found at https://doc2do.com/hcm/webHCM.html and provides an estimated 5-year risk of cardiac arrest. Patients with estimated risk of ≥6% are generally advised placement of an implantable cardioverter-defibrillator; those with risk between 4 and 6% can be considered for implant, and implant is not advised when risk is 95% predicted for age and sex. In some patients with reduced LVEF, the left ventricular dilation is minimal, sometimes referred to as nondilated or minimally dilated cardiomy opathy (Figs. 267-6, 267-7, and 267-8). While diverse etiologies may cause DCM and arrhythmogenic car diomyopathy (ACM), familial clustering is present in ~30–40% of cases and monogenic etiologies can be identified in ~25%. Sarcomere variants are most associated with hypertrophic cardio myopathy; however, they are also implicated in DCM. The most com mon genetic causes of DCM are truncating variants of the giant protein titin, encoded by TTN, which maintains sarcomere structure and acts as a key signaling molecule. As cytoskeletal proteins play crucial roles in the structure, connec tion, and stability of the myocyte, multiple defects in these proteins can lead to dilated cardiomyopathy (Fig. 267-1). For example, desmin forms intermediate filaments that connect the nuclear and plasma membranes, Z-lines, and the intercalated disks between muscle cells. Desmin variants impair the transmission of force and signaling for both cardiac and skeletal muscle and may cause combined cardiac and skeletal myopathy, more commonly with a restrictive phenotype (RCM) than dilated phenotype (DCM). Defects in the sarcolemmal membrane proteins are associated with DCM. The best known is dystrophin, encoded by the X chromosome gene DMD, abnormalities of which cause Duchenne’s and Becker’s muscle dystrophy. This protein provides a network that supports the sarcolemma and also connects to the sarcomere. The progressive func tional defect in both cardiac and skeletal muscle reflects vulnerability 2009 FIGURE 267-6 Dilated cardiomyopathy. This gross specimen of a heart removed at the time of transplantation shows massive left ventricular dilation and moderate right ventricular dilation. Although the left ventricular wall in particular appears thinned, there is significant hypertrophy of this heart, which weighs &gt;800 g (upper limit of normal = 360 g). A defibrillator lead is seen traversing the tricuspid valve into the right ventricular apex. (Image courtesy of Robert Padera, MD, PhD, Department of Pathology, Brigham and Women’s Hospital, Boston.) LV RV LA RA FIGURE 267-7 Dilated cardiomyopathy. This echocardiogram of a young man with dilated cardiomyopathy shows massive global dilation and thinning of the walls of the left ventricle (LV). The left atrium (LA) is also enlarged compared to normal. Note that the echocardiographic and pathologic images are vertically opposite, such that the LV is by convention on the top right in the echocardiographic image and bottom right in the pathologic images. RA, right atrium; RV, right ventricle. (Image courtesy of Justina Wu, MD, Brigham and Women’s Hospital, Boston.) FIGURE 267-8 Dilated cardiomyopathy. Microscopic specimen of a dilated cardiomyopathy showing the nonspecific changes of interstitial fibrosis and myocyte hypertrophy characterized by increased myocyte size and enlarged, irregular nuclei. Hematoxylin and eosin–stained section, 100× original </w:t>
      </w:r>
      <w:r w:rsidRPr="00F23836">
        <w:lastRenderedPageBreak/>
        <w:t xml:space="preserve">magnification. (Image courtesy of Robert Padera, MD, PhD, Department of Pathology, Brigham and Women’s Hospital, Boston.) CHAPTER 267 Genetic Cardiomyopathies to mechanical stress. Defects in the sarcolemmal channel proteins (channelopathies) are generally associated with primary arrhythmias, but variants in SCN5A, the α subunit of the Nav 1.5 ion channel pro tein, distinct from those that cause the Brugada or long QT syndromes, have been implicated in DCM with conduction disease. Nuclear membrane protein defects in cardiac and skeletal muscle occur in either autosomal (lamin A/C) or X-linked (emerin) pat terns. These defects are associated with a high prevalence of atrial and ventricular arrhythmias and conduction system disease, which can occur in some family members without or before detectable cardiomy opathy and underlie gene-specific risk stratification for sudden death and different utilization criteria for primary prevention implantable cardioverter-defibrillators in these patients. Intercalated disks contribute to intracellular connections, allowing mechanical and electrical coupling between cells and also connec tions to desmin filaments within the cell. Variants in proteins of the desmosomal complex compromise attachment of the myocytes, which can become disconnected and die via activation of Wnt/β-catenin and proinflammatory signaling pathways, to be replaced by fat and fibrous tissue. These areas are highly arrhythmogenic and may dilate to form aneurysms. Although more often noted in the right ventricle (arrhyth mogenic right ventricular cardiomyopathy), this condition can be restricted to the left ventricle (especially when secondary to truncating variants in DSP, which encodes desmoplakin) or affect both ventricles and has also been termed “arrhythmogenic cardiomyopathy.” The recognized frequency of familial involvement in DCM has increased to &gt;30%. Truncating variants in TTN, encoding the giant sar comeric protein titin, are the most common cause of DCM, accounting for up to 25% of familial disease. On average, men with TTN truncat ing variants develop cardiomyopathy a decade before women, without distinctive clinical features. Variants in thick and thin filament genes account for ~8% of DCM and may manifest in early childhood. </w:t>
      </w:r>
      <w:r w:rsidRPr="00F23836">
        <w:rPr>
          <w:rFonts w:ascii="Arial" w:hAnsi="Arial" w:cs="Arial"/>
        </w:rPr>
        <w:t>■</w:t>
      </w:r>
      <w:r w:rsidRPr="00F23836">
        <w:t xml:space="preserve">PROGNOSIS Prognosis and therapy of DCM and ACM are dictated primarily by the stage of clinical disease and the risk for sudden death, which also varies based on disease gene (higher for patients with variants in DES, DSP, DSC2, DCG2, FLNC, LMNA, PKP2, PLN, RBM20, SCN5A, and TMEM43). The rate of progression of disease is also heritable, with marked variation based on disease gene observed (e.g., patients with TTN truncating variants frequently experience recovery with medical therapy). Medical therapy is generally guided by the phenotype, such that patients with DCM and reduced LVEF are treated with thera pies recommended for heart failure with reduced ejection fraction 2010 PART 6 Disorders of the Cardiovascular System (Chap. 264). As for HCM, shared decision-making is needed regarding implantable cardioverter-defibrillators. However, the specific genotype plays a greater role in decisions regarding DCM, for which some fea tures may warrant implantable cardioverter-defibrillator placement before the LVEF has declined to 0.35, such as the presence of patho genic LMNA or FLNC variants or a family history of sudden death at early ages. Arrhythmogenic right </w:t>
      </w:r>
      <w:r w:rsidRPr="00F23836">
        <w:lastRenderedPageBreak/>
        <w:t xml:space="preserve">ventricular cardiomyopathy (ARVC) has an established diagnostic framework (task force criteria) that rests upon identifying and quantifying right ventricular dilation, dyski nesis, and ECG abnormalities (repolarization, depolarization, and arrhythmias) in the context of a suggestive family history of genetic test results. Overlapping with ARVC and DCM is ACM, in which ventricular arrhythmias may precede or supersede the severity of predominantly left ventricular remodeling. Unlike ARVC, consensus diagnostic criteria for ACM are lacking. Early stages of ARVC and ACM may be restricted to ventricular arrhythmias, and over years, ventricular dilation, hypokinesis, and failure may ensue. Patients with an initial presentation of right ventricular cardiomyopathy who progress to include left ventricular dysfunction are at high risk for adverse events. CARDIOMYOPATHY DUE TO INHERITED DISORDERS OF METABOLISM Multiple genetic disorders of metabolic pathways can cause myocardial disease, due to infiltration of abnormal products or cells containing them between the myocytes, and storage disease, due to their accumu lation within cells (Table 267-1). Hypertrophic cardiomyopathy may be mimicked by the myocardium thickened with these abnormal products causing “pseudohypertrophy,” usually with an abnormally short PR interval. The pseudohypertrophic phenotype is most common, but restrictive cardiomyopathy and DCM may occur. Most of these dis eases are diagnosed during childhood. Fabry’s disease results from a deficiency of the lysosomal enzyme alpha-galactosidase A caused by variants in GLA. This disorder of glycosphingolipid metabolism is an X-linked disorder that may also cause clinical disease in female carriers. Glycolipid accumulation may be limited to the cardiac tissues but usually also involves the skin, peripheral nerve, and kidney. Electron microscopy of endomyocardial biopsy tissue shows diagnostic vesicles containing concentric lamellar figures (Fig. 267-9). Diagnosis can be made through assessment of enzyme activity and/or GLA sequencing and is crucial because enzyme replacement can reduce abnormal deposits and improve cardiac and clinical function. The magnitude of clinical impact has not been well established for this therapy, which requires frequent infusions of the enzyme at a cost of &gt;$100,000 a year. The oral chaperone therapy, migalastat, stabilizes mutant forms of alpha-galactosidase, increases enzymatic activity, and was approved for use in a subset of patients with Fabry’s disease bearing variants amenable to this therapy. Carnitine is an essential cofactor in long-chain fatty acid metabo lism. Multiple defects have been described that lead to carnitine deficiency, causing intracellular lipid inclusions and restrictive car diomyopathy or DCM, often presenting in children. Fatty acid oxida tion requires many metabolic steps with specific enzymes that can be deficient, with complex interactions with carnitine. Depending on the defect, cardiac and skeletal myopathy can be ameliorated with replace ment of fatty acid intermediates and carnitine. Two monogenic metabolic cardiomyopathies cause increased ven tricular wall thickness without an increase of muscle subunits or an increase in contractility. Variants in the gamma-2 regulatory subunit of the adenosine monophosphate (AMP)-activated protein kinase important for glucose metabolism (PRKAG2) have been </w:t>
      </w:r>
      <w:r w:rsidRPr="00F23836">
        <w:lastRenderedPageBreak/>
        <w:t xml:space="preserve">associated with a high prevalence of conduction abnormalities, such as AV block and ventricular preexcitation. Several defects have been reported in an X-linked lysosome-associated membrane protein (LAMP2). This defect can be maternally transmitted or sporadic and has occasion ally been isolated to the heart, although it often leads to a syndrome of skeletal myopathy, intellectual disability, and hepatic dysfunction FIGURE 267-9 Fabry’s disease. Transmission electron micrograph of a right ventricular endomyocardial biopsy specimen at high magnification showing the characteristic concentric lamellar inclusions of glycosphingolipids accumulating as a result of deficiency of the lysosomal enzyme alpha-galactosidase A. Image taken at 15,000× original magnification. (Image courtesy of Robert Padera, MD, PhD, Department of Pathology, Brigham and Women’s Hospital, Boston.) referred to as Danon disease. Extreme left ventricular hypertrophy appears early, often in childhood, and can progress rapidly to end-stage heart failure with low ejection fraction. Electron microscopy of these metabolic disorders shows that the myocytes are enlarged by multiple intracellular vacuoles of metabolic by-products. Gene therapy using a viral vector to deliver functional LAMP2 to cardiomyocytes is currently under study in humans with Danon disease. RESTRICTIVE CARDIOMYOPATHY Most restrictive cardiomyopathy (RCM) is due to acquired causes, and there is increasing emphasis to diagnose amyloidosis due to transthyre tin variants (see Chap. 266). Inherited metabolic and storage diseases can cause RCM, as can variants in DES causing combined cardiac and skeletal myopathy and sarcomere variants causing an overlap of RCM and hypertrophic cardiomyopathy. </w:t>
      </w:r>
      <w:r w:rsidRPr="00F23836">
        <w:rPr>
          <w:rFonts w:ascii="Arial" w:hAnsi="Arial" w:cs="Arial"/>
        </w:rPr>
        <w:t>■</w:t>
      </w:r>
      <w:r w:rsidRPr="00F23836">
        <w:t xml:space="preserve">FURTHER READING Arbelo E et al: ESC guidelines for the management of cardiomyopa thies. Eur Heart J 44:3503, 2023. Gasperetti A et al: Arrhythmic risk stratification in arrhythmogenic right ventricular cardiomyopathy. Europace 25:euad312, 2023. Groh WJ et al: 2022 HRS expert consensus statement on evaluation and management of arrhythmic risk in neuromuscular disorders. Heart Rhythm 19:e61, 2022. Helms AS et al: Translation of new and emerging therapies for genetic cardiomyopathies. JACC Basic Transl Sci 7:70, 2021. Heymans S et al: Dilated cardiomyopathy: Causes, mechanisms, and current and future treatment approaches. Lancet 402:998, 2023. Ho CY et al: Genotype and lifetime burden of disease in hypertrophic cardiomyopathy insights from the Sarcomeric Human Cardiomyopa thy Registry (SHaRe). Circulation 138:1387, 2018. Lampert R et al: Vigorous exercise in patients with hypertrophic car diomyopathy. JAMA Cardiol 8:595, 2023. Mazzarotto F et al: Reevaluating the genetic contribution of mono genic dilated cardiomyopathy. Circulation 141:387, 2020. Olivotto I et al: Mavacamten for treatment of symptomatic obstruc tive hypertrophic cardiomyopathy (EXPLORER-HCM): A random ized, double-blind, placebo-controlled, phase 3 trial. Lancet 396:759, 2020. Orsborne C et al: Disease-specific therapy for the treatment of car diovascular manifestations of Fabry disease: A systemic review. Heart 110:19, 2023. 268 2011 Acute and Chronic Myocarditis Neal K. Lakdawala, Lynne Warner Stevenson, Joseph Loscalzo Myocarditis is defined as inflammation of the heart muscle, which may present acutely, subacutely, </w:t>
      </w:r>
      <w:r w:rsidRPr="00F23836">
        <w:lastRenderedPageBreak/>
        <w:t xml:space="preserve">or insidiously. Outcomes can include resolution, relapsing course, or progression to chronic cardiomyopathy. Myocarditis is generally considered acute when presenting with less than a month of symptoms, often only a few days. The profile of acute myocarditis is changing as the use of sensitive troponin assays and car diac magnetic resonance imaging (MRI) are increasing recognition of mild cases with good outcomes. Acute myocarditis is most often attrib uted to active infection but can be caused by multiple types of nonin fectious inflammation, such as sarcoidosis, giant cell and eosinophilic myocarditis, and systemic autoimmune disease or immunotherapies. It is uncertain as to how often chronic myocardial inflammation contrib utes to dilated cardiomyopathy. As with other cardiomyopathies, there is increasing implication of genetic predisposition to inflammatory responses and of independent pathogenic variants as primary cause of myocyte pathology, with almost one in five patients with inflamma tory myocarditis harboring genetic variants considered pathogenic for cardiomyopathy. MODELS OF INFECTIOUS MYOCARDITIS Infectious agents can injure the myocardium through direct invasion with disruption of normal cellular processes and through activation of different phases of immune responses with or without persistent infection. Although myocarditis has been reported with most types of infectious agents, it is most often associated with viruses and the pro tozoal disease Trypanosoma cruzi (Chagas’ disease). The pathogenesis of viral myocarditis has been traditionally portrayed in three phases, arising from extensive study in murine models of enteroviruses, with much less known about human infection. As defined by infection with coxsackie B virus, phase I includes direct invasion of the myocar dium. Cellular entry may be enhanced by some genetic variants of the coxsackie/adenovirus receptors. The enteroviral protease A degrades the myocyte structural protein dystrophin and interacts with other proteins to induce apoptosis and interfere with autophagy. Direct myocardial invasion with entry of the viral genome has been shown to occur with the enteroviruses, HIV, and dengue virus. However, most common viruses do not appear to inflict cardiac damage directly. Early cardiac effects may result primarily from cytokine storm and other nonspecific immune responses leading to myocardial depression. This initial immune response appears to be crucial to recovery, as early immunosuppression increased viral replication and worsened cardiac injury in animal models. The second phase is host response to infection in recognition of common antigenic patterns, triggering macrophage activation and expansion of specific T- and B-cell populations. Myocarditis due to this phase of immune response without direct viral-mediated injury is considered to be virally “triggered” myocarditis, implicated with respi ratory viruses including adenovirus, influenza, and COVID-19. Molec ular mimicry between viral and cardiac antigens may be the cause of some cases of myocardial injury caused by autoreactive T cells in the absence of ongoing viral infection. There is increasing study of the role of viral “hijacking” of cellular machinery to produce extracellular vesicles containing viral RNA that may then gain protected entry into other cells. A third phase of progression to chronic cardiomyopathy has been demonstrated in </w:t>
      </w:r>
      <w:r w:rsidRPr="00F23836">
        <w:lastRenderedPageBreak/>
        <w:t xml:space="preserve">animal models of enteroviruses. However, myocarditis is rarely due to enteroviruses in adults. There are limited data providing direct links between chronic cardiomyopathy and previous viral infection (see “Chronic Myocarditis and Cardiomyopathy” below). The MRI pattern of intramyocardial late gadolinium enhancement in chronic cardiomyopathy was previously considered as evidence of prior viral myocarditis, but this pattern is now recognized to be com mon in genetic cardiomyopathy as well. ACUTE MYOCARDITIS </w:t>
      </w:r>
      <w:r w:rsidRPr="00F23836">
        <w:rPr>
          <w:rFonts w:ascii="Arial" w:hAnsi="Arial" w:cs="Arial"/>
        </w:rPr>
        <w:t>■</w:t>
      </w:r>
      <w:r w:rsidRPr="00F23836">
        <w:t xml:space="preserve">PRESENTATION AND DIAGNOSIS Acute myocarditis in adults typically occurs between 30 and 45 years and is more common in men than women, who tend to present at over 45 years of age. Prodromal symptoms typical of influenza, gas troenteritis, or upper respiratory infection may have occurred days to a few weeks earlier. Fever is present in over half of cases. Chest pain is the most common symptom of acute myocarditis, occurring in &gt;80% of patients, who also often present with dyspnea or arrhythmias. Arrhythmias can manifest as palpitations or syncope but can also cause sudden cardiac death, as in an autopsy series in which inflammatory myocarditis was diagnosed 3–10% of previously healthy young adults. At presentation, about one-fourth of acute myocarditis cases include left ventricular ejection fraction (LVEF) 50% of affected patients. CHRONIC MYOCARDITIS AND CARDIOMYOPATHY Patients with reduced LVEF at the time of presentation with acute myocarditis are at higher risk of developing chronic cardiomyopathy. When the LVEF does not resolve in the initial months after diagnosis, FIGURE 268-2 Magnetic resonance image of myocarditis showing the typical mid wall location (arrow) for late gadolinium enhancement from cardiac inflammation and scarring. (Image courtesy of Ron Blankstein, MD, and Marcelo Di Carli, MD, Division of Nuclear Medicine, Brigham and Women’s Hospital, Boston.) particularly with persistent elevation of troponin, cardiac magnetic resonance imaging (CMRi) or endomyocardial biopsy may reveal ongoing inflammation and developing fibrosis. Evaluation should again be considered for specific etiologies of myocarditis including noninfectious causes of inflammatory disease and for other causes of dilated cardiomyopathy (Chap. 266, Table 266-2). Evidence of chronic inflammatory disease may also be found in some patients presenting with gradual onset of dilated cardio myopathy without prior acute myocarditis. Immunosuppression for nonspecific lymphocytic myocarditis in the chronic setting has been tried in multiple series but has not demonstrated convinc ing benefit. Additional findings of anticardiac antibodies and viral genome fragments are of uncertain significance, as they could be either causes of ongoing cardiac injury or neutral bystanders. Assay for anticardiac antibodies and viral genome analysis in chronic cardiomyopathy continue to be investigated but are not in routine clinical use. In the past, dilated cardiomyopathy without other cause was gener ally assumed to result from previously unrecognized viral myocarditis, in part because CMRi patterns of fibrosis suggested prior inflamma tion. However very similar patterns are typical of genetic cardiomy opathies. The expanding access to genetic testing reveals that 20–40% of patients with dilated cardiomyopathy have pathogenic variants suf ficient to </w:t>
      </w:r>
      <w:r w:rsidRPr="00F23836">
        <w:lastRenderedPageBreak/>
        <w:t xml:space="preserve">cause their cardiomyopathy, and the prevalence and nature of these variants are similar in acute myocarditis. Mapping of the interconnections between genetic predisposition, inflammation, and cardiomyopathy is evolving rapidly. </w:t>
      </w:r>
      <w:r w:rsidRPr="00F23836">
        <w:rPr>
          <w:rFonts w:ascii="Arial" w:hAnsi="Arial" w:cs="Arial"/>
        </w:rPr>
        <w:t>■</w:t>
      </w:r>
      <w:r w:rsidRPr="00F23836">
        <w:t xml:space="preserve">SPECIFIC CAUSES OF INFECTIOUS MYOCARDITIS The first viruses implicated in infectious myocarditis were the picor navirus family of RNA viruses, principally the enteroviruses, coxsackie virus, echovirus, and poliovirus. Influenza, another RNA virus, is implicated with varying frequency every winter and spring as epitopes change. Of the DNA viruses, adenovirus, vaccinia, and the herpes viruses (varicella-zoster virus, cytomegalovirus, Epstein-Barr virus, and human herpesvirus 6 [HHV6]) can cause myocarditis but also occur commonly in the healthy population. Polymerase chain reaction (PCR) detects viral genomes in some patients with dilated cardio myopathy and persistent lymphocytic infiltrates defined as “chronic myocarditis,” such as the DNA viruses parvovirus B19 and HHV6, but these are also found in normal “control” hearts, so their contribution to chronic cardiomyopathy is uncertain. COVID-19 is an RNA virus for which infection was associated with substantial rates of cardiac involvement in patients hospitalized with severe disease, including acute coronary syndrome, thromboemboli, pericarditis, and myocarditis, for which the diagnosis was limited to clinical findings and elevated enzymes rather than demonstration of lymphocytic infiltrates, as biopsies were rarely performed. From broad population data, the rate of myocarditis during the pandemic was estimated at 150/100,000 people, a 15-fold increase over pre-COVID incidence. As for most causes of viral myocarditis, the most common adult patients are young men under the age of 40. As for other viruses, there are multiple potential mechanisms of cardiac injury. Viral par ticles were identified by PCR in myocardial samples but in low levels at which pathogenicity was uncertain. Other mechanisms include cytokine storm, activated T cells and macrophages, and potential molecular mimicry by which autoimmune reactions may be triggered, as for some animal models of myocarditis with other viruses. As with multiple other viruses, extracellular vesicles containing viral RNA have been identified in myocardium during COVID infection, potentially promoting protected entry into other cells for further injury. In addi tion, the endothelium is also vulnerable, leading to prothrombotic endotheliopathy that may contribute to myocardial ischemia and stroke, along with the systemic coagulopathy. HIV was associated with a dilated cardiomyopathy incidence of 1–2%, but this is declining with the availability of highly active anti retroviral therapy. Cardiomyopathy in HIV may also result from other associated viruses, such as cytomegalovirus and hepatitis C. Antiviral drugs to treat chronic HIV can cause cardiomyopathy, both directly 2013 and through drug hypersensitivity. The clinical picture may be com plicated by pericardial effusions and pulmonary hypertension. There is an increased frequency of lymphocytic myocarditis found at autopsy; HIV viral particles have been demonstrated in the myocardium in some cases. For any serious infection, the systemic inflammatory response can cause nonspecific depression of cardiac function, which is generally reversible if the patient survives. Other viruses implicated specifically in myocarditis </w:t>
      </w:r>
      <w:r w:rsidRPr="00F23836">
        <w:lastRenderedPageBreak/>
        <w:t xml:space="preserve">include mumps, respiratory syncytial virus, the arbovi ruses (dengue fever and yellow fever), and arenaviruses (Lassa fever). </w:t>
      </w:r>
      <w:r w:rsidRPr="00F23836">
        <w:rPr>
          <w:rFonts w:ascii="Arial" w:hAnsi="Arial" w:cs="Arial"/>
        </w:rPr>
        <w:t>■</w:t>
      </w:r>
      <w:r w:rsidRPr="00F23836">
        <w:t>OTHER INFECTIOUS CAUSES Parasitic Myocarditis Chagas</w:t>
      </w:r>
      <w:r w:rsidRPr="00F23836">
        <w:rPr>
          <w:rFonts w:ascii="Aptos" w:hAnsi="Aptos" w:cs="Aptos"/>
        </w:rPr>
        <w:t>’</w:t>
      </w:r>
      <w:r w:rsidRPr="00F23836">
        <w:t xml:space="preserve"> disease is the third most com mon parasitic infection in the world and the most common infective cause of cardiomyopathy. The protozoan T. cruzi is transmitted by the bite of the reduviid bug, endemic in the rural areas of South and Central America. Transmission can also occur through blood transfu sion, organ donation, from mother to fetus, and occasionally orally. Programs to eradicate the insect vector have decreased the global prevalence from about 18 million in 1990 to 6 million, with the highest number of cases in Brazil and Argentina and increased prevalence also in Spain. It is estimated that &gt;300,000 residents in the United States are infected with Chagas’ disease, a minority of whom have acquired it locally. Initial infection with T. cruzi is usually silent but, in 5–10% of cases, can present with systemic illness and acute myocarditis with systemic dense parasitic infiltration in the myocardium forming pseudocysts that rupture and lead to diffuse myocyte necrosis. After initial infection, patients enter an “indeterminate phase,” which can last for decades. The silent progression during this phase was at one time attributed to secondary immune activation, but a degree of per sistent parasitemia can now be detected and is recognized as the major determinant of ongoing inflammation and progression to chronic heart failure. Depopulation of parasympathetic neurons in the heart and gastrointestinal tract likely contributes to clinical disease. Under standing of the disease patterns has improved in part from the ability to test blood donors for infection. Better detection of the organism has revealed that both the prevalence and survival of patients in the indeterminate phase are higher than previously recognized, with over half of patients remaining asymptomatic. T. cruzi infection should be considered during evaluation of acute myocarditis or cardiomyopathy in all patients from endemic regions and for other patients with suggestive features. These include sinus and atrioventricular node conduction system disease and right bundle branch block, with frequent atrial and ventricular arrhythmias, some of which may cause sudden death before symptomatic disease. The dilated ventricles are thrombogenic and sometimes have aneurysms. For acute myocarditis, PCR is the most sensitive test and trypomasti gotes may also be detected in blood when parasite levels are high. In the chronic phase with low parasite burden, multiple serologic tests may be necessary for diagnosis, but their sensitivity and specificity are improving. Antiparasitic treatment with nifurtimox or benznidazole is recom mended for acute myocarditis with Chagas’ cardiomyopathy. During the indeterminate phase prior to clinical symptoms, therapy is widely recommended for children. For the indeterminate phase, there is controversy over the routine use of antiparasitic treatment, which is associated with significant toxicity. Therapy is more often advocated for patients 0.40 (“heart failure with improved ejection fraction”) is common in chronic DCM during recommended therapy with neurohormonal modulation, cardiac resynchronization therapy for left bundle branch block, and diuretics as needed to maintain fluid balance, as recommended for other </w:t>
      </w:r>
      <w:r w:rsidRPr="00F23836">
        <w:lastRenderedPageBreak/>
        <w:t xml:space="preserve">heart failure with reduced LVEF (Chap. 265) regardless of the initial cause of DCM. Additional aspects of diagnosis, therapy, and outcomes for specific etiologies of DCM other than the infectious, inflammatory, and genetic cardiomyopathies are discussed below. CARDIOTOXICITY AND CARDIOMYOPATHY Cardiotoxicity has been reported with multiple environmental and pharmacologic agents. Often these associations are seen only with very high levels of exposure or acute overdoses, in which acute elec trocardiographic and hemodynamic abnormalities may reflect both direct drug effect and systemic toxicity. Alcohol is the most common toxin implicated in chronic DCM. Although excess consumption may contribute to &gt;10% of cases of heart failure, including exacerbation of heart failure with structural heart disease, alcoholic cardiomyopa thy is relatively rare and remains a diagnosis of exclusion. Moreover, Mendelian randomization studies have not identified a link between genetically predicated alcohol consumption and heart failure, sug gesting that the population attributable risk of alcohol to the overall heart failure epidemic is modest. Alcoholic cardiomyopathy causes 2016 PART 6 Disorders of the Cardiovascular System TABLE 269-1 Major Causes of Dilated Cardiomyopathy (with Common Examples) Inflammatory Myocarditis (see Chap. 268) Infective Viral (coxsackie,a adenovirus,a COVID-19, HIV) Parasitic (Trypanosoma cruzi—Chagas’ disease, trypanosomiasis, toxoplasmosis) Bacterial (diphtheria) Spirochetal (Borrelia burgdorferi—Lyme disease) Rickettsial (Q fever) Fungal (with systemic infection) Noninfective Granulomatous inflammatory disease Sarcoidosis Giant cell myocarditis Eosinophilic myocarditis Polymyositis, dermatomyositis Collagen vascular disease Checkpoint inhibitor chemotherapy Transplant rejection Toxic Alcohol Catecholamines: amphetamines, cocaine Chemotherapeutic agents (anthracyclines, trastuzumab) Interferon Other therapeutic agents (hydroxychloroquine, chloroquine) Drugs of misuse (testosterone and other anabolic steroids emetine) Heavy metals: lead, mercury Occupational exposure: hydrocarbons, arsenicals Metabolica Nutritional deficiencies: thiamine, selenium, carnitine Electrolyte deficiencies: calcium, phosphate, magnesium Endocrinopathy Thyroid disease Pheochromocytoma Diabetes mellitus Obesity Hemochromatosis Inherited metabolic pathway defects (see Chap. 267) Familiala (see Table 267-1) Cardiomyopathies without extracardiac involvement Cardiomyopathy with skeletal myopathy, for example: Dystrophin-related dystrophy (Duchenne’s, Becker’s) Mitochondrial myopathies (e.g., Kearns-Sayre syndrome) Hemochromatosis Susceptibility to immune-mediated myocarditis Associated with other systemic diseases Miscellaneous (Shared Elements of Above Etiologies) Arrhythmogenic ventricular cardiomyopathy Peripartum cardiomyopathy Left ventricular noncompactiona Tachycardia-related cardiomyopathy Supraventricular arrhythmias with uncontrolled rate Very frequent nonsustained ventricular tachycardia or high burden of premature ventricular complexes aSome specific cases can be linked now to specific genetic mutation in a familial cardiomyopathy; others with similar phenotypes that appear to be acquired or idiopathic may represent genetic factors not yet identified. </w:t>
      </w:r>
      <w:r w:rsidRPr="00F23836">
        <w:lastRenderedPageBreak/>
        <w:t xml:space="preserve">many more hospital admissions in men than women, but prevalence is similar between men and women with alcoholism, with left ventricular dysfunction detected in about a third of asymptomatic patients. Esti mates of the alcohol intake necessary to cause cardiomyopathy have been 3–4 ounces or ≥60–80 g of pure ethanol daily for ≥5 years, about 750 mL of wine, 6 beers, or a half pint of hard liquor, although women may develop cardiomyopathy with lower amounts of consumption. Frequent binge drinking may also be sufficient. Toxicity is attributed both to alcohol and to its primary metabolite, acetaldehyde. Chronic heavy exposure may cause neurohormonal activation and alter metab olism, protein synthesis, substrate utilization, and oxidative stress. Polymorphisms of the genes encoding alcohol dehydrogenase and the angiotensin-converting enzyme may influence the likelihood of alco holic cardiomyopathy. Superimposed vitamin deficiencies and toxic alcohol additives are rarely implicated currently. Mutations in TTN and other DCM disease genes can be identified in ~10% of patients with presumed alcohol cardiomyopathy. Many patients with alcoholic cardiomyopathy are fully functional in their daily lives without apparent stigmata of alcoholism. The cardiac impairment in severe alcoholic cardiomyopathy is the sum of both permanent damage and a substantial component that is reversible after cessation of alcohol consumption. Atrial fibrillation occurs commonly both early in the disease (“holiday heart”) and in advanced stages. Medical therapy includes conventional guideline-directed medical therapies with neurohormonal, mineralocorticoid receptor, and β adr enoreceptor antagonists as well as sodium-glucose cotransporter 2 inhibitors with diuretics as needed for fluid management and careful attention to electrolyte repletion. Withdrawal should be supervised to avoid exacerbations of heart failure or arrhythmias and ongoing sup port arranged. Even with severe disease, marked improvement can occur within 3–6 months of abstinence, but the prognosis is grim if heavy alcohol consumption continues. Cocaine, amphetamines, and related catecholaminergic stimulants can produce chronic cardiomyopathy as well as acute ischemia, tachyarrhythmias, malignant hypertension, aortic dissection, and stroke. Cardiac pathology reveals microinfarcts consistent with small vessel ischemia, similar to those seen with pheochromocytoma, and thrombosis secondary to endothelial dysfunction in the case of cocaine. Regular cannabis use has been linked to increased risk of atrial fibrillation, myocardial infarction, and stroke in patients with and without other known risk factors. Cannabis is not specifically implicated as a cause of cardiomyopathy in population studies but is of concern as the potency of both inhaled and edible products continues to increase. Chemotherapy agents are the most common drugs implicated in toxic cardiomyopathy. Judicious use balances risks of the malignancy and the risks of cardiotoxicity presented not only by the drug regimens but also by the patient’s cardiovascular profile and possibly genetic factors influencing myocyte response to injury. Receipt of cardiotoxic drugs or radiation may warrant designation as “stage B” heart failure, with asymptomatic changes in cardiac structure and biomarkers. Clini cal recognition can be delayed as some symptoms can overlap </w:t>
      </w:r>
      <w:r w:rsidRPr="00F23836">
        <w:lastRenderedPageBreak/>
        <w:t xml:space="preserve">with cancer and the prognosis with heart failure may be worse than for the underlying cancer. Anthracyclines (e.g., doxorubicin) cause characteristic histologic changes of vacuolar degeneration and myofibrillar loss. Multiple mech anisms have been implicated, involving reactive oxygen species and iron compounds, mitochondrial damage, transcription factors such as hypoxia-induced factor, and, most recently, inhibition of topoisomer ase II involved in DNA repair. Risk for cardiotoxicity increases with older age, obesity, hypertension, diabetes mellitus, preexisting cardiac disease, higher doses or combination therapies, and left chest irradia tion. Systolic dysfunction can occur acutely with symptoms of heart failure noted soon after drug administration, but more often is detected by surveillance echocardiography during the first year after exposure. Doxorubicin cardiotoxicity generally does not result in marked left ventricular dilation, such that stroke volume and systemic perfusion can be low with only a modest reduction of ejection fraction. Therapy 2017 for reduced ejection fraction due to anthracycline therapy includes β-adrenergic receptor blockade and inhibition of the renin-angiotensin system, with conflicting data on whether these agents decrease toxicity when given in parallel with chemotherapy. The use of dexrazoxane, an intracellular iron chelating agent, can prevent anthracycline cardio myopathy, but there is no consensus on when it should be used owing to concerns that it might attenuate the efficacy of cancer therapies. Once thought to have an inexorable downward course, many patients with symptomatic heart failure can improve to near-normal function with careful management, including prevention of “second-hit” insults such as atrial fibrillation or hypertension. The course differs for some children treated with these agents before puberty, in whom inadequate growth of the heart may lead to refractory heart failure as they reach their twenties. Trastuzumab (Herceptin) is one of the humanized monoclonal anti bodies that interfere with human epidermal growth receptor 2 (HER2), which is crucial for growth of some tumors, such as breast cancer, and for cardiac adaptation. Cardiotoxicity is highest when anthracyclines are administered in conjunction with trastuzumab; however, less toxic ity is seen now when these agents are combined compared with the toxicity observed previously with paclitaxel for breast cancer. Although more often reversible than anthracycline cardiotoxicity, trastuzumab cardiomyopathy may persist in about a third of affected patients and can progress to clinical heart failure and death. For cardiotoxicity with anthracyclines or trastuzumab, therapy is recommended as for other causes of reduced ejection fraction. Cardiotoxicity with cyclophosphamide and ifosfamide generally occurs acutely and with very high doses. 5-Fluorouracil, cisplatin, and some other alkylating agents can cause recurrent coronary spasm that occasionally leads to depressed contractility. Acute administration of interferon-α, interleukin 2, and other cytokine-based therapies can cause pericarditis, hypotension, and arrhythmias. Clinical heart failure occurring during their chronic administration usually resolves after discontinuation. Vascular endothelial growth factor (VEGF), produced endogenously or by tumors, enhances angiogenesis by activating the VEGF signaling pathways. </w:t>
      </w:r>
      <w:r w:rsidRPr="00F23836">
        <w:lastRenderedPageBreak/>
        <w:t xml:space="preserve">Monoclonal antibodies and many small-molecule tyrosine kinase inhibitors that affect VEGF are in use for different malignancies. Although these agents are “targeted” at specific tumor receptors or pathways, the biologic conservation of signaling pathways means that some of these drugs also find targets in the cardiovascular and other organ systems. Blood pressures increase in most patients during ther apy, attributed to an imbalance between endogenous vasodilators and vasoconstrictors and alteration of glomerular function. Hypertension and proteinuria can develop with these agents, similar to preeclampsia, and presentation is associated with increased risk of future cardiac disease. Recognition of cardiotoxicity during therapy with these agents is complicated because they occasionally cause peripheral fluid accumulation (ankle edema, periorbital swelling, pleural effusions) due to local factors rather than elevated central venous pressures. Therapeutic approaches include management of associated hyperten sion, withdrawal of the tyrosine kinase inhibitor (when possible), and conventional treatment for heart failure. Newer tyrosine kinase inhibi tors effective against multiple kinases may have more complex off target effects. This includes the Bruton tyrosine kinase inhibitors (e.g., ibrutinib), which are used as primary therapy for lymphoid malignan cies, with predominant cardiovascular risks of atrial and ventricular arrhythmias in addition to heart failure. Proteasome inhibitors used to treat multiple myeloma are associated with an increased risk of hypertension, ischemic events, thromboem bolism, and heart failure. The more potent agent, carfilzomib, appears more cardiotoxic than bortezomib. Other treatments for myeloma include immunomodulatory drugs including lenalidomide and tha lidomide, which may cause heart failure in addition to risks of venous thromboembolism. Mitogen-activated extracellular signal regulated kinase (MEK) inhibitors used for metastatic melanoma may cause hypertension and cardiomyopathy, especially when co-administered with rapidly accelerated fibrosarcoma (RAF) inhibitors. The most dramatic toxicity of contemporary cancer therapy results from combined immune checkpoint inhibitors, which block the natu ral counterregulatory T-cell suppression and unleash potentially fatal inflammation directed toward multiple organs that can include the heart and vessels. These are discussed in Chap. 268 on noninfectious myocarditis. Other therapeutic drugs that can cause cardiotoxicity during chronic use include tumor necrosis factor α antagonists for rheumatologic conditions, and carbamazepine, clozapine, and lithium for neurologic and psychiatric diagnoses. Antiretroviral therapies for HIV have been implicated in cardiomyopathy. Chloroquine and hydroxychloroquine, which are widely used for systemic lupus erythematosus and rheuma toid arthritis, can decrease ejection fraction with either restrictive or dilated phenotype, often in association with conduction block. The presumed mechanism of toxicity is impaired lysosomal function, with accumulation of inclusion bodies that can be seen on cardiac biopsy. Toxic exposures can cause arrhythmias or respiratory injury acutely during accidents. Chronic exposures implicated in cumulative car diotoxicity include cobalt, arsenicals, lead, and mercury. Treatment for these disorders includes removing </w:t>
      </w:r>
      <w:r w:rsidRPr="00F23836">
        <w:lastRenderedPageBreak/>
        <w:t xml:space="preserve">exposure to the toxin and stan dard medical therapy for heart failure with reduced ejection fraction. Cardiomyopathy secondary to cobalt toxicity may be secondary to impaired myocardial energetics and is more common in the setting of hypothyroidism and dietary protein and thiamine deficiency. Cobalt cardiomyopathy usually presents with polycythemia, hypothyroid ism, and goiter due to the effects of cobalt on red cell production and thyroxine. Most historical causes of pathologic cobalt exposure are no longer relevant (e.g., treatment of anemia associated with end-stage disease, beer foam stabilization), and recent cases have been attributed to industrial exposures and cobalt alloy prosthetic hips. Diagnosis occurs in the setting of cobalt exposure and can be confirmed by the presence of electron microscopy dense intramitochondrial particles. CHAPTER 269 Dilated Cardiomyopathies PERIPARTUM CARDIOMYOPATHY Peripartum cardiomyopathy (PPCM) develops during the last trimes ter or within the first 5–6 months after pregnancy, most commonly within the first 2 weeks after delivery. Between 1:1000 and 1:4000 deliveries in the United States are affected. Risk factors include older maternal age, increased parity, twin pregnancy, malnutrition, and tocolytic therapy for premature labor. Up to half of cases occur in the setting of hypertensive disorders of pregnancy, including preeclampsia. Risk of PPCM is fourfold higher in black women, in whom recovery of normal LVEF takes longer and is less likely than in white women. Several of the risk factors contribute to antiangiogenic signaling through secreted inhibitors of VEGF, such as soluble FLT1 (sFLT1), high levels of which predict worse outcome. An abnormal cleavage fragment of the nursing hormone prolactin has also been implicated in decreased vascular response during oxidative stress, and investi gation is ongoing with the prolactin inhibitor bromocriptine after mixed results of small trials. Multiple other hormonal changes of pregnancy and secretory products from the placenta may interact to cause cardiac dysfunction, suggesting a “vasculohormonal model” in the development of PPCM. Genetic contribution has also been rec ognized. Similar to other DCM populations, truncating mutations in TTN are found in ~15% of cases of PPCM and associated with lower rates of recovered systolic function. Pregnancy thus represents another environmental trigger for accelerated phenotypic expression of genetic cardiomyopathy. PPCM usually presents with evidence of congestion, and criteria generally include an LVEF ≤0.45 presenting toward the end of preg nancy in the absence of another cardiac diagnosis. Pregnancy can unmask previously unrecognized heart disease but usually does so by the second trimester, when the major circulatory changes have already occurred. Toward the end of pregnancy, edema and dyspnea may be mistakenly attributed to the pregnancy itself, but elevated levels of brain natriuretic peptide or troponin or evidence of elevated central venous pressures are clues to cardiac dysfunction, particularly in the setting of hypertension. Echocardiography is usually sufficient for 2018 PART 6 Disorders of the Cardiovascular System artery stenosis, can lead to modest depression in ejection fraction with little or no ventricular dilation and markedly labile symptoms with flash pulmonary edema, related to sudden shifts in vascular tone and intravascular volume. </w:t>
      </w:r>
      <w:r w:rsidRPr="00F23836">
        <w:lastRenderedPageBreak/>
        <w:t xml:space="preserve">diagnosis, but in complex cases, cardiac magnetic resonance imaging (MRI) can be considered, but gadolinium should not be used. Most cases of PPCM present within the first week after delivery, usually with increasing edema and dyspnea when urine output does not keep up with mobilization of fluid. Both atrial and ventricular arrhythmias can occur. It is important to exclude other complications of pregnancy such as pulmonary emboli and coronary artery dissec tion. Genetic testing should be considered as the results may impact the mother, in whom positive genetic testing predicts less recovery, and also other family members, too. Initial treatment for PPCM includes loop diuretics as needed to restore normal volume status. Prior to delivery, close collaboration with the maternal-fetal medicine team is necessary to adjust therapies to stabilize the gravid mother while protecting the fetus. Digoxin and beta blockers can be used if needed for arrhythmias, and hydrala zine/nitrate combinations can be used for hypertension, but renin angiotensin system inhibitors should not be given due to adverse fetal effects. Hemodynamic instability may require ongoing hemodynamic monitoring, and plans should be in place for emergency delivery if nec essary. When the mother is hemodynamically stable in the postpartum period, metoprolol tartrate, enalapril, and spironolactone have been shown to be compatible with breastfeeding. PPCM with LVEF 6 weeks after delivery. Elevated levels of natriuretic peptides, troponin, and sFLT1 have also been associated with less recovery. Patients with LVEF 60% for men and &gt;45–50% for women. MRI is used to quantitate iron stores in the liver and heart. While endomyocardial biopsy tissue can be stained for iron (see Chap. 270 and Fig. 269-1), a diagnosis of cardiac iron overload is made principally by MRI and biopsy is not usually needed. If diagnosed early, hemochromatosis can often be managed by repeated phlebotomy to remove iron. For more severe iron overload, iron chelation therapy with desferrioxamine (deferoxamine) or deferasirox can help to improve cardiac function if myocyte loss and replacement fibrosis are not too severe. Inborn disorders of metabolism occasionally present with DCM, although they are most often associated with restrictive cardiomyopa thy (Chap. 267, Table 267-1). CARDIOMYOPATHY Apical ballooning or “takotsubo” syndrome, also referred to as stress induced cardiomyopathy or “broken heart syndrome,” is often clas sified as a cardiomyopathy, although its distinct acute presentation, typical ventricular shape, and frequent rapid recovery differ from most other cardiomyopathies. It occurs typically in older women after sudden intense emotional or physical stress. The ventricle shows global ventricular dilation with basal contraction, forming the shape of the narrow-necked jar (takotsubo) used in Japan to trap octopuses. Originally described in Japan, it is well recognized elsewhere during emergency cardiac catheterization and intensive care unit admissions for noncardiac conditions. Presentations include pulmonary edema, hypotension, and chest pain with electrocardiogram (ECG) changes mimicking an acute infarction. The left ventricular dysfunction extends beyond a specific coronary artery distribution and generally resolves within days to weeks. Animal models and ventricular biop sies suggest that this acute cardiomyopathy may result from intense sympathetic activation </w:t>
      </w:r>
      <w:r w:rsidRPr="00F23836">
        <w:lastRenderedPageBreak/>
        <w:t xml:space="preserve">with heterogeneity of myocardial autonomic innervation, diffuse microvascular spasm, and/or direct catecholamine toxicity. Cardiac MRI (Fig. 269-2) demonstrates diffuse myocardial edema without necrosis and abnormal myocardial calcium handling. Coronary angiography may be required to rule out acute coronary occlusion. CHAPTER 269 Dilated Cardiomyopathies A similar picture to takotsubo can also be caused a coronary embolus in the absence of atherosclerotic coronary artery disease. No therapies have been proven beneficial, but reasonable strategies include nitrates for pulmonary edema; combined alpha and beta blockers rather than selective beta blockade if hemodynamically stable; and magnesium for arrhythmias related to QT prolongation. An intra-aortic balloon pump is occasionally employed to improve critically low cardiac output, but only if there is no left ventricular outflow tract obstruction. The long term prognosis is generally good, with the lowest mortality associated with episodes triggered by emotional rather than physical triggers. In-hospital complications and mortality are similar to those with acute myocardial infarction. Recurrence occurs in 10% of patients at an esti mated rate of 2%/year. FIGURE 269-2 Takotsubo cardiomyopathy. Four-chamber view of cardiac magnetic resonance imaging demonstrating a mildly dilated left ventricle in diastole (left panel) with diffuse hypokinesis of the mid and apical segments and relative sparing of the basal segment wall motion at end systole (right panel) with left ventricular ejection fraction 46%. (Image courtesy of Raymond Kwong, MD, and Zariyat M. Mannan, MD, Cardiovascular Imaging, Brigham and Women’s Hospital, Boston.) 2020 </w:t>
      </w:r>
      <w:r w:rsidRPr="00F23836">
        <w:rPr>
          <w:rFonts w:ascii="Arial" w:hAnsi="Arial" w:cs="Arial"/>
        </w:rPr>
        <w:t>■</w:t>
      </w:r>
      <w:r w:rsidRPr="00F23836">
        <w:t xml:space="preserve">FURTHER READING TABLE 270-1 Causes of Restrictive Cardiomyopathies (RCM) Infiltrative (Between Myocytes) PART 6 Disorders of the Cardiovascular System Amyloidosis Light chain (AL) amyloid Familial (variant transthyretin)a Wild-type (normal) transthyretin Inherited metabolic defectsa Storage (Within Myocytes) Arany Z: Peripartum cardiomyopathy. N Engl J Med 390:154, 2024. Cardinale D et al: Early detection of anthracycline cardiotoxicity and improvement with heart failure therapy. Circulation 131:1981, 2015. Davis MB et al: Peripartum cardiomyopathy. J Am Coll Cardiol 75: 207, 2020. Lyon AR et al: 2022 ESC Guidelines on cardio-oncology developed in collaboration with the European Hematology Association (EHA), the European Society for Therapeutic Radiology and Oncology (ESTRO) and the International Cardio-Oncology Society (IC-OS): Developed by the task force on cardio-oncology of the European Society of Car diology (ESC). Eur Heart J 43:4229, 2022. Packer M: Cobalt cardiomyopathy: A critical reappraisal in light of a recent resurgence. Circ Heart Fail 9:e003604. 2016. Rasoul D et al: Alcohol and heart failure. Eur Cardiol 18:e65, 2023. Quiroz-Aldave JE et al: Thyrotoxic cardiomyopathy: State of the art. touchREV Endocrinol 19:78, 2023. Singh T et al: Manganese-enhanced magnetic resonance imaging in takotsubo syndrome. Circulation 146:1823, 2022. Wood JC: Guidelines for quantifying iron overload. Hematology Am Soc Hematol Educ Program 1:210, 2014. 270 Amyloidosis and Other Restrictive Cardiomyopathies Rodney H. Falk, Neal K. Lakdawala, Lynne Warner Stevenson, Joseph Loscalzo RESTRICTIVE </w:t>
      </w:r>
      <w:r w:rsidRPr="00F23836">
        <w:lastRenderedPageBreak/>
        <w:t xml:space="preserve">CARDIOMYOPATHY Restrictive cardiomyopathy (RCM) is dominated by abnormal diastolic function within a noncompliant ventricle, often with mildly decreased contractility and ejection fraction (usually 30–50%). Both atria are enlarged, sometimes massively. Mild left ventricular dilation can be present. End-diastolic pressures are usually elevated in both ventricles, with preservation of resting cardiac output until late in the disease. Subtle exercise intolerance is usually the first symptom but is often not recognized until after clinical presentation with congestive symptoms. The restrictive diseases often present with relatively more right-sided symptoms, such as edema, abdominal discomfort, and ascites, although filling pressures are elevated in both ventricles. The cardiac impulse is less displaced than in dilated cardiomyopathy and less dynamic than in hypertrophic cardiomyopathy. A fourth heart sound is more common than a third heart sound in sinus rhythm, but atrial fibrillation is com mon. Jugular venous pressures often show rapid Y descents and may increase during inspiration (positive Kussmaul sign). Most causes of RCM are “infiltrative,” due to infiltration of abnor mal substances between myocytes, with the amyloidoses being the most common causes of RCM. RCM can also result from storage of abnormal metabolic products within myocytes. RCM due to acquired fibrotic injury is most commonly caused by radiation or connective tissue disease and less commonly by hypereosinophilic injury (see Chap. 268 and Table 270-1). RCM can also be secondary to genetic causes of primary cardiomy opathy, including variants in DES or as a forme fruste of hypertrophic cardiomyopathy caused by sarcomere variants. The most common differential diagnosis is between RCM and constrictive pericardial disease, as both often present with dominant right-sided heart failure. In the absence of specific therapy for the etiology of RCM, such as is now available for some patients with amyloidosis, general strategies are Hemochromatosis (iron),a also with dilated cardiomyopathy phenotype when advanced Inherited metabolic defectsa Fabry’s disease Glycogen storage disease (II, III) Fibrotic Radiation Scleroderma Endomyocardial Possibly related fibrotic diseases Tropical endomyocardial fibrosis Hypereosinophilic syndrome (Löffler’s endocarditis) Carcinoid syndrome Radiation Drugs: e.g., serotonin, ergotamine Genetic Variants Affecting Cardiomyocyte Function Occasional RCM due to genetic variants more commonly associated with dilated or hypertrophic cardiomyopathy RCM and skeletal muscle involvement with desminopathy due to pathogenic DES variants aContribution of genetic background. focused on maintenance of optimal volume status, which is generally a compromise between adequate ventricular filling and systemic decon gestion. As ventricular filling and stroke volume are often restricted, therapy with beta blockers can reduce heart rate, contractility, cardiac output, and functional reserve. Vasodilation may not be well tolerated. Other than diuretics, therapies proven effective for dilated cardiomy opathy and other heart failure with reduced ejection fraction are not recommended for routine use in RCM. AMYLOIDOSIS Amyloidosis is a systemic disease characterized by the deposition of fibrillar proteinaceous material primarily in the extracellular space of one </w:t>
      </w:r>
      <w:r w:rsidRPr="00F23836">
        <w:lastRenderedPageBreak/>
        <w:t xml:space="preserve">or more organs. Although there are many precursor proteins that have been shown to cause amyloidosis (see Chap. 117), the unifying feature of all types of amyloid is its staining characteristics. Amyloid is a noncellular material deposited in the extracellular space that stains with Congo red and exhibits “apple-green birefringence” when viewed under polarized light microscopy. When viewed with electron microscopy, amyloid deposits are seen to consist of nonbranching fibrils ~10 nm in diameter and a few micrometers in length. From a cardiac standpoint, there are two main precursor proteins that cause most cases of amyloid cardiomyopathy: transthyretin (TTR), produced in the liver, and light chains produced by abnormal plasma cells. TTR amyloidosis may be caused by a genetic variant of TTR (ATTRv) or by wild-type TTR (ATTRwt), and variant TTR is generally considered to be less stable than wild-type TTR. Once a diagnosis of amyloidosis has been made, it is critically important to determine the precise precursor protein because treatment is specific to the type of amyloid and incor rect typing will lead to inappropriate therapy. </w:t>
      </w:r>
      <w:r w:rsidRPr="00F23836">
        <w:rPr>
          <w:rFonts w:ascii="Arial" w:hAnsi="Arial" w:cs="Arial"/>
        </w:rPr>
        <w:t>■</w:t>
      </w:r>
      <w:r w:rsidRPr="00F23836">
        <w:t xml:space="preserve">PATHOLOGIC MECHANISMS OF HEART FAILURE IN CARDIAC AMYLOIDOSIS All forms of cardiac amyloidosis have a similar appearance on gross and microscopic examination (Figs. 270-1 and 270-2). </w:t>
      </w:r>
      <w:r w:rsidRPr="00F23836">
        <w:rPr>
          <w:rFonts w:ascii="Arial" w:hAnsi="Arial" w:cs="Arial"/>
        </w:rPr>
        <w:t>■</w:t>
      </w:r>
      <w:r w:rsidRPr="00F23836">
        <w:t xml:space="preserve">CLINICAL FEATURES OF CARDIAC AMYLOIDOSIS 2021 FIGURE 270-1 Gross pathology of the heart in amyloid cardiomyopathy. The left ventricle (LV) is severely thick due to amyloid infiltration. The LV cavity is small with markedly thick walls due to amyloid infiltration. The right ventricle is mildly thickened, and the left atrium (partly excised) is dilated. (Courtesy of Dr. Richard Mitchell, Brigham and Women’s Hospital Department of Pathology.) The extracellular deposits of amyloid result in an increase in the mass of the heart, due to expansion of the extracellular space. Both left and right ventricular walls demonstrate increased thickness, and decreased compliance and the left ventricular cavity may be relatively small, leading to a restrictive pathophysiology. The right ventricular cavity is often normal in size but may dilate in advanced disease. The atria are usually dilated due to the chronic elevation of biventricular diastolic filling pressure and may dilate further with the onset of atrial arrhythmias. Histologically, amyloid deposits are widespread through out the heart so that endomyocardial biopsy is almost always diagnos tic in cases of cardiac amyloidosis. FIGURE 270-2 Histology of amyloid cardiomyopathy. Left panel: Hematoxylin and eosin stain showing extensive extracellular cardiac amyloid deposition resulting in separation and distortion of cardiomyocytes. The amyloid stains light pink and the myocytes are nucleated and stain a deeper pink. Right panel: Specimen from same patient stained with sulfated Alcian blue. The amyloid stains “sea green,” and the myocytes are pale yellow-gray. Magnification ×60. (Courtesy of Dr. Richard Mitchell, Brigham and Women’s Hospital Department of Pathology.) There are some clinical features of light chain (AL) amyloidosis and TTR amyloidosis that suggest one or the other diagnosis, but the cardiac features are similar enough that the final diagnosis of amy loid type often relies upon precise typing of a cardiac or extracardiac tissue biopsy. The most common clinical presentation is congestive heart failure. Although both ventricles are usually </w:t>
      </w:r>
      <w:r w:rsidRPr="00F23836">
        <w:lastRenderedPageBreak/>
        <w:t xml:space="preserve">heavily infiltrated by the time congestive heart failure occurs, patients tend to present with symptoms of predominant right heart failure, namely peripheral edema and, not infrequently, ascites. Despite the clinical predominance of right ventricular failure, cardiac catheterization will reveal consider able elevation of both left and right ventricular filling pressure. Atrial arrhythmia, particularly atrial fibrillation, is a common presenting feature, particularly in TTR amyloidosis, and may occur at a time when the left ventricle is only mildly thick, precipitating heart failure in a previously asymptomatic patient. The onset of atrial fibrillation may be associated with symptoms of dyspnea, often more severe than is seen in nonamyloid patients with this arrhythmia. Refractory atrial arrhyth mia, whether to antiarrhythmic drugs or characterized by failure to maintain sinus rhythm after repeated ablation procedures, should raise the possibility of TTR cardiac amyloidosis, particularly if occurring in a patient in the mid-60s or older without other apparent reason for the atrial fibrillation. Cardiovascular physical examination in the symptomatic patient with cardiac amyloidosis reveals a normal or low pulse pressure. The apex beat may be difficult to palpate but, if felt, is usually only mildly displaced. The jugular venous pressure is almost always elevated and frequently demonstrates a paradoxical rise on inspiration (Kussmaul sign). The first and second heart sounds tend to be normal. Despite congestive heart failure, a third heart sound is very rarely heard, due to the restrictive pathophysiology and its associated impairment of ven tricular relaxation. Similarly, a fourth heart sound is also unusual as the infiltrated atrium is rarely able to generate much contractile pressure. Pleural effusions, primarily caused by heart failure (but occasionally aggravated by associated hypoalbuminemia from nephrotic syndrome or by the presence of pleural amyloidosis) are quite common. Cardiac murmurs due to amyloid-associated valve disease are relatively uncom mon, although a tricuspid regurgitation murmur may occasionally be present. There is an association between aortic valve stenosis and TTR amyloidosis, and a murmur of aortic stenosis may be present. Whether amyloid causes aortic stenosis or simply aggravates or precipitates heart failure in a patient with unrelated aortic valve disease is unclear. In addition to the cardiovascular examination, a careful systemic physical examination is mandatory. In advanced heart failure, hepatomegaly due to congestive heart failure is common, but an unusually hard liver may represent amyloid infiltration of the liver—something that occurs in AL amyloidosis but not TTR. The blood pressure should be checked in the supine, seated, and standing positions, seeking an abnormal pos tural drop. If present, this likely represents associated autonomic neu ropathy, which is a feature of AL amyloidosis and some forms of variant TTR amyloidosis but not wild-type TTR amyloidosis. Macroglossia or periorbital bruising, if present, strongly suggest AL amyloidosis, whereas a history of bilateral carpal tunnel syndrome or the finding of a ruptured biceps tendon points toward TTR amyloidosis. CHAPTER 270 Amyloidosis and Other Restrictive Cardiomyopathies </w:t>
      </w:r>
      <w:r w:rsidRPr="00F23836">
        <w:rPr>
          <w:rFonts w:ascii="Arial" w:hAnsi="Arial" w:cs="Arial"/>
        </w:rPr>
        <w:t>■</w:t>
      </w:r>
      <w:r w:rsidRPr="00F23836">
        <w:t xml:space="preserve">DIFFERENTIAL DIAGNOSIS The differential diagnosis of a patient with biventricular failure mani festing predominantly as edema, in association with a thick left ventri cle but without a history of severe hypertension, is </w:t>
      </w:r>
      <w:r w:rsidRPr="00F23836">
        <w:lastRenderedPageBreak/>
        <w:t xml:space="preserve">small. Hypertensive heart disease is usually associated with left ventricular hypertrophy on the electrocardiogram (ECG), whereas this ECG finding is uncommon in amyloidosis, and it requires several years of severe uncontrolled hypertension to produce the degree of wall thickening equal to that seen in amyloidosis. While amyloidosis, particularly ATTR, can have asymmetric left ventricular thickening, the clinical distinction between hypertrophic cardiomyopathy and amyloidosis is usually fairly clear, since the former rarely presents with peripheral edema and usually has left ventricular hypertrophy (LVH) on the ECG. Other infiltra tive cardiomyopathies such as Fabry disease may have typical skin 2022 PART 6 Disorders of the Cardiovascular System manifestations and usually LVH on the ECG. The rare mitochondrial cardiomyopathies may have an echocardiographic appearance similar to amyloidosis but have different noncardiac clinical features, such as maternally inherited diabetes, deafness, and recurrent strokes. Patients with advanced diabetes may have heavy proteinuria and heart failure, but their history of diabetes is obvious, and the echocardiogram does not show features suggestive of amyloid heart disease. In the era before echocardiography, constrictive pericarditis, often presenting with edema, ascites, and elevated jugular venous pressure with a Kussmaul sign, was the major differential of amyloid heart disease. Constrictive pericarditis is less common nowadays, and echocardiography can eas ily distinguish between the two entities. </w:t>
      </w:r>
      <w:r w:rsidRPr="00F23836">
        <w:rPr>
          <w:rFonts w:ascii="Arial" w:hAnsi="Arial" w:cs="Arial"/>
        </w:rPr>
        <w:t>■</w:t>
      </w:r>
      <w:r w:rsidRPr="00F23836">
        <w:t xml:space="preserve">AL AMYLOIDOSIS OF THE HEART AL amyloidosis is a plasma cell disorder closely related to multiple myeloma. It is described in detail in Chap. 117. An excessive produc tion of abnormal lambda, or (less commonly) kappa, free light chains produced by abnormal clonal bone marrow plasma cells results in amyloid deposits in multiple organs, with heart and kidney being the most common organs involved. AL amyloidosis is closely related to multiple myeloma, with which it may occasionally overlap. It is an aggressive disease, and cardiac involvement, either alone or in combi nation with other major organ involvement, carries the worst survival, with a median survival from onset of heart failure to death in untreated patients of ~6 months. This short survival underscores the urgency of pursuing a diagnosis of AL amyloidosis once suspected, as therapy can markedly improve duration and quality of life and must be instituted as soon as the diagnosis is made. In addition to the general features of heart failure noted above, there are several clinical noncardiac clues to AL amyloidosis as the etiology of congestive heart failure. These indicate the presence of a multisystem disease and include significant proteinuria, neuropathy, periorbital purpura (virtually pathognomonic of AL amyloidosis and occurring in 20–30% of cases), and macroglos sia (~10% of cases). </w:t>
      </w:r>
      <w:r w:rsidRPr="00F23836">
        <w:rPr>
          <w:rFonts w:ascii="Arial" w:hAnsi="Arial" w:cs="Arial"/>
        </w:rPr>
        <w:t>■</w:t>
      </w:r>
      <w:r w:rsidRPr="00F23836">
        <w:t xml:space="preserve">TTR AMYLOIDOSIS OF THE HEART Patients with wild-type TTR amyloidosis cardiomyopathy and those with amyloid cardiomyopathy caused by variant TTR may have subtle differences in presentation. The less common variant TTR cardiomy opathy may be associated with amyloid neuropathy, which can vary between mild sensory neuropathy and a rapidly progressive severe sensorimotor neuropathy with or without autonomic nervous system involvement. Myocardial infiltration may be extensive in patients with severe variant transthyretin neuropathy, but </w:t>
      </w:r>
      <w:r w:rsidRPr="00F23836">
        <w:lastRenderedPageBreak/>
        <w:t xml:space="preserve">cardiac symptoms can be relatively mild in these patients, either because the limitation of physical activity due to the neuropathy masks exercise intolerance or because autonomic neuropathy acts to reduce peripheral resistance, decreasing the work of the heart. If autonomic neuropathy is present, postural hypotension can be highly symptomatic and postural mea surements of blood pressure are mandatory. A family history of neu ropathy or cardiomyopathy may be elicited in these patients and, when neuropathy is present, may have been misdiagnosed as other neuro logic conditions. In the United States, the most common TTR variant causing TTR amyloid cardiomyopathy is the substitution of valine for isoleucine at position 122, Val122Ile. This variant is present in ~3.5% of the U.S. population of African descent and presents as a late-onset restrictive cardiomyopathy usually in the seventh decade onward. The penetrance of clinical disease is incomplete, and the family history is often lacking or unknown. Neuropathy in this mutation is very mild or absent, although carpal tunnel syndrome, often preceding the onset of heart failure by several years, is commonly present. The clinical fea tures of other forms of variant TTR amyloidosis can vary considerably, somewhat dependent on the transthyretin mutation, but in the case of the Val122Ile variant, it tends to be a relatively rapid progressive infil trative cardiomyopathy with a median survival of 2–3 years following the onset of heart failure in untreated patients. Once considered a rare form of cardiac amyloidosis, TTR deposition derived from native (wild-type) transthyretin is now considered the most common form of amyloidosis. It affects mainly men in the latter half of their seventh decade and eighth decades but may occasionally present at a younger age and often presents in the ninth decade onward. Men are almost 20 times more likely than women to be diagnosed with wild-type TTR amyloidosis, and when it does occur in women, it tends to present at a later age and to have a more indolent course. On average, the untreated median survival from the onset of heart failure to death is around 4–5 years, with death being due primarily to pro gressive congestive heart failure rather than to sudden death. Current therapies have slowed the disease progression and improved survival. Both wild-type and mutant TTR cardiomyopathy have a subclinical phase, probably of several years, during which there is a progressive infiltration of the heart with amyloid, and by the time heart failure occurs, 30–50% of the involved heart weight is due to amyloid. Atrial arrhythmias, most commonly atrial fibrillation or atrial flutter, may be the presenting feature of the disease, and when they occur, they often precipitate or worsen heart failure. In contrast to AL amyloidosis, the heart in ATTRwt is the sole major organ to be clinically involved, although histologic examination of the lungs and gut often shows fairly extensive amyloid deposits. TTR also had a predilection for ligaments and tendons, and a history of carpal tunnel syndrome, spinal stenosis, or ruptured bicep tendon, often occurring 5–8 years before heart fail ure, can be elicited in about half the patients with this disorder. </w:t>
      </w:r>
      <w:r w:rsidRPr="00F23836">
        <w:rPr>
          <w:rFonts w:ascii="Arial" w:hAnsi="Arial" w:cs="Arial"/>
        </w:rPr>
        <w:t>■</w:t>
      </w:r>
      <w:r w:rsidRPr="00F23836">
        <w:t xml:space="preserve">DIAGNOSIS The diagnosis of cardiac amyloidosis rests upon a clinical suspicion combined with imaging findings and, in many cases, a confirmatory biopsy. ECG voltage may be abnormally low, particularly in AL amyloi dosis, but this is not always the case. </w:t>
      </w:r>
      <w:r w:rsidRPr="00F23836">
        <w:lastRenderedPageBreak/>
        <w:t xml:space="preserve">Echocardiography is an extremely useful imaging modality. The echocardiogram in all forms of cardiac amyloidosis with heart failure shows increased left ventricular wall thickness without ventricular dilation and, frequently, biatrial enlarge ment (Fig. 270-3). The right ventricle may also show increased thickness of the free wall. Diastolic function is abnormal, and a restrictive pattern, con sistent with elevated left ventricular diastolic pressures, is often seen. Although the left ventricular ejection fraction may be normal or near-normal, left ventricular longitudinal strain imaging, a tool for measuring the contraction of the left ventricle in the longitudinal plane, often shows a pattern in which strain is relatively preserved at the left ventricular apex and severely impaired at the base of the heart. Color-coding of this pattern results in a “bull’s-eye” appearance, which is highly suggestive of cardiac amyloidosis (Fig. 270-4). Atrial function is often impaired, particularly in AL amyloidosis, and this is characterized by a very small transmitral A wave in patients FIGURE 270-3 Echocardiogram (apical four-chamber view) showing typical appearance of amyloidosis. The left ventricular cavity is normal in size with thick walls, and there is biatrial enlargement. LA, left atrium; LV, left ventricle; RA, right atrium; RV, right ventricle. 2023 CHAPTER 270 Amyloidosis and Other Restrictive Cardiomyopathies FIGURE 270-4 Left ventricular strain in amyloidosis. Left panels show outline of left ventricle divided into seven segments with numbers in bottom panel representing the percentage longitudinal systolic shortening of each segment. Right top panel shows corresponding curves for each segment, and bottom right panel shows color coding in which the apex codes bright red and base pink due to near-normal apical contraction, resulting in typical “bull’s-eye” pattern of amyloidosis. in sinus rhythm. This appearance may be associated with an increased risk of thromboembolism. Echocardiography with the typical appearance may be enough to proceed to further laboratory evaluation for amyloidosis, but cardiac magnetic resonance is increasingly used in the diagnosis of suspected cardiomyopathy. The ventricle is seen to be abnormally thick, measure ment of extracellular volume demonstrates marked expansion of the extracellular space due to amyloid deposition, and there is often exten sive delayed gadolinium enhancement of the myocardium, associated with abnormal nulling of the images (Figs. 270-5 and 270-6). Taken together, these features are virtually pathognomonic of amy loid cardiomyopathy. Once amyloid cardiomyopathy is suspected, it is critical to determine the specific type of amyloid deposition. Tracers developed for bone imaging (technetium pyrophosphate or technetium 3,3-diphosphono-1,2-propanodicarboxylic acid [DPD]) are not usually taken up by the normal heart or in other forms of cardiac pathology, but there may be avid tracer uptake in patients with transthyretin amy loid cardiomyopathy (Fig. 270-7). Because patients with AL amyloid cardiomyopathy may occasion ally have myocardial uptake of these tracers, it is critically important to measure serum free light chains, serum and urine protein electropho resis, and serum and urine immunofixation to rule out a plasma cell dyscrasia. If these lab tests are all negative and the nuclear scan is posi tive, a diagnosis of transthyretin amyloidosis can be confidently made, provided </w:t>
      </w:r>
      <w:r w:rsidRPr="00F23836">
        <w:lastRenderedPageBreak/>
        <w:t xml:space="preserve">that echocardiography or cardiac magnetic resonance is consistent with this diagnosis. Monoclonal gammopathy of unknown significance not uncommonly coexists with transthyretin amyloidosis and will be associated with abnormalities in testing for plasma cell dys crasia. Thus, if light chain amyloidosis remains a possibility, despite the presence of a strongly positive pyrophosphate scan, consultation with a hematologist is important to help clarify the diagnosis. If uncertainty remains, an endomyocardial biopsy (or biopsy from other tissue) with definitive tissue typing (ideally by mass spectrometry) is required. Almost all patients with light chain amyloidosis will have evidence of a plasma cell dyscrasia, and almost all of them will have elevation of either serum free lambda light chains or (less commonly) serum free kappa light chains. If light chain amyloidosis is clinically suspected and serum free light chains are elevated, it is mandatory to obtain a tissue biopsy to confirm the presence of amyloid deposits. Most patients with light chain amyloidosis have widespread systemic involvement, and a subcutaneous fat pad aspirate or deep skin biopsy will show amyloid deposits in the majority of cases, thus avoiding the necessity for a car diac biopsy. If skin/fat biopsy is negative, it is reasonable to proceed to an endomyocardial biopsy. If amyloid heart disease is present, this will be positive in well over 90% of cases. In all cases, appropriate typing of the amyloid should be done to confirm the appropriate therapy. An algorithm with a suggested workup of suspected amyloidosis is shown in Fig. 270-8. </w:t>
      </w:r>
      <w:r w:rsidRPr="00F23836">
        <w:rPr>
          <w:rFonts w:ascii="Arial" w:hAnsi="Arial" w:cs="Arial"/>
        </w:rPr>
        <w:t>■</w:t>
      </w:r>
      <w:r w:rsidRPr="00F23836">
        <w:t xml:space="preserve">DIAGNOSIS AND TYPING OF CARDIAC AMYLOIDOSIS Laboratory evaluation in patients with cardiac amyloidosis is generally nonspecific but may give some support to a suspected diagnosis. Elec trolytes and complete blood count are usually normal or near normal. N-terminal prohormone of brain natriuretic peptide (NTproBNP) may be higher than anticipated for the degree of congestive heart failure, often in the range of 1000 to 2000 pg/mL even in the presence of relatively mild congestive heart failure. High-sensitivity troponin is frequently mildly elevated and may lead to a misdiagnosis of isch emic heart disease. In AL amyloidosis with renal involvement, heavy 2024 PART 6 Disorders of the Cardiovascular System LV RV A LV CAVITY PE LV WALL B FIGURE 270-5 Typical cardiac magnetic resonance imaging (MRI) in amyloidosis. A. A typical cardiac MRI appearance in amyloid cardiomyopathy. The left ventricular (LV) cavity is small with a mildly dilated right ventricular (RV) cavity and thick LV walls. B. The appearance of late gadolinium enhancement after injection of gadolinium in the same patient. Two typical appearances are seen: the distinction between myocardium (straight line) and LV cavity is poor, due to delayed nulling of the myocardium, a near pathognomonic feature of cardiac amyloidosis. There is also extensive, transmural delayed gadolinium myocardial uptake due to severe amyloid infiltration. Another aspect of cardiac amyloidosis quantifiable by MRI (not shown) is measurement of extracellular volume, which is markedly increased in cardiac amyloidosis and helps to differentiate amyloid infiltration from true LV hypertrophy. PE, pericardial effusion. (Image courtesy of Dr. Sarah A. M. Cuddy, Brigham and Women’s Hospital, Section of Cardiology.) proteinuria is often found, and this may cause hypoalbuminemia. Renal involvement is not a feature of </w:t>
      </w:r>
      <w:r w:rsidRPr="00F23836">
        <w:lastRenderedPageBreak/>
        <w:t xml:space="preserve">transthyretin amyloidosis. Rarely, in AL amyloidosis with hepatic involvement, the alkaline phospha tase is significantly elevated. Although AL amyloidosis is a plasma cell disorder closely related to multiple myeloma, the sedimentation rate is usually normal or only minimally elevated, unlike the marked elevation that may be seen in myeloma. Hypogammaglobulinemia may be present in AL amyloidosis, but serum and urine protein elec trophoresis often do not reveal a monoclonal gammopathy, as the paraprotein level is low. Thus, in suspected AL amyloidosis, serum and urine immunofixation should be performed as these are more sensitive (although nonquantitative) than serum or urine protein electrophoresis. In almost all patients with AL amyloidosis, the level of circulating serum free light chains, either lambda or, less commonly, kappa free light chains, is elevated. It is important to recognize that findings suggestive of a plasma cell dyscrasia in a patient with a cardio myopathy needs to be interpreted in the context of the clinical picture, as monoclonal gammopathy of unknown significance is common in the older population and may be unrelated to the cardiomyopathy. Unlike TTR cardiomyopathy, there is no definitive noninvasive test to diagnose AL amyloid cardiomyopathy, and thus a tissue biopsy is always needed. A subcutaneous fat pad aspirate or deep-skin needle aspiration biopsy has a high yield of positivity, but needs to be evalu ated by a skilled pathologist. A biopsy positive for AL amyloid from a noncardiac site in the presence of imaging consistent with amyloid cardiomyopathy is adequate to conclude that cardiac involvement is present. Immunohistochemistry, performed by many pathology labs, is fraught with diagnostic uncertainty and should be used with great FIGURE 270-6 Technetium pyrophosphate (PYP) scan in a patient with wild-type transthyretin amyloidosis. The top three images are obtained in three separate views with single-photon emission computed tomography (CT) imaging alone, and the bottom three views with added cardiac CT imaging. Both modalities show marked myocardial uptake (orange) with absence of blood pool uptake (central clearing) and normal bone uptake. The lower images more precisely localize the uptake to the fused CT images of the heart, which in more equivocal cases helps to localize uptake to the myocardium and prevents misinterpretation as a positive scan due to blood pool uptake without myocardial uptake. PYP uptake is highly sensitive and specific for transthyretin amyloidosis but can occasional be present in AL amyloidosis; thus, exclusion of a plasma cell dyscrasia is mandatory when interpreting this imaging. In the normal heart and almost all other pathologies, there is no myocardial uptake of bone tracers such as PYP. 2025 CHAPTER 270 Amyloidosis and Other Restrictive Cardiomyopathies A TREATMENT B FIGURE 270-7 Technetium pyrophosphate (PYP) scan. A. A normal (negative) PYP scan. The planar images (top) show rib and sternal isotope uptake, but there is no uptake in the heart. Bottom panel shows single-photon emission computed tomography–computed tomography (SPECT-CT) fusion showing normal appearance of nonamyloid heart after PYP imaging (no isotope uptake). B. Positive PYP scan in a patient with cardiac transthyretin amyloidosis. There is intense cardiac uptake on the planar imaging (top) </w:t>
      </w:r>
      <w:r w:rsidRPr="00F23836">
        <w:lastRenderedPageBreak/>
        <w:t>which is confirmed to be in the wall of the heart on feud SPECT-CT images (lower panel). (Courtesy of Dr. Sharmila Dorbala, Brigham and Women’s Hospital.) Cardiac Amyloidosis The treatment of systemic amyloidosis is addressed in detail in Chap. 117. Here, we will concentrate on specific issues related to caution and always interpreted in the setting of the clinical picture. It is thus strongly recommended that typing of the amyloid ideally be done by mass spectrometry (available as a “send-out test” in the United States). Unless a diagnosis of AL amyloidosis is clear, sequencing of the TTR gene should be done to rule out familial transthyretin amyloidosis as this has obvious ramifications for the family. 2026 PART 6 Disorders of the Cardiovascular System Suspicion for CA based on echocardiogram, CMR, or strongly suggestive clinical scenario Assess for plasma cell dyscrasia by serum and urine PEP and IFE, and serum free light chains ABNORMAL* Fat pad or deep skin biopsy with staining for amyloid POSITIVE with positive typing for light chain amyloid*** Assessment of other possible organ involvement (renal, hepatic, neurologic) Referral to hematology for full evaluation including bone marrow biopsy NEGATIVE Proceed to cardiac or other affected organ biopsy AL (LIGHT CHAIN) AMYLOIDOSIS NEGATIVE FOR AMYLOID DEPOSITS Cardiac uptake equal or greater than ribs TTR AMYLOIDOSIS Genetic testing positive for variant TTR gene NEGATIVE Technetium imaging PYP, DPD or HMDF with SPECT imaging and, ideally, cardiac CT No cardiac uptake** Genetic testing negative for variant TTR gene AMYLOIDOSIS EXCLUDED FAMILIAL TTR AMYLOIDOSIS WILD-TYPE TTR AMYLOIDOSIS AMYLOIDOSIS UNLIKELY AND WORKUP CAN STOP BUT if suspicion still high, proceed to cardiac biopsy to exclude rare forms of amyloidosis including rare variant TTR forms that have negative TTR imaging Biopsy positive MASS SPECTROMETRY TO DETERMINE PRECISE AMYLOID PROTEIN Biopsy negative AMYLOIDOSIS EXCLUDED FIGURE 270-8 Diagnostic algorithm. Algorithm for the workup of suspected cardiac amyloidosis (CA). This is a suggested algorithm but, depending on initial degree of suspicion for amyloidosis type, may vary slightly in order. Asterisk footnotes are as follows: *Normal values in workup for a plasma cell dyscrasia are negative serum and urine protein electrophoresis and immunofixation, with normal values for free serum kappa and lambda light chains adjusted for renal function. Abnormalities may not always reflect light chain amyloidosis, as monoclonal gammopathy of unknown significance not uncommonly coexists with TTR amyloidosis and thus expert evaluation of all abnormalities is mandatory. **Patients with bone-imaging uptake present but less than rib uptake should be carefully evaluated to ensure that this is not just blood pool isotope uptake and, if not, should be considered as possible amyloidosis with further evaluation based on expert evaluation of likely cardiac amyloid. ***Typing for amyloidosis should ideally be performed by mass spectrometry, generally only available in specialized centers. Immunohistochemistry, while often used, may be misleading and should be interpreted cautiously within the context of the clinical features of the disease. CMR, cardiac magnetic resonance; CT computed tomography; DPD, technetium-99m 3,3-diphosphono-1,2-propanodicarboxylic acid; HMDP, technetium-</w:t>
      </w:r>
      <w:r w:rsidRPr="00F23836">
        <w:lastRenderedPageBreak/>
        <w:t xml:space="preserve">99m–hydroxymethylene diphosphonate; IFE, immunofixation electrophoresis; PYP, technetium-99m–pyrophosphate; PEP, protein electrophoresis; SPECT, single-photon emission computed tomography. the cardiac disease. It is important, when considering treatment of cardiac amyloidosis, not simply to focus on therapies aimed at slowing or stopping the production of the precursor protein but also to address the manifestations of the disease. Sodium restric tion is an integral part of management of heart failure in all forms of cardiac amyloidosis with congestive heart failure. The restrictive pathophysiology renders the patient particularly vulnerable to small changes in blood volume, and sodium restriction can significantly improve the response to diuretics. There are no specific clinical trials that evaluate the best way to treat congestive heart failure in cardiac amyloidosis, but it is generally recognized that diuretics are the mainstay of therapy. The combination of a loop diuretics such as furosemide or (preferably) torsemide with spironolactone or eplere none is usually well tolerated. Renal function should be monitored while adjusting diuretic dose, particularly in patients with ATTRw amyloidosis who tend to be older and to have more baseline renal impairment. The use of other drugs commonly used in congestive heart failure is more controversial. In light chain amyloidosis, auto nomic function is often impaired even in the absence of postural hypotension, and the use of angiotensin-converting enzyme inhibi tors or angiotensin receptor blockers may be associated with pro found hypotension. Thus, they are generally avoided. Beta-blockade is also often problematic and associated with decreased exercise tolerance. If a patient is receiving beta blockers when initially seen, we routinely taper and stop their use and reassess the patient’s sense of well-being, which, not infrequently, improves. For patients with atrial fibrillation and a rapid ventricular response, beta-blockade may be needed but digoxin can also be used. However, restoration of sinus rhythm is preferable. The use of sodium-glucose cotrans porter 2 (SGLT2) inhibitors appears to be clinically well-tolerated. This class of drug has efficacy across the spectrum of patients with heart failure and preserved ejection fraction and those with heart failure and reduced ejection fraction and may be of value in cardiac amyloidosis. 2027 Cardiac arrhythmias in both AL and TTR amyloidosis are com mon. Most frequently seen is atrial fibrillation or flutter, the onset of which is often associated with clinical deterioration. There is a high risk of thromboembolism in patients with cardiac amyloido sis, and anticoagulation in patients with atrial fibrillation or flutter is mandatory. There does not appear to be increased risk of major bleeding among patients taking anticoagulants in either light chain or transthyretin amyloidosis. Restoration of sinus rhythm should be considered in all patients, particularly since rate-controlling agents are poorly tolerated. Amiodarone appears to be the most effective antiarrhythmic drug for atrial arrhythmias and should ideally be given, starting with a loading dose, prior to elective elec trical cardioversion. If a patient is adequately anticoagulated before and during electrical cardioversion, there is no reason to perform transesophageal echocardiography prior to the procedure. If atrial arrhythmias are associated with clinical deterioration and sinus rhythm cannot be </w:t>
      </w:r>
      <w:r w:rsidRPr="00F23836">
        <w:lastRenderedPageBreak/>
        <w:t xml:space="preserve">maintained despite antiarrhythmic therapy, con sideration should be given to an invasive electrophysiologic proce dure. Pulmonary venous isolation/atrial fibrillation ablation is often more complex than in nonamyloid patients, with a higher recur rence rate, and we therefore tend to limit ablation procedures to patients with atrial flutter and no evidence of atrial fibrillation. For those with symptomatic atrial fibrillation, atrioventricular nodal ablation with the implantation of a biventricular pacemaker is an effective way of both controlling and regularizing the ventricular rate. Sudden cardiac death may occur in cardiac amyloidosis, being more common in advanced AL amyloidosis, but a prophylactic implantable defibrillator is generally ineffective in preventing this. Thus, consideration of an implantable defibrillator should be highly selective and probably limited to patients with a prior resuscitated cardiac arrest or a history of sustained ventricular tachycardia. Patients with TTR amyloidosis are at a high risk for the develop ment of high-degree atrioventricular block. This is usually preceded on ECG by bifascicular block or left bundle branch block. Patients should be questioned about unexplained, nonpostural dizzy spells or syncope, and if these occur in the setting of one of these ECG abnormalities, strong consideration should be given to cardiac pac ing. If a pacemaker is to be placed, we would generally recommend biventricular pacing, as right ventricular pacing produces abnor malities of septal contraction that, in the presence of a small cavity ventricle, may decrease cardiac output. SPECIFIC THERAPY OF CARDIAC AMYLOIDOSIS: AL AMYLOIDOSIS The most common regimen for treating patients with light chain amyloidosis includes daratumumab, bortezomib, cyclophospha mide, and dexamethasone. Dexamethasone may aggravate sodium retention, and it is critical that the cardiologist experienced in TABLE 270-2 Rare Forms of Amyloidosis AMYLOID TYPE PRECURSOR PROTEIN FREQUENCY OF CARDIAC DISEASE amyloidosis co-manages AL amyloidosis patients with cardiac involvement along with the treating hematologist. During therapy, an increased diuretic dose may be needed and/or a reduction in the dexamethasone dose. The other medications are generally well tolerated, but rarely, bortezomib may cause acute, reversible cardiac toxicity. Bortezomib may also cause a neuropathy and aggravate autonomic neuropathy of AL amyloidosis. High-dose melphalan chemotherapy with autologous stem cell transplantation is used in some patients with light chain amyloidosis and may be associated with considerable fluid retention or atrial arrhythmias in patients with cardiac involvement. For patients with AL cardiac amyloidosis, it is mandatory that the patient being considered for this therapy have a pretherapy cardiac evaluation to assess the risk-benefit ratio, along with regular posttransplant follow-up in the acute stage. Fol lowing successful chemotherapy (defined as a hematologic remis sion, with normalization of the serum free light chains), congestive heart failure often improves and is associated with an improvement in left ventricular longitudinal strain. However, some patients remain with very poor cardiac function. Such patients may benefit from cardiac transplantation, but this requires a very careful evalu ation at an expert center to determine the extent of extracardiac </w:t>
      </w:r>
      <w:r w:rsidRPr="00F23836">
        <w:lastRenderedPageBreak/>
        <w:t xml:space="preserve">amyloidosis and its likely effect on posttransplant prognosis. SPECIFIC THERAPY OF CARDIAC AMYLOIDOSIS: TTR AMYLOIDOSIS Currently, the aim of treatment of TTR cardiac amyloidosis is focused on reducing or stopping any further amyloid deposition. Tafamidis, a small molecule that stabilizes the tetrameric structure of transthyretin, is effective at slowing disease progression and may halt progression among patients treated early in the clinical presentation of the disease. It is extremely well tolerated. A similar drug, acoramidis, has shown similar efficacy in a pivotal clinical trial. An alternative class of drugs, the TTR silencers, significantly reduce the production of transthyretin by the liver and are approved in the United States for the treatment of familial amyloid polyneu ropathy. At the time of writing, two drugs (both of which are only approved for amyloid neuropathy), eplontersen and vutrisiran, both administered subcutaneously, are completing clinical trials for the treatment of transthyretin amyloid cardiomyopathy. Rarer forms of cardiac amyloidosis are listed in Table 270-2. Their rarity relates to the very uncommon nature of the type of amyloid with which they are associated or, as in the example of AA amyloido sis, the uncommon nature of cardiac involvement despite extensive other involvement. The diagnosis of most of these forms of cardiac amyloidosis will be made on mass spectrometry of a tissue biopsy after cardiac amyloidosis is suspected but when there is no evidence of a plasma cell dyscrasia or abnormality on technetium imaging. OTHER ORGAN INVOLVEMENT AA AApoA1 AapoA4 Afib ALECT2 Gelsolin Serum amyloid A (an inflammatory protein) Apolipoprotein 1 Apolipoprotein 4 Fibrinogen A-alpha (gene mutation) Leukocyte cell-derived chemotaxin 2 150,000 patients have undergone cardiac trans plantation with a 1-year survival &gt;80% and median survival of 12.5 years and conditional survival of 14.8 years if the recipient survives the first year after transplant. These gains have been ushered in by advances in immunosuppression, identification and management of allograft rejection, and a comprehensive appreciation for late compli cations including accelerated coronary artery disease, malignancy, and renal failure. </w:t>
      </w:r>
      <w:r w:rsidRPr="00F23836">
        <w:rPr>
          <w:rFonts w:ascii="Arial" w:hAnsi="Arial" w:cs="Arial"/>
        </w:rPr>
        <w:t>■</w:t>
      </w:r>
      <w:r w:rsidRPr="00F23836">
        <w:t xml:space="preserve">CANDIDATES FOR CARDIAC TRANSPLANTATION Over the past several years, cardiac amyloidosis has come to be recog nized as a much more common disease than previously appreciated. In part, this is due to the aging population, in whom TTR amyloidosis is a significant cause of heart failure. The ability to diagnose TTR amyloidosis with noninvasive nuclear scanning rather than needing cardiac biopsy has made the diagnosis much easier, and the availability of effective disease-modifying treatment has added an incentive to diagnose previously untreated disease. AL amyloidosis, although more complex to diagnose, is seen in younger patients, and now effective life saving treatments and therapies for both types of cardiac amyloidosis are expanding. While a high degree of suspicion is needed to diagnose these diseases, the benefits of diagnosis to the patient are considerable, and the satisfaction of being able to treat a previously untreatable con dition is one of the most gratifying aspects of the practice of medicine. </w:t>
      </w:r>
      <w:r w:rsidRPr="00F23836">
        <w:rPr>
          <w:rFonts w:ascii="Arial" w:hAnsi="Arial" w:cs="Arial"/>
        </w:rPr>
        <w:t>■</w:t>
      </w:r>
      <w:r w:rsidRPr="00F23836">
        <w:t xml:space="preserve">FURTHER READING Dorbala S et al: How to image cardiac amyloidosis: A practical approach. JACC Cardiovasc Imaging 13:1368, 2020. Ioannou A et al: Rare forms of cardiac </w:t>
      </w:r>
      <w:r w:rsidRPr="00F23836">
        <w:lastRenderedPageBreak/>
        <w:t xml:space="preserve">amyloidosis: Diagnostic clues and phenotype in Apo AI and AIV amyloidosis. Circ Cardiovasc Imaging 16:523, 2023. Kittleson MM et al: 2023 ACC Expert Consensus Decision Pathway on comprehensive multidisciplinary care for the patient with cardiac amyloidosis: A report of the American College of Cardiology Solu tion Set Oversight Committee. J Am Coll Cardiol 81;1076, 2023. Ruberg FL, Maurer MS: Cardiac amyloidosis due to transthyretin protein: A review. JAMA 331:778, 2024. Wechalekar AD et al: AL amyloidosis for cardiologists: Awareness, diagnosis, and future prospects: JACC: CardioOncology state-of-the art review. JACC CardioOncol 4:427, 2022. 271 Cardiac Transplantation and Prolonged Assisted Circulation Mandeep R. Mehra Advanced heart failure, a distinct syndrome, is characterized by refrac toriness to conventional therapy and represents a clinical dilemma associated with an increased symptom burden, frequent hospitaliza tion, a poor quality of life, and high risk of death. Such individuals do not tolerate neurohormonal antagonists at recommended doses, exhibit worsening renal function, maintain poor cardiac reserve on cardiopul monary stress testing, and typically display a low cardiac output state with elevated pulmonary pressures on invasive hemodynamic assess ment. In general, therapeutic targets shift away from disease-modifying or neurohormonal therapy to surgical options that attend directly to supporting the dysfunctional heart and address myocardial stress and strain relationships. Most often, prolonged circulatory assistance using mechanical ventricular assist devices or cardiac transplantation is required to reliably improve quality of life and long-term survival. CARDIAC TRANSPLANTATION A decade after Norman Shumway had accomplished the technique of a successful heart transplant in canines, Christiaan Barnard success fully performed the first human-to-human transplant on December 3, 1967. Now, &gt;5 decades later, this surgery has become entrenched in the standard armamentarium for treating patients with advanced heart failure who are otherwise healthy enough to receive such a life-altering The demand for cardiac transplantation outstrips the availability of organ donors. Hence, attention to the optimal utility, equitable alloca tion, and patient autonomy must dominate decisions to identify and list candidates for transplantation. Simultaneously, attempts at expand ing the donor pool have surfaced. However, vigilance to evaluating candidates most likely to have a successful outcome from transplanta tion takes pre-eminence. In 2006, the International Society for Heart and Lung Transplantation identified a set of criteria to guide listing of patients. These criteria were updated in 2016 and include additional attention to the growing epidemiology of candidates suffering from congenital heart disease, restrictive and infiltrative cardiomyopathy (such as amyloidosis), and chronic infections in recipients (such as Chagas’ disease, tuberculosis, and viral hepatitis). Selected general principles for listing candidates for cardiac transplantation are enumerated in Table 271-1. </w:t>
      </w:r>
      <w:r w:rsidRPr="00F23836">
        <w:rPr>
          <w:rFonts w:ascii="Arial" w:hAnsi="Arial" w:cs="Arial"/>
        </w:rPr>
        <w:t>■</w:t>
      </w:r>
      <w:r w:rsidRPr="00F23836">
        <w:t xml:space="preserve">PRINCIPLES OF DONOR RECOVERY AND ALLOCATION Although listing criteria for candidates are typically adjudicated at an individual center level, organ allocation is handled by national regulatory processes in most countries. The allocation of donor hearts is based on (1) </w:t>
      </w:r>
      <w:r w:rsidRPr="00F23836">
        <w:lastRenderedPageBreak/>
        <w:t xml:space="preserve">the urgency of the recipient clinical situation, (2) the length of time spent on the waiting list, (3) the distance from the recipient center, and (4) blood group. Candidates who are hospitalized in critical status and require extracorporeal membrane oxygenation TABLE 271-1 Principles for Listing Candidates for Cardiac Transplantation PRINCIPLE Advanced disease severity Comorbidity Donor recipient matching Psychosocial issues COMMENT Refractory heart failure with a VO2 of 35 kg/m2 should require weight loss; cancer should be dealt with on an individual basis (e.g., low-grade prostate cancer may not be a contraindication); poorly controlled diabetes mellitus or end-organ damage may be a contraindication; eGFR 15, PVR &gt;3 Wood units, and absolute PA systolic pressure &gt;50 mmHg (provided the systolic blood pressure is &gt;85 mmHg) is a relative contraindication unless reactive to therapy. Tobacco use in any form limits posttransplant survival and should be stopped for at least 6 months; substance abuse, including marijuana, should be a contraindication if the individual cannot demonstrate control and cessation; patients with severe cognitive-behavioral disabilities or dementia (inability to ever understand and cooperate with medical care) have the potential for self-harm and should not receive a transplant. Abbreviations: BMI, body mass index; eGFR, estimated glomerular filtration rate; PA, pulmonary artery; PVR, pulmonary vascular resistance; VO2 , peak oxygen consumption. 2029 or temporary mechanical circulatory support devices to support both ventricles are given the highest urgency status, followed by those requiring daily invasive hemodynamic evaluation and intravenous inotropic therapy to maintain stability, or those with complications of a durable left ventricular assist device. Others stable at home while sup ported by a left ventricular assist device or those able to ambulate and live at home receive a lower urgency status. The geographical regional reach for allocation is based not only on territorial considerations but also on the time that a donor heart would be in transit and therefore in out of body “ischemia time,” which is typically limited to 4 h, unless novel techniques for organ transport are employed. A key feature that is included in the allocation offer relates to the ABO blood group as well as the size match of a potential donor with the recipient. Donor organs are offered based on these initial characteristics and then a more detailed donor assessment ensues, resulting in acceptance or decline for any given donor heart. It is important to note that the time constraints imposed on the retrieval process make it difficult to invoke HLA matching of the donor and recipient. In cases where there is a high likelihood of allosensitization in the recipient (preformed circu lating antibodies against donor antigens), a prospective or virtual cross match is entertained prior to acceptance. Other clinical criteria that are employed in the decision on accepting an offered donor include the donor-recipient size match (donor body weight no greater than 30% below that of the recipient if it is a same sex transplant, or no greater than 20% for a female to male transplant or assessed using a predicted heart mass calculator), the age of the donor (typically restricted to 200 meters 2032 require antiarrhythmic therapy or ablation since such events can trigger low flow through the device. PART 6 Disorders of the Cardiovascular System functional limitation indicated </w:t>
      </w:r>
      <w:r w:rsidRPr="00F23836">
        <w:lastRenderedPageBreak/>
        <w:t xml:space="preserve">by a peak oxygen consumption of &lt; 2.16 2.16 to &lt; 4.17 4.17 to &lt; 6.19 6.19 to &lt; 8.2 8.2 to &lt; 10.21 10.21 to &lt; 12.23 12.23 to &lt; 14.24 14.24 to &lt; 16.25 16.25 to &lt; 18.27 &gt;= 18.27 A 40 30 20 10 400 Rate per 100,000 B 300 200 100 400 300 200 100 YLDs (Years Lived with Disability) 0 0 0 1990 1990 2000 2010 YLLs (Years of Life Loot) 2000 2010 DALYs (Disability Adjusted Life Years) Prevalence 600 400 200 0 2022 10 1990 2000 2010 Mortality 5 0 2022 1990 2000 2010 Age-standardized 1990 2000 2010 2022 Year 2022 2022 All Ages FIGURE 272-1 The global burden of rheumatic heart disease. (A) Global map of age-standardized rheumatic heart disease morality rate per 100,000 in 2022. Mortality rates are highest in South Asia and Oceania. (B) Global rheumatic heart disease estimates per 100,000 by measure with shaded 95% uncertainty interval, 1990–2022. DALYs, disability-adjusted life-years; YLDs, years lived with disability; YLLs, years of life lost. (Reproduced with permission from GA Mensah et al: Global burden of cardiovascular diseases and risks, 1990-2022. J Am Coll Cardiol 82:2350, 2023.) 14 2035 Prevalence of moderate or severe valve disease (%) 12 10 0 2 4 6 8 All valve disease Mitral valve disease Aortic valve disease 65 years. In this age group, the prevalence of previously undi agnosed moderate or severe valvular heart disease is ~6%. Significant left-sided valve disease may affect as many as 12–13% of adults aged &gt;75 years (Fig. 272-2). Severe aortic stenosis (AS) is estimated to affect 3.5% of the population aged &gt;75 years. A Swedish epidemio logic study estimated the incidence of newly diagnosed valvular heart disease at 64 per 100,000 person-years, with approximately 70% of incident disease observed in individuals 65 years of age or older. AS and mitral regurgitation contributed approximately one-half and one-quarter, respectively, of the valvular heart disease diagnoses in this study. The incidence of infective endocarditis (Chap. 133) has increased with the aging of the population, the more widespread prevalence of vascular grafts and intracardiac devices, the emergence of more viru lent multidrug-resistant microorganisms, and the growing epidemic of injection drug use. North American age-standardized incidence rates for endocarditis increased from in 10.1 per 100,000 population in 1990 to 12.54 per 100,000 population in 2019. The more restricted use of antibiotic prophylaxis since 2007 has not been convincingly associated with an increase in incidence rates for infective endocar ditis cases attributable to oropharyngeal pathogens. Infective endo carditis has become a relatively more frequent cause of acute valvular regurgitation. Valve surgery during the acute phase of infective endo carditis is performed in ~50–60% of hospitalized patients. Duration of intravenous antibiotic use may be shortened in selected cases. compose 65. Approximately 30% of per sons aged &gt;65 years exhibit some degree of aortic valve sclerosis. Rate and extent of progression to valve obstruction (stenosis) vary among individual patients. Bicuspid aortic valve (BAV) disease affects as many as 0.5–1.4% of the general population and is accompanied by an associated aor topathy in ~30–40% of individuals, a disease process expressed as root or ascending aortic aneurysm formation or descending thoracic aortic coarctation. An increasing number of childhood survivors of congenital heart disease present later in </w:t>
      </w:r>
      <w:r w:rsidRPr="00F23836">
        <w:lastRenderedPageBreak/>
        <w:t xml:space="preserve">life with valvular dysfunction. The global burden of valvular heart disease will continue to progress. As is true for many other chronic health conditions, disparities in access to and quality of care for patients with valvular heart dis ease have been well documented, especially for those patients with rheumatic heart disease in low- and middle-income countries. In the Society for Thoracic Surgeons (STS)/American College of Cardiology (ACC) Transcatheter Valve Therapy (TVT) registry, black patients Rheumatic disease of the aortic leaflets produces commissural fusion, sometimes resulting in a bicuspid-appearing valve. This con dition, in turn, makes the leaflets more susceptible to trauma and ultimately leads to fibrosis, calcification, and further narrowing. By the time obstruction to left ventricular (LV) outflow causes serious clinical disability, the valve is usually a rigid calcified mass, and care ful examination may make it difficult or even impossible to determine TABLE 272-1 Major Causes of Aortic Stenosis VALVE LESION Aortic stenosis ETIOLOGIES Congenital (bicuspid, unicuspid) Degenerative calcific disease Rheumatic fever Radiation 2036 Lipid infiltration Inflammation F ibro-calcific response PART 6 Disorders of the Cardiovascular System Radiation Mechanical stress Lipid-derived species Cytokines Lp(a) Lipids LDL NOS uncoupling ROS Angiotensin I Calcium hydroxyapatite VEGF Chymase Ox-LDL Ox-PL Lp-PLA2 MMPs VEGF TNF IL-1β ACE Angiotensin II LDL Blood vessel Osteoprogenitor cell ATX ATX sPLA2 VIC IysoPC IysoPA LPAR AA inflammation RANKL TNF IL-6 WNT3a TGFβ BMP2 ENPP1 NT5E 5-LO Leukotrienes COX2 Prostaglandins ATP ALP RUNX2 MSX2 A2AR AMP +PPi Pi Adenosine +Pi Time Collagen Fibrosis Mineralization Apoptosis Osteogenic transition Monocyte Mastocyte T cell Macrophage Calcifying microvesicles FIGURE 272-3 Pathogenesis of calcific aortic stenosis. Lipid and inflammatory cell infiltration occurs across damaged endothelium. A cascade of events follows that leads eventually to formation of disorganized collagen (fibrosis) and calcium hydroxyapatite (bone) deposition. Valvular interstitial cells (VIC) are critical participants in this active process. AA, arachidonic acid; ACE, angiotensin-converting enzyme; ALP, alkaline phosphatase; ApoB, apolipoprotein B; AMP, adenosine monophosphate; ATP, adenosine triphosphate; ATX, autotaxin; A2AR, adenosine A2A receptor; BMP, bone morphogenetic protein; COX2, cyclooxygenase 2; ENPP, ectonucleotide pyrophosphatase/ phosphodiesterase; IL, interleukin; 5-LO, 5-lipoxygenase; LDL, low-density lipoprotein; Lp(a), lipoprotein(a); LPAR, lysophosphatidic acid receptor; Lp-PLA2, lipoprotein associated phospholipase A2; lysoPA, lysophosphatidic acid; lysoPC, lysophosphatidylcholine; MMP, matrix metalloproteinase; NOS, nitric oxide synthase; Ox-PL, oxidized phospholipid; Ox-LDL, oxidized LDL; RANKL, receptor activator of nuclear factor-κB ligand; ROS, reactive oxygen species; RUNX2, runt-related transcription factor 2; sPLA2, secreted PLA2; TGFβ, transforming growth factor β; TNF, tumor necrosis factor; VEGF, vascular endothelial growth factor; VIC, valvular interstitial cell. (Reproduced with permission from B Lindman et al: Calcific aortic stenosis. Nat Rev Dis Primers 2:16006, 2016.) the etiology of the underlying process. Rheumatic AS is almost always associated with involvement of the mitral valve and with aortic regur gitation (AR). Mediastinal radiation </w:t>
      </w:r>
      <w:r w:rsidRPr="00F23836">
        <w:lastRenderedPageBreak/>
        <w:t xml:space="preserve">can also result in late scarring, fibrosis, and calcification of the aortic leaflets. In this context, the calcification process also affects the mitral annulus. </w:t>
      </w:r>
      <w:r w:rsidRPr="00F23836">
        <w:rPr>
          <w:rFonts w:ascii="Arial" w:hAnsi="Arial" w:cs="Arial"/>
        </w:rPr>
        <w:t>■</w:t>
      </w:r>
      <w:r w:rsidRPr="00F23836">
        <w:t xml:space="preserve">BICUSPID AORTIC VALVE DISEASE A bicuspid aortic valve (BAV) is the most common congenital heart valve defect and occurs in 0.5–1.4% of the population with a 2–4:1 male-to-female predominance. The inheritance pattern appears to be autosomal dominant with incomplete penetrance, although some have questioned an X-linked component as suggested by the preva lence of BAV disease among patients with Turner’s syndrome. The prevalence of BAV disease among first-degree relatives of an affected individual is ~10%. A single gene defect to explain the majority of cases has not been identified, although mutations in the NOTCH1, GATA5, and GATA4 genes have been described in some families. Abnormalities in endothelial nitric oxide synthase and NKX2.5 have been implicated as well. Medial degeneration with ascending aortic aneurysm formation occurs commonly among patients with BAV disease; aortic coarctation is less frequently encountered. Patients with BAV disease have larger aortas than patients with comparable tricuspid aortic valve disease. The aortopathy develops independently of the hemodynamic severity of the valve lesion, but directional shear forces dictated by the anatomic configuration of the valve appear to influence its expression. For example, enlargement of the ascending aorta along its greater curvature is most often associated with right-left cusp fusion (Sievers classification type 1), the most common bicuspid variant. Patients with BAV disease are at risk for aneurysm formation and/or dissection. A BAV can be a component of more complex congenital heart disease with or without other left heart obstructing lesions, as seen in Shone’s complex (supravalvar mitral membrane, parachute mitral valve, subvalvar AS, and aortic coarctation). </w:t>
      </w:r>
      <w:r w:rsidRPr="00F23836">
        <w:rPr>
          <w:rFonts w:ascii="Arial" w:hAnsi="Arial" w:cs="Arial"/>
        </w:rPr>
        <w:t>■</w:t>
      </w:r>
      <w:r w:rsidRPr="00F23836">
        <w:t xml:space="preserve">OTHER FORMS OF OBSTRUCTION TO LEFT VENTRICULAR OUTFLOW In addition to valvular AS, three other lesions may be responsible for obstruction to LV outflow: hypertrophic obstructive cardiomyopathy (Chaps. 266–270), discrete fibromuscular/membranous subaortic ste nosis, and supravalvular AS (Chap. 280). The causes of LV outflow obstruction can usually be differentiated on the basis of the cardiac examination and Doppler echocardiographic findings. </w:t>
      </w:r>
      <w:r w:rsidRPr="00F23836">
        <w:rPr>
          <w:rFonts w:ascii="Arial" w:hAnsi="Arial" w:cs="Arial"/>
        </w:rPr>
        <w:t>■</w:t>
      </w:r>
      <w:r w:rsidRPr="00F23836">
        <w:t xml:space="preserve">PATHOPHYSIOLOGY The obstruction to LV outflow produces a systolic pressure gradi ent between the LV and aorta. When severe obstruction is suddenly produced experimentally, the LV responds by dilation and reduction of stroke volume. However, in some patients, the obstruction may be present at birth and/or increase gradually over the course of many years, and LV contractile performance is maintained by the presence of concentric LV hypertrophy. Initially, this serves as an adaptive 2037 mechanism because it reduces toward normal the systolic stress developed by the myocardium, as predicted by the Laplace relation wall tension normalized to wall thickness (S = Pr/h, where S = systolic wall stress, P = pressure, r = radius, and h = wall thickness). A large transaortic valve pressure gradient may exist for many years without a reduction in cardiac output (CO) or the development of LV dilation. Ultimately, however, excessive hypertrophy becomes maladaptive, LV systolic function declines because of afterload mismatch, abnormali ties of diastolic function </w:t>
      </w:r>
      <w:r w:rsidRPr="00F23836">
        <w:lastRenderedPageBreak/>
        <w:t xml:space="preserve">progress, and irreversible myocardial fibrosis develops. A mean systolic pressure gradient &gt;40 mmHg with a normal CO or an effective aortic orifice area of ~65. Exertional syncope may result from a decline in arterial pressure caused by vasodilation in exercising muscles and inadequate vasoconstriction in nonexercising muscles in the face of a fixed CO, or from a sudden fall in CO produced by an arrhythmia. Because the CO at rest is usually well maintained until late in the course, marked fatigability, weakness, peripheral cyanosis, cachexia, and other clinical manifestations of a low CO are usually not promi nent until this stage is reached. Orthopnea, paroxysmal nocturnal dyspnea, and pulmonary edema, i.e., symptoms of LV failure, also occur only in the advanced stages of the disease. Severe pulmonary hypertension leading to RV failure and systemic venous hypertension, hepatomegaly, AF, and tricuspid regurgitation (TR) are usually late findings in patients with isolated severe AS. When AS and mitral stenosis (MS) coexist, the reduction in flow (CO) caused by MS lowers the pressure gradient across the aortic valve and, thereby, masks many of the clinical findings produced by AS. The transaortic pressure gradient can be increased in patients with con comitant AR due to higher aortic valve flow rates. </w:t>
      </w:r>
      <w:r w:rsidRPr="00F23836">
        <w:rPr>
          <w:rFonts w:ascii="Arial" w:hAnsi="Arial" w:cs="Arial"/>
        </w:rPr>
        <w:t>■</w:t>
      </w:r>
      <w:r w:rsidRPr="00F23836">
        <w:t xml:space="preserve">PHYSICAL FINDINGS The heart rhythm is generally regular until late in the course; at other times, AF should suggest the possibility of associated mitral valve disease. Hypertension occurs commonly among older adults with AS. In the late stages, however, when stroke volume declines, the systolic pressure may fall and the pulse pressure narrow. The carotid arterial pulse rises slowly to a delayed peak (pulsus parvus et tardus). A thrill or anacrotic “shudder” may be palpable over the carotid arteries, more commonly the left. In the elderly, the stiffening of the arterial wall may mask this important physical sign. In many patients, the a wave in the jugular venous pulse is accentuated. This results from the diminished distensibility of the RV cavity caused by the bulging, hypertrophied interventricular septum. CHAPTER 272 Aortic Stenosis The LV impulse is sometimes displaced laterally in the later stages of the disease. A double apical impulse (with a palpable S4 ) may be appreciated, particularly with the patient in the left lateral recumbent position. A systolic thrill may be present at the base of the heart to the right of the sternum when leaning forward or in the suprasternal notch. Auscultation An early systolic ejection sound is frequently audi ble in children, adolescents, and young adults with congenital BAV disease. This sound usually disappears when the valve becomes calci fied and rigid. As AS increases in severity, LV systole may become pro longed so that the aortic valve closure sound no longer precedes the pulmonic valve closure sound, and the two components may become synchronous, or aortic valve closure may even follow pulmonic valve closure, causing paradoxical splitting of S2 (Chap. 246). The sound of aortic valve closure can be heard most frequently in patients with AS who have pliable valves; calcification diminishes the intensity of this sound. Frequently, an S4 is audible at the apex and reflects the presence of LV hypertrophy and an elevated LV end-diastolic pressure; an S3 generally occurs late in the course when the LV dilates and its systolic function becomes severely compromised. The murmur of AS is described as an </w:t>
      </w:r>
      <w:r w:rsidRPr="00F23836">
        <w:lastRenderedPageBreak/>
        <w:t xml:space="preserve">ejection (mid) systolic mur mur that commences shortly after the S1 , increases in intensity to reach a peak toward the middle of ejection, and ends just before aortic valve closure. It is characteristically low-pitched, rough, and rasping in character, and loudest at the base of the heart, most commonly in the second right intercostal space. It is transmitted upward along the carotid arteries. Occasionally, it is transmitted downward and to the apex, where it may be confused with the systolic murmur of mitral regurgitation (MR) (Gallavardin effect). In almost all patients with severe obstruction and preserved CO, the murmur is at least grade III/ VI. In patients with mild degrees of obstruction or in those with severe stenosis with heart failure and low CO in whom the stroke volume and, therefore, the transvalvular flow rate are reduced, the murmur may be relatively soft and brief. </w:t>
      </w:r>
      <w:r w:rsidRPr="00F23836">
        <w:rPr>
          <w:rFonts w:ascii="Arial" w:hAnsi="Arial" w:cs="Arial"/>
        </w:rPr>
        <w:t>■</w:t>
      </w:r>
      <w:r w:rsidRPr="00F23836">
        <w:t xml:space="preserve">LABORATORY EXAMINATION ECG In most patients with severe AS, there is LV hypertrophy. In advanced cases, ST-segment depression and T-wave inversion (LV “strain”) in standard leads I and aVL and in the left precordial leads are evident. However, there is no close correlation between the ECG 2038 PART 6 Disorders of the Cardiovascular System and the hemodynamic severity of obstruction, and the absence of ECG signs of LV hypertrophy does not exclude severe obstruction. Systemic hypertension can coexist and also contribute to the development of hypertrophy. Echocardiogram The key findings on transthoracic echocar diogram are thickening, calcification, and reduced systolic opening of the aortic valve leaflets and LV hypertrophy. Eccentric closure of the aortic valve cusps is characteristic of congenitally bicuspid valves. Transesophageal echocardiography imaging can display the obstructed orifice extremely well, but it is not routinely required for accurate characterization of AS. The valve gradient and aortic valve area can be estimated by Doppler measurement of the transaortic velocity. Severe AS is defined by a valve area 4 m/s) proximal ascending aorta may be seen along the upper right heart border in the frontal view. Aortic valve calcification may be discern ible in the lateral view, but it is usually readily apparent on fluoro scopic examination or by echocardiography; the absence of valvular calcification on fluoroscopy in an adult suggests that severe valvular AS is not present. In later stages of the disease, as the LV dilates, there is increasing roentgenographic evidence of LV enlargement, pulmonary congestion, and enlargement of the LA, PA, and right sided heart chambers. Catheterization Right- and left-sided heart catheterization for invasive assessment of AS is performed infrequently but can be useful when there is a discrepancy between the clinical and nonin vasive findings. Concern has been raised that attempts to cross the aortic valve for measurement of LV pressures are associated with a risk of cerebral embolization. Catheterization can also be useful in three distinct categories of patients: (1) patients with multivalvular disease, in whom the role played by each valvular deformity should be defined to aid in the planning of operative treatment; (2) young, asymptomatic patients with noncalcific congenital AS, to define the severity of obstruction to LV outflow, because operation or percuta neous aortic balloon valvuloplasty (PABV) may be indicated in these patients if severe AS is present, even in the absence of symptoms; </w:t>
      </w:r>
      <w:r w:rsidRPr="00F23836">
        <w:lastRenderedPageBreak/>
        <w:t xml:space="preserve">and (3) patients in whom it is suspected that the obstruction to LV outflow may not be at the level of the aortic valve but rather at the sub- or supravalvular level. Coronary angiography is indicated to screen for CAD in appropriate patients with severe AS who are being considered for surgical or trans catheter valve intervention. Angiography can be performed invasively at the time of catheterization for hemodynamic assessment or with noninvasive CT techniques. Decision-making regarding the need for coronary artery revascularization at the time of aortic valve interven tion is individualized. </w:t>
      </w:r>
      <w:r w:rsidRPr="00F23836">
        <w:rPr>
          <w:rFonts w:ascii="Arial" w:hAnsi="Arial" w:cs="Arial"/>
        </w:rPr>
        <w:t>■</w:t>
      </w:r>
      <w:r w:rsidRPr="00F23836">
        <w:t xml:space="preserve">NATURAL HISTORY Death in patients with severe AS occurs most commonly in the seventh and eighth decades. Based on data obtained at postmortem examina tion in patients before surgical treatment became widely available, the average time to death after the onset of various symptoms was as fol lows: angina pectoris, 3 years; syncope, 3 years; dyspnea, 2 years; and heart failure, 1.5–2 years. Moreover, in &gt;80% of patients who died with AS, symptoms had existed for 3x normal or Rapid disease progression Low surgical risk AVR (SAVR or TAVI) (1) SAVR (2a) ↓ EF to 40 mmHg mean gradient); stage D2 comprises patients with symptomatic, severe, low-flow, low-gradient aortic stenosis and low left ventricular ejection fraction (LVEF); and stage D3 characterizes patients with symptomatic, severe, low-flow, low-gradient aortic stenosis and preserved LVEF (paradoxical, low-flow, low-gradient severe aortic stenosis). Patients with symptomatic severe AS (left side of the diagram, jet velocity ≥4m/s) should be referred for AVR (SAVR or TAVI). Asymptomatic patients with severe AS (jet velocity ≥4m/s) should be referred for AVR (SAVR or TAVI) for LVEF 5 m/s, or elevated B-type natriuretic peptide (BNP), provided the patient is considered low risk for complications related to AVR. AS, aortic stenosis; AVA, aortic valve area; AVR, aortic valve replacement; BP, blood pressure; DSE, dobutamine stress echocardiography; EF, ejection fraction; ETT, exercise treadmill test; ΔPmean , mean pressure gradient; SAVR, surgical AVR; TAVI, transcatheter aortic valve implantation; Vmax , maximum velocity. (Reproduced with permission from CM Otto et al: 2020 AHA/ACC Guideline for management of patients with valvular heart disease: A report of the American College of Cardiology/American Heart Association Task Force on Practice Guidelines. Circulation 143(5):e72, 2021.) inhibitors of the renin-angiotensin-aldosterone system slow the rate of progression of AS. The use of statin medications should be driven by considerations regarding primary and secondary pre vention of atherosclerotic cardiovascular disease (ASCVD) events. Studies with agents targeted to Lp(a) are ongoing. The need for endocarditis prophylaxis is restricted to AS patients with a prior history of endocarditis. SURGICAL TREATMENT Asymptomatic patients with calcific AS and severe obstruction should be followed carefully for the development of symptoms and for evidence of deteriorating LV function on serial echocardiogra phy. Operation is indicated in patients with severe AS (valve area 5.5 cm). Operation for aneurysm disease is recommended at smaller aortic diameters (4.5–5.0 cm) for patients with a family history of an aortic catastrophe and for patients who exhibit rapid aneurysm growth (&gt;0.5 cm/year). Patients with asymptomatic moder ate or severe AS who are referred for coronary artery bypass grafting surgery </w:t>
      </w:r>
      <w:r w:rsidRPr="00F23836">
        <w:lastRenderedPageBreak/>
        <w:t xml:space="preserve">should also have AVR. The majority (~80%) of patients with symptomatic severe AS referred for surgery are considered low risk for perioperative death or major complication. Operative risk increases as a function of age, comorbidities, and the need for concomitant aortic or other heart valve surgery or coronary artery bypass grafting. A 2023 2040 PART 6 Disorders of the Cardiovascular System analysis from the STS Adult Cardiac Surgery Database reported a 5-year survival rate of 95% following isolated surgical AVR (SAVR) in low-risk AS patients of mean age 74 years. The indications for SAVR in the asymptomatic patient have been the subject of intense debate, as surgical outcomes in selected patients have continued to improve. Relative indications for which surgery is reasonable include an abnormal response to treadmill exercise; rapid progres sion of AS, especially when urgent access to medical care might be compromised; very severe AS, defined by an aortic valve jet velocity &gt;5 m/s or mean gradient &gt;60 mmHg; excessive LV hypertrophy in the absence of systemic hypertension; and a brain natriuretic pep tide level &gt;3 times the upper reference limit, with low surgical risk. Exercise testing can be safely performed in asymptomatic patients, as many as one-third of whom will show signs of functional impair ment. In a small randomized controlled trial (RCT) of early surgery versus conservative care for asymptomatic patients with very severe AS (defined by a transaortic valve jet velocity ≥4.5 m/s, mean gradi ent ≥50 mmHg, or aortic valve area ≤0.75 cm2), the rate of opera tive death or death from cardiovascular causes during follow-up was reduced with early surgery. In the conservative care group, the cumulative incidence of sudden death was 4% at 4 years and 14% at 8 years. In another randomized trial of early surgery versus conser vative care for asymptomatic patients with lesser degrees of AS (jet velocity ≥4 m/s, mean gradient ≥40 mmHg, aortic valve areas ≤1.0 cm2) and normal LV systolic function, early surgery resulted in a significant reduction in a composite endpoint of death, MI, stroke, and heart failure hospitalization. Operation should be carried out promptly (1–3 months) after symptom onset. Clinical decision-making is straightforward for patients with normal-flow (&gt;35 mL/m2), high-gradient (≥40 mmHg) severe AS. In patients with low-flow, low-gradient severe AS with reduced LVEF, perioperative mortality rates are high (15–20%), and evidence of LV dysfunction usually persists even after a technically successful operation. Long-term postoperative sur vival correlates with preoperative LV function. Nonetheless, in view of the even worse prognosis of such patients when they are treated medically, there is usually little choice but to advise valve replacement, especially in patients in whom flow reserve can be demonstrated by dobutamine stress echocardiography (defined by a ≥20% increase in stroke volume after dobutamine challenge). Patients in this high surgical risk group are treated with TAVI whenever feasible (see below), but robust data from RCTs in this subpopulation of severe AS patients are lacking. The management of patients with low-flow, low-gradient severe AS with normal LVEF is also challenging. Outcomes are improved with surgery or TAVI compared with conservative care for symptomatic patients with this type of “paradoxical” low-flow AS, but more research is needed to </w:t>
      </w:r>
      <w:r w:rsidRPr="00F23836">
        <w:lastRenderedPageBreak/>
        <w:t xml:space="preserve">guide therapeutic decision-making for individual patients. In patients in whom severe AS and CAD coexist, relief of the AS and revascularization may sometimes result in striking clinical and hemodynamic improvement. Because many patients with calcific AS are elderly, particular attention must be directed to the adequacy of hepatic, renal, and pulmonary function before AVR is recommended. Age alone is not a contraindication to SAVR for AS. The perioperative mortality rate depends to a substantial extent on the patient’s preoperative clinical and hemodynamic state. Assessment of frailty is a criti cal component of preprocedural evaluation. Treatment decisions for AS patients who are not at low operative risk are made by a multidisciplinary heart team with representation from general car diology, interventional cardiology, multimodality imaging, cardiac surgery, and other subspecialties as needed, including geriatrics. The 8-year survival rate of older adult (mean age 74), low surgical risk patients following isolated SAVR is 85–90%. Recommenda tions regarding the type of valve prosthesis (biological or mechani cal) must weigh the trade-offs between limited bioprosthetic valve durability and the risks of thromboembolism and bleeding with a mechanical valve and are heavily influenced by patient age, expected longevity, and individual preferences. Bioprostheses are generally favored for patients age &gt;65 years. Shared decision making with younger patients must be individualized, although increasing numbers of patients age &lt; 65 Age 65 to 80 Age &gt;80 SAVR (1) SAVR (1) TF TAVI (1) TF TAVI (1) SAVR (2a) FIGURE 272-7 Suggested decision-making algorithm for the elective choice of transcatheter aortic valve implantation (TAVI) versus surgical aortic valve replacement (SAVR) for aortic stenosis patients with an indication for valve intervention. The pathway emphasizes the premium placed on transfemoral (TF) TAVI access and the age-related differences in recommendations. Patients younger than age 65 are recommended to undergo SAVR given the paucity of prospective randomized data on intermediate- and long-term TAVI outcomes for individuals younger than age 70. AVR, aortic valve replacement. (Reproduced and abridged with permission from CM Otto et al: 2020 AHA/ACC Guideline for management of patients with valvular heart disease: A report of the American College of Cardiology/ American Heart Association Task Force on Practice Guidelines. Circulation 143:e72, 2021.) B V N A B 25% 20% 15% 10% 1 Year 2 Years 3 Years 4 Years ∆–1.8% ∆–2.0% ∆–2.9% ∆–3.4% 4.3% 6.3% 10.3% 14.1% 2.5% 4.3% 7.4% 10.7% 5% 0% 0 SE TAVR SAVR 6 12 18 24 30 Months since procedure 36 HR = 0.74 (95% CI 0.54–1.00) Log-rank p = 0.05 All-cause mortality or disabling stroke 42 48 SE TAVR SAVR 730 684 592 505 Compared with SAVR, transfemoral TAVI results in fewer peri procedural deaths and confers lower risks of strokes, major bleed ing, and AF. Hospital lengths of stay are significantly shorter and return to normal activity more rapid with TAVI. Rates of perma nent pacemaker use, perivalvular AR, bioprosthetic leaflet throm bosis, and vascular complications are lower with SAVR. The choice between TAVI versus SAVR for patients with trileaflet AS who prefer a biological prosthesis rests on several clinical, imag ing, and technical considerations (Fig. 272-7 and Table 272-3). Because there are scant RCT data on TAVI </w:t>
      </w:r>
      <w:r w:rsidRPr="00F23836">
        <w:lastRenderedPageBreak/>
        <w:t xml:space="preserve">outcomes in patients 15%) or post-TAVI life expectancy 1000 g. CHAPTER 273 Aortic Regurgitation The reverse diastolic pressure gradient from aorta to LV, which drives the AR flow, decreases progressively during diastole, accounting for the typical decrescendo nature of the diastolic murmur. Equilibration between aortic and LV pressures may occur toward the end of diastole in patients with chronic severe AR, particularly when the heart rate is slow. In patients with acute severe AR, the LV is unprepared for the regurgi tant volume load. LV compliance is normal or reduced, and LV diastolic pressures rise rapidly, occasionally to levels &gt;40 mmHg. The LV pressure may exceed the LA pressure toward the end of diastole, and this reversed pressure gradient closes the mitral valve prematurely. In patients with chronic severe AR, the effective forward cardiac output (CO) usually is normal or only slightly reduced at rest, but often it fails to rise normally during exercise. An early sign of LV dysfunction is a reduction in the EF. In advanced stages, there may be considerable elevation of the LA, pulmonary artery (PA) wedge, PA, and right ven tricular (RV) pressures and reduced forward CO at rest. Myocardial ischemia may occur in patients with AR because myo cardial oxygen requirements are elevated by LV dilation, hypertrophy, and elevated LV systolic tension, and coronary blood flow may be compromised. A large fraction (the majority) of coronary blood flow occurs during diastole, when aortic pressure is low, thereby reducing coronary perfusion or driving pressure. This combination of increased oxygen demand and reduced supply may cause myocardial ischemia, particularly of the subendocardium, even in the absence of epicardial coronary artery disease (CAD). </w:t>
      </w:r>
      <w:r w:rsidRPr="00F23836">
        <w:rPr>
          <w:rFonts w:ascii="Arial" w:hAnsi="Arial" w:cs="Arial"/>
        </w:rPr>
        <w:t>■</w:t>
      </w:r>
      <w:r w:rsidRPr="00F23836">
        <w:t xml:space="preserve">HISTORY Approximately three-fourths of patients with pure or predominant val vular AR are men; women predominate among patients with primary 2044 patients with BAV disease, and occasionally an S4 also may be heard. PART 6 Disorders of the Cardiovascular System valvular AR who have associated rheumatic mitral valve disease. A his tory compatible with IE may sometimes be elicited from patients with rheumatic or congenital involvement of the aortic valve, and the infec tion often precipitates or seriously aggravates preexisting symptoms. In patients with acute severe AR, as may occur in IE, aortic dissec tion, or trauma, the LV cannot dilate sufficiently to maintain stroke volume, and LV diastolic pressure rises rapidly with associated marked elevations of LA and PA wedge pressures. Pulmonary edema and/or cardiogenic shock may develop rapidly. Chronic severe AR may have a long latent period, and patients may remain relatively asymptomatic for as long as 10–15 years. Uncomfort able awareness of the heartbeat, especially on lying down, may be an early complaint. Sinus tachycardia, during exertion or with emotion, or premature ventricular contractions may produce particularly uncom fortable palpitations as well as head pounding. These complaints may persist for many years before the development of exertional dyspnea, usually the first symptom of diminished cardiac reserve. The dyspnea is followed by orthopnea, paroxysmal nocturnal dyspnea, and excessive diaphoresis. Anginal chest pain even in the absence of CAD may occur in patients with severe AR, even in younger patients. Anginal pain may develop at rest as well as during exertion. Nocturnal angina </w:t>
      </w:r>
      <w:r w:rsidRPr="00F23836">
        <w:lastRenderedPageBreak/>
        <w:t xml:space="preserve">may be a particularly troublesome symptom, and it may be accompanied by marked diaphoresis. The anginal episodes can be prolonged and often do not respond satisfactorily to sublingual nitroglycerin. Systemic fluid accumulation, including congestive hepatomegaly and ankle edema, may develop late in the course of the disease. </w:t>
      </w:r>
      <w:r w:rsidRPr="00F23836">
        <w:rPr>
          <w:rFonts w:ascii="Arial" w:hAnsi="Arial" w:cs="Arial"/>
        </w:rPr>
        <w:t>■</w:t>
      </w:r>
      <w:r w:rsidRPr="00F23836">
        <w:t xml:space="preserve">PHYSICAL FINDINGS In chronic severe AR, the jarring of the entire body and the bobbing motion of the head with each systole can be appreciated, and the abrupt distention and collapse of the larger arteries are easily visible. The examination should be directed toward the detection of conditions predisposing to AR, such as bicuspid valve, IE, Marfan’s syndrome, or ankylosing spondylitis. Arterial Pulse A rapidly rising “water-hammer” pulse, which col lapses suddenly as arterial pressure falls rapidly during late systole and diastole (Corrigan’s pulse), and capillary pulsations, an alternate flushing and paling of the skin at the root of the nail while pressure is applied to the tip of the nail (Quincke’s pulse), are characteristic of chronic severe AR. A booming “pistol-shot” sound can be heard over the femoral arter ies (Traube’s sign), and a to-and-fro murmur (Duroziez’s sign) is audible if the femoral artery is lightly compressed with a stethoscope. The arterial pulse pressure is widened as a result of both systolic hypertension and a lowering of the diastolic pressure. The measure ment of arterial diastolic pressure with a sphygmomanometer may be complicated by the fact that systolic sounds are frequently heard with the cuff completely deflated. However, the level of cuff pressure at the time of muffling of the Korotkoff sounds (phase IV) generally corre sponds fairly closely to the true intra-arterial diastolic pressure. As the disease progresses and the LV end-diastolic pressure rises, the arterial diastolic pressure may actually rise as well, because the aortic diastolic pressure cannot fall below the LV end-diastolic pressure. For the same reason, acute severe AR may also be accompanied by only a slight wid ening of the pulse pressure. Such patients are invariably tachycardic as the heart rate increases in an attempt to preserve the CO. Palpation In patients with chronic severe AR, the LV impulse is heaving and displaced laterally and inferiorly. The systolic expansion and diastolic retraction of the apex are prominent. A diastolic thrill may be palpable along the left sternal border in thin-chested individu als, and a prominent systolic thrill may be palpable in the suprasternal notch and transmitted upward along the carotid arteries. This systolic thrill and the accompanying murmur do not necessarily signify the coexistence of AS. In some patients with AR or with combined AS and AR, the carotid arterial pulse may be bisferiens, i.e., with two systolic waves separated by a trough (see Fig. 246-2C). Auscultation In patients with severe AR, the aortic valve closure sound (A2 ) is usually absent. A systolic ejection sound is audible in The murmur of chronic AR is typically a high-pitched, blowing, decre scendo diastolic murmur, heard best in the third intercostal space along the left sternal border (see Fig. 246-5B). In patients with mild AR, this murmur is brief, but as the severity increases, it generally becomes louder and longer, indeed holodiastolic. When the murmur is soft, it can be heard best with the diaphragm of the stethoscope and with the patient sitting up, leaning forward, and with the breath held in forced expiration. In </w:t>
      </w:r>
      <w:r w:rsidRPr="00F23836">
        <w:lastRenderedPageBreak/>
        <w:t xml:space="preserve">patients in whom the AR is caused by primary valvular disease, the diastolic murmur is usually louder along the left than the right sternal border. However, when the murmur is louder along the right sternal border, it suggests that the AR is caused by aneurysmal dilation of the aortic root. “Cooing” or musical diastolic murmurs suggest eversion of an aortic cusp vibrating in the regurgitant stream. A mid-systolic ejection murmur is frequently audible in isolated AR. It is generally heard best at the base of the heart and is transmitted along the carotid arteries. This murmur may be quite loud without sig nifying aortic valve obstruction. A third murmur sometimes heard in patients with severe AR is the Austin Flint murmur, a soft, low-pitched, rumbling mid-to-late diastolic murmur. It is probably produced by the diastolic displacement of the anterior leaflet of the mitral valve by the AR stream and is not associated with hemodynamically significant mitral valve obstruction. The auscultatory features of AR are intensi fied by strenuous and sustained handgrip, which augments systemic vascular resistance and increases LV afterload. In acute severe AR, the elevation of LV end-diastolic pressure may lead to early closure of the mitral valve, a soft S1 , a pulse pressure that is not particularly wide, and a soft, short, early diastolic murmur of AR. </w:t>
      </w:r>
      <w:r w:rsidRPr="00F23836">
        <w:rPr>
          <w:rFonts w:ascii="Arial" w:hAnsi="Arial" w:cs="Arial"/>
        </w:rPr>
        <w:t>■</w:t>
      </w:r>
      <w:r w:rsidRPr="00F23836">
        <w:t>LABORATORY EXAMINATION ECG In patients with chronic severe AR, ECG signs of LV hyper trophy are common (Chap. 247). In addition, these patients frequently exhibit ST-segment depression and T-wave inversion in leads I, aVL, V5 , and V6 (</w:t>
      </w:r>
      <w:r w:rsidRPr="00F23836">
        <w:rPr>
          <w:rFonts w:ascii="Aptos" w:hAnsi="Aptos" w:cs="Aptos"/>
        </w:rPr>
        <w:t>“</w:t>
      </w:r>
      <w:r w:rsidRPr="00F23836">
        <w:t>LV strain</w:t>
      </w:r>
      <w:r w:rsidRPr="00F23836">
        <w:rPr>
          <w:rFonts w:ascii="Aptos" w:hAnsi="Aptos" w:cs="Aptos"/>
        </w:rPr>
        <w:t>”</w:t>
      </w:r>
      <w:r w:rsidRPr="00F23836">
        <w:t xml:space="preserve">). Left axis deviation and/or QRS prolongation may also be present. Echocardiogram (Fig. 273-1) LV size is increased in chronic AR, and systolic function is normal or even supernormal until myocar dial contractility declines, as signaled by a decrease in EF or increase in the end-systolic dimension. A rapid, high-frequency diastolic fluttering of the anterior mitral leaflet produced by the impact of the regurgi tant jet is a characteristic finding. The echocardiogram is also useful in determining the cause of AR, by detecting dilation of the aortic annulus and root, aortic dissection or primary leaflet pathology. With severe AR, the central jet width assessed by color flow Doppler imag ing exceeds 65% of the width of the LV outflow tract, the regurgitant volume is ≥60 mL/beat, the regurgitant fraction is ≥50%, and there is diastolic flow reversal in the proximal portion of the descending tho racic aorta. The continuous-wave Doppler profile of the AR jet shows a rapid deceleration time in patients with acute severe AR, due to the rapid increase in LV diastolic pressure. Surveillance transthoracic echocardiography (TTE) forms the cornerstone of longitudinal follow up and allows for the early detection of changes in LV size and/or function. Assessment of LV global longitudinal strain (GLS; a measure of myocardial thickening in systole) with speckle track imaging may demonstrate changes in LV systolic function that precede a fall in EF. There is increasing experience with the use of three-dimensional echo cardiography to measure LV volumes. Transesophageal echocardiogra phy (TEE) can provide detailed anatomic assessment of the valve, root, and portions of the aorta. For patients in whom TTE is limited by poor acoustical windows or inadequate characterization of LV function or the cause or severity of the regurgitation, cardiac magnetic resonance (CMR) imaging can be performed. This </w:t>
      </w:r>
      <w:r w:rsidRPr="00F23836">
        <w:lastRenderedPageBreak/>
        <w:t xml:space="preserve">modality also allows for accu rate assessment of LV volumes, as well as aortic size and contour. It can also be utilized to screen for increased LV interstitial (extracellular volume fraction) and replacement fibrosis (late gadolinium enhance ment). Both CMR imaging and cardiac computed tomography (CT) can also provide detailed assessment of aortic valve, root, and thoracic aortic anatomy. 2045 A B FIGURE 273-1 Echocardiographic and Doppler depiction of severe aortic regurgitation. (A) Color flow transesophageal echocardiographic long axis image in diastole shows a broad jet of severe aortic regurgitation (AR, yellow arrow) directed into the left ventricle. ECG rhythm strip below. Ao, aorta; BPM, beats per minute; HR, heart rate; LV, left ventricle. (B) Continuous wave Doppler tracing (middle image) obtained from the suprasternal window (top image) during transthoracic echocardiography shows dense, holodiastolic flow reversal in the descending thoracic aorta (yellow arrow) indicative of severe AR. ECG rhythm strip below. Chest X-Ray In chronic severe AR, the apex is displaced down ward and to the left in the frontal projection. In the left anterior oblique and lateral projections, the LV is displaced posteriorly and encroaches on the spine. When AR is caused by primary disease of the aortic root, aneurysmal dilation of the aorta may be noted, and the aorta may fill the retrosternal space in the lateral view. Echocar diography, CMR imaging, and chest CT angiography are more sensi tive than a chest x-ray for the detection of root and ascending aortic enlargement. Cardiac Catheterization and Angiography When needed, right and left heart catheterization with contrast aortography can pro vide confirmation of the magnitude of regurgitation and the status of LV function. Coronary angiography is performed routinely in patients at risk of coronary artery disease prior to surgery, although this ana tomic information can also be obtained in many patients with coronary CT angiography. TREATMENT Aortic Regurgitation ACUTE AORTIC REGURGITATION (FIG. 273-2) Patients with acute severe AR may respond to intravenous diuretics and vasodilators (such as sodium nitroprusside), but stabilization is usually short-lived and operation is indicated urgently. Intra-aortic balloon counterpulsation is contraindicated. Beta blockers are best avoided so as not to reduce the CO further or slow the heart rate, thus allowing more time for diastolic filling of the LV. Surgery is the treatment of choice and is usually necessary within 24 h of diagnosis. CHRONIC AORTIC REGURGITATION The onset of symptoms, or LV systolic dysfunction, is an indica tion for surgery. Medical treatment with diuretics and vasodilators (angiotensin-converting enzyme inhibitors, angiotensin receptor blockers [ARBs], dihydropyridine calcium channel blockers, or hydralazine) may be useful as a temporizing measure. Surgery can then be performed in a more controlled setting. The use of vasodilators to extend the compensated phase of chronic severe AR in asymptomatic patients before the onset of symptoms or the development of LV dysfunction is not useful, although these agents should be employed to treat hypertension (systolic blood pressure &gt;140 mmHg). It is often difficult to achieve adequate blood pres sure control because of the increased stroke volume and enhanced LV ejection that accompany severe AR. Cardiac arrhythmias and systemic </w:t>
      </w:r>
      <w:r w:rsidRPr="00F23836">
        <w:lastRenderedPageBreak/>
        <w:t xml:space="preserve">infections are poorly tolerated in patients with severe AR and must be treated promptly and vigorously. Although nitroglyc erin and long-acting nitrates are not as helpful in relieving anginal pain as they are in patients with coronary heart disease, they are worth a trial. Patients with syphilitic aortitis should receive a full course of penicillin therapy (Chap. 187). Beta blockers and the ARB losartan may be useful to retard the rate of aortic root enlarge ment in young patients with Marfan’s syndrome and aortic root dilation. A randomized controlled trial showed no difference in efficacy between atenolol and losartan for this indication. Whether beta blockers or ARBs are useful in retarding the rate of growth of aortic aneurysms in other patient subsets (e.g., BAV disease with aortopathy, Takayasu’s disease) has not been demonstrated. Beta blockers in patients with valvular AR were previously considered relatively contraindicated due to concern that slowing of the heart rate would allow more time for diastolic regurgitation and LV filling. Observational reports, however, have suggested that beta blockers may provide functional benefit in some patients with chronic AR. Beta blockers can sometimes provide incremental blood pressure lowering in patients with chronic AR and hypertension. They can also lessen the sense of forceful heart action that many patients find uncomfortable. Patients with severe AR, particularly those with an associated aortopathy, should avoid isometric exercises. SURGICAL TREATMENT In deciding on the advisability and proper timing of surgical treat ment, two points should be kept in mind: (1) patients with chronic severe AR usually do not become symptomatic until after the devel opment of myocardial dysfunction; and (2) when delayed too long CHAPTER 273 Aortic Regurgitation 2046 Aortic regurgitation PART 6 Disorders of the Cardiovascular System Severe AR (VC &gt;0.6 cm, holodiastolic aortic flow reversal, RVol ≥60 mL, RF ≥50%, ERO ≥0.3 cm2) Symptomatic (Stage D) EF ≤55% (Stage C2) AVR (1) Asymptomatic (Stage C) Other cardiac surgery EF ≥55% LVESD &gt;50 mm and LVESD &gt;25 mm/m2 AVR (2a) Progressive changes (≥3 studies) EF 55–60% EDD &gt;65 mm Low surgical risk Moderate AR Other cardiac surgery AVR (2b) AVR (2a) FIGURE 273-2 Management of patients with aortic regurgitation. See legend for Fig. 272-4 for explanation of treatment recommendations (Class I, IIa, and IIb) and disease stages (B, C1, C2, and D). Preoperative coronary angiography should be performed routinely as determined by age, symptoms, and coronary risk factors. Cardiac catheterization and angiography may also be helpful when there is a discrepancy between clinical and noninvasive findings. Surgery is indicated for patients with severe AR and symptoms, LV dysfunction, or other indications for operation (e.g., aneurysm disease). Surgery is also reasonable once the LV indexed end-systolic dimension reaches or exceeds 25 mm/m2. Patients who do not meet criteria for intervention should be monitored periodically with clinical and echocardiographic follow-up. AR, aortic regurgitation; AVR, aortic valve replacement (valve repair may be appropriate in selected patients); EDD, end-diastolic dimension; EF, ejection fraction; ERO, effective regurgitant orifice; LV, left ventricular; LVEDD, left ventricular end-diastolic dimension; LVEF, left ventricular ejection fraction; LVESD, left ventricular end-systolic dimension; RF, regurgitant fraction; RVol, regurgitant </w:t>
      </w:r>
      <w:r w:rsidRPr="00F23836">
        <w:lastRenderedPageBreak/>
        <w:t xml:space="preserve">volume; VC, vena contracta. (Reproduced with permission from CM Otto et al: 2020 AHA/ACC Guideline for management of patients with valvular heart disease: A report of the American College of Cardiology/American Heart Association Task Force on Practice Guidelines. Circulation. 2021;143(5):e72.) (defined as &gt;1 year from onset of symptoms or LV dysfunction), surgical treatment often does not restore normal LV size and func tion. Therefore, in patients with chronic severe AR, careful clinical follow-up and noninvasive testing with echocardiography at ~6- to 12-month intervals are necessary if operation is to be undertaken at the optimal time, i.e., coincident with or after the onset of LV dysfunction but prior to the development of symptoms. Exercise testing may be helpful to assess effort tolerance more objectively and should be employed whenever questions about symptoms arise. Operation can be deferred as long as the patient both remains asymptomatic and retains normal LV function without severe or progressive chamber dilation. Aortic valve replacement (AVR) is indicated for the treatment of severe AR in symptomatic patients irrespective of LV function. In general, the operation should be carried out in asymptomatic patients with severe AR and progressive LV dysfunction defined by an LVEF 50 mm (&gt;25 mm/m2), or an LV diastolic dimension &gt;65 mm. Smaller dimensions may be appropriate thresholds in individuals of smaller stature or when there is evidence of progressively decreasing LV function or increasing LV size on serial studies and the anticipated risks for surgical morbidity and mortality are low. Two case series from surgical referral centers have suggested that surgery should be performed at an even lower threshold for LV end-systolic dimension index (≥20 mm/m2), but data from randomized con trolled trials are lacking. Abnormal LV GLS (≥ –18%) has been associated with an excess hazard for death in single-center studies. Observational studies using either three-dimensional echocar diography or CMR imaging have also suggested that event-free survival is reduced in asymptomatic patients with an LV end systolic volume index ≥45 mL/m2, compared with patients with an LV end-systolic volume index 65 years of age, and in those with a reduced CO. However, systemic embolization may be the pre senting feature in otherwise asymptomatic patients with only mild MS. </w:t>
      </w:r>
      <w:r w:rsidRPr="00F23836">
        <w:rPr>
          <w:rFonts w:ascii="Arial" w:hAnsi="Arial" w:cs="Arial"/>
        </w:rPr>
        <w:t>■</w:t>
      </w:r>
      <w:r w:rsidRPr="00F23836">
        <w:t xml:space="preserve">PHYSICAL FINDINGS (See also Chaps. 44 and 246). Inspection and Palpation In patients with severe MS, there may be a malar flush with pinched and blue facies. In patients with sinus rhythm and severe pulmonary hypertension or associated TS, the jugu lar venous pulse reveals prominent a waves due to vigorous right atrial systole. The systemic arterial pressure is usually normal or slightly low. A parasternal lift signifies an enlarged RV. A diastolic thrill may very rarely be present at the cardiac apex, with the patient in the left lateral recumbent position. Auscultation The first heart sound (S1 ) is usually accentuated in the early stages of the disease and slightly delayed. The pulmonic component of the second heart sound (P2 ) also is often accentuated with elevated PAPs, and the two components of the second heart sound (S2 ) are closely split. The opening snap (OS) of the mitral valve is most readily audible in expiration at, or just medial to, the cardiac apex. This sound generally follows the sound of aortic valve closure (A2 ) by 0.05–0.12 s. The time interval between </w:t>
      </w:r>
      <w:r w:rsidRPr="00F23836">
        <w:lastRenderedPageBreak/>
        <w:t xml:space="preserve">A2 and OS varies inversely with the severity of the MS. The OS is followed by a low-pitched, rumbling, diastolic murmur, heard best at the apex with the patient in the left lateral recumbent position (see Fig. 246-5); it is accentuated by mild exercise (e.g., a few rapid sit-ups) carried out just before auscultation. In general, the duration of this murmur correlates with the severity of the stenosis in patients with preserved CO. In patients with sinus rhythm, the murmur often reappears or becomes louder during atrial systole (presystolic accentuation). Soft, grade I or II/VI systolic mur murs may be heard at or medial to the apex and may signify mixed mitral valve disease with regurgitation. Hepatomegaly, ankle edema, ascites, and pleural effusion, particularly in the right pleural cavity, may occur in patients with MS and RV failure. Associated Lesions With severe pulmonary hypertension, a pan systolic murmur produced by functional TR may be audible along the left sternal border. This murmur is usually louder during inspiration and diminishes during forced expiration (Carvallo’s sign). When the CO is markedly reduced in MS, the typical auscultatory findings, including the diastolic rumbling murmur, may not be detectable (silent MS), but they may reappear as compensation is restored. The Graham Steell murmur of PR, a high-pitched, diastolic, decrescendo blowing murmur along the left sternal border, results from dilation of the pul monary valve ring and occurs in patients with mitral valve disease and severe pulmonary hypertension. This murmur may be indistinguish able from the more common murmur produced by aortic regurgita tion (AR), although it may increase in intensity with inspiration and is accompanied by a loud and often palpable P2 . </w:t>
      </w:r>
      <w:r w:rsidRPr="00F23836">
        <w:rPr>
          <w:rFonts w:ascii="Arial" w:hAnsi="Arial" w:cs="Arial"/>
        </w:rPr>
        <w:t>■</w:t>
      </w:r>
      <w:r w:rsidRPr="00F23836">
        <w:t xml:space="preserve">LABORATORY EXAMINATION ECG In MS and sinus rhythm, the P wave usually suggests LA enlargement (see Fig. 247-8). It may become tall and peaked in lead II and upright in lead V1 when severe pulmonary hypertension or TS FIGURE 274-1 Continuous wave Doppler interrogation of transmitral valve velocities in a patient with severe rheumatic mitral stenosis. Electrocardiogram on top. Vertical scale in meters/second. Horizontal scale in seconds at sweep speed of 75 mm/se. Velocity is converted to pressure using the Bernoulli equation. In this example, the mean mitral valve gradient (area under the green tracing) is calculated to 38 mmHg and mitral valve area to 0.7 cm2. CHAPTER 274 Mitral Stenosis complicates MS and right atrial (RA) enlargement develops. The QRS complex is usually normal. However, with severe pulmonary hyperten sion, right axis deviation and RV hypertrophy are often present. Echocardiogram (See also Chap. 248) Transthoracic echo cardiography (TTE) with color flow and spectral Doppler imaging provides critical information, including measurements of mitral inflow velocity during early (E wave) and late (A wave in patients in sinus rhythm) diastolic filling, estimates of the transvalvular peak and mean gradients and mitral orifice area (Fig. 274-1), the presence and severity of any associated MR, the extent of leaflet calcification and restriction, the degree of distortion of the subvalvular apparatus, and the anatomic suitability for percutaneous mitral balloon commissurotomy (PMBC; see below). In addition, TTE provides an assessment of LV and RV function, chamber sizes, an estimation of the PA systolic pressure based on the </w:t>
      </w:r>
      <w:r w:rsidRPr="00F23836">
        <w:lastRenderedPageBreak/>
        <w:t xml:space="preserve">tricuspid regurgitant jet velocity, and an indication of the presence and severity of any associated valvular lesions, such as aortic stenosis (AS) and/or regurgitation. Transesophageal echocardiogra phy (TEE) provides superior images and should be used when TTE is inadequate for guiding management decisions. TEE is especially indicated to exclude the presence of LA thrombus prior to PMBC. The performance of TTE with exercise to evaluate the mean mitral diastolic gradient, PAPs, and RV function can be very helpful in the evaluation of patients with MS when there is a discrepancy between the clinical findings and the resting hemodynamics. Chest X-Ray The earliest changes are straightening of the upper left border of the cardiac silhouette, prominence of the main PAs, dilation of the upper lobe pulmonary veins, and posterior displacement of the esophagus by an enlarged LA. Kerley B lines are fine, dense, opaque, horizontal lines that are most prominent in the lower and mid-lung fields that result from distention of interlobular septae and lymphatics with edema when the resting mean LA pressure exceeds ~20 mmHg. </w:t>
      </w:r>
      <w:r w:rsidRPr="00F23836">
        <w:rPr>
          <w:rFonts w:ascii="Arial" w:hAnsi="Arial" w:cs="Arial"/>
        </w:rPr>
        <w:t>■</w:t>
      </w:r>
      <w:r w:rsidRPr="00F23836">
        <w:t xml:space="preserve">DIFFERENTIAL DIAGNOSIS Like MS, significant MR may also be associated with a prominent dia stolic murmur at the apex due to increased antegrade transmitral flow, but in patients with isolated MR, this diastolic murmur commences slightly later than in patients with MS, and there is often clear-cut evidence of LV enlargement. An OS and increased P2 are absent, and S1 is soft or absent. An apical pansystolic murmur of at least grade III/VI intensity as well as an S3 suggests significant MR. Similarly, the apical mid-diastolic murmur associated with severe AR (Austin Flint murmur) may be mistaken for MS but can be differentiated from it because it is not intensified in pre-systole and becomes softer with administra tion of amyl nitrite or other arterial vasodilators. TS, which occurs rarely in the absence of MS, may mask many of the clinical features of MS or be clinically silent; when present, the diastolic murmur of 2050 the presence of coronary artery disease in appropriate patients prior to heart valve surgery or transcatheter treatment. PART 6 Disorders of the Cardiovascular System TS increases with inspiration and the y descent in the jugular venous pulse is delayed. Atrial septal defect (Chap. 280) may be mistaken for MS; in both conditions, there is often clinical, ECG, and chest x-ray evidence of RV enlargement and accentuation of pulmonary vascularity. However, the absence of LA enlargement and of Kerley B lines and the demonstra tion of fixed splitting of S2 with a grade II or III mid-systolic murmur at the mid to upper left sternal border all favor atrial septal defect over MS. Atrial septal defects with large left-to-right shunts may result in functional TS because of the enhanced diastolic flow. An incomplete right bundle branch block pattern on ECG is often present. Left atrial myxoma (Chap. 282) may obstruct LA emptying, causing dyspnea, a diastolic murmur, and hemodynamic changes resembling those of MS. However, patients with an LA myxoma often have features suggestive of a systemic disease, such as weight loss, fever, anemia, systemic emboli, and elevated serum IgG and interleukin 6 (IL-6) con centrations. The auscultatory findings may change markedly with body position. The diagnosis can be established by the demonstration of a characteristic echo-producing mass in the LA with TTE. </w:t>
      </w:r>
      <w:r w:rsidRPr="00F23836">
        <w:rPr>
          <w:rFonts w:ascii="Arial" w:hAnsi="Arial" w:cs="Arial"/>
        </w:rPr>
        <w:lastRenderedPageBreak/>
        <w:t>■</w:t>
      </w:r>
      <w:r w:rsidRPr="00F23836">
        <w:t xml:space="preserve">CARDIAC CATHETERIZATION Left and right heart catheterization can be useful when there is a discrepancy between the clinical and noninvasive findings, includ ing those from TEE and exercise echocardiographic testing when appropriate. Catheterization can also be helpful in assessing associated lesions, such as AS and AR, and in patients with recurring or worsening symptoms late after mitral valve intervention. Computed tomographic coronary angiography is increasingly used to screen preoperatively for Severe MS MVA ≤1.5 cm2 Symptomatic Stage D Pliable valve No clot 5.5 cm) with or without spon taneous echo contrast is more controversial. In a randomized trial of patients with rheumatic MS and AF, there was a significantly higher incidence of death among patients treated with rivaroxaban than with vitamin K antagonist therapy. A vitamin K antagonist is Rheumatic mitral stenosis Asymptomatic Stage C Pliable valve No clot 50 mmHg PMBC at CVC (2a) Progressive MS MVA &gt;1.5 cm2 Exertional symptoms Stress test Hemodynamically significant MS Pliable valve No clot 1 year, conditions that favor the development of an LA myopathy. MITRAL COMMISSUROTOMY Unless there is a contraindication, mitral commissurotomy is indi cated in symptomatic (New York Heart Association [NYHA] func tional class II–IV) patients with isolated severe MS, whose effective orifice (valve area) is 50 mmHg at rest or &gt;60 mmHg with exercise), commissurotomy is not recommended for patients who are asymptomatic and/or who have mild or moderate stenosis (mitral valve area &gt;1.5 cm2). When there is little symptomatic improvement after commissurotomy, it is likely that the procedure was ineffective, that it induced MR, or that associated valvular or myocardial disease was present. About half of all patients undergoing surgical mitral commissurotomy require reoperation by 10 years. In the pregnant patient with MS, commissurotomy should be carried out if pulmonary congestion occurs despite intensive medical treatment. PMBC is the preferred strategy in this setting and is performed with TEE and no or mini mal x-ray exposure. Mitral valve replacement (MVR) is necessary in patients with MS and significant associated MR, those in whom the valve has been severely distorted by previous transcatheter or operative manipulation, or those in whom the surgeon does not find it pos sible to improve valve function significantly with commissurotomy. MVR is now routinely performed with preservation of the chordal attachments to optimize LV functional recovery. Perioperative mor tality rates with MVR vary with age, LV function, the presence of CAD, and associated comorbidities. They average 2–5% overall but CHAPTER 274 Mitral Stenosis 2052 TABLE 275-1 Major Causes of Mitral Regurgitation (MR) Etiologies Acute PART 6 Disorders of the Cardiovascular System IE Papillary muscle rupture (post-MI) Chordal rupture/leaflet flail (MVP, IE) Blunt trauma are lower in young patients and may be twice as high in patients &gt;65 years of age with significant comorbidities. Because there are also long-term complications of valve replacement, patients in whom preoperative evaluation suggests the possibility that MVR may be required should be operated on only if they have severe MS—i.e., an orifice area ≤1.5 cm2—and are in NYHA class III, i.e., symptomatic with ordinary activity despite optimal medical therapy. The overall 10-year survival of surgical survivors is ~70%. Long-term </w:t>
      </w:r>
      <w:r w:rsidRPr="00F23836">
        <w:lastRenderedPageBreak/>
        <w:t xml:space="preserve">prognosis is worse in patients &gt;65 years of age and those with marked disability and marked depression of the CO preopera tively. Pulmonary hypertension and RV dysfunction are additional risk factors for poor outcome. </w:t>
      </w:r>
      <w:r w:rsidRPr="00F23836">
        <w:rPr>
          <w:rFonts w:ascii="Arial" w:hAnsi="Arial" w:cs="Arial"/>
        </w:rPr>
        <w:t>■</w:t>
      </w:r>
      <w:r w:rsidRPr="00F23836">
        <w:t xml:space="preserve">FURTHER READING Connolly SJ et al: Rivaroxaban in rheumatic heart disease-associated atrial fibrillation. N Engl J Med 387:978, 2022. Nishimura RA et al: Mitral valve disease: Current management and future challenges. Lancet 387:1324, 2016. Otto CM et al: 2020 ACC/AHA guideline for the management of patients with valvular heart disease: A report of the American Col lege of Cardiology/American Heart Association Joint Committee on Clinical Practice Guidelines. Circulation 143:e72, 2021. 275 Mitral Regurgitation Patrick T. O’Gara, Joseph Loscalzo The role of the physical examination in the evaluation of patients with valvular heart disease is also considered in Chaps. 44 and 246; of elec trocardiography (ECG) in Chap. 247; of echocardiography and other noninvasive imaging techniques in Chap. 248; and of cardiac catheter ization and angiography in Chap. 249. </w:t>
      </w:r>
      <w:r w:rsidRPr="00F23836">
        <w:rPr>
          <w:rFonts w:ascii="Arial" w:hAnsi="Arial" w:cs="Arial"/>
        </w:rPr>
        <w:t>■</w:t>
      </w:r>
      <w:r w:rsidRPr="00F23836">
        <w:t xml:space="preserve">ETIOLOGY Mitral regurgitation (MR) may result from an abnormality or disease process that affects any one or more of the five functional components of the mitral valve apparatus (leaflets, annulus, chordae tendineae, pap illary muscles, and subjacent myocardium) (Table 275-1). Acute MR can occur in the setting of acute myocardial infarction (MI) with pap illary muscle rupture (Chap. 286), following blunt chest wall trauma, or during the course of infective endocarditis (IE) owing to leaflet perforation or destruction. With acute MI, the posteromedial papil lary muscle is involved much more frequently than the anterolateral papillary muscle because of its singular blood supply. Transient, acute MR can occur during periods of active ischemia and bouts of angina pectoris. Rupture of chordae tendineae can result in “acute-on-chronic MR” in patients with myxomatous degeneration of the valve apparatus. Chronic MR can result from several disease processes (Table 275-1). Distinction should be drawn between primary (degenerative) MR, in which the leaflets and/or chordae tendineae are primarily respon sible for abnormal valve function, and secondary (functional) MR, in which the leaflets and chordae tendineae are usually normal but the regurgitation is caused by left ventricular (LV) and/or left atrial remodeling, annular dilation, papillary muscle displacement, dys synchrony, leaflet tethering, or their combination. Patient assessment, treatment approach, and long-term prognosis differ significantly between primary and secondary MR. Mitral valve prolapse (MVP) is discussed more extensively in Chap. 276. The rheumatic process produces rigidity, deformity, and retraction of the valve cusps and com missural fusion, as well as shortening, contraction, and fusion of the chordae tendineae. MR can persist after resolution of the acute phase Chronic Primary (affecting leaflets, chordae) Myxomatous (MVP, Barlow’s, forme fruste) Rheumatic fever IE (healed) Congenital (cleft, AV canal) Radiation Secondary (leaflets, chordae are “innocent bystanders”) Ischemic cardiomyopathy Dilated cardiomyopathy HOCM (with SAM) AF with LA enlargement and annular dilation (atrial functional MR) Mitral annular calcificationa aMitral annular calcification may include elements of both primary and secondary MR (mixed) as the disease process may encroach on the leaflets, impair the </w:t>
      </w:r>
      <w:r w:rsidRPr="00F23836">
        <w:lastRenderedPageBreak/>
        <w:t xml:space="preserve">normal sphincteric function of the annulus, or both. There are additional examples of “mixed” secondary MR such as the coexistence of MVP with an ischemic cardiomyopathy. Abbreviations: AF, atrial fibrillation; AV, atrioventricular; HOCM, hypertrophic obstructive cardiomyopathy; IE, infective endocarditis; LA, left atrial; LV, left ventricular; MI, myocardial infarction; MVP, mitral valve prolapse; SAM, systolic anterior motion. of infection and inflammation. MR may occur as a congenital anomaly (Chap. 280), most commonly as a defect of the endocardial cushions (atrioventricular cushion defects). A cleft anterior mitral valve leaflet accompanies ostium primum atrial septal defect. Radiation can result in leaflet thickening, retraction, and calcification, often in association with annular and chordal involvement and some degree of mitral ste nosis. Chronic MR occurs frequently after prior MI(s) associated with changes in LV size, shape, and function. Similar mechanisms of annular dilation and ventricular remodeling contribute to the MR that occurs among patients with nonischemic forms of dilated cardiomyopathy once the LV end-diastolic dimension reaches 6 cm. The MR associated with hypertrophic obstructive cardiomyopathy (HOCM) is usually dynamic in nature and dependent on systolic anterior motion of the anterior mitral valve leaflet into a narrowed LV outflow tract. Patients with chronic persistent atrial fibrillation (AF) may develop atrial remodeling and annular dilation with inadequate leaflet lengthening and MR (atrial functional MR). Secondary MR due to LV remodeling is more frequently encountered in the community than secondary MR that occurs in association with AF and annular dilation. Annular calci fication can result in MR when it encroaches on the leaflets or results in decreased sphincteric function, is especially prevalent among patients with advanced renal disease, and is commonly observed in women &gt;65 years of age with hypertension and diabetes mellitus. Irrespective of cause, chronic severe MR is often progressive because enlargement of the left atrium (LA) places tension on the posterior mitral leaflet, pulling it further away from the mitral orifice and thereby aggravating the valvular dysfunction. Similarly, LV dilation increases the regurgi tation, which, in turn, enlarges the LA and LV further, resulting in a vicious cycle; hence the aphorism, “MR begets MR.” </w:t>
      </w:r>
      <w:r w:rsidRPr="00F23836">
        <w:rPr>
          <w:rFonts w:ascii="Arial" w:hAnsi="Arial" w:cs="Arial"/>
        </w:rPr>
        <w:t>■</w:t>
      </w:r>
      <w:r w:rsidRPr="00F23836">
        <w:t xml:space="preserve">PATHOPHYSIOLOGY The resistance to LV emptying (LV afterload) is reduced in patients with MR. As a consequence, the LV is decompressed into the LA during ejec tion, and with the reduction in LV size during systole, there is a rapid decline in LV tension. The initial compensation to MR is more com plete LV emptying. However, LV volume increases progressively with time as the severity of the regurgitation increases and as LV contractile function deteriorates. This increase in LV volume is often accompanied 2053 by a reduced forward cardiac output (CO). LV compliance is often increased, and thus, LV diastolic pressure does not increase until late in the course. The regurgitant volume varies directly with the LV systolic pressure and the size of the regurgitant orifice; the latter, in turn, is influenced by the extent of LV and mitral annular dilation, as well as by leaflet morphology. Because ejection fraction (EF) rises in severe MR in the presence of normal LV function, even a modest reduction in this parameter (1 y MV surgery (1) anticoagulants should not be used if moderate or </w:t>
      </w:r>
      <w:r w:rsidRPr="00F23836">
        <w:lastRenderedPageBreak/>
        <w:t xml:space="preserve">severe rheumatic mitral stenosis is also present (Ch. 274); they are also not approved for use in patients with mechanical prosthetic heart valves. Cardio version should be considered depending on the clinical context, AF chronicity, and LA size. In contrast to the acute setting, there are no large, long-term prospective studies to substantiate the use of vasodilators for the treatment of chronic, isolated severe primary MR with preserved LV systolic function in the absence of systemic hypertension. However, the severity of secondary MR in the setting of an ischemic or dilated cardiomyopathy may dimin ish with aggressive guideline-directed medical therapy (GDMT) of heart failure including the use of diuretics for decongestion, beta blockers, angiotensin-converting enzyme (ACE) inhibitors/angio tensin receptor blockers, angiotensin-neprilysin inhibitors, min eralocorticoid receptor antagonists, sodium-glucose cotransporter Primary mitral regurgitation Severe MR (VC ≥0.7 cm, RVol ≥60 mL, RF ≥50%, ERO ≥0.40 cm2) No symptoms due to MR (Stage C) Normal LV systolic function (Stage C1) (LVEF &gt;60% or ESD 95% likelihood of successful and durable repair without residual MR Degenerative MV disease Successful and durable repair possible Transcatheter edge-to edge MV repair (2a) MV surgery at primary or CVC (1) Rheumatic MV disease Successful and durable repair possible MV repair at CVC (2b) MV repair at primary or CVC (2a) No Yes Progressive increase in LV size or decrease in LVEF on at least 3 studies MV repair or replacement (2b) FIGURE 275-2 Management of primary mitral regurgitation (MR). See legend for Fig. 272-4 for explanation of treatment recommendations (Class I, IIa, IIb) and disease stages (B, C1, C2, D). Preoperative coronary angiography should be performed routinely as determined by age, symptoms, and coronary risk factors. Cardiac catheterization and angiography may also be helpful when there is a discrepancy between clinical and noninvasive findings. Mitral valve repair is strongly preferred over valve replacement whenever feasible for surgical treatment of primary MR. Transcatheter edge-to-edge repair (TEER) is reserved for high or prohibitive surgical risk patients with appropriate anatomy on transesophageal imaging. CVC, comprehensive valve center; EF, ejection fraction; ERO, effective regurgitant orifice; ESD, end-systolic dimension; LV, left ventricular; MV, mitral valve; RF, regurgitant fraction; RVol, regurgitant volume; VC, vena contracta. (Reproduced with permission from CM Otto et al: ACC/AHA guideline for the management of patients with valvular heart disease: A report of the American College of Cardiology/American Heart Association Joint Committee on Clinical Practice Guidelines. Circulation. 2021; 143(5):e72.) TABLE 275-2 Mortality Rates After Mitral Valve Surgerya 2055 2 inhibitors, and biventricular pacing (cardiac resynchronization therapy [CRT]) when indicated. Antibiotic prophylaxis for pre vention of IE is indicated for MR patients with a prior history of IE. Asymptomatic patients with severe MR in sinus rhythm with normal LV size and systolic function should avoid isometric forms of exercise. Patients with acute severe MR require urgent stabilization and preparation for surgery. Diuretics, intravenous vasodilators (par ticularly sodium nitroprusside), and even mechanical circulatory support may be needed for patients with post-MI papillary muscle rupture or </w:t>
      </w:r>
      <w:r w:rsidRPr="00F23836">
        <w:lastRenderedPageBreak/>
        <w:t xml:space="preserve">other forms of acute severe MR. SURGICAL TREATMENT In the selection of patients with chronic, severe, primary MR for surgical treatment, the often slowly progressive nature of the condition must be balanced against the immediate and long term risks associated with operation. These risks are signifi cantly lower for primary valve repair than for valve replacement (Table 275-2). In a 2023 analysis of outcomes reported to the Soci ety of Thoracic Surgeons Adult Cardiac Surgical Database, investi gators reported a mean perioperative mortality risk of 1.16% (95% of a successful and durable repair in a low surgical risk patient. LV EF 50%. Transcatheter edge-to-edge repair (TEER) is reasonable in selected patients after guideline-directed management and therapy (GDMT) has been optimized. *MV replacement may be preferred over MV repair for ischemic MR; AF, atrial fibrillation; CABG, coronary artery bypass grafting; EF, ejection fraction; ERO, effective regurgitant orifice; ESD, end-systolic dimension; HF, heart failure; LV, left ventricular; MR, mitral regurgitation, MV, mitral valve; PASP, pulmonary artery systolic pressure; RF, regurgitant fraction; RVol, regurgitant volume; Rx, treatment. (Reproduced with permission from CM Otto et al: ACC/AHA guideline for the management of patients with valvular heart disease: A report of the American College of Cardiology/American Heart Association Joint Committee on Clinical Practice Guidelines. Circulation. 2021; 143(5):e72.) CHAPTER 275 Mitral Regurgitation 2056 PART 6 Disorders of the Cardiovascular System after aggressive attempts to improve symptoms with GDMT and CRT, when indicated. The routine performance of surgical valve repair in patients with significant secondary MR due to a dilated cardiomyopathy has not been shown to improve long-term survival compared with optimal GDMT, especially in the era of quadruple medical therapy for heart failure with reduced EF. Patients with acute severe MR can often be stabilized temporarily with appro priate medical therapy, but surgical correction will be necessary emergently in the case of papillary muscle rupture and within days in most other settings. These aggressive recommendations for surgery are predicated on the adverse long-term consequences of waiting for LV function to decline further as well as the outstanding results achievable with mitral valve repair by reference surgeons at high-volume centers. Indeed, the majority of patients 50 years) patients, often men, in whom MR is often more severe because of chordal rupture and requires surgical treatment. There is an increased familial incidence for some patients, suggesting an autosomal dominant form of inheritance with incomplete penetrance. MVP varies in its clinical expression, ranging from only a systolic click and murmur with mild prolapse of the posterior leaflet to severe MR due to chordal rupture and leaflet flail. The degree of myxomatous change of the leaflets can also vary widely. In many patients, the condition progresses over years or decades; in others, it worsens rapidly as a result of chordal rupture or endocarditis. Most patients are asymptomatic and remain so for their entire lives. However, in North America, MVP is now the most com mon cause of isolated severe MR requiring surgical treatment. Arrhythmias, most commonly ventricular premature contractions and paroxysmal supraventricular and ventricular tachycardia, as well as atrial fibrillation </w:t>
      </w:r>
      <w:r w:rsidRPr="00F23836">
        <w:lastRenderedPageBreak/>
        <w:t xml:space="preserve">(AF), have been reported and may cause palpitations, light-headedness, and syncope. Sudden death is a very rare complication and occurs most often in patients with severe MR and depressed left ventricle (LV) systolic function, although it can occur in individuals with normal LV size and function. A small subset of MVP patients with high-grade ventricular ectopy has been identified with phenotypic features including electrocardiographic inferior-apical T-wave abnormalities, high-density premature ven tricular complexes at rest, mitral annular disjunction (defined as abnormal atrial displacement of the mitral valve leaflet hinge point), and papillary muscle fibrosis on cardiac magnetic resonance imaging (see above). In addition, there may be an excess risk of sudden death among patients with a flail leaflet. Most of these patients have severe MR. Many patients with MVP have chest pain that can be difficult to evaluate; it is often substernal, prolonged, and not related to exertion, be generated by the sudden tensing of slack, elongated chordae ten dineae or by the prolapsing mitral leaflet when it reaches its maximal excursion. Systolic clicks may be multiple and may be followed by a high-pitched, mid-late systolic crescendo–decrescendo murmur, which occasionally is “whooping” or “honking” and is heard best at the apex. Radiation of the murmur will depend on the involved leaf let. With posterior leaflet prolapse, the jet of MR is directed anteriorly and the murmur will radiate to the base of the heart. With anterior leaflet involvement, the jet of MR is directed posteriorly and the mur mur will radiate to the axilla and back. The click and murmur occur earlier with standing, during the strain phase of the Valsalva maneu ver and with any intervention that decreases LV volume (preload), exaggerating the propensity of the leaflet to prolapse. Conversely, squatting and isometric exercises, which increase LV volume, dimin ish MVP; the click-murmur complex is delayed, moves away from S1 , and may even disappear. Some patients have a mid-systolic click without a murmur; others have a murmur without a click. Still others have both sounds at different times. LABORATORY EXAMINATION The ECG most commonly is normal but may show biphasic or inverted T waves in leads II, III, and aVF and, occasionally, supra ventricular or ventricular premature beats. Transthoracic echocar diography (TTE) is particularly effective in identifying the abnormal position and prolapse of the mitral valve leaflets. A useful echocar diographic definition of MVP is systolic displacement (in the para sternal long axis view) of the belly of the mitral valve leaflets by at least 2 mm into the left atrium (LA) superior to the plane of the mitral annulus. There can be prolapse of one or both leaflets (Fig. 276-2). Color flow and continuous wave Doppler imaging is helpful to evaluate the associated MR and provide estimates of severity. The jet lesion of MR due to MVP is most often eccentric, and assessment of the effective regurgitant orifice area and regurgitant volume can be difficult with standard techniques. Both three-dimensional echocardiography and cardiac magnetic resonance imaging can provide more precise deter minations of LV volumes. Transesophageal echocardiography (TEE) is indicated when more accurate anatomic information is required and is performed routinely for intraoperative guidance during surgi cal or transcatheter valve repair. Exercise testing can be performed when </w:t>
      </w:r>
      <w:r w:rsidRPr="00F23836">
        <w:lastRenderedPageBreak/>
        <w:t xml:space="preserve">there is uncertainty regarding functional capacity. It is often combined with rest and immediate poststress TTE to assess LV and right ventricular (RV) function and the dynamic nature of MR and pulmonary artery pressures. Left ventriculography done at the time FIGURE 276-2 Barlow’s valve with classic mitral valve prolapse, as seen on transthoracic echocardiogram in parasternal long-axis windows. Left: parasternal long-axis window, showing both myxomatous leaflets (arrows) billowing into the left atrium in late systole. Right: same window with color Doppler showing significant mitral regurgitation (arrow) in systole. (Courtesy of Justina Wu, MD, PhD.) TABLE 277-1 Causes of Tricuspid Valve Diseases 2059 of right and left heart catheterization is rarely necessary but can also show prolapse of the posterior and sometimes of both mitral valve leaflets. TREATMENT Mitral Valve Prolapse Infective endocarditis prophylaxis is indicated for patients with a prior history of endocarditis. Beta blockers sometimes relieve chest pain and control palpitations. Decisions regarding anticoagulation for stroke prevention in AF should be based on the CHA2 DS2-VASc score and an assessment of bleeding risk. If the patient is symptom atic from severe MR, mitral valve repair is indicated (see Fig. 275-2). Other indications for surgery for MVP with severe primary MR include findings of established or progressive LV systolic dysfunc tion. Surgery can also be considered for low-risk asymptomatic patients in whom a successful and durable repair can be achieved with at least 95% likelihood by an expert surgeon. Mitral valve repair is preferred over replacement in patients with MVP or flail mitral leaflet (see Table 275-2); technical success is dependent not only on the anatomic findings but also on the skill and experience of the surgeon. Repair of isolated posterior leaflet prolapse is usu ally straightforward, but increasingly more complex pathologies (e.g., anterior leaflet prolapse, bileaflet prolapse, Barlow’s defor mity) require advanced skills. Careful pre- and intraoperative TEE imaging is an important component of patient evaluation and surgical planning. Transcatheter edge-to-edge repair (TEER) using one of two commercially available systems to grasp the anterior and posterior leaflets together can be considered for treatment of symptomatic patients at prohibitive or high surgical risk with severe primary MR due to MVP (see Chap. 275 and Fig. 275-4). Most often, the MR will be reduced in severity but not eliminated. Nevertheless, symptom status and indices of LV size and function can be improved with this approach, which is now offered at &gt;540 specialized sites in the United States. Reported hospital mortality rates following the procedure are 55 mmHg), as well as in other types of left-sided valvular (e.g., mitral regurgitation) or myocardial diseases (e.g., ischemic and idiopathic dilated cardiomyopathies). TR can often emerge in the setting of new-onset atrial fibrillation (AF), particularly in older patients (atrial functional TR). Rheumatic fever may produce primary TR, often associated with TS. Tricuspid valve prolapse, carcinoid heart disease, endomyocardial fibrosis, radiation, infective endocarditis, and leaflet trauma can also produce primary TR. Less commonly, primary TR results from congenitally deformed tricuspid valves and can occur with defects of the atrioventricular canal, as well as with Ebstein’s malformation of the tricuspid valve </w:t>
      </w:r>
      <w:r w:rsidRPr="00F23836">
        <w:lastRenderedPageBreak/>
        <w:t xml:space="preserve">(Chap. 280). A third category of TR is that associated with cardiac implantable electronic device (CIED) leads from pacemakers or defi brillators. When placed across the tricuspid valve, the leads can result A B FIGURE 277-1 Tricuspid regurgitation. A. Transthoracic apical two-chamber view showing right atrium on bottom and right ventricle on top. There is a pacemaker lead (white arrows) traversing the tricuspid valve. The plane of tricuspid valve closure is shown by the dotted yellow line. B. Corresponding color flow Doppler image in systole shows a broad jet of severe tricuspid regurgitation (between the yellow arrows) refluxing into the right atrium. RA, right atrium; RV right ventricle. Tricuspid regurgitation 2061 Severe TR (Stages C and D) At time of left sided valve surgery TV surgery (1) Right heart failure Stage D Primary TR TV surgery (2a) Secondary TR Poorly responsive to GDMT Annular dilation without ↑PAP or left sided disease TV surgery (2a) Progressive TR (Stage B) Asymptomatic Stage C Prior left-sided valve surgery Absences of severe PH or RV systolic dysfunction TV surgery (2b) Primary TR with progressive RV dilation or systolic dysfunction TV surgery (2b) At time of left sided valve surgery Annular dilation &gt;4.0 cm or prior right HF TV surgery (2a) FIGURE 277-2 Management of tricuspid regurgitation. See legend for Fig. 272-4 for explanation of treatment recommendations (Class I, IIa, IIb) and disease stages (B, C, D). Preoperative coronary angiography should be performed routinely as determined by age, symptoms, and coronary risk factors. Cardiac catheterization and angiography may also be helpful when there is a discrepancy between clinical and noninvasive findings. GDMT, guideline-directed management and therapy; HF, heart failure; PAP, pulmonary artery pressure; PH, pulmonary hypertension; RV, right ventricular; TR, tricuspid regurgitation; TV, tricuspid valve. Annular dilation is defined by &gt;40 mm on transthoracic echocardiography (&gt;21 mm/m2) or &gt;70 mm on direct intraoperative measurement. (Reproduced with permission from CM Otto et al: 2020 AHA/ACC Guideline for management of patients with valvular heart disease: A report of the American College of Cardiology/American Heart Association Task Force on Practice Guidelines. Circulation 143:e72, 2021.) in leaflet entrapment or perforation. In addition, pacing from the right ventricular apex can result in dyssynchronous ventricular contraction and functional TR. </w:t>
      </w:r>
      <w:r w:rsidRPr="00F23836">
        <w:rPr>
          <w:rFonts w:ascii="Arial" w:hAnsi="Arial" w:cs="Arial"/>
        </w:rPr>
        <w:t>■</w:t>
      </w:r>
      <w:r w:rsidRPr="00F23836">
        <w:t xml:space="preserve">PATHOPHYSIOLOGY The incompetent tricuspid valve allows blood to flow backward from the RV into the RA, the volume of which is dependent on the driv ing pressure (i.e., RV systolic pressure) and the size of the regurgitant orifice. The severity and physical signs of TR can vary as a function of PA systolic pressure (in the absence of RV outflow tract stenosis), the dimensions of the tricuspid valve annulus, the respiratory cycle dependent changes in RV preload, and RA compliance. RV filling is increased during inspiration. With TR, forward CO is reduced and does not augment with exercise. Significant degrees of TR will lead to RA enlargement and elevation of the RA and jugular venous pressures with prominent c-v waves in the pulse tracings. Progressively severe TR can lead to “ventricularization” of the RA wave form (see Fig. 246-1B). Severe TR is also characterized by RV dilation (RV volume overload) and eventual systolic dysfunction, the progression of which can be accelerated by a concomitant pressure </w:t>
      </w:r>
      <w:r w:rsidRPr="00F23836">
        <w:lastRenderedPageBreak/>
        <w:t xml:space="preserve">load from PA hypertension or by myocardial fibrosis from previous injury. </w:t>
      </w:r>
      <w:r w:rsidRPr="00F23836">
        <w:rPr>
          <w:rFonts w:ascii="Arial" w:hAnsi="Arial" w:cs="Arial"/>
        </w:rPr>
        <w:t>■</w:t>
      </w:r>
      <w:r w:rsidRPr="00F23836">
        <w:t xml:space="preserve">SYMPTOMS Mild or moderate degrees of TR are usually well tolerated in the absence of other hemodynamic disturbances. Because TR often coexists with left-sided valve lesions, LV dysfunction, and/or PA hypertension, symptoms related to these lesions may dominate the clinical picture. Atrial functional TR due to atrial fibrillation is usually accompanied by palpitations. Fatigue and exertional dyspnea owing to reduced forward CO are early symptoms of isolated, severe TR. As the disease progresses and RV function declines, patients may report cervical pulsations, abdominal fullness/bloating, diminished appetite, and muscle wasting, although with progressive weight gain and painful swelling of the lower extremities. </w:t>
      </w:r>
      <w:r w:rsidRPr="00F23836">
        <w:rPr>
          <w:rFonts w:ascii="Arial" w:hAnsi="Arial" w:cs="Arial"/>
        </w:rPr>
        <w:t>■</w:t>
      </w:r>
      <w:r w:rsidRPr="00F23836">
        <w:t xml:space="preserve">PHYSICAL FINDINGS The neck veins in patients with severe TR are distended with promi nent c-v waves and rapid y descents (in the absence of TS). TR is more often diagnosed by examination of the neck veins than by auscultation of the heart sounds. Other findings may include marked hepatomegaly with systolic pulsations, ascites, pleural effusions, edema, and a posi tive hepatojugular reflux sign. A prominent RV pulsation in the left parasternal region and a blowing holosystolic murmur along the lower left sternal margin, which may be intensified during inspiration (Carvallo’s sign) and reduced during expiration or the strain phase of the Valsalva maneuver, are characteristic findings. The murmur of TR may sometimes be confused with that of mitral regurgitation (MR) unless attention is paid to its variation during the respiratory cycle and the extent of RV enlargement is appreciated. AF may be the driver of TR or may emerge later in the disease with ventricular and atrial remodeling. CHAPTER 277 Tricuspid Valve Disease 2062 PART 6 Disorders of the Cardiovascular System A B FIGURE 277-3 Transcatheter tricuspid valve (TV) repair and replacement. A. Shown is a clip device that can be used to grasp the leading edges of the TV leaflets to reduce the severity of tricuspid regurgitation (TR) by decreasing the effective orifice area of the valve. (TriClip is a trademark of Abbott or its related companies.) B. Bioprosthetic heart valve replacement approved for percutaneous treatment of severe TR is selected for high or prohibitive surgical risk patients. (EVOQUE is a trademark of Edwards Lifesciences.) </w:t>
      </w:r>
      <w:r w:rsidRPr="00F23836">
        <w:rPr>
          <w:rFonts w:ascii="Arial" w:hAnsi="Arial" w:cs="Arial"/>
        </w:rPr>
        <w:t>■</w:t>
      </w:r>
      <w:r w:rsidRPr="00F23836">
        <w:t>LABORATORY EXAMINATION The ECG may show changes characteristic of the lesion responsible for the TR, e.g., an inferior Q-wave MI suggestive of a prior RV MI, RVH, or a bizarre right bundle branch block</w:t>
      </w:r>
      <w:r w:rsidRPr="00F23836">
        <w:rPr>
          <w:rFonts w:ascii="Aptos" w:hAnsi="Aptos" w:cs="Aptos"/>
        </w:rPr>
        <w:t>–</w:t>
      </w:r>
      <w:r w:rsidRPr="00F23836">
        <w:t>type pattern with preexcita tion in patients with Ebstein</w:t>
      </w:r>
      <w:r w:rsidRPr="00F23836">
        <w:rPr>
          <w:rFonts w:ascii="Aptos" w:hAnsi="Aptos" w:cs="Aptos"/>
        </w:rPr>
        <w:t>’</w:t>
      </w:r>
      <w:r w:rsidRPr="00F23836">
        <w:t xml:space="preserve">s anomaly. ECG signs of RA enlargement may be present in patients with sinus rhythm; AF is frequently noted. The chest x-ray may show RA and RV enlargement, depending on the chronicity and severity of TR. TTE is usually definitive with demon stration of RA dilation and RV volume overload and prolapsing, flail, scarred, or displaced/tethered tricuspid leaflets with annular dilata tion; the diagnosis and assessment of TR can be made by color flow Doppler imaging (see Figs. 248-8 and 277-1). Severe TR is accompa nied by hepatic vein systolic flow reversal. Continuous wave Doppler of the TR velocity profile is useful in estimating PA systolic pressure, except when the TR is very severe and the jet velocity is blunted by rapidly increasing RA pressure. Accurate assessment of TR severity, PA pressures, and RV size and systolic </w:t>
      </w:r>
      <w:r w:rsidRPr="00F23836">
        <w:lastRenderedPageBreak/>
        <w:t xml:space="preserve">function with TTE can be quite challenging in many patients. Real-time three-dimensional echocardiography and cardiac magnetic resonance (CMR) imaging provide alternative imaging modalities to aid in the assessment of TR severity, although they are not widely available. In patients with severe TR, the CO is usually markedly reduced, and the RA pressure pulse may not exhibit an x descent during early systole but rather show a prominent c-v wave with a rapid y descent. The mean RA and RV end-diastolic pressures are often elevated. Exercise testing can be used to assess functional capacity in patients with asymp tomatic severe TR. The prognostic significance of exercise-induced changes in TR severity and RV function has not been well studied. (See Fig. 277-1.) TREATMENT Tricuspid Regurgitation (Fig. 277-2) Diuretics can be useful for patients with severe TR and signs of right heart failure. An aldosterone antagonist may be particularly helpful because many patients have secondary hyperaldosteronism from marked hepatic congestion. Therapies to reduce elevated PA pressures and/or pulmonary vascular resistance, including those targeted at left-sided heart disease, can also be considered for patients with PA hypertension and severe secondary TR. Tricuspid valve surgery is recommended for patients with severe TR who are undergoing left-sided valve surgery and is also undertaken fre quently for treatment of even moderate TR in patients undergoing left-sided valve surgery especially those with tricuspid annular dila tion (&gt;40 mm), a history of right heart failure, or PA hypertension. Operation most often comprises repair rather than replacement in these settings and has become more routine in many surgical cen ters. In a randomized trial of tricuspid valve annuloplasty surgery at the time of mitral valve surgery for degenerative MR in patients with moderate TR or mild TR with annular dilation, there was a significant reduction in the 2-year incidence of a composite end point of reoperation, progression of TR, or all-cause death among those who underwent tricuspid surgery versus those who had mitral valve surgery alone. The composite endpoint was driven by a reduction in the progression of TR. Surgery may also infrequently be required for treatment of severe, primary TR with right heart failure not responsive to standard medical therapy or because of progressively declining RV systolic function. Reported periopera tive mortality rates for isolated tricuspid valve surgery (repair and replacement) are high (~8–9%) and likely are influenced by the hazards encountered during reoperation on patients who have undergone previous left-sided valve surgery and have reduced RV function. There have been several recent advances in the application of transcatheter tricuspid valve repair and replacement tech niques in patients with severe TR and high or prohibitive sur gical risk. In a randomized trial of percutaneous transcatheter edge-to-edge repair versus medical therapy, clip repair resulted in a significant reduction in TR severity and improvement in quality-of-life scores, but no differences in all-cause mortal ity or hospitalization for heart failure over 1-year follow-up. The U.S. Food and Drug Administration approved the use of a transcatheter tricuspid valve replacement system in early 2024 based on favorable hemodynamic, echocardiographic, clinical, and quality-of-life results from prospective single-arm studies. (See Figure 277-3.) </w:t>
      </w:r>
      <w:r w:rsidRPr="00F23836">
        <w:rPr>
          <w:rFonts w:ascii="Arial" w:hAnsi="Arial" w:cs="Arial"/>
        </w:rPr>
        <w:lastRenderedPageBreak/>
        <w:t>■</w:t>
      </w:r>
      <w:r w:rsidRPr="00F23836">
        <w:t xml:space="preserve">FURTHER READING Hahn RT et al: Tricuspid regurgitation management for heart failure. J Am Coll Cardiol HF 11:1084, 2023. Kadri AN et al: Outcomes of patients with severe tricuspid regurgita tion and congestive heart failure. Heart 105:1813, 2019. Kodali S et al: Transfemoral tricuspid valve replacement and one-year outcomes: The TRISCEND study. Eur Heart J 44:4862, 2023. Otto CM et al: 2020 ACC/AHA guideline for the management of patients with valvular heart disease: A report of the American College of Cardiology/American Heart Association Joint Committee on Clinical Practice Guidelines. Circulation 143:e72, 2021. Sorajja P et al: Transcatheter repair for patients with tricuspid regur gitation. N Engl J Med 388:1833, 2023. 278 Pulmonic Valve Disease TABLE 278-1 Causes of Pulmonic Valve Disease 2063 Patrick T. O’Gara, Joseph Loscalzo PULMONIC STENOSIS Pulmonic valve stenosis (PS) is essentially a congenital disorder (Table 278-1). With isolated PS, the valve is typically domed. Dys plastic pulmonic valves are seen as part of the Noonan syndrome (Chap. 292), which maps to chromosome 12. Mutations in the PTPN1 gene are associated with about half of all cases of Noonan syndrome. Much less common etiologies include carcinoid and obstructing tumors or bulky vegetations. The pulmonic valve is only very rarely affected by the rheumatic process. </w:t>
      </w:r>
      <w:r w:rsidRPr="00F23836">
        <w:rPr>
          <w:rFonts w:ascii="Arial" w:hAnsi="Arial" w:cs="Arial"/>
        </w:rPr>
        <w:t>■</w:t>
      </w:r>
      <w:r w:rsidRPr="00F23836">
        <w:t xml:space="preserve">PATHOPHYSIOLOGY PS is defined hemodynamically by a systolic pressure gradient between the right ventricle (RV) and the main pulmonary artery (PA). RV hypertrophy (RVH) develops as a consequence of sustained obstruc tion to RV outflow, and systolic ejection is prolonged. Compared with the ability of the LV to compensate for the pressure overload imposed by aortic stenosis (AS), RV dysfunction from afterload mismatch occurs earlier in the course of PS and at lower peak systolic pressures, because the RV adapts less well to this type of hemodynamic burden. With nor mal systolic function and cardiac output (CO), severe PS is defined by a peak systolic gradient across the pulmonic valve of &gt;64 mmHg (mean gradient &gt;35 mmHg, Doppler jet velocity &gt;4 m/s); moderate PS corre lates with a peak gradient of 36–64 mmHg (Doppler jet velocity 3–4 m/s). Mild PS is characterized by a jet velocity 64 mmHg (or mean gradient &gt;35 mmHg). Surgery may be required when the valve is dysplastic (as seen in patients with Noonan’s syndrome and other disorders). A multidisciplinary heart team is best positioned to make treatment decisions of this nature. PULMONIC REGURGITATION PR may develop as a consequence of primary valve pathology, annu lar enlargement, or their combination; after surgical treatment of RVOT obstruction in children with such disorders as tetralogy of Fal lot; or after percutaneous pulmonic balloon valvotomy (Table 278-1). Carcinoid usually causes mixed pulmonic valve disease with PR and PS. Long-standing severe PA hypertension from any cause can result in dilation of the pulmonic valve ring and PR. Trace or mild PR of no hemodynamic or clinical consequence is frequently observed on TTE in the absence of structural pulmonic valve disease (Fig. 278-1). 2064 PART 6 Disorders of the Cardiovascular System A B FIGURE 278-1 Pulmonic regurgitation. A. Transthoracic short axis window at the level of the aortic valve (AoV). The pulmonic valve (PV) is shown with the yellow arrow. Tricuspid valve (TV) leaflets are partially visualized (white arrows). B. Color flow </w:t>
      </w:r>
      <w:r w:rsidRPr="00F23836">
        <w:lastRenderedPageBreak/>
        <w:t xml:space="preserve">Doppler image shows moderate pulmonic regurgitation (PR, white arrow). </w:t>
      </w:r>
      <w:r w:rsidRPr="00F23836">
        <w:rPr>
          <w:rFonts w:ascii="Arial" w:hAnsi="Arial" w:cs="Arial"/>
        </w:rPr>
        <w:t>■</w:t>
      </w:r>
      <w:r w:rsidRPr="00F23836">
        <w:t xml:space="preserve">PATHOPHYSIOLOGY Severe PR results in RV chamber enlargement and eccentric hyper trophy. As is the case for aortic regurgitation (AR), PR is a state of increased preload and afterload. The diastolic pressure gradient between the PA to the RV, which drives the PR, progressively decreases throughout diastole and accounts for the decrescendo nature of the murmur. As RV diastolic pressure increases, the murmur becomes shorter in duration. The forward CO is preserved during the early stages of the disease but may not increase normally with exercise and declines over time. A reduction in RV ejection fraction may be an early indicator of hemodynamic compromise. In advanced stages, there is significant enlargement of the RV and RA with marked elevation of the jugular venous pressure. </w:t>
      </w:r>
      <w:r w:rsidRPr="00F23836">
        <w:rPr>
          <w:rFonts w:ascii="Arial" w:hAnsi="Arial" w:cs="Arial"/>
        </w:rPr>
        <w:t>■</w:t>
      </w:r>
      <w:r w:rsidRPr="00F23836">
        <w:t xml:space="preserve">SYMPTOMS Mild or moderate degrees of PR do not, by themselves, result in symp toms. Other issues, such as PA hypertension, may dominate the clini cal picture. With progressively severe PR and RV dysfunction, fatigue, exertional dyspnea, abdominal fullness/bloating, and lower extremity swelling may be reported. </w:t>
      </w:r>
      <w:r w:rsidRPr="00F23836">
        <w:rPr>
          <w:rFonts w:ascii="Arial" w:hAnsi="Arial" w:cs="Arial"/>
        </w:rPr>
        <w:t>■</w:t>
      </w:r>
      <w:r w:rsidRPr="00F23836">
        <w:t xml:space="preserve">PHYSICAL FINDINGS The physical examination hallmark of PR is a high-pitched, decre scendo diastolic murmur (Graham Steell murmur) heard along the left sternal border that can be difficult to distinguish from the more frequently appreciated murmur of AR. The Graham Steell murmur may become louder with inspiration and is usually associated with a loud and sometimes palpable P2 and an RV lift, as would be expected in patients with significant PA hypertension of any cause. Survivors of childhood surgery for tetralogy of Fallot or PS/pulmonary atresia may have an RV-PA conduit that is freely regurgitant because it does not contain a valve. PA pressures in these individuals are not elevated, and the diastolic murmur can be misleadingly low pitched and of short duration despite significant degrees of PR and RV volume overload. </w:t>
      </w:r>
      <w:r w:rsidRPr="00F23836">
        <w:rPr>
          <w:rFonts w:ascii="Arial" w:hAnsi="Arial" w:cs="Arial"/>
        </w:rPr>
        <w:t>■</w:t>
      </w:r>
      <w:r w:rsidRPr="00F23836">
        <w:t xml:space="preserve">LABORATORY EXAMINATION Depending on both the etiology and severity of PR, the ECG may show findings of RVH and RA enlargement. On chest x-ray, the RV and RA may be enlarged. Pulmonic valve morphology and function can be assessed with transthoracic Doppler echocardiography. RV systolic pressure can be estimated from the tricuspid valve systolic jet veloc ity. Cardiac magnetic resonance (CMR) imaging can provide greater anatomic detail, particularly in patients with repaired congenital heart disease, and more precise assessment of RV volumes and function. Car diac catheterization is not routinely necessary but would be performed as part of a planned transcatheter PV procedure. TREATMENT Pulmonic Regurgitation In patients with significant functional PR due to PA hyperten sion and annular dilation, efforts to reduce pulmonary vascu lar resistance and pressure should be pursued. Such efforts may include pharmacologic/vasodilator and/or surgical/interventional strategies, depending on the cause of the PA hypertension (e.g., idiopathic PA hypertension, left-sided heart valve disease). Diuret ics can be used to treat the manifestations of right heart failure. Surgical valve replacement for primary, severe, pulmonic valve disease, such as carcinoid or endocarditis, is rarely undertaken. Transcatheter pulmonic valve replacement has been successfully performed in many patients with severe PR after </w:t>
      </w:r>
      <w:r w:rsidRPr="00F23836">
        <w:lastRenderedPageBreak/>
        <w:t xml:space="preserve">childhood repair of tetralogy of Fallot or pulmonic valve stenosis or atresia. This procedure was introduced clinically prior to transcatheter aortic valve replacement. Earlier concerns regarding an excess hazard of infective endocarditis with first-generation valves have led to pro cedural modifications. </w:t>
      </w:r>
      <w:r w:rsidRPr="00F23836">
        <w:rPr>
          <w:rFonts w:ascii="Arial" w:hAnsi="Arial" w:cs="Arial"/>
        </w:rPr>
        <w:t>■</w:t>
      </w:r>
      <w:r w:rsidRPr="00F23836">
        <w:t xml:space="preserve">FURTHER READING Otto CM et al: 2020 AHA/ACC guideline for the management of patients with valvular heart disease. A report of the American Col lege of Cardiology/American Heart Association Joint Committee on Clinical Practice Guidelines. Circulation 143:e72, 2021. Stout KK et al: 2018 ACC/AHA guidelines for the management of adults with congenital heart disease. J Am Coll Cardiol 73:e81, 2019. 279 2065 Multiple and Mixed Valvular Heart Disease Patrick T. O’Gara, Joseph Loscalzo Many acquired and congenital cardiac lesions may result in stenosis and/or regurgitation of one or more heart valves. For example, rheu matic heart disease can involve the mitral (mitral stenosis [MS], mitral regurgitation [MR], or MS and MR), aortic (aortic stenosis [AS], aortic regurgitation [AR], or AS and AR), and tricuspid (tricuspid stenosis [TS], tricuspid regurgitation [TR], or TS and TR) valve, alone or in combination. The common association of functional TR with sig nificant mitral valve disease is discussed in Chap. 277. Severe mitral annular calcification can result in regurgitation (due to decreased annular shortening during systole) and mild or moderate stenosis (caused by extension of the calcification onto the leaflets resulting in restricted valve opening). Patients with severe AS and left ventricular (LV) remodeling may develop functional MR that may not improve after isolated aortic valve replacement (AVR). Primary MR due to mitral valve prolapse or chordal rupture has been noted in patients with severe AS. Aortic valve infective endocarditis (IE) may second arily involve the mitral apparatus either by abscess formation and contiguous spread via the intervalvular fibrosa or by “drop metastases” from the aortic leaflets onto the anterior leaflet of the mitral valve. Mediastinal radiation may result in aortic, mitral, and even tricus pid valve disease, most often with mixed stenosis and regurgitation. Carcinoid heart disease may cause mixed lesions of either or both the tricuspid and pulmonic valves. Ergotamines, and the previously used combination of fenfluramine and phentermine, can rarely result in mixed lesions of the aortic and/or mitral valve. Patients with Marfan syndrome may have both AR from aortic root dilation and MR due to mitral valve prolapse (MVP). Myxomatous degeneration causing pro lapse of multiple valves (mitral, aortic, tricuspid) can also occur in the absence of an identifiable connective tissue disorder. Bicuspid aortic or pulmonic valve disease can result in mixed stenosis and regurgita tion. The former is also associated with aortic aneurysm disease and a predisposition to aortic dissection. </w:t>
      </w:r>
      <w:r w:rsidRPr="00F23836">
        <w:rPr>
          <w:rFonts w:ascii="Arial" w:hAnsi="Arial" w:cs="Arial"/>
        </w:rPr>
        <w:t>■</w:t>
      </w:r>
      <w:r w:rsidRPr="00F23836">
        <w:t xml:space="preserve">PATHOPHYSIOLOGY In patients with multivalvular heart disease, the pathophysiologic derangements associated with the more proximal valve disease can mask the full expression of the attributes of the more distal valve lesion. For example, in patients with rheumatic mitral and aortic valve disease, the reduction in cardiac output (CO) imposed by the mitral valve dis ease will decrease the magnitude of the hemodynamic derangements related to the severity of the aortic valve lesion (stenotic, regurgitant, or </w:t>
      </w:r>
      <w:r w:rsidRPr="00F23836">
        <w:lastRenderedPageBreak/>
        <w:t xml:space="preserve">both). Alternatively, the development of atrial fibrillation (AF) dur ing the course of MS can lead to sudden worsening in a patient whose aortic valve disease was not previously felt to be significant. The devel opment of reactive pulmonary vascular disease, sometimes referred to as a “secondary obstructive lesion in series,” can impose an additional challenge in these settings. As CO falls with progressive tricuspid valve disease, the severity of any associated mitral or aortic disease can be underestimated. One of the most common examples of multivalve disease is that of functional TR in the setting of significant mitral valve disease. Func tional TR occurs as a consequence of right ventricular and annular dilation; pulmonary artery (PA) hypertension may be present. The tricuspid leaflets are morphologically normal. Progressive degrees of TR lead to right ventricular volume overload and continued chamber and annular dilation. The TR is usually central in origin; reflux into the right atrium (RA) is expressed as large, systolic c-v waves in the RA pressure pulse. The height of the c-v wave is dependent on RA compliance and the volume of regurgitant flow. The RA waveform may become “ventricularized” in advanced stages of chronic, severe TR. CO falls and the severity of the associated mitral valve disease may become more difficult to appreciate. Findings related to advanced right heart failure (e.g., ascites, edema) predominate. Primary rheumatic tricus pid valve disease may occur with rheumatic mitral disease and cause hemodynamic changes reflective of TR, TS, or their combination. With TS, the y descent in the RA pressure pulse is prolonged. Typically, however, findings related to the mitral valve disease predominate over those related to the tricuspid valve disease. Another example of rheumatic, multivalve disease involves the com bination of mitral and aortic valve pathology, frequently characterized by MS and AR. In isolated MS, LV preload and diastolic pressure are reduced as a function of the severity of inflow obstruction. With con comitant AR, however, LV filling is enhanced and diastolic pressure may rise depending on the compliance characteristics of the chamber. Because the CO falls with progressive degrees of MS, transaortic valve flows will decline, masking the potential severity of the aortic valve lesion (AR, AS, or its combination). As noted above, onset of AF in such patients can be especially deleterious. The loss of atrial systole with AF may result in a critical reduction in CO, a rise in left atrial (LA) and LV diastolic pressures, and a further deleterious increase in heart rate. Secondary (functional) MR may complicate the course of some patients with severe AS. The mitral valve leaflets and chordae tendineae are usually normal. Incompetence is related to changes in LV geometry (remodeling) and abnormal systolic tethering of the leaflets in the context of markedly elevated LV systolic pressures. Relief of the excess afterload with surgical or transcatheter AVR may result in reduction of the secondary MR. Persistence of significant, secondary MR following AVR is associated with impaired functional outcomes and reduced sur vival. Identification of patients who would benefit from concomitant treatment of their secondary MR at time of AVR is quite challenging. Most surgeons perform mitral valve repair of moderate-to-severe or severe secondary MR at time of surgical AVR. Significant primary MR may also coexist with AS </w:t>
      </w:r>
      <w:r w:rsidRPr="00F23836">
        <w:lastRenderedPageBreak/>
        <w:t xml:space="preserve">and is routinely managed with repair (or replacement) at the time of AVR. There is increasing experience with the combination of transcatheter aortic valve implantation (TAVI) and transcatheter edge-to-edge mitral valve repair (TEER) in high surgical risk patients with severe AS and moderate-severe primary or secondary MR. Decision-making regarding the need for mitral valve intervention can be challenging. CHAPTER 279 Multiple and Mixed Valvular Heart Disease In patients with mixed AS and AR, assessment of valve stenosis can be influenced by the magnitude of the regurgitant valve flow. Because transvalvular systolic flow velocities are augmented in patients with AR and preserved LV systolic function, the LV-aortic Doppler derived pressure gradient and the intensity of the systolic murmur will be elevated to values higher than expected for the true systolic valve orifice size as measured by planimetry. Uncorrected, the Gorlin formula, which relies on forward CO (systolic transvalvular flow) and the mean pressure gradient for calculation of valve area, is not accurate in the setting of mixed aortic valve disease. Similar considerations apply to patients with mixed mitral valve disease. The peak mitral valve Doppler E wave velocity (v0 ) is increased in the setting of severe MR because of enhanced early diastolic flow and may not accurately reflect the contribution to LA hypertension from any associated MS. When either AR or MR is the dominant lesion in patients with mixed aortic or mitral valve disease, respectively, the LV is dilated. When AS or MS predominates, LV chamber size will be normal or small. It can sometimes be difficult to ascertain whether stenosis or regurgitation is the dominant lesion in patients with mixed valve disease, although an integrated clinical and noninvasive assessment can usually provide clarification for purposes of patient management. For patients with moderate, mixed AS and AR in whom stenosis is the dominant lesion, the natural history tends to parallel what might be expected for isolated severe AS, and the treatment approach should be accordingly aligned. Patients with significant AS, a nondilated LV chamber, and concen tric hypertrophy will poorly tolerate the abrupt development of aortic regurgitation, as may occur, for example, with IE or after surgical AVR or TAVI complicated by paravalvular leakage. The noncompliant LV is not prepared to accommodate the sudden volume load, and as a result, LV diastolic pressure rises rapidly and severe heart failure develops. 2066 PART 6 Disorders of the Cardiovascular System Indeed, significant paravalvular regurgitation is a significant risk fac tor for short- to intermediate-term death following transcatheter AVR. Conditions in which the LV may not be able to dilate in response to chronic AR (or MR) include radiation heart disease, cardiac amyloid, and, in some patients, the cardiomyopathy associated with obesity and diabetes. Noncompliant ventricles of small chamber size predispose to earlier onset diastolic dysfunction and heart failure in response to any further perturbation in valve function. </w:t>
      </w:r>
      <w:r w:rsidRPr="00F23836">
        <w:rPr>
          <w:rFonts w:ascii="Arial" w:hAnsi="Arial" w:cs="Arial"/>
        </w:rPr>
        <w:t>■</w:t>
      </w:r>
      <w:r w:rsidRPr="00F23836">
        <w:t xml:space="preserve">SYMPTOMS Compared with patients with isolated, single-lesion valve disease, patients with multiple or mixed valve disease may develop symptoms at a relatively earlier stage in the natural history of their disease. Symptoms such as exertional dyspnea and fatigue are usually related to elevated filling pressures, reduced CO, or their combination. Palpitations may signify AF </w:t>
      </w:r>
      <w:r w:rsidRPr="00F23836">
        <w:lastRenderedPageBreak/>
        <w:t xml:space="preserve">and identify mitral valve disease as an important component of the clinical presentation, even when not previously suspected. Chest pain compatible with angina could reflect left or right ventricular oxy gen supply/demand mismatch on a substrate of hypertrophy and pres sure/volume overload with or without superimposed coronary artery disease. Symptoms related to right heart failure (abdominal fullness/ bloating, edema) are late manifestations of advanced disease. </w:t>
      </w:r>
      <w:r w:rsidRPr="00F23836">
        <w:rPr>
          <w:rFonts w:ascii="Arial" w:hAnsi="Arial" w:cs="Arial"/>
        </w:rPr>
        <w:t>■</w:t>
      </w:r>
      <w:r w:rsidRPr="00F23836">
        <w:t xml:space="preserve">PHYSICAL FINDINGS Mixed disease of a single valve is most often manifested by systolic and diastolic murmurs, each with the attributes expected for the valve in question. Thus, patients with AS and AR will have characteristic mid systolic, crescendo-decrescendo and blowing, decrescendo diastolic murmurs at the base of the heart in the second right interspace and along the left sternal edge, respectively. Many patients with significant AR have mid-systolic outflow murmurs even in the absence of valve sclerosis/stenosis, and other findings of AS must be sought. The sepa rate murmurs of AS and AR can occasionally be difficult to distinguish from the continuous murmurs associated with either a patent ductus arteriosus (PDA) or ruptured sinus of Valsalva aneurysm. With mixed aortic valve disease, the systolic murmur should end before, and not envelope or extend through, the second heart sound (S2 ). The murmur associated with a PDA is heard best to the left of the upper sternum. The continuous murmur heard with a ruptured sinus of Valsalva aneu rysm is often first appreciated after an episode of acute chest pain. An early ejection click, which usually defines bicuspid aortic valve disease in young adults, is often not present in patients with congenital mixed AS and AR. As noted above, both the intensity and duration of these separate murmurs can be influenced by a reduction in CO and trans valvular flow due to coexistent mitral valve disease or AF. In patients with isolated MS and MR, expected findings would include a blowing, holosystolic murmur and a mid-diastolic rumble (with or without an opening snap) best heard at the cardiac apex. An irregularly irregular heart rhythm in such patients would likely signify AF. Findings with TS and TR would mimic those of left-sided MS and MR, save for the expected changes in the murmurs with respiration. The murmurs of pulmonic stenosis and regurgitation behave in a fashion directionally similar to AS and AR; dynamic changes during respiration should be noted. Specific attributes of these cardiac murmurs are reviewed in Chaps. 44 and 277. </w:t>
      </w:r>
      <w:r w:rsidRPr="00F23836">
        <w:rPr>
          <w:rFonts w:ascii="Arial" w:hAnsi="Arial" w:cs="Arial"/>
        </w:rPr>
        <w:t>■</w:t>
      </w:r>
      <w:r w:rsidRPr="00F23836">
        <w:t xml:space="preserve">LABORATORY EXAMINATION The electrocardiogram (ECG) may show evidence of ventricular hypertrophy and/or atrial enlargement. ECG signs indicative of right sided cardiac abnormalities in patients with left-sided valve lesions should prompt additional assessment for PA hypertension and/or right-sided valve disease. The presence of AF in patients with aortic valve disease may be a clue to the presence of previously unsuspected mitral valve disease in the appropriate context. The chest x-ray can be reviewed for evidence of cardiac chamber enlargement, valve and/ or annular calcification, and any abnormalities in the appearance of the pulmonary vasculature. The latter could include enlargement of the main and proximal pulmonary arteries with PA hypertension and pulmonary venous redistribution/engorgement or Kerley B lines with increasing degrees of LA and </w:t>
      </w:r>
      <w:r w:rsidRPr="00F23836">
        <w:lastRenderedPageBreak/>
        <w:t xml:space="preserve">pulmonary venous hypertension. An enlarged azygos vein in the frontal projection indicates RA hyperten sion. Roentgenographic findings not expected based on a single or mixed valve lesion may reflect other valve disease. Transthoracic echocardiography (TTE) is the most commonly used imaging modality for the diagnosis and characterization of multiple and/or mixed valvular heart disease and may often demonstrate find ings not clinically suspected. Transesophageal echocardiography (TEE) may sometimes be required for more accurate assessment of valve anatomy (specifically, the mitral valve) and when IE is considered responsible for the clinical presentation. TTE findings of particular interest include those related to valve morphology and function, cal cification, chamber size, ventricular wall thickness, biventricular func tion, estimated PA systolic pressure, and the dimensions of the great vessels, including the root and ascending aorta, PA, and inferior vena cava. Exercise testing (with or without echocardiography) can be use ful when the degree of functional limitation reported by the patient is not adequately explained by the findings on TTE performed at rest. An integrated assessment of the clinical and TTE findings is needed to help determine the dominant valve lesion(s) and establish an appropriate plan for treatment and follow-up. Natural history is usually influenced to a relatively greater degree by the dominant lesion. Cardiac magnetic resonance (CMR) imaging can be used to provide additional anatomic and physiologic information when echocardiog raphy proves suboptimal but is less well suited to the evaluation of valve morphology. Cardiac computed tomography (CT) has been used to assess intracardiac structures in patients with complicated IE. It is invaluable in planning for transcatheter valve implantation. Coronary CT angiography provides a noninvasive alternative for the assess ment of coronary artery anatomy prior to surgery or transcatheter intervention. Invasive hemodynamic evaluation with right and left heart cath eterization may be required to characterize more completely the individual contributions of each lesion in patients with either multiple or mixed valvular heart disease. It is strongly recommended when there is a discrepancy between the clinical and noninvasive find ings in a symptomatic patient. Measurement of PA pressures and calculation of pulmonary vascular resistance (PVR) can help inform clinical decision-making in certain patient subsets, such as those with advanced mitral and tricuspid valve disease. It is important to identify any potential contribution to the clinical picture from pulmonary vas cular disease. Attention to the accurate assessment of CO is essential. Coronary angiography (if indicated) can be performed as part of the procedure. Contrast ventriculography and great vessel angiography are performed infrequently. TREATMENT Multiple and Mixed Valve Disease Management of patients with multiple or mixed valve disease can be challenging. As noted above, it is helpful to determine the dominant valve lesion and proceed according to the treatment and follow-up recommendations for it (Chaps. 272–278), being mind ful of deviations from the expected course due to the contributions of more than one valve lesion. For example, AF that emerges in the course of moderate mitral valve disease may precipitate heart failure in patients with </w:t>
      </w:r>
      <w:r w:rsidRPr="00F23836">
        <w:lastRenderedPageBreak/>
        <w:t xml:space="preserve">concomitant, severe aortic valve disease that was previously asymptomatic. Medical therapies are limited and include diuretics when indicated for relief of congestion and anticoagulation to prevent stroke and thromboembolism in patients with AF. Blood pressure lowering medications may be needed to treat systemic hyperten sion, which may aggravate left-sided regurgitant valve lesions, but should be initiated and titrated carefully. Pulmonary vasodilators to lower PVR are not generally effective in this context. 280 2067 There is a paucity of evidence to inform practice guidelines for surgical and/or transcatheter valve intervention in patients with multiple or mixed valve disease. When there is a clear, dominant lesion, as for example in a patient with severe AS and mild AR, indications for intervention are straightforward and follow those recommended for patients with AS (Chap. 272). In other patients, however, there is less clarity, and decisions regarding intervention should be based on several considerations, including those related to lesion severity, ventricular remodeling, functional capacity, and PA pressures. In this regard, it is important to realize that patients with multiple and/or mixed valve disease may develop limiting symptoms or signs of physiologic impairment even with moderate valve lesions. Concomitant aortic and mitral valve replacement surgery is associated with a significantly higher perioperative mortality risk than replacement of either valve alone; therefore, operation should be carefully considered. Double valve replacement surgery is usu ally performed for treatment of severe (unrepairable) valve disease at both locations and for the combination of severe disease at one location with moderate disease at the other to avoid the hazards of reoperation in the intermediate to late term for progressive disease of the unoperated valve. In addition, the presence of a prosthesis in the aortic position significantly restricts surgical exposure of the native mitral valve. The need for double valve replacement may also impact the decision regarding the type of prosthesis (i.e., mechani cal vs tissue). In selected patients, TAVI for severe AS followed by edge-to-edge clip repair for severe MR can be accomplished during the same procedure. Tricuspid valve repair for moderate or severe secondary (func tional) TR at the time of left-sided valve surgery is now common place, particularly if there is dilation of the tricuspid annulus (&gt;40 mm). The addition of tricuspid valve repair, consisting usu ally of insertion of an annuloplasty ring, adds little time or com plexity to the procedure and is well tolerated, but may be associated with an excess risk of heart block and the need for a permanent pacemaker. Reoperation for repair (or replacement) of progres sive TR years after initial surgery for left-sided valve disease, on the other hand, is associated with a relatively high perioperative mortality risk. Mitral valve repair or replacement for moderate or severe secondary MR at time of AVR for AS can usually be undertaken with acceptable risk for perioperative death or major complication. The presence of moderate or severe MR in patients with rheu matic MS is a contraindication to percutaneous mitral balloon commissurotomy (PMBC). TAVI can be performed for mixed AS and AR when the anatomic findings related to annulus size, coro nary height, and the distribution of calcium are favorable. Trans catheter management of both severe AS and severe primary or secondary MR (with deployment </w:t>
      </w:r>
      <w:r w:rsidRPr="00F23836">
        <w:lastRenderedPageBreak/>
        <w:t xml:space="preserve">of an edge-to-edge clip) has been undertaken with increasing frequency in appropriately selected patients with prohibitive or high surgical risk. Further advances in transcatheter treatments for multiple and mixed valve disease are anticipated. </w:t>
      </w:r>
      <w:r w:rsidRPr="00F23836">
        <w:rPr>
          <w:rFonts w:ascii="Arial" w:hAnsi="Arial" w:cs="Arial"/>
        </w:rPr>
        <w:t>■</w:t>
      </w:r>
      <w:r w:rsidRPr="00F23836">
        <w:t xml:space="preserve">FURTHER READING Alaour B et al: Combined significant aortic stenosis and mitral regur gitation: Challenges in timing and type of intervention. Can J Cardiol 40:235, 2024. Egbe AC et al: Outcomes in moderate mixed aortic valve disease: Is it time for a paradigm shift? J Am Coll Cardiol 67:2321, 2016. Gammie JS et al: Concomitant tricuspid repair in patients with degenerative mitral regurgitation. N Engl J Med 286:327, 2022. Otto CM et al: 2020 AHA/ACC guidelines for management of patients with valvular heart disease. A report of the American Heart Association Joint Commission on Clinical Practice Guidelines. Circulation 143:e72, 2021. Congenital Heart Disease in the Adult Anne Marie Valente, Michael J. Landzberg </w:t>
      </w:r>
      <w:r w:rsidRPr="00F23836">
        <w:rPr>
          <w:rFonts w:ascii="Arial" w:hAnsi="Arial" w:cs="Arial"/>
        </w:rPr>
        <w:t>■</w:t>
      </w:r>
      <w:r w:rsidRPr="00F23836">
        <w:t>PREVALENCE The number of adults with congenital heart disease (CHD) living in the United States is estimated to be at least 1.4 million. It is now projected that &gt;10% of adults living with CHD in Europe will be over 60</w:t>
      </w:r>
      <w:r w:rsidRPr="00F23836">
        <w:rPr>
          <w:rFonts w:ascii="Aptos" w:hAnsi="Aptos" w:cs="Aptos"/>
        </w:rPr>
        <w:t> </w:t>
      </w:r>
      <w:r w:rsidRPr="00F23836">
        <w:t xml:space="preserve">years old by 2030. The majority of adults with CHD were diagnosed in childhood, although a substantial percentage may have CHD first recognized as adults. Lifelong follow-up in coordination with, or directly by, clinicians with expertise in adult congenital heart disease (ACHD) is recommended. In this chapter, we will review the cur rent field of ACHD, with an introduction to CHD nomenclature and cardiac development. This is followed by a summary of the more com mon CHD lesions that may be diagnosed in adulthood. Lastly, some of the common repaired CHD lesions that are encountered in adults are discussed. Throughout the chapter, to aid in the understanding of con genital cardiac anatomy and physiology, we include figures displaying the passage of blood flow between blood vessels and cardiac chambers in various disorders (Fig. 280-1). </w:t>
      </w:r>
      <w:r w:rsidRPr="00F23836">
        <w:rPr>
          <w:rFonts w:ascii="Arial" w:hAnsi="Arial" w:cs="Arial"/>
        </w:rPr>
        <w:t>■</w:t>
      </w:r>
      <w:r w:rsidRPr="00F23836">
        <w:t xml:space="preserve">THE CHANGING LANDSCAPE OF ADULT CHD A Relatively New Subspecialty in Cardiovascular Disease CHAPTER 280 Congenital Heart Disease in the Adult Over the past two decades, the field of caring for adults with CHD has blossomed, and several nationwide initiatives have been initiated to standardize care. The American College of Cardiology and American Heart Association developed guidelines for the care of adults with CHD, first published in 2008 and revised in 2018, which emphasize the need for collaboration among primary care practitioners, cardiologists, and ACHD subspecialty cardiologists. The body of medical knowledge and competencies attendant with ACHD combined with skill acquisition in coordination of complex care over a patient’s medical lifetime led in 2015 to ACHD board certification examinations by the American Board of Medical Subspecialties, as well as the establishment of requirements for advanced fellowship training in ACHD care by the Accreditation Coun cil for Graduate Medical Education. In temporal association, the Adult Congenital Heart Association (ACHA) developed a process for ACHD care program accreditation based on standardization of infrastructural components felt requisite to achieve quality outcomes for ACHD. </w:t>
      </w:r>
      <w:r w:rsidRPr="00F23836">
        <w:rPr>
          <w:rFonts w:ascii="Arial" w:hAnsi="Arial" w:cs="Arial"/>
        </w:rPr>
        <w:t>■</w:t>
      </w:r>
      <w:r w:rsidRPr="00F23836">
        <w:t xml:space="preserve">SPECIAL CONSIDERATIONS FOR THE ACHD PATIENT Due to the need for lifelong care, it is essential that pediatric cardiology </w:t>
      </w:r>
      <w:r w:rsidRPr="00F23836">
        <w:lastRenderedPageBreak/>
        <w:t xml:space="preserve">programs partner with ACHD programs to provide successful transi tion of patients. However, gaps in care are common during transition, much of which may be due to disparities in social determinants of health, such as race, ethnicity, socioeconomic status, access to insur ance, and residence in geographically remote locations. Additionally, adults with CHD may not recognize subtle changes in their exercise capacity, some of which are associated with worse survival; by the time symptoms are recognized, irreversible physiologic changes may have occurred. ACHD patients are, therefore, advised to undergo regular evaluations for surveillance of anatomic, hemodynamic, and electro physiologic sequelae that may be present. In addition, specific situa tions may arise in which it is prudent to review care in consultation with an ACHD specialist, several of which are outlined below. Noncardiac Surgery Nearly all adults with CHD can be classi fied with stage A (harboring risk) or greater degrees of heart failure. As such, adults with CHD may demonstrate limited hemodynamic reserve to altered myocardial perfusion or loading conditions and may have subclinical organ dysfunction that is not recognized by standard laboratory assessment. Comprehensive, multispecialty assessment and care strategy review are recommended in advance of invasive or 2068 Normal Heart PART 6 Disorders of the Cardiovascular System Aorta Right pulmonary veins Superior vena cava Left atrium Right atrium PV SVC Pulmonary artery IVC Tricuspid valve Left pulmonary veins RA LA RV LV Mitral valve Pulmonary valve Mitral valve Pulmonary valve Inferior vena cava Tricuspid valve Left ventricle Right ventricle Aortic valve Aortic valve PA Ao FIGURE 280-1 Normal heart. Understanding of congenital cardiac anatomy and physiology is facilitated by use of box diagrams, displaying passage of blood flow between blood vessels and cardiac chambers. Labeling (e.g., structure names, arrows to denote direction of flow, coloring to represent oxygen saturation, connections or obstructions, chamber or vascular pressures, oxygen saturations) can aid in representation. Ao, aorta; IVC, inferior vena cava; LA, left atrium; LV, left ventricle; PA, pulmonary artery; PV, pulmonary veins; RA, right atrium; RV, right ventricle; SVC, superior vena cava. operative procedures for adults with CHD. Figure 280-2 illustrates the multiorgan considerations that should be considered in adults with CHD during perioperative resuscitation and convalescence. Anesthetic management requires knowledge of anatomy, physiologic consequence of underlying defects, myocardial and vascular performance, presence and nature of previous palliative procedures and residual shunts, altera tion of venous or arterial pathways within the circulation, and status of noncardiovascular organ physiology. Pregnancy Women with CHD should receive counseling regard ing both maternal and fetal risks prior to conceiving a pregnancy and should be cared for in institutions with experience in treating CHD during pregnancy. Preconception evaluation includes detailed medical history, with particular attention to the women’s functional capacity, which is closely linked to maternal and fetal outcomes. Table 280-1 lists the World Health Organization classification of risk during preg nancy in women with heart disease; women at risk should be strongly counseled about the significant risks of morbidity and mortality </w:t>
      </w:r>
      <w:r w:rsidRPr="00F23836">
        <w:lastRenderedPageBreak/>
        <w:t xml:space="preserve">during pregnancy and the postpartum period. Normal physiologic hemody namic changes of pregnancy are significant, occur over a relatively condensed period of time, and may be compounded in adults with CHD. Silversides and colleagues have devel oped a weighted-risk score for pregnant women with heart disease, based on a large registry known as CARPREG 2. The highest-weighted risk factors (weight of 3 points) include a prior his tory of cardiac events or arrhythmias, decreased functional status (New York Heart Association class ≥III), and pres ence of a mechanical heart valve. Risk factors that account for 2 points include ventricular dysfunction, high-risk left sided valve disease/left ventricular outflow tract obstruction, pulmonary hypertension, coronary artery disease, and high-risk aortopathy. One point is assigned for late pregnancy assessment or no prior cardiac intervention. In this cohort, 16% of women experienced an adverse cardiac outcome, primarily heart failure and arrhythmia related. The predicted risks for cardiac events stratified according to point score were as follows: ≤1 point, 5%; 2 points, 10%; 3 points, 15%; 4 points, 22%; and &gt;4 points, 41%. Prepregnancy medications should be reviewed to ensure their safety in pregnancy. Alternatives to angiotensin converting enzyme (ACE) inhibitors, angiotensin receptor blockers, direct oral anticoagulants, and endothelin receptor blockers should be considered, as these agents are teratogenic and contraindicated during pregnancy and should be discontinued. Women requiring anticoagula tion must be advised of the challenges of managing anticoagulation during pregnancy, and individualized strategies should be developed. A fetal echocardiogram between 18 and 22 weeks of gestation is advised for patients with CHD. Additionally, both men and women with CHD should be counseled regarding the risk of CHD in their offspring. </w:t>
      </w:r>
      <w:r w:rsidRPr="00F23836">
        <w:rPr>
          <w:rFonts w:ascii="Arial" w:hAnsi="Arial" w:cs="Arial"/>
        </w:rPr>
        <w:t>■</w:t>
      </w:r>
      <w:r w:rsidRPr="00F23836">
        <w:t xml:space="preserve">CONGENITAL TERMINOLOGY, DEVELOPMENT, AND GENETICS Congenital Nomenclature One of the challenges in caring for adults with CHD is the inconsistent terminology used to describe the congenital heart lesions. Several classification systems have been pro posed, from the initial descriptions by Maude Abbott, Maurice Lev, and Jesse Edwards, to the extensive characterizations by Stella and Richard Van Praagh and Robert Anderson. In this chapter, we follow a seg mental approach. The heart is composed of several segments that are Neurologic Neurocognitive dysfunction Stroke Mood disorders (anxiety, depression) Endocrine Diabetes Hypercholesterolaemia Obesity Calcium metabolism and bone density Thyroid disorders Hepatic Congestive hepatopathy Hepatic fibrosis Renal Chronic kidney disease Malignancy Long-term exposure to ionizing radiation Hepatocellular carcinoma Immune/Infection SBE Abnormal immune function Genetic Specific genetic syndromes associated with CHD Airway Congenital anomalies Small airways disease Pulmonary Gastrointestinal Malnutrition Malabsorption Haematologic Anaemia Thrombosis Coagulopathy Bleeding diathesis Restrictive lung disease Obstructive sleep apnoea Pulmonary hypertension Frailty Sarcopenia Deconditioning FIGURE 280-2 Noncardiac considerations in adults with congenital heart disease (CHD). SBE, subacute bacterial endocarditis. (Modified from J Buber et al: Common congenital heart problems in acute and intensive care. Eur Heart J Acute Cardiovasc </w:t>
      </w:r>
      <w:r w:rsidRPr="00F23836">
        <w:lastRenderedPageBreak/>
        <w:t xml:space="preserve">Care 12:267, 2023.) Congenital Heart Disease in the Adult 2069 CHAPTER 280 analyzed separately before formulating a comprehensive diagnosis. The principal segments are the atria, the ventricles, and the great arteries, which are joined together by the atrioventricular canal and the conus (infundibulum). In the normal heart, the right ventricle (RV) is right sided and organized inflow-to-outflow from right to left, while the left ventricle (LV) is left-sided and organized inflow-to-outflow from left to right. It is important to determine the segmental alignments, that is, what drains into what. For example, in the normal heart, the right atrium (RA) is aligned with the RV and the LV with the aorta. Finally, the segmental connections, the way in which adjacent segments are physically linked to each other, are described. For example, in the normal heart, the pulmonary artery (PA) is connected to the RV by a complete muscular conus (infundibulum), while the aorta is connected to the LV by aortic-mitral fibrous continuity (without a complete conus). Alignment and connection are different concepts, and both are important, especially in complex defects. Cardiac Development The heart starts to form in the third week of gestation and is nearly fully formed by 8 weeks’ gestation. Mesoder mal precardiac cells migrate to form the cardiac crescents (primary heart fields) in anterior lateral plate mesoderm, which are then brought together to form a primary linear heart tube by ventral closure of the embryo. Cells of the second heart field continue to proliferate outside the heart and are added to the heart tube over the course of embryo genesis, contributing to the atria, the RV, and outflow tract. Addition ally, cardiac neural crest cells migrate into the developing heart in the 5th–6th weeks and are essential for septation of the outflow, formation of the semilunar valves, and patterning of the aortic arches. Once formed, the heart tube grows and elongates by addition of cells from the second heart field. The ends of the heart tube are relatively fixed by the pericardial sac so that as it elongates it must loop (bend), and in the vast majority of hearts, the loop falls to the right (D-loop). Fur ther elongation pushes the mid-portion of the tube (future ventricles) inferior or caudal to the inflow, resulting in the normal relationship between the atria and ventricles. Further growth pushes the outflow medially and is associated with outflow rotation, both processes essen tial for normal alignment of the outflow. Finally, the proximal part of the outflow is incorporated in the RV, shortening the outflow in asso ciation with further rotation. While this remodeling is occurring, the outflow is undergoing septation under the influence of cardiac neural crest cells. Septation proceeds from distal to proximal, culminating in formation and muscularization of the infundibular, or muscular, outflow septum, which inserts onto the superior endocardial cushion at the rightward rim of the outflow foramen, walling the aorta into the LV via the outflow foramen and the PA directly into the RV. Genetic Considerations CHD is the most commonly occur ring birth defect; etiologic contributors are increasingly recognized, although often speculated to be multifactorial. Children born with trisomy 21 have a 50% chance of having CHD, most commonly defects in the atrioventricular canal. Conotruncal defects are associated with several chromosomal abnormalities, most notably a deletion at chro mosome </w:t>
      </w:r>
      <w:r w:rsidRPr="00F23836">
        <w:lastRenderedPageBreak/>
        <w:t xml:space="preserve">22q11 (DiGeorge syndrome). Echocardiographic clues to this association in patients with a conotruncal defect include an associated right aortic arch or aberrant subclavian artery. Many adults currently living with conotruncal defects may not have undergone testing for DiGeorge syndrome. This condition is important to recognize because a variety of psychiatric disorders and disabilities in cognitive function may be present and go untreated. Patients with Noonan syndrome commonly have a dysplastic pulmonary valve and have facial and lymphatic abnormalities. Several defects in specific genes have been associated with Noonan syndrome, most notably PTPN11. Adults with Williams syndrome (7q11.23 deletion) commonly have supravalvar aortic stenosis and diffuse arteriopathy, with a “cocktail-like” personal ity and hypercalcemia. There is a growing importance of genome-wide analyses in subjects with CHD. TABLE 280-1 Modified World Health Organization (mWHO) Classification of Heart Disease in Pregnancy  mWHO I mWHO II mWHO II–III mWHO III mWHO IV Diagnosis (if otherwise well and uncomplicated) Small or mild Pulmonary stenosis Patent ductus arteriosus Mitral valve prolapse Successfully repaired simple lesions (atrial or ventricular septal defect, patent ductus arteriosus, anomalous pulmonary venous drainage) Atrial or ventricular ectopic beats, isolated Unoperated atrial or ventricular septal defect Repaired tetralogy of Fallot Most arrythmias (supraventricular arrhythmias) Turner syndrome without aortic dilatation Mild left ventricular impairment (EF &gt;45%) Hypertrophic cardiomyopathy Native or tissue valve disease not considered WHO I or IV (mild mitral stenosis, moderate aortic stenosis) Marfan or other HTAD syndrome without aortic dilatation Aorta 45 mm in Marfan syndrome or other HTAD, &gt;50 mm in bicuspid aortic valve, Turner syndrome ASI &gt;25 mm/m2, tetralogy of Fallot &gt;50 mm) Vascular Ehlers-Danlos Severe (re)coarctation Fontan with any complication Risk No detectable increased risk of maternal mortality and no/mild increased risk in morbidity Small increased risk of maternal mortality or moderate increase in morbidity Intermediate increased risk of maternal mortality or moderate to severe increase in morbidity Significantly increased risk of maternal mortality or severe morbidity Extremely high risk of maternal mortality or severe morbidity Abbreviations: ASI, aortic size index; EF, ejection fraction; HTAD, heritable thoracic aortic disease. 2070 TABLE 280-2 Congenital Etiologies of Right Heart Dilation PART 6 Disorders of the Cardiovascular System Congenital tricuspid valve disease Tricuspid valve dysplasia with regurgitation Ebstein anomaly Congenital pulmonary valve regurgitation Pulmonary arterial hypertension Myocardial abnormalities Arrhythmogenic RV cardiomyopathy Uhl’s anomaly Shunt lesions Partial anomalous pulmonary venous return Primum ASD Secundum ASD Sinus venosus defect Coronary sinus septal defect Gerbode defect (LV-RA shunt) Coronary artery fistula to the RA, CS Postoperative residual shunts Abbreviations: ASD, atrial septal defect; CS, coronary sinum; LV, left ventricle; RA, right atrium; RV, right ventricle. </w:t>
      </w:r>
      <w:r w:rsidRPr="00F23836">
        <w:rPr>
          <w:rFonts w:ascii="Arial" w:hAnsi="Arial" w:cs="Arial"/>
        </w:rPr>
        <w:t>■</w:t>
      </w:r>
      <w:r w:rsidRPr="00F23836">
        <w:t xml:space="preserve">SPECIFIC CHD LESIONS Dilated Right Heart There are many congenital etiologies for right heart dilation (Table 280-2). These include congenital valvular anomalies (such as Ebstein anomaly or pulmonary regurgitation), intrinsic RV myocardial anomalies </w:t>
      </w:r>
      <w:r w:rsidRPr="00F23836">
        <w:lastRenderedPageBreak/>
        <w:t xml:space="preserve">(arrhythmogenic RV dysplasia, Uhl’s anomaly), or shunt lesions occurring proximal to the tricuspid valve (atrial septal defects or partial anomalous pulmonary veins). Cardiac imaging is critical in determining the etiology of right heart dilation, and knowledge of the anatomy and physiology of various shunt lesions is essential. Atrial Septal Defect One of the most common etiologies of right heart dilation is presence of an atrial septal defect (ASD; Fig. 280-3A). Intracardiac communications allow blood transmission between chambers or spaces based on relative resistance, propulsion, and flow patterns. Patients with large ASDs often present in child hood; however, many ASDs are not discovered until adult life. The physiology of an ASD is predominantly that of a “left-to-right” shunt Atrial Septal Defect Right PVs Ao PA SVC SVC IVC x ASD y RA x x+y LA x+y x x LV Left PVs (flow of pulmonary venous, or oxygenated, blood toward systemic venous, or deoxygenated, chambers or vessels). The degree of left-to right shunting determines the amount of right heart volume loading and is dictated by the size of the defect as well as the diastolic prop erties of the heart. As patients age, several factors, such as diabetes mellitus, systemic hypertension, and atherosclerosis, may contribute to decreased compliance of the left-sided cardiac chambers and contribute to increased left-to-right shunting and symptomatology. The classic physical examination finding is a wide, fixed splitting of the second heart sound, which is due to prolonged RV ejection and increased PA capacitance, which, in turn, delay pulmonary valve closure. The surface electrocardiogram (ECG) commonly displays an incomplete right bundle branch block. Symptoms, when they occur, most commonly include exercise intolerance, arrhythmia, and dyspnea with exertion. It is not uncommon for adults to have incidentally noted asymptomatic ASD during evaluation of other comorbid issues. Right heart dilation, without additional etiology for such, in the setting of unrepaired ASD is considered a risk for pro gression toward symptomatic right heart failure, atrial arrhythmias, and potential development of pulmonary arterial hypertension (if such is not already present). Therefore, a patient with an ASD and right heart dilation, particularly with symptoms attributable to such, should be offered ASD closure. Pulmonary vascular disease leading to pulmonary hypertension develops in up to 10% of patients with unrepaired ASD, and Eisenmenger syndrome (ES) is a rare complica tion (see below). Management of patients with concomitant ASD and pulmonary hypertension should be coordinated with both ACHD and pulmonary hypertension experts. Figure 280-3B illustrates the locations of various ASDs. The most common type of an ASD is a secundum ASD, which is a defect, or true deficiency in the atrial septum, in the region of the fossa ovalis. This should be differentiated from a patent foramen ovale (PFO), which is persistence of patency of the flap valve of the fossa ovalis (not associ ated with right-sided cardiac dilation) and persists in up to 25% of adults. Secundum ASDs can often be closed with occluder devices placed percutaneously. However, certain anatomic determinants make percutaneous closure less favorable, including large defects, inade quate tissue rims surrounding the defect, and concomitance of anom alous draining pulmonary veins. A primum ASD is a deficiency </w:t>
      </w:r>
      <w:r w:rsidRPr="00F23836">
        <w:lastRenderedPageBreak/>
        <w:t xml:space="preserve">of the atrioventricular (AV) canal portion of the atrial septum; primum ASD is always associated with abnormal development of the AV valves, PV ASD x RA LA x+y x+y x+y y x+y RV IVC x RV LV x x+y x PA Ao ASD 1° Sinus venosus defect ASD 2° B A FIGURE 280-3 A. Atrial septal defect. In the presence of an atrial septal defect, the difference in compliance between the (RA + RV) as compared to the (LA + LV), combined with the size of the defect itself, allows for a “shunt” of flow (“y”) of “red” (oxygenated) blood from the left side of the heart to the right side (deoxygenated). Systemic venous return of pure deoxygenated blood (“x”) is increased by the oxygenated shunted blood (“y”) to increase volume of blood (“x + y”) in the RA, RV, and total blood flow to the lungs. If the volume or the sequelae of the shunted blood are sufficient, RA and RV can dilate (hashed lines), and arrhythmias or shortness of breath (and occasionally pulmonary hypertension) can ensue. Ao, aorta; ASD, atrial septal defect; IVC, inferior vena cava; LA, left atrium; LV, left ventricle; PA, pulmonary artery; PV, pulmonary veins; RA, right atrium; RV, right ventricle; SVC, superior vena cava. B. Diagrammatic representation of the location of various atrial septal defects. ASD 1, primum atrial septal defect; ASD 2, secundum atrial septal defect. (Part B used with permission from Emily Flynn McIntosh, illustrator.) 2071 Partial Anomalous Pulmonary Venous Return CHAPTER 280 Congenital Heart Disease in the Adult PV x APV y x+y x x RA LA x+y SVC RV LV x x+y x IVC Left PVs LA x PA x+y x PA Ao LV RV x+y Ao x APV y x+y SVC RA x+y Right PVs most commonly resulting in a cleft in the mitral valve. A coronary sinus defect is rare and involves an opening between the coronary sinus and the left atrium. A sinus venosus defect is not a defect in the atrial septum but, rather, a defect between either the right superior vena caval–atrial junc tion and the right upper pulmonary vein(s) or, less commonly, the inferior vena caval–atrial junction and the right lower pulmonary veins. Surgical closure is required for primum ASDs, sinus venosus defects, and coronary sinus septal defects. Partial Anomalous Pulmonary Venous IVC FIGURE 280-4 Partial anomalous pulmonary venous return. In the presence of an anomalously draining pulmonary vein (typically to a systemic vein such as the left innominate vein, SVC, or rarely IVC), an obligate “shunt” of flow (“y”) of “red” (oxygenated) blood from the affected pulmonary vein to the right heart (deoxygenated) ensues. Systemic venous return of pure deoxygenated blood (“x”) is increased by the oxygenated shunted blood (“y”) to increase volume of blood (“x + y”) in the SVC, RA, RV, and total blood flow to the lungs. If the volume or the sequelae of the shunted blood are sufficient, RA and RV can dilate (hashed lines), or shortness of breath can ensue. Ao, aorta; APV, anomalous pulmonary vein; IVC, inferior vena cava; LA, left atrium; LV, left ventricle; PA, pulmonary arteries; PV, pulmonary veins; RA, right atrium; RV, right ventricle; SVC, superior vena cava. Return Partial anomalous pulmonary venous return (PAPVR) is occasionally discovered in adults with right heart dilation or incidentally on cross-sectional imaging (Fig. 280-4). There are several possible anomalous connections, with the most common being a left upper pulmonary vein to an ascending vertical vein into the innominate vein or the right upper pulmonary vein draining to the superior vena cava. In the latter case, care ful attention should be paid to </w:t>
      </w:r>
      <w:r w:rsidRPr="00F23836">
        <w:lastRenderedPageBreak/>
        <w:t xml:space="preserve">ensure that there is not an associated sinus venosus defect. Con comitant pulmonary hypertension can occur but is uncommon. Symptomatology may be absent, and a decision to repair isolated PAPVR should include variance in anatomy, lung ventilation and perfusion, hemodynamic response to shunt, symptoms, and surgical experience. Shunt Lesions Causing Left Heart Dilation Intracardiac shunts or intravascu lar passages that occur below the level of the tricuspid valve result in left heart dilation. The two major types of congenital shunts that result in left heart dilation are a ventricular septal defect (VSD; Fig. 280-6A) and patent ductus arteriosus (PDA; Fig. 280-7). PV x Ao LV x+z x+z displacement of the dilated tricuspid valve annulus, dilation of the “atrialized” portion of the RV, and fenestrations, redundancy, and tethering typically of the anterior leaflet of the tricuspid valve. The malformed tricuspid valve is usually regurgitant but may occasionally be stenotic. The clinical presentation of Ebstein anomaly in the adult depends on several factors, including the extent of tricuspid valve leaflet distortion, degree of tricuspid regurgitation (TR), right atrial pressure, and presence of an atrial level shunt. The physical examination of a patient with Ebstein anomaly may vary depending on the severity of disease. In more severe cases, the first heart sound may be split and the second component of the first heart sound may have a distinctive snapping quality (known as the sail sign, due to the redundancy of the anterior tricuspid valve leaflet). Patients with significant TR may have prominent “v” waves of the jugular venous pulsations; however, this find ing is often absent due to abnormal right atrial compliance. The ECG is often abnormal, with right atrial and ventricular enlargement. Up to 20% of patients have evidence of ventricular pre excitation (Wolff-Parkinson-White pattern). Sur gical treatment includes a tricuspid valve repair or replacement, closure of any atrial level defects, and arrhythmia ablative procedures. z PFO x RA LA x+y x+z y x+y x PA * SVC IVC RV Ebstein Anomaly Ebstein anomaly (Fig. 280-5) is the result of embryologic failure of delamination, or “peeling away,” of the tricuspid valve leaflets from the ventricular myocardium, resulting in adher ence of the valve leaflets to the underlying myocardium. This results in a wide variety of abnormalities, including apical and posterior Left PVs Ebstein Malformation PA LA Ao x+z x x+z LV x+z RV x+y SVC z x y RA Right PVs PFO x+y IVC Ventricular Septal Defects VSDs are the most common congenital anomaly recognized at FIGURE 280-5 Ebstein malformation. In the presence of Ebstein anomaly, the tricuspid valve leaflets can be redundant, fenestrated, and sail-like (typically seen in the anterior leaflet*) or adherent to the underlying myocardium with apical displacement of the nonadherent components (typically the septal and posterior leaflets). Location and degree of leaflet coaptation are variable and account for varying degrees of tricuspid regurgitation, shift of the functional tricuspid valve anterior from the anatomic annulus into the right ventricle, “atrialization” of the right ventricle, and most commonly angulation of the tricuspid valve into the RV outflow tract. RA and RV dilation (hashed lines) can occur due to the effects of combined volume from systemic venous return (“x”) and tricuspid regurgitant flow (“y”). PFO is frequent; worsening compliance and elevation of pressure </w:t>
      </w:r>
      <w:r w:rsidRPr="00F23836">
        <w:lastRenderedPageBreak/>
        <w:t xml:space="preserve">in the RA as compared to the LA can lead to increasing “right-to-left” (deoxygenated to oxygenated) shunt and cyanosis. RV myocardial function may be abnormal. Ao, aorta; IVC, inferior vena cava; LA, left atrium; LV, left ventricle; PA, pulmonary arteries; PFO, patent foramen ovale; PV, pulmonary veins; RA, right atrium; RV, right ventricle; SVC, superior vena cava; *, anterior tricuspid valve leaflet. 2072 Ventricular Septal Defect PART 6 Disorders of the Cardiovascular System Right PVs Ao SVC x PA x x+y LA x+y RA x IVC A x y RV PV SVC IVC Left PVs x+y LV x x+y RA LA x x+y RV LV x x+y y VSD x+y x PA Ao Subpulmonary Membranous AV canal type B Muscular FIGURE 280-6 A. Ventricular septal defect. In the presence of a ventricular septal defect, the difference in pressure and outflow resistance in systole (and the difference in compliance in diastole) between the RV and LV, combined with the size of the defect itself, allow for a “shunt” of flow (“y”) of “red” (oxygenated) blood from the left side of the heart to the right side (deoxygenated). Systemic venous return of pure deoxygenated blood (“x”) is increased by the oxygenated shunted blood (“y”) to increase volume of blood (“x + y”) through the outflow of the RV into the lungs, and in the left atrium and left ventricle. If the volume or the sequelae of the shunted blood are sufficient, LA and LV can dilate (hashed lines), and arrhythmias or shortness of breath (and occasionally pulmonary hypertension) can ensue. Ao, aorta; IVC, inferior vena cava; LA, left atrium; LV, left ventricle; PA, pulmonary arteries; PV, pulmonary veins; RA, right atrium; RV, right ventricle; SVC, superior vena cava; VSD, ventricular septal defect. B. Diagrammatic representation of the location of various ventricular septal defects. AV, atrioventricular. (Part B used with permission from Emily Flynn McIntosh, illustrator.) birth; however, they account for only ~10% of CHD in the adult, due to the high rate of spontaneous closure of small VSDs during the early years of life. Large VSDs usually cause symptoms of heart failure and poor somatic growth and are most often surgically closed before adult hood. Several classification systems for VSDs exist. Figure 280-6B illustrates various locations of VSDs; the most common location is in the membranous septum (also referred to as perimembranous or outlet defects). Muscular defects that persist into adult life are often pressure and flow restricted, resulting in no significant hemodynamic conse quence. AV canal defects, also referred to as inlet defects, are located in the crux of the heart and are associated with abnormalities of the AV valve leaflets. Subpulmonary defects, also known as conal septal defects, are commonly associated with prolapse of the right coronary Patent Ductus Arteriosus cusp and aortic insufficiency. The outcome for adults with small VSDs without evidence of ventricular dilation or pulmonary hypertension is generally excellent. Patent Ductus Arteriosus A PDA courses between the aortic isthmus and the origin of one of the branch PAs. Small PDAs are often silent to auscultation and do not cause hemodynamic changes. The classic murmur is heard best just below the left clavicle and typically extends from systole past the second heart sound into diastole, reflect ing flow turbulence and gradient between the aorta and the PAs (result ing in left-to-right shunting). Large PDAs will lead to left heart dilation and may lead to chronically elevated pulmonary vascular resistance, including the potential for ES. PV SVC PDA </w:t>
      </w:r>
      <w:r w:rsidRPr="00F23836">
        <w:lastRenderedPageBreak/>
        <w:t xml:space="preserve">Right PVs y SVC x Ao x PA LA RA x+y x IVC x+y x LV RV IVC Left PVs x x+y RA LA x x+y RV LV x x+y x x+y y x+y PDA x PA Ao FIGURE 280-7 Patent ductus arteriosus. In the presence of a patent ductus arteriosus, the difference in pressure and resistance in both systole and diastole between the pulmonary arteries and the aorta, combined with the size of the ductus itself, allow for a “shunt” of flow (“y”) of “red” (oxygenated) blood from the aorta to the pulmonary arteries (deoxygenated). Systemic venous return of pure deoxygenated blood (“x”) is increased by the oxygenated shunted blood (“y”) to increase volume of blood (“x + y”) in the lungs, the left atrium, the left ventricle, and out the aortic valve. If the volume or the sequelae of the shunted blood are sufficient, LA and LV can dilate (hashed lines), and arrhythmias or shortness of breath (and occasionally pulmonary hypertension) can ensue. Ao, aorta; IVC, inferior vena cava; LA, left atrium; LV, left ventricle; PA, pulmonary arteries; PDA, patent ductus arteriosus; PV, pulmonary veins; RA, right atrium; RV, right ventricle; SVC, superior vena cava. Congenital Heart Disease in the Adult 2073 CHAPTER 280 </w:t>
      </w:r>
      <w:r w:rsidRPr="00F23836">
        <w:rPr>
          <w:rFonts w:ascii="Arial" w:hAnsi="Arial" w:cs="Arial"/>
        </w:rPr>
        <w:t>■</w:t>
      </w:r>
      <w:r w:rsidRPr="00F23836">
        <w:t xml:space="preserve">MODERATE AND COMPLEX CHD Tetralogy of Fallot Tetralogy of Fallot (TOF) is the most common form of cyanotic CHD, occurring in 0.5 per 1000 live births. It involves anterior deviation of the conal septum, resulting in RV outflow tract (RVOT) obstruction, a VSD, RV hypertrophy, and an overriding aorta (Fig. 280-8A, B). There is a large spectrum of severity of disease in TOF, from patients who have only mild pulmonary stenosis to those with complete pulmonary atresia (TOF/PA). Current surgical strategies involve primary repair in infancy (Fig. 280-8C); however, many adults may have first undergone palliative procedures (Blalock-Taussig, Potts, Waterston shunts) prior to a complete repair. The goal of surgical repair is to alleviate the pulmonary stenosis and close the VSD. Up to 10% of patients with TOF have an anomalous coronary artery, most com monly, an anomalous left anterior descending coronary artery from the right coronary cusp. Patients with an anomalous coronary as well as those with TOF/PA may require an RV-to-PA conduit. Adults with repaired TOF often have hemodynamic sequelae that may require reintervention in adulthood (Table 280-3). Pulmonary A IVC RVH SVC PA Ao RV LV RA LA PV x x-y x-y x x x-y x x-y VSD SVC IVC Tetralogy of Fallot (unrepaired) PA Ao LA Left PVs x x x-y x-y x-y x-y x y y LV RV RA x Right PVs * # # * VSD 1 B Conal Anatomy * 1 SVC IVC Tetralogy of Fallot (repaired) PA Ao LA Left PVs Right PVs x x+y y x x x+y LV RV RA x x x VSD patch VSD patch IVC SVC PA Ao RV LV RA LA PV x+y x x x x+y x+y x x C x FIGURE 280-8 A. Tetralogy of Fallot involves anterior and superior malalignment of a bar of tissue (conal septum) (see *in part B, which presents a cut-away view through the anterior surface of the RV, into the RV outflow), partially obstructing the right ventricular outflow (under the pulmonary valve, i.e., “subpulmonary stenosis”; labeled as 1), and leaving a gap in the interventricular septum (VSD). The pulmonary valve annulus is typically hypoplastic. Outflow obstruction prevents regression of right ventricular hypertrophy (#), which was present in utero. The difference in pressure and outflow resistance in systole (and the difference in compliance in diastole) between the obstructed RV and the LV allows for a “shunt” of flow (“y”) of “blue” (deoxygenated) blood from the right side of the heart to </w:t>
      </w:r>
      <w:r w:rsidRPr="00F23836">
        <w:lastRenderedPageBreak/>
        <w:t xml:space="preserve">the left side (oxygenated). Systemic venous return of pure deoxygenated blood (“x”) is decreased by the shunted blood (“y”), leading to a total decrease in the volume of blood (“x – y”) passing beyond into the lungs. The deoxygenated shunted blood (“y”) mixes with fully oxygenated blood in the LV, contributing to systemic arterial cyanosis. C. Tetralogy of Fallot—repaired. After modern repair of tetralogy of Fallot, VSD has been patched closed, and outflow tract obstruction has been surgically removed, frequently at the expense of a patch enlarging the pulmonary valve annulus at the expense of sacrificing the integrity of the pulmonary valve (causing pulmonary regurgitation). The pulmonary regurgitant volume (“y”) is added to systemic venous return (“x”), contributing to RV chamber enlargement (hashed lines) and may be associated with tricuspid annular dilation and valve regurgitation, resulting in RA enlargement. Ao, aorta; IVC, inferior vena cava; LA, left atrium; LV, left ventricle; PA, pulmonary arteries; PV, pulmonary veins; RA, right atrium; RV, right ventricle; RVH, right ventricular hypertrophy; SVC, superior vena cava; VSD, ventricular septal defect. 2074 TABLE 280-3 Potential Sequelae of Repaired Tetralogy of Fallot PART 6 Disorders of the Cardiovascular System Right atrial dilation Right ventricular dilation Right ventricular dysfunction Right ventricular outflow tract obstruction Pulmonary regurgitation Branch pulmonary artery stenosis Tricuspid regurgitation Residual ventricular septal defect Left ventricular dysfunction Aortic root dilation Atrial arrhythmias Ventricular arrhythmias Sudden cardiac death regurgitation is common following TOF repair and is usually associ ated with RV dilation. Accurate quantification of RV size, function, and mass is particularly important in adults after repair of TOF, as RV dilation, dysfunction, and hypertrophy are associated with adverse out comes in these patients. Patients may also have residual RVOT obstruc tion, which may occur beneath the pulmonary valve, at the valve level, above the valve, or in the branch PAs. Cardiac magnetic resonance imaging is routinely used in the surveillance of these patients. Left ven tricular dysfunction is present in at least 20% of adults with repaired TOF, particularly those who were repaired later in life, had prior pal liative shunts, or have concomitant RV dysfunction. As patients age with repaired TOF, both atrial and ventricular arrhythmias occur with increasing frequency. A QRS duration on a Right PVs D-loop Transposition SVC Ao PA resting ECG of 180 ms or more has been associated with increased risk of ventricular tachycardia and sudden death in this patient popula tion. In one prospective follow-up study of 144 adults with repaired TOF, there was a 72% survival at 40 years, but only a 25% cumula tive event-free survival. These events include need for reintervention (most commonly pulmonary valve replacement [PVR]), symptomatic arrhythmias, and heart failure. The most common reintervention in a repaired TOF patient is a PVR. However, optimal timing of PVR in asymptomatic patients with repaired TOF remains unclear. Traditionally, PVR has been accomplished with a surgical procedure; however, percutaneous implantation of pulmonary valves is becoming increasingly utilized in clinical practice. Patients with repaired TOF may also undergo interventions includ ing closure of residual VSDs, dilation and/or stenting of the RVOT or branch PAs, and tricuspid valve repair. Patients </w:t>
      </w:r>
      <w:r w:rsidRPr="00F23836">
        <w:lastRenderedPageBreak/>
        <w:t xml:space="preserve">with clinically signifi cant arrhythmias may benefit from catheter ablation. Transposition of the Great Arteries Transposition of the great arteries (TGA) is defined by the great arteries arising from the opposite side of the ventricular septum than normal; as such, the aorta arises from the RV and the PA from the LV. The more common form of TGA, known as D-loop TGA, involves AV concordance and ventricular arterial discordance, resulting in a physiology that allows two circuits to be in parallel rather than in series (Fig. 280-9A) and intense cyano sis shortly after birth. This physiology is not compatible with long-term survival without surgical intervention. Patients with TGA may be born with additional congenital defects (most commonly a VSD). The surgical repairs for D-loop TGA have evolved over time. In the late 1950s through the 1970s, the atrial switch procedure (Mustard, Senning procedures) was performed (Fig. 280-9B). These atrial switch PV SVC IVC LA Left PVs ASD RA LA RV LV RA IVC A RV LV Ao PA FIGURE 280-9 A. Transposition of the great arteries. When the great arteries are transposed, the aorta arises from the RV, and the pulmonary artery arises from the LV, leaving deoxygenated blood circulating from systemic veins to systemic arteries in separated fashion from oxygenated blood, which circulates from pulmonary veins to pulmonary arteries. Without interchamber or intravascular communications, this circulation is incompatible with life. Presence of an atrial septal defect (ASD), depicted here, ventricular septal defect (VSD), or patent ductus arteriosus (PDA) allows for some interchamber or intravascular mixing and, at best, partial relief of cyanosis and sustenance of life, at the expense of increased pulmonary blood flow. B. Atrial switch. Atrial level switch procedures (Mustard and Senning) were the first standardized surgeries to alter the natural course of complex congenital heart disease, utilizing intracardiac rerouting via a “baffle” to redirect blood flow. The atrial switch simulates inverted trousers, with each “pants leg” (*) attaching to either the SVC or the IVC, transporting deoxygenated blood through the interior of the trousers to the “waist of the trousers” and directing blood through the mitral valve to the LV and out the PA. Surgical removal of the atrial septum allows pulmonary venous return to traverse from posterior left atrium through the space between the pants legs of the baffle, through the tricuspid valve to the RV (serving as the “systemic ventricle,” i.e., that pumps to the systemic arterial circulation), through the aorta. Non-infrequent sequelae include sinus node dysfunction, atrial arrhythmias, systolic dysfunction of the RV, tricuspid regurgitation (from RV to LA), leaks in the baffle material allowing shunting of blood, and obstruction of the systemic or pulmonary venous baffles. C. Arterial switch. The arterial switch operation allowed both anatomic and physiologic correction for D-loop transposition of the great arteries. Successful surgical switching of the PA and the Ao above the level of the native roots (hashed lines) necessitated ability to transfer coronary artery origins contained within a button of tissue (*) back to the neo-aorta (now supported by the LV). Deoxygenated blood flow from SVC and IVC passes from RA to RV to PA, and oxygenated blood passes from PV to LA to LV to Ao. Uncommon sequelae include obstruction at any of the surgical sites (supravalvar PA or Ao stenosis, coronary orifice </w:t>
      </w:r>
      <w:r w:rsidRPr="00F23836">
        <w:lastRenderedPageBreak/>
        <w:t xml:space="preserve">obstruction) or more distal obstructions due to tension placed on the PA, Ao, or coronary arteries. Ao, aorta; IVC, inferior vena cava; LA, left atrium; LV, left ventricle; PA, pulmonary arteries; PV, pulmonary veins; RA, right atrium; RV, right ventricle; SVC, superior vena cava. 2075 PV CHAPTER 280 Congenital Heart Disease in the Adult LA RV LV PA Ao SVC IVC Left PVs LA PA Atrial Switch Ao LV RV SVC Right PVs RA IVC B PV SVC IVC Arterial Switch RASTELLI PROCEDURE neo Ao LA RA LV RV Left PVs oo * neo PA ARTERIAL SWITCH TABLE 280-4 Long-Term Sequelae of D-Loop TGA Surgery The less common form of TGA, known as L-loop TGA (physiologi cally corrected or “congenitally corrected” TGA; Fig. 280-10), may not require surgical intervention but is presented here in relation to other forms of TGA. L-loop TGA involves both AV discordance (RA allow ing passage of deoxygenated systemic venous return to the LV, and ATRIAL SWITCH Subaortic stenosis Arterial anastomosis stenosis Systemic venous baffle RV-PA conduit obstruction Pulmonary venous baffle Branch PA stenosis Pulmonary regurgitation RV (systemic) dysfunction Neo-aortic root dilation Neo-aortic regurgitation Ventricular dysfunction Tricuspid regurgitation Coronary artery stenosis  Baffle leaks LV dysfunction  LVOT obstruction (PS) LV LA neo PA neo Ao SVC oo * RV RA IVC Right PVs C FIGURE 280-9 (Continued) procedures relieved the cyanosis but left the patient with a systemic RV. Despite moderate-term survival over decades, there are multiple long term sequelae that may present following the atrial switch procedure. The most worrisome complication is that of systemic RV dysfunc tion. The prevalence of RV dysfunction in this population is not well defined. Limited study has failed to reveal medical therapies effective for systemic RV dysfunction. Abbreviations: LV, left ventricle; LVOT, left ventricular outflow tract; PA, pulmonary artery; PS, pulmonary stenosis; RV, right ventricle; TGA, transposition of the great arteries. A subset of patients with D-loop TGA, VSD, and PS may have undergone a Rastelli procedure. This intervention involves placing an RV-to-PA conduit and routing the LV to the aorta through the VSD, which results in relief of cyanosis and the benefit of a systemic LV. In the 1980s, the arterial switch operation (ASO; Fig. 280-9C) became the surgical procedure of choice for D-loop TGA. This pro cedure involves transecting the great arteries above the sinuses and placing the PAs anteriorly to come into alignment with the RV, result ing in draping of the branch PAs over the ascending aorta. A coronary artery translocation is performed. The ASO has resulted in substantial long-term survival. The potential long-term sequelae of the various surgical procedures for D-loop TGA are listed in Table 280-4. 2076 PV Congenitally (L-loop transposition) Corrected TGA PART 6 Disorders of the Cardiovascular System Right PVs PA Ao SVC RA LA Left PVs RV LV IVC SVC IVC RA LA LV RV PA Ao FIGURE 280-10 Congenitally corrected transposition of the great arteries. Physiologically corrected transposition of the great arteries (also known as congenitally corrected transposition of the great arteries) is characterized by atrioventricular discordance and ventriculoarterial discordance. Systemic venous blood passes from the right atrium (RA) through the mitral valve into the morphologic left ventricle (LV) to the pulmonary artery (PA). Oxygenated blood then returns to the lungs to the left atrium </w:t>
      </w:r>
      <w:r w:rsidRPr="00F23836">
        <w:lastRenderedPageBreak/>
        <w:t xml:space="preserve">(LA) through the tricuspid valve into the morphologic right ventricle (RV) and then out the aorta (Ao). IVC, inferior vena cava; PV, pulmonary veins; SVC, superior vena cava. conversely, the left atrium conducting oxygenated pulmonary venous blood to the RV) as well as ventriculoarterial discordance (connections of LV to PA, RV to aorta). This results in normal arterial oxygen satu ration, yet an RV associated with the aorta. Patients with L-loop TGA commonly have associated congenital anomalies, including dextrocar dia, ASDs, a dysplastic tricuspid valve, and pulmonary stenosis. Con duction disturbances are common, and complete heart block occurs in up to 30% of patients. Those patients without associated defects may not present until later in life, most commonly with heart failure, TR, or newly recognized conduction disease. Coarctation of the Aorta Adults with coarctation of the aorta (Fig. 280-11) typically have a shelf-like obstruction at the level of the descending aorta that passes just posterior to the junction of the main and left PA; obstruction less commonly involves the transverse aortic arch. On physical examination, the lower extremity blood pres sure and pulses are lower than (and delayed in timing, in contrast to) the upper extremity values, unless significant aortic collaterals have developed. A continuous murmur over the scapula may be present due to the collateral blood flow. Significant coarctation increases afterload to all proximal structures in the path of oxygenated blood, from LV and coronary arteries to ascending and transverse aorta, to cerebral and arm vessels and proximal descending aorta. Bicuspid aortic valve (typically with right-left commissural fusion) is a common association. In women with short stature, webbed neck, lymphedema, and primary amenorrhea, a concomitant diagnosis of Turner syndrome should be considered, the presence of which indicates greater degree of, and risks from, sequelae from seemingly similar anatomy and physiology. Patients who have undergone surgical repair in general have a good prognosis; however, they remain at risk for systemic hypertension, premature atherosclerosis, LV failure, and aortic aneurysm, dissection, and recurrent coarctation. 1971, multiple modifications of this procedure have occurred, with common features of near complete separation of the pulmonary and systemic circulations. The Fontan procedure utilizes the single ventri cle to pump pulmonary venous (oxygenated) blood through the aorta to the body and allows for “passive” flow of systemic venous return of deoxygenated blood through surgically created connections to the lungs. Patients who have undergone a Fontan procedure are at risk for multiple comorbidities in adulthood, including atrial arrhythmias, heart failure, renal and hepatic dysfunction, and both venous and arte rial thrombosis and embolism. Coarctation of the Aorta: Sequelae/Associations 6 3 PA * 2 Ao LA RA 5 1 LV Single Ventricle The term single ventricle heart disease is impre cise but useful in some settings, as it refers to congenital heart condi tions in which one ventricle or its valves preclude surgical creation of a biventricular circulation. Common congenital diagnoses in this category include tricuspid atresia, double inlet LV, and hypoplastic left heart syndrome. Most patients with single ventricle physiology undergo a series of surgeries culminating in a Fontan procedure (Fig. 280-12A, B). Since its initial use for tricuspid </w:t>
      </w:r>
      <w:r w:rsidRPr="00F23836">
        <w:lastRenderedPageBreak/>
        <w:t xml:space="preserve">valve atresia in RV 4 FIGURE 280-11 Aortic coarctation (*). Bicuspid aortic valve (1) is most common concomitant lesion. Sequelae from aortic coarctation (unrepaired or repaired) include systemic arterial hypertension, ascending (2) or descending (3) aortic enlargement or aneurysm formation, left ventricular (LV) hypertrophy (4), LV diastolic and systolic heart failure, accelerated coronary (5) or cerebral (6) atherosclerosis, cerebral aneurysm formation, and recurrence of coarctation after repair. Ao, aorta; PA, pulmonary arteries. 2077 PV CHAPTER 280 Congenital Heart Disease in the Adult LA LV PA Ao SVC Extracardiac conduit IVC * RA * Fontan PA LV LA Ao RV RA SVC IVC Atriopulmonary Fontan Extracardiac Fontan Classic Fontan Lateral tunnel Fontan * A B FIGURE 280-12 A. Fontan surgery creates a unique circulation in which deoxygenated blood is directed to the PAs from the SVC and IVC in a fashion that bypasses any pumping chamber. The SVC and IVC are connected (*) via either an internal “tunnel” or an extracardiac conduit that guides flow to the PA. Pulmonary venous (oxygenated) return courses from PV to LA to LV to aorta. In contrast to physiology in normal adults (where pressure is generated by an RV to propel blood flow from a lower pressure RA to a higher pressure LA), in Fontan circulation, by definition, due to the absence of a pumping chamber to the PA, RA pressure is greater than LA pressure, permitting flow through the lungs. Ao, aorta; IVC, inferior vena cava; LA, left atrium; LV, left ventricle; PA, pulmonary arteries; PV, pulmonary veins; SVC, superior vena cava; *, Fontan baffle. B. Diagrammatic representation of the location of various types of Fontan operations. (Part B used with permission from Emily Flynn McIntosh, illustrator.) 2078 </w:t>
      </w:r>
      <w:r w:rsidRPr="00F23836">
        <w:rPr>
          <w:rFonts w:ascii="Arial" w:hAnsi="Arial" w:cs="Arial"/>
        </w:rPr>
        <w:t>■</w:t>
      </w:r>
      <w:r w:rsidRPr="00F23836">
        <w:t xml:space="preserve">UNREPAIRED CYANOTIC CHD PART 6 Disorders of the Cardiovascular System failure of one stage or another, all over a lifetime. It appears incumbent on the ACHD specialist and ACHD specialty care centers to serve as a hub for partnering practitioners, encouraging engagement to the level of highest competencies, and providing education, oversight, and sup port, so as to achieve optimal outcomes. </w:t>
      </w:r>
      <w:r w:rsidRPr="00F23836">
        <w:rPr>
          <w:rFonts w:ascii="Arial" w:hAnsi="Arial" w:cs="Arial"/>
        </w:rPr>
        <w:t>■</w:t>
      </w:r>
      <w:r w:rsidRPr="00F23836">
        <w:t xml:space="preserve">FURTHER READING Gilboa SM et al: Congenital heart defects in the United States: Esti mating the magnitude of the affected population in 2010. Circulation 134:101, 2016. Eisenmenger Syndrome ES is felt to be the consequence of a long-standing high-volume or pressurized left-to-right shunt in which excessive blood flow to the pulmonary vasculature leads to severely increased pulmonary vascular resistance that eventually results in reversal of the shunt, creating bidirectional or right-to-left flow. ES is a multiple-organ condition and may occur with any CHD with an initial left-to-right shunt. The natural history of ES is variable, and although there is significant morbidity, in general, adults with ES appear to survive longer than those with other forms of pulmonary arterial hypertension. Medical care recommendations have included sustain ing adequate hydration, avoiding, and treating anemia including iron supplementation when appropriate, and anticoagulation (although this remains controversial due to predisposition to bleeding and occur rence of clinical hemoptysis, which has frequently been associated with pulmonary vascular thrombosis). Elevation of hematocrit above that considered appropriate for the degree of cyanosis can be managed in symptomatic patients by hydration alone or, on </w:t>
      </w:r>
      <w:r w:rsidRPr="00F23836">
        <w:lastRenderedPageBreak/>
        <w:t xml:space="preserve">occasion, by perform ing phlebotomy with isovolumic replenishment. Routine phlebotomy in the asymptomatic adult with ES is contraindicated. Appropriate optimization of iron stores has been demonstrated to improve qual ity of life and functional performance in iron-deficient adults with ES. Contraception for women with ES who are of childbearing age is strongly recommended, avoiding use of estrogen, which may be throm bogenic. Pregnancy is contraindicated in these women due to the high risk of maternal mortality. Selective pulmonary vasodilators, such as bosentan or sildenafil, are efficacious in ES. Select patients may be candidates for combined heart–lung transplantation or preferably lung transplantation with concomitant repair of the intracardiac defect, if feasible. The Role of Palliative Care in ACHD In aggregate, adults with CHD demonstrate both quality-of-life–limiting comorbidities and premature mortality far in excess of age-matched controls. The reported prevalence of pain, anxiety, depression, dyspnea, and fatigue appears similar to that reported for adults who are decades older and engaged in palliative care for acquired cardiovascular disease at end of life (EOL). Similarly, at EOL with ACHD, frequencies of hospital ization, intensive care admission, 30-day readmission, and increased length of hospital stay appear greater (despite younger age) than for adults with cancer. In a retrospective study of ACHD patients who died during a hospital admission, only a minority had engaged in EOL discussions with their providers. Surveys of both adults with CHD and their providers suggest that the overwhelming majority of patients wish to participate in advanced care planning and discussion of palliative care; this contrasts with statements from ACHD care providers noting their uncertainties regarding EOL prognostication and concerns over discussion about EOL. Palliative care specialists who are embedded within or aligned with ACHD care teams can play an important and iterative role in defining and addressing alignment of patient and clini cian goals within the boundaries of frequently complex care decisions over the adult life span. Global Considerations As survival patterns improve for all medically complex patients, the internist and general practitioner are faced with particular challenges and dilemmas; foremost is accrual of sufficient knowledge and competency so as to be able both to engage in patient care provision as well as to seek greater expertise, guidance, and support, when such is appropriate. Across the globe, lifelong care for adults with CHD typifies this growing demand. Care for adults with CHD within medical care centers that contain an ACHD specialty care program has been associated with improved overall survival. However, current analyses suggest that the majority of adults with CHD seek and receive their medical care outside of such ACHD specialty care centers and within the hands of the general practitioner, internist, and cardiologist. Under a surface of adaptability and determination, adults with CHD present a wide spectrum of cognitive and functional perfor mance, multiple organ system comorbidities, abnormalities of systemic and pulmonary vasculature, and a near universal presence of heart Gurvitz M et al: Emerging research directions in adult congenital heart disease: A report from an NHLBI/ACHA Working Group. J Am Coll Cardiol 67:1956, 2016. Holzer R et al: </w:t>
      </w:r>
      <w:r w:rsidRPr="00F23836">
        <w:lastRenderedPageBreak/>
        <w:t xml:space="preserve">PICS/AEPC/APPCS/CSANZ/SCAI/SOLACI: Expert consensus statement on cardiac catheterization for pediatric patients and adults with congenital heart disease. JACC Cardiovasc Interv 17:115, 2024. Regitz-Zagrosek V et al: 2018 ESC guidelines for the management of cardiovascular diseases during pregnancy. Eur Heart J 39:3165, 2018. Sachdeva R et al: ACC/AHA/ASE/HRS/ISACHD/SCAI/SCCT/ SCMR/SOPE 2020 Appropriate Use Criteria for non-invasive mul timodality imaging during the follow-up care of patients with con genital heart disease: A report of the American College of Cardiology Solution Set Oversight Committee and Appropriate Use Criteria Task Force, American Heart Association, American Society of Echo cardiography, Heart Rhythm Society, International Society for Adult Congenital Heart Disease, Society for Cardiovascular Angiography and Interventions, Society of Cardiovascular Computed Tomogra phy, Society for Cardiovascular Magnetic Resonance, and Society of Pediatric Echocardiography. J Am Coll Cardiol 75:657, 2020. Silversides CK et al: Pregnancy outcomes in women with heart dis ease: The CARPREG II Study. J Am Coll Cardiol 71:2419, 2018. Stout KK et al: 2018 AHA/ACC guidelines for the management of adults with congenital heart disease: A report of the American Col lege of Cardiology/American Heart Association Task Force on Clini cal Practice Guidelines. Circulation 139:e698, 2019. 281 Pericardial Disease Joseph Loscalzo </w:t>
      </w:r>
      <w:r w:rsidRPr="00F23836">
        <w:rPr>
          <w:rFonts w:ascii="Arial" w:hAnsi="Arial" w:cs="Arial"/>
        </w:rPr>
        <w:t>■</w:t>
      </w:r>
      <w:r w:rsidRPr="00F23836">
        <w:t>NORMAL FUNCTIONS OF THE PERICARDIUM The normal pericardium is a double-layered sac of the visceral pericar dium and parietal pericardium. The visceral pericardium is a serous membrane that is separated from the fibrous parietal pericardium by a small quantity (15</w:t>
      </w:r>
      <w:r w:rsidRPr="00F23836">
        <w:rPr>
          <w:rFonts w:ascii="Aptos" w:hAnsi="Aptos" w:cs="Aptos"/>
        </w:rPr>
        <w:t>–</w:t>
      </w:r>
      <w:r w:rsidRPr="00F23836">
        <w:t xml:space="preserve">50 mL) of fluid, an ultrafiltrate of plasma. The nor mal pericardium, by exerting a restraining force, prevents sudden dila tion of the cardiac chambers, especially the right atrium and ventricle, e.g., during exercise. It also restricts the anatomic position of the heart and likely retards the spread of infections from the lungs and pleural cavities to the heart. Nevertheless, total absence of the pericardium, either congenital or after surgery, does not produce obvious clinical disease. In partial left pericardial defects, the main pulmonary artery and left atrium may bulge through the defect; very rarely, herniation and subsequent strangulation of the left atrium may cause sudden death. ACUTE PERICARDITIS Acute pericarditis, by far the most common pathologic process involving the pericardium (Table 281-1), has four principal diagnostic features: 1. Chest pain is usually present in acute infectious pericarditis and in many of the forms presumed to be related to hypersensitivity, TABLE 281-1 Classification of Pericarditis 2079 Clinical Classification I. Acute pericarditis (6 months) A. Constrictive B. Adhesive (nonconstrictive) Etiologic Classification I. Infectious pericarditis A. Viral (coxsackievirus A and B, echovirus, herpesviruses, mumps, adenovirus, hepatitis, HIV, post-acute COVID, mpox) B. Pyogenic (pneumococcus, Streptococcus, Staphylococcus, Neisseria, Legionella, Chlamydia) C. Tuberculous D. Fungal (histoplasmosis, coccidioidomycosis, Candida, blastomycosis) E. Other infections (syphilitic, protozoal, parasitic) II. Noninfectious pericarditis A. Acute idiopathic B. Renal failure C. Neoplasia 1. Primary tumors (benign or malignant, mesothelioma) 2. </w:t>
      </w:r>
      <w:r w:rsidRPr="00F23836">
        <w:lastRenderedPageBreak/>
        <w:t xml:space="preserve">Tumors metastatic to pericardium (lung and breast cancer, lymphoma, leukemia) D. Trauma (penetrating chest wall, nonpenetrating) E. Aortic dissection (with leakage into pericardial sac) F. Acute myocardial infarction G. Postirradiation H. Familial Mediterranean fever and other autoinflammatory syndromes I. Familial pericarditis 1. Mulibrey nanisma J. Metabolic (myxedema, cholesterol) III. Pericarditis presumably related to autoimmunity A. Rheumatic fever B. Collagen vascular disease (systemic lupus erythematosus, rheumatoid arthritis, ankylosing spondylitis, scleroderma, acute rheumatic fever, granulomatosis with polyangiitis, IgG4 disease) C. Drug-induced (e.g., procainamide, hydralazine, phenytoin, isoniazid, minoxidil, anticoagulants, methysergide) D. Postcardiac injury 1. Postpericardiotomy 2. Posttraumatic 3. Postmyocardial infarction (Dressler’s syndrome) aAn autosomal recessive syndrome characterized by growth failure, muscle hypotonia, hepatomegaly, ocular changes, enlarged cerebral ventricles, intellectual disability, ventricular hypertrophy, and chronic constrictive pericarditis. Abbreviation: COVID, coronavirus disease. autoimmunity, or of unknown cause (idiopathic). The pain of acute pericarditis is often severe, retrosternal and/or left precordial, and referred to the neck, arms, or left shoulder. Frequently the pain is pleuritic, consequent to accompanying pleural inflammation (i.e., sharp and aggravated by inspiration and coughing); however, at times, it is steady, radiates to the trapezius ridge or into either arm, and resembles that of myocardial ischemia. For this reason, confu sion with acute myocardial infarction (AMI) is common. Charac teristically, pericardial pain may be intensified by lying supine and relieved by sitting up and leaning forward (Chap. 15). Pain is often absent in slowly developing tuberculous, postirradiation, neoplastic, and uremic pericarditis. The differentiation of AMI from acute pericarditis may be chal lenging when, with the latter, serum biomarkers of myocardial damage rise, presumably because of concomitant involvement of the epicardium in the inflammatory process (an epi-myocarditis) with resulting myocyte necrosis. If they occur, however, these elevations are quite modest compared to those in AMI, given the superficial (sub-)epicardial injury despite often extensive electrocardiographic ST-segment elevation in pericarditis. This dissociation is useful in differentiating between these conditions. 2. A pericardial friction rub is audible at some point in the illness in approximately 85% of patients with acute pericarditis. The rub may have up to three components per cardiac cycle and is described as rasping, scratching, or grating (Chap. 246); it is heard most frequently at end expiration with the patient upright and leaning forward. 3. The electrocardiogram (ECG) in acute pericarditis without massive effusion usually displays changes secondary to acute subepicardial inflammation (Fig. 281-1A), and typically evolves through four stages. In stage 1, there is widespread elevation of the ST segments, often with upward concavity, involving two or three standard limb leads and V2–V6 , with reciprocal depressions only in aVR and occasionally V1 . In addition, there is depression of the PR segment below the TP segment, reflecting atrial involvement, an early change that may occur prior to ST segment elevation. Usually there are no significant changes in QRS complexes unless a </w:t>
      </w:r>
      <w:r w:rsidRPr="00F23836">
        <w:lastRenderedPageBreak/>
        <w:t xml:space="preserve">large pericardial effu sion develops (see below). After several days, the ST segments return to normal (stage 2), and only then, or even later, do the T waves become inverted (stage 3). Weeks or months after the onset of acute pericarditis, the ECG returns to normal (stage 4). In contrast, in AMI, ST elevations are upwardly convex, and reciprocal depression is usually more prominent; these changes may return to normal within a day or two (Chaps. 285 and 286). 4. Pericardial effusion is usually associated with pain and/or the ECG changes mentioned above and, if the effusion is large, with electrical alternans (Fig. 281-1B). Pericardial effusion is especially important clinically when it develops within a relatively short time because it may lead to cardiac tamponade (see below). Differentiation from cardiac enlargement on physical examination may be difficult, but heart sounds may be fainter with large pericardial effusion. The fric tion rub and the apex impulse may disappear. The base of the left lung may be compressed by pericardial fluid, producing Ewart’s sign, a patch of dullness, increased fremitus, and egophony beneath the angle of the left scapula. The chest x-ray may show enlargement of the cardiac silhouette, with a “water bottle” configuration, but may be normal in patients with small effusions. CHAPTER 281 Pericardial Disease Diagnosis Echocardiography (Chap. 248) is the most widely used imaging technique. It is sensitive, specific, simple, and noninvasive; may be performed at the bedside; and allows localization and estima tion of the quantity of pericardial fluid. The presence of pericardial fluid is recorded by two-dimensional transthoracic echocardiography as a relatively echo-free space between the posterior pericardium and left ventricular epicardium and/or as a space between the anterior right ventricle and the parietal pericardium just beneath the anterior chest wall (Fig. 281-2). The diagnosis of pericardial fluid or thickening may be confirmed by computed tomography (CT) or magnetic resonance imaging (MRI). These techniques may be superior to echocardiography in detecting loculated pericardial effusions and pericardial thickening, and in the identification of pericardial masses. MRI is also helpful in detecting pericardial inflammation (Fig. 281-3). TREATMENT Acute Pericarditis There is no specific therapy for acute idiopathic pericarditis, but bed rest may be recommended, and anti-inflammatory treat ment with aspirin (2–4 g/d) or nonsteroidal anti-inflammatory drugs (NSAIDs), such as ibuprofen (600–800 mg tid) or indo methacin (25–50 mg tid), should be administered along with gastric protection (e.g., omeprazole 20 mg/d). In responsive 2080 I PART 6 Disorders of the Cardiovascular System II III A I aVR aVL aVF aVR V1 PR ST V2 V3 V1 V4 V5 V6 V4 ST PR II III II aVL aVF V2 V5 V3 B V6 FIGURE 281-1 A. Acute pericarditis. There are diffuse ST-segment elevations in leads I, II, aVF, and V2–V6 ). There is PR-segment depression due to a concomitant atrial injury current. B. Electrical alternans. This tracing was obtained from a patient with a large pericardial effusion with cardiac tamponade. patients, these doses should be continued for 1–2 weeks and then tapered over several weeks. In addition, colchicine (0.5 to 0.6 mg qd [70 kg]) should be adminis tered for 3 months. Colchicine enhances the response to NSAIDs FIGURE 281-2 Two-dimensional echocardiogram in lateral view in a patient with </w:t>
      </w:r>
      <w:r w:rsidRPr="00F23836">
        <w:lastRenderedPageBreak/>
        <w:t xml:space="preserve">a large pericardial effusion. Ao, aorta; LA, left atrium; LV, left ventricle; pe, pericardial effusion; RV, right ventricle. (Reproduced with permission from Imazio M: Contemporary management of pericardial diseases. Curr Opin Cardiol 27:308, 2012.) and also aids in reducing the risk of recurrent pericarditis. This drug is concentrated in and interferes with the migration of neutrophils, may cause diarrhea and other gastrointestinal side effects, and is contraindicated in patients with hepatic or renal dysfunction. Glucocorticoids (e.g., prednisone 1 mg/kg per day) usually suppress the clinical manifestations of acute pericardi tis in patients who have failed therapy with or do not tolerate NSAIDs and colchicine. However, since they increase the risk of subsequent recurrence, full-dose corticosteroids should be given for only 2–4 days and then tapered. Anticoagulants should be avoided because their use could cause bleeding into the pericar dial cavity and tamponade. In patients with multiple, frequent, and disabling recurrences that continue for &gt;2 years, are not prevented by continuing colchi cine and other NSAIDs, and are not controlled by glucocorticoids, treatment with azathioprine or anakinra (an interleukin 1β receptor antagonist) has been reported to be of benefit. Rarely, pericardial stripping may be necessary; however, this procedure may not always terminate the recurrences. The majority of patients with acute pericarditis can be man aged as outpatients with careful follow-up. However, when specific causes (tuberculosis, neoplastic disease, bacterial infection) are sus pected, or if any of the predictors of poor prognosis (fever &gt;38°C, subacute onset, large pericardial effusion, immunosuppression, or evidence of pericardial tamponade) are present, hospitalization is advisable. Pericardial Disease 2081 CHAPTER 281 RV A B LV LV LA AO * * * FIGURE 281-3 Pericardial inflammation by cardiac magnetic resonance imaging. A. Short axis view. The pericardium is thickened and enhanced on T2 magnetic images. Note thickened white line denoted by arrow. B. Long axis view. Late gadolinium enhancement of thickened, inflamed pericardium. AO, aorta; LA, left atrium; LV, left ventricle; RV, right ventricle. (From RY Kwong: Cardiovascular magnetic resonance imaging, in Braunwald’s Heart Disease, 10th ed, Mann DL et al [eds]. Philadelphia: Elsevier, 2015, pp 320–40.) TABLE 281-2 Features That Distinguish Cardiac Tamponade from Constrictive Pericarditis and Similar Clinical Disorders CHARACTERISTIC TAMPONADE CONSTRICTIVE PERICARDITIS RESTRICTIVE CARDIOMYOPATHY RIGHT VENTRICULAR MYOCARDIAL INFARCTION EFFUSIVE CONSTRICTIVE PERICARDITIS Clinical Pulsus paradoxus +++ + + + +++ Jugular veins Prominent y descent–++ + + Prominent x descent +++ ++ +++ + +++ Kussmaul’s sign–+++ + +++ ++ Third heart sound–– + + + Pericardial knock–++–– Electrocardiogram Low ECG voltage ++ ++ +–+ Electrical alternans ++–––+ Echocardiogram Thickened pericardium–+++–– ++ Pericardial calcification–++–– _ Pericardial effusion +++–––++ RV size Usually small Usually normal Usually normal Enlarged Usually normal Exaggerated respiratory variation in flow velocity +++ +++–+++ + CT/MRI Thickened pericardium–+++–++ Equalization of diastolic pressures +++ +++–++ ++ Abbreviations: +++, always present; ++, usually present; +, rare; –, absent; CT, computed tomography; ECG, electrocardiogram; MRI, magnetic </w:t>
      </w:r>
      <w:r w:rsidRPr="00F23836">
        <w:lastRenderedPageBreak/>
        <w:t xml:space="preserve">resonance imaging; RV, right ventricle. Source: Reproduced with permission from GM Brockington et al: Constrictive pericarditis. Cardiol Clin 8:645, 1990. </w:t>
      </w:r>
      <w:r w:rsidRPr="00F23836">
        <w:rPr>
          <w:rFonts w:ascii="Arial" w:hAnsi="Arial" w:cs="Arial"/>
        </w:rPr>
        <w:t>■</w:t>
      </w:r>
      <w:r w:rsidRPr="00F23836">
        <w:t xml:space="preserve">CARDIAC TAMPONADE The accumulation of fluid in the pericardial space in a quantity suf ficient to cause serious obstruction of the inflow of blood into the ventricles results in cardiac tamponade. This complication may be fatal if it is not recognized and treated promptly. The most common causes of tamponade are idiopathic pericarditis and pericarditis secondary to neoplastic disease, tuberculosis, or bleeding into the pericardial space after leakage from an aortic dissection, cardiac operation, trauma, or treatment with anticoagulants. The three principal features of tamponade (Beck’s triad) are hypo tension, soft or absent heart sounds, and jugular venous distention with a prominent x (early systolic) descent but an absent y (early diastolic) descent. The limitations to ventricular filling are responsible for reduc tions of cardiac output and arterial pressure. The quantity of fluid necessary to produce cardiac tamponade may be as small as 200 mL when the fluid develops rapidly or be as much as &gt;2000 mL in slowly developing effusions when the pericardium has had the opportunity to stretch and adapt to an increasing volume. A high index of suspicion for cardiac tamponade is required because in many instances no obvious cause for pericardial disease is apparent. This diagnosis should be considered in any patient with otherwise unexplained sudden enlargement of the cardiac silhouette, hypoten sion, and elevation of jugular venous pressure. Reductions in amplitude of the QRS complexes and electrical alternans of the P, QRS, or T waves should also raise the suspicion of cardiac tamponade (Fig. 281-1). Table 281-2 lists the features that distinguish acute cardiac tamponade from constrictive pericarditis. Paradoxical Pulse This important clue to the presence of cardiac tamponade consists of a greater than normal (10 mmHg) inspiratory decline in systolic arterial pressure. When severe, it may be detected by palpating weakness or even disappearance of the arterial pulse during inspiration, but usually sphygmomanometric measurement of systolic pressure during slow respiration is required. Because both ventricles share a tight incompressible covering, i.e., the pericardial sac, the inspiratory enlargement of the right ventricle 2082 Inspiration E PART 6 Septum A Expiration Septum E A TV Disorders of the Cardiovascular System MV RV RA LV Doppler transvalvular inflow patterns TV MV Thickened pericardium LA DIASTOLE Pulmonary vein IVC and hepatic veins Apical 4-chamber views DIASTOLE FIGURE 281-4 Constrictive pericarditis. Doppler schema of respirophasic changes in mitral and tricuspid inflow. Reciprocal patterns of ventricular filling are assessed on pulsed Doppler examination of mitral valve (MV) and tricuspid valve (TV) inflow. IVC, inferior vena cava; LA, left atrium; LV, left ventricle; RA, right atrium; RV, right ventricle. (Courtesy of Bernard E. Bulwer, MD.) causes leftward bulging of the interventricular septum, reducing left ventricular volume, stroke volume, and arterial systolic pressure. Para doxical pulse also occurs in approximately one-third of patients with constrictive pericarditis (see below), and in some cases of hypovolemic shock, acute and chronic obstructive airway disease, and pulmonary embolism. Right ventricular infarction </w:t>
      </w:r>
      <w:r w:rsidRPr="00F23836">
        <w:lastRenderedPageBreak/>
        <w:t xml:space="preserve">(Chap. 286) may resemble cardiac tamponade with hypotension, elevated jugular venous pres sure, a slow y descent in the jugular venous pulse, and, occasionally, a paradoxical pulse (Table 281-2). Diagnosis Because immediate treatment of cardiac tamponade may be lifesaving, prompt establishment of the diagnosis, usually by echocardiography, should be undertaken. When pericardial effusion causes tamponade, Doppler ultrasound shows that tricuspid and pulmonic valve flow velocities increase markedly during inspiration, whereas pulmonic vein, mitral, and aortic flow velocities decrease (as in constrictive pericarditis, see below) (Fig. 281-4). In tamponade, there is late diastolic inward motion (collapse) of the right ventricular free wall and the right atrium. Transesophageal echocardiography, CT, or cardiac MRI may be necessary to diagnose a loculated effusion responsible for cardiac tamponade. TREATMENT Cardiac Tamponade Patients with acute pericarditis should be observed frequently for the development of an effusion. If a large effusion is present, peri cardiocentesis should be performed or the patient watched closely for signs of tamponade with serial echocardiography and monitor ing of arterial and venous pressures. PERICARDIOCENTESIS If manifestations of tamponade appear, pericardiocentesis using an apical, parasternal, or, most commonly, subxiphoid approach must be carried out at once because if left untreated, tamponade may be rapidly fatal. Whenever possible, this procedure should be carried out under echocardiographic guidance. Intravenous saline may be administered as the patient is being readied for the procedure, but the pericardiocentesis must not be delayed. If possible, intraperi cardial pressure should be measured before fluid is withdrawn, and the pericardial cavity should be drained as completely as possible. A small, multiholed catheter may be advanced over the needle inserted into the pericardial cavity and left in place to allow drain ing of the pericardial space if fluid reaccumulates. Surgical drainage through a limited (subxiphoid) thoracotomy may be required in recurrent tamponade to remove loculated effusions and/or when it is necessary to obtain tissue for diagnosis. Pericardial fluid obtained from an effusion may have the physical characteristics of an exudate. In developed nations, bloody fluid is most commonly due to neoplasm, renal failure, or cardiac trauma. In developing nations, tuberculosis may also cause exudative and/ or bloody effusion. The pericardial fluid should be analyzed for red and white blood cells and cytology for neoplastic cells. Cultures should be obtained. The presence of DNA of Mycobacterium tuberculosis determined by the polymerase chain reaction and/or of an elevated adenosine deaminase strongly supports the diagnosis of tuberculous pericar ditis; however, it is often necessary to obtain pericardial tissue to make this diagnosis (Chap. 183). </w:t>
      </w:r>
      <w:r w:rsidRPr="00F23836">
        <w:rPr>
          <w:rFonts w:ascii="Arial" w:hAnsi="Arial" w:cs="Arial"/>
        </w:rPr>
        <w:t>■</w:t>
      </w:r>
      <w:r w:rsidRPr="00F23836">
        <w:t xml:space="preserve">VIRAL OR IDIOPATHIC ACUTE PERICARDITIS In many instances, acute pericarditis occurs in association with or following illnesses of known or presumed viral origin and probably is caused by the same agent. There may be an antecedent infection of the respiratory tract, but viral isolation and serologic studies are usually negative. In some cases, coxsackievirus A or B or the virus of influenza, echovirus, mumps, herpes simplex, varicella-zoster, adeno </w:t>
      </w:r>
      <w:r w:rsidRPr="00F23836">
        <w:lastRenderedPageBreak/>
        <w:t xml:space="preserve">virus, or cytomegalovirus has been isolated from pericardial fluid, and/ or appropriate elevations in viral antibody titers have been observed. Frequently, a viral cause cannot be established, and the term idiopathic acute pericarditis is appropriate. Viral or idiopathic acute pericarditis occurs at all ages but is most common in young adult males and is often associated with pleural effu sion and pneumonitis. The almost simultaneous development of fever and precordial pain, often 10–12 days after a presumed viral illness, constitutes an important feature in the differentiation of acute pericar ditis from AMI, in which chest pain precedes fever. The constitutional symptoms are usually mild to moderate, and a pericardial friction rub is often audible. The disease ordinarily runs its course in a few days to 4 weeks. Elevations of C-reactive protein and of the white blood cell count are common. The ST-segment alterations in the ECG usually dis appear after 1 or more weeks, but the abnormal T waves may persist for as long as several years and be a source of confusion in persons without a clear history of pericarditis. Accumulation of some pericardial fluid is common, and both tamponade and constrictive pericarditis are pos sible, but infrequent, complications. The most frequent complication is recurrent (relapsing) pericardi tis, which occurs in approximately one-fourth of patients with acute idiopathic pericarditis. A smaller number of individuals have multiple recurrences. Postcardiac Injury Syndrome Acute pericarditis may appear in a variety of circumstances that have one common feature—previous injury to the myocardium with blood in the pericardial cavity. The syndrome may develop after a cardiac operation (postpericardiotomy syndrome), after blunt or penetrating cardiac trauma (Chap. 283), or after perforation of the heart with a catheter; rarely, it follows AMI. The clinical picture mimics acute viral or idiopathic pericarditis. The principal symptom is the pain of acute pericarditis, which usually develops 1–4 weeks after the cardiac injury. Recurrences are common and may occur up to 2 years or more following the injury. Fever, pleuri tis, and pneumonitis are accompanying features, and the illness usually subsides in 1 or 2 weeks. The pericarditis may be of the fibrinous vari ety, or it may be a pericardial effusion, which is often serosanguinous and rarely causes tamponade. ECG changes typical of acute pericarditis may also occur. This syndrome is probably the result of a hypersensitiv ity (or autoimmune) reaction to antigen(s) that originate from injured myocardial tissue and/or pericardium. Often no treatment is necessary aside from aspirin and analgesics. When the illness is severe or followed by a series of disabling recur rences, therapy with another NSAID, colchicine, or a glucocorticoid, such as described for treatment of acute pericarditis, is usually effective. </w:t>
      </w:r>
      <w:r w:rsidRPr="00F23836">
        <w:rPr>
          <w:rFonts w:ascii="Arial" w:hAnsi="Arial" w:cs="Arial"/>
        </w:rPr>
        <w:t>■</w:t>
      </w:r>
      <w:r w:rsidRPr="00F23836">
        <w:t xml:space="preserve">DIFFERENTIAL DIAGNOSIS Because there is no specific test for acute idiopathic pericarditis, the diagnosis is one of exclusion. Consequently, all other disorders that CHRONIC CONSTRICTIVE PERICARDITIS 2083 may be associated with acute fibrinous pericarditis must be considered. A common diagnostic error is mistaking acute viral or idiopathic peri carditis for AMI and vice versa. Pericarditis secondary to postcardiac injury is differentiated from acute idiopathic pericarditis chiefly by timing. If it occurs within a few days or weeks of a chest blow, a cardiac </w:t>
      </w:r>
      <w:r w:rsidRPr="00F23836">
        <w:lastRenderedPageBreak/>
        <w:t xml:space="preserve">perforation, a cardiac opera tion, or an AMI, the two are probably related. It is important to distinguish pericarditis due to collagen vascular disease from acute idiopathic pericarditis. Most important in the dif ferential diagnosis is the pericarditis due to systemic lupus erythemato sus (SLE; Chap. 368) or drug-induced (hydralazine or procainamide) lupus. When pericarditis occurs in the absence of any obvious under lying disorder, the diagnosis of SLE may be suggested by a rise in the titer of antinuclear antibodies. Acute pericarditis is an occasional com plication of rheumatoid arthritis, scleroderma, and polyarteritis nodosa, and other evidence of these diseases is usually obvious at the time of presentation with acute pericarditis. Pyogenic (purulent) pericarditis is usually secondary to cardiotho racic operations, by extension of infection from the lungs or pleural cavities, from rupture of the esophagus into the pericardial sac, or from rupture of a valvular ring abscess in a patient with infective endocardi tis. It may also complicate the viral, bacterial, mycobacterial, and fungal infections that occur with HIV infection. It is generally accompanied by fever, chills, septicemia, and evidence of infection elsewhere, and generally has a poor prognosis. The diagnosis is made by examination of the pericardial fluid. It requires immediate drainage as well as vigor ous antibiotic treatment. Pericarditis of renal failure (uremic pericarditis) occurs in up to one-third of patients with severe renal dysfunction and is also seen in patients undergoing chronic dialysis who have normal levels of blood urea nitrogen (dialysis-associated pericarditis). These two forms of pericarditis may be fibrinous and are generally associated with serosanguinous effusions; frank hemorrhagic effusions may be seen in some cases of uremic pericarditis prior to the onset of dialysis. A pericardial friction rub is common, but pain is usually absent or mild. Treatment with an NSAID and intensification of dialysis are usually adequate. Occasionally, tamponade occurs and pericardiocentesis is required. When the pericarditis of renal failure is recurrent or persis tent, a pericardial window should be created or pericardiectomy may be necessary. Pericarditis due to neoplastic diseases results from extension or invasion of metastatic tumors (most commonly carcinoma of the lung and breast, malignant melanoma, lymphoma, and leukemia) to the pericardium. The pain of pericarditis, tamponade, and atrial arrhythmias are complications that occur occasionally. Diagnosis is made by pericardial fluid cytology or pericardial biopsy. Mediastinal irradiation for neoplasm may cause acute pericarditis and/or chronic constrictive pericarditis. Unusual causes of acute pericarditis include syphilis, fungal infection (histoplasmosis, blastomycosis, aspergillosis, and candidiasis), and parasitic infestation (amebiasis, toxoplasmosis, echinococcosis, and trichinosis) (Table 281-1). </w:t>
      </w:r>
      <w:r w:rsidRPr="00F23836">
        <w:rPr>
          <w:rFonts w:ascii="Arial" w:hAnsi="Arial" w:cs="Arial"/>
        </w:rPr>
        <w:t>■</w:t>
      </w:r>
      <w:r w:rsidRPr="00F23836">
        <w:t xml:space="preserve">CHRONIC PERICARDIAL EFFUSIONS Chronic pericardial effusions are sometimes encountered in patients without an antecedent history of acute pericarditis. They may cause few symptoms per se, and their presence may be detected by finding an enlarged cardiac silhouette on a chest roentgenogram. Tuberculosis and myxedema may be causal. Neoplasms, SLE, rheumatoid arthritis, mycotic infections, radiation therapy to the chest, and chyloperi cardium may also cause chronic pericardial effusion and </w:t>
      </w:r>
      <w:r w:rsidRPr="00F23836">
        <w:lastRenderedPageBreak/>
        <w:t xml:space="preserve">should be considered and specifically sought in such patients. Aspiration and analysis of the pericardial fluid are often helpful in diagnosis. Pericar dial fluid should be analyzed as described under pericardiocentesis. Grossly sanguineous pericardial fluid results most commonly from a neoplasm, tuberculosis, renal failure, or slow leakage from an aortic dissection. Pericardiocentesis may resolve large effusions, but pericar diectomy may be required in patients with recurrence. Intrapericardial instillation of sclerosing agents may be used to prevent reaccumula tion of fluid, most commonly in recurrent neoplastic effusions. This disorder results when the healing of an acute fibrinous or serofi brinous pericarditis or the resorption of a chronic pericardial effusion is followed by obliteration of the pericardial cavity with the formation of granulation tissue. The latter gradually contracts and forms a firm scar encasing the heart, which may become calcified. In developing nations, a high percentage of cases are of tuberculous origin, but this is now an uncommon cause in North America or Western Europe. Chronic constrictive pericarditis may follow acute or relapsing viral or idiopathic pericarditis, trauma with organized blood clot, or cardiac surgery of any type, or results from mediastinal irradiation, purulent infection, histoplasmosis, neoplastic disease (especially breast cancer, lung cancer, and lymphoma), rheumatoid arthritis, SLE, or chronic renal failure treated by chronic dialysis. In many patients, the cause of the pericardial disease is undetermined, and in these patients, an asymptomatic or forgotten bout of viral pericarditis, idiopathic or acute, may have been the inciting event. The basic physiologic abnormality in patients with chronic constric tive pericarditis is the inability of the ventricles to fill owing to the limitations imposed by the rigid, thickened pericardium. Ventricular filling is unimpeded during early diastole but is reduced abruptly when the elastic limit of the pericardium is reached, whereas in cardiac tamponade, ventricular filling is impeded throughout diastole. In both conditions, ventricular end-diastolic and stroke volumes are reduced and the end-diastolic pressures in both ventricles and the mean pres sures in the atria, pulmonary veins, and systemic veins are all elevated to similar levels (i.e., within 5 mmHg of one another). Despite these hemodynamic changes, systolic function may be normal or only slightly impaired at rest. However, in advanced cases, the fibrotic pro cess may extend into the myocardium and cause myocardial scarring and atrophy, and venous congestion may then be due to the combined effects of the pericardial and myocardial lesions. CHAPTER 281 Pericardial Disease In constrictive pericarditis, the right and left atrial pressure pulses display an M-shaped contour, with prominent x and y descents. The y descent, which is absent or diminished in cardiac tamponade, is the most prominent deflection in constrictive pericarditis; it reflects rapid early filling of the ventricles. The y descent is interrupted by a rapid rise in atrial pressure during early diastole, when ventricular filling is impeded by the constricting pericardium. These characteristic changes are transmitted to the jugular veins where they may be recognized by inspection. In constrictive pericarditis, the ventricular pressure pulses in both ventricles exhibit the characteristic “square root” sign during diastole. These </w:t>
      </w:r>
      <w:r w:rsidRPr="00F23836">
        <w:lastRenderedPageBreak/>
        <w:t xml:space="preserve">hemodynamic changes, although characteristic, are not pathognomonic of constrictive pericarditis and may also be observed in restrictive cardiomyopathies (Chaps. 266–270, Table 266-1). </w:t>
      </w:r>
      <w:r w:rsidRPr="00F23836">
        <w:rPr>
          <w:rFonts w:ascii="Arial" w:hAnsi="Arial" w:cs="Arial"/>
        </w:rPr>
        <w:t>■</w:t>
      </w:r>
      <w:r w:rsidRPr="00F23836">
        <w:t xml:space="preserve">CLINICAL AND LABORATORY FINDINGS Weakness, fatigue, weight gain, increased abdominal girth, abdominal discomfort, and edema are common. The patient often appears chroni cally ill, and in advanced cases, anasarca, skeletal muscle wasting, and cachexia may be present. Exertional dyspnea is common, and orthop nea may occur, although it is usually not severe. The neck veins are distended and may remain so even after intensive diuretic treatment, and venous pressure may fail to decline during inspiration (Kussmaul’s sign). The latter is common in chronic pericarditis but may also occur in tricuspid stenosis, right ventricular infarction, and restrictive cardiomyopathy. The pulse pressure is normal or reduced. A paradoxical pulse can be detected in about one-third of cases. Congestive hepatomegaly is pronounced, may impair hepatic function, and may cause jaundice; ascites is common and is usually more prominent than dependent edema. Pleural effusions and splenomegaly may also be present. The apical pulse is reduced and may retract in systole (Broadbent’s sign). The heart sounds may be distant; an early third heart sound (i.e., a pericardial knock) occurring at the cardiac apex with the abrupt cessa tion of ventricular filling is often conspicuous. The ECG frequently displays low voltage of the QRS complexes and diffuse flattening or inversion of the T waves. Atrial fibrillation is present in about one-third of patients. The chest roentgenogram shows 2084 PART 6 Disorders of the Cardiovascular System a normal or slightly enlarged heart. Pericardial calcification is most common in tuberculous pericarditis. Pericardial calcification may, however, occur in the absence of constriction, and constriction may occur without calcification. Inasmuch as the common physical signs of cardiac disease (mur murs, cardiac enlargement) may be inconspicuous or absent in chronic constrictive pericarditis, hepatic enlargement and dysfunction asso ciated with jaundice and intractable ascites may lead to a mistaken diagnosis of hepatic cirrhosis. This error can be avoided if the neck veins are inspected and found to be distended with the characteristic waveform features. The transthoracic echocardiogram often shows pericardial thicken ing, dilation of the inferior vena cava and hepatic veins, and a sharp halt to rapid left ventricular filling in early diastole, with normal ventricular systolic function and flattening of the left ventricular posterior wall. There is a distinctive pattern of transvalvular flow velocity on Doppler echocardiography (Fig. 281-4). During inspiration, there is an exagger ated reduction in blood flow velocity in the pulmonary veins and across the mitral valve, and a leftward shift of the ventricular septum; the opposite occurs during expiration. Diastolic flow velocity in the inferior vena cava into the right atrium and across the tricuspid valve increases in an exaggerated manner during inspiration and declines during expiration. However, echocardiography cannot definitively establish or exclude the diagnosis of constrictive pericarditis; CT and MRI are more accurate, with the latter useful in evaluating myocardial involvement. </w:t>
      </w:r>
      <w:r w:rsidRPr="00F23836">
        <w:rPr>
          <w:rFonts w:ascii="Arial" w:hAnsi="Arial" w:cs="Arial"/>
        </w:rPr>
        <w:t>■</w:t>
      </w:r>
      <w:r w:rsidRPr="00F23836">
        <w:t xml:space="preserve">DIFFERENTIAL DIAGNOSIS As with chronic constrictive pericarditis, cor pulmonale </w:t>
      </w:r>
      <w:r w:rsidRPr="00F23836">
        <w:lastRenderedPageBreak/>
        <w:t xml:space="preserve">(Chap. 264) may be associated with marked systemic venous hypertension, little pulmonary congestion, a (left) heart that is not enlarged, and a para doxical pulse. However, in cor pulmonale, advanced parenchymal pulmonary disease is usually apparent and venous pressure falls dur ing inspiration (i.e., Kussmaul’s sign is negative). Tricuspid stenosis (Chap. 277) may also simulate chronic constrictive pericarditis with congestive hepatomegaly, splenomegaly, ascites, and venous distention. However, the characteristic murmur and that of accompanying mitral stenosis are usually present. Because it can be corrected surgically, it is important to distin guish chronic constrictive pericarditis from restrictive cardiomyopathy (Chap. 266), which has a similar pathophysiologic underpinning (i.e., restriction of ventricular filling). The differentiating features are sum marized in Table 281-2. When a patient has progressive, disabling, and unresponsive congestive heart failure and displays any of the features of constrictive heart disease, Doppler echocardiography to record respira tory effects on transvalvular flow (Fig. 281-4) should be performed and an MRI or CT scan should be obtained to detect or exclude constrictive pericarditis because the latter is usually correctable. TREATMENT Constrictive Pericarditis Pericardial resection is the only definitive treatment of constric tive pericarditis and should be as complete as possible. Coronary arteriography should be carried out preoperatively in patients aged &gt;50 years to exclude accompanying coronary artery disease. The benefits derived from cardiac decortication are usually progressive over a period of months. The risk of this operation depends on the extent of penetration of the myocardium by the fibrotic and calcific process, the severity of myocardial atrophy, the extent of second ary impairment of hepatic and/or renal function, and the patient’s general condition. Operative mortality is in the range of 5–10% even in experienced centers; the patients with the most severe dis ease, especially secondary to radiation therapy, are at highest risk. Therefore, surgical treatment should, if possible, be carried out as early as possible. Subacute Effusive-Constrictive Pericarditis This form of pericardial disease is characterized by the combination of a tense effu sion in the pericardial space and constriction of the heart by thickened pericardium. As such, it shares a number of features with both chronic pericardial effusion producing cardiac compression and with pericar dial constriction. It may be caused by tuberculosis (see below), multiple attacks of acute idiopathic pericarditis, radiation, traumatic pericardi tis, renal failure, scleroderma, and neoplasms. The heart is generally enlarged, and a paradoxical pulse is usually present. After pericardio centesis, the physiologic findings may change from those of cardiac tamponade to those of pericardial constriction. Furthermore, the intra pericardial pressure and the central venous pressure may decline, but not to normal. The diagnosis can be established by pericardiocentesis followed by pericardial biopsy. Wide excision of both the visceral and parietal pericardium is usually effective therapy. Tuberculous Pericardial Disease This chronic infection is a common cause of chronic pericardial effusion, especially in the developing world where active tuberculosis and HIV are endemic. Tuberculous pericarditis may present as pericardial effusion, chronic </w:t>
      </w:r>
      <w:r w:rsidRPr="00F23836">
        <w:lastRenderedPageBreak/>
        <w:t xml:space="preserve">constrictive pericarditis, or subacute effusive-constrictive pericarditis (see above). The clinical picture is that of a chronic, systemic illness in a patient with pericardial effusion. It is important to consider this diagnosis in a patient with known tuberculosis, with HIV, and with fever, chest pain, weight loss, and enlargement of the cardiac silhouette of undetermined origin. If the etiology of chronic pericardial effusion remains obscure despite detailed analysis including culture of the peri cardial fluid, a pericardial biopsy, preferably by a limited thoracotomy, should be performed. If definitive evidence is still lacking but the speci men shows granulomas with caseation, antituberculous chemotherapy (Chap. 183) is indicated. If the biopsy specimen shows a thickened pericardium after 2–4 weeks of antituberculous therapy, pericardiectomy should be per formed to prevent the development of constriction. Tubercular cardiac constriction should be treated surgically while the patient is receiving antituberculous chemotherapy. </w:t>
      </w:r>
      <w:r w:rsidRPr="00F23836">
        <w:rPr>
          <w:rFonts w:ascii="Arial" w:hAnsi="Arial" w:cs="Arial"/>
        </w:rPr>
        <w:t>■</w:t>
      </w:r>
      <w:r w:rsidRPr="00F23836">
        <w:t xml:space="preserve">FURTHER READING Arula S, Madsen N: Management of acute pericarditis. Curr Opin Caradiol 38:364, 2023. Bayes-Coenis A et al: Colchicine in pericarditis. Eur Heart J 38:1706, 2017. Garcia MJ: Constrictive pericarditis versus restrictive cardiomyopa thy? J Am Coll Cardiol 67:2061, 2016. Imazio M et al: New developments in the management of recurrent pericarditis. Can J Cardiol 2023. Janus SE, Hoit BD: Effusive-constrictive pericarditis in the spectrum of pericardial comprehensive syndromes. Heart 15:heartjnl-2020-316664, 2021. LeWinter MM: Acute pericarditis. N Engl J Med 371:2410, 2014. Mircanda WR, Oh JK: Effusive-constrictive pericarditis. Cardiol Clin 3:551, 2017. Vistarini N et al: Pericardiectomy for constrictive pericarditis. Ann Thorac Surg 100:107, 2015. Welch TD: Constrictive pericarditis: Diagnosis, management, and clinical outcomes. Heart 104:725, 2018. 282 Atrial Myxoma and Other Cardiac Tumors Stephen Tsaur, Eric H. Awtry Cardiac tumors can be broadly classified into those that arise primar ily in the heart and those that reflect metastatic disease from a distant primary source. Primary cardiac tumors can be further divided into those that are pathologically benign and those that are malignant. 2085 TABLE 282-1 Imaging Modalities and Their Utility in the Evaluation of Cardiac Tumors MODALITY Transthoracic echocardiography (TTE) (including two-dimensional, three-dimensional, and contrast) Transesophageal echocardiography (TEE) UTILITY IN CARDIAC TUMOR EVALUATION Assessment of tumor location and size and its impact on adjacent structures (e.g., valves, pericardium). Improved tumor characterization and spatial resolution compared with TTE. May aid in determining surgical approach. Cardiac magnetic resonance imaging (MRI) with gadolinium contrast Gated cardiac computed tomography (CT) Nuclear imaging (including 18F-fluorodeoxyglucose positron emission tomography [FDG-PET]) Improved tissue characterization, definition of tumor size, and identification of local invasion when compared with TTE or TEE. May differentiate tumor from thrombus. Provides anatomic assessment and tissue characterization of the tumor. Useful when patients cannot tolerate MRI or when MRI is not feasible (e.g., patients with implantable cardiac devices). Allows for better assessment of calcified lesions and evaluation of extracardiac tumor involvement. </w:t>
      </w:r>
      <w:r w:rsidRPr="00F23836">
        <w:lastRenderedPageBreak/>
        <w:t xml:space="preserve">Definition of extracardiac disease. May be useful in diagnosis of certain cardiac tumors (e.g., neuroendocrine tumors), but assessment of smaller tumors may be limited by surrounding myocardial FDG uptake. Overall, primary cardiac tumors are relatively uncommon, whereas secondary involvement of the heart or pericardium occurs in as many as 20% of patients with end-stage metastatic cancer. While patients with cardiac tumors may present with a variety of symptoms, many patients are asymptomatic at the time of diagnosis, with the tumor being identified incidentally on imaging studies performed for other reasons. Cardiac tumors need to be differentiated from other cardiac masses such as vegetation, thrombus, inflammatory myofibroblastic tumors, or myocardial hypertrophy. Echocardiography is usually the initial imaging modality used to evaluate cardiac tumors; however, a variety of imaging modalities are now available, and a multimodality approach is often necessary for accurate diagnosis and clarification of treatment options (Table 282-1). When diagnosis is uncertain after echocardiography, cardiac magnetic resonance imaging (MRI) is often useful to help further differentiate lesions. Imaging characteristics, including size, location, presence of myocardial infiltration, and first pass perfusion of gadolinium contrast agents, can help differentiate benign from malignant tumors. However, tissue histology remains the gold standard for diagnosis of cardiac tumors. </w:t>
      </w:r>
      <w:r w:rsidRPr="00F23836">
        <w:rPr>
          <w:rFonts w:ascii="Arial" w:hAnsi="Arial" w:cs="Arial"/>
        </w:rPr>
        <w:t>■</w:t>
      </w:r>
      <w:r w:rsidRPr="00F23836">
        <w:t>PRIMARY TUMORS Primary tumors of the heart are rare, occurring in ~1 in 2000 patients in autopsy series. Approximately three-quarters are histologically benign, the majority of which are myxomas. Malignant tumors, almost all of which are sarcomas, account for 25% of primary cardiac tumors. All cardiac tumors, regardless of pathologic type, have the potential to cause life-threatening complications. Many tumors are now surgically curable; thus, early diagnosis is imperative. Clinical Presentation Cardiac tumors may present with a wide array of cardiac and noncardiac manifestations. These manifestations, which depend in large part on the location and size of the tumor as well as its impact on surrounding cardiac structures, are often nonspecific features of more common forms of heart disease, and include chest pain, syncope, congestive heart failure (CHF), murmurs, arrhythmias, conduction disturbances, pericardial effusion, and pericardial tampon ade. Additionally, embolic phenomena and constitutional symptoms may occur. Myxoma Myxomas are the most common type of primary cardiac tumor in adults, accounting for one-third to one-half of all cases at postmortem examination, and approximately three-quarters of the tumors treated surgically. They occur at all ages most commonly in the third through sixth decades, with a female predilection. Approximately 90% of myxomas are sporadic; the remainder are familial with autoso mal dominant transmission. The familial variety often occurs as part of a syndrome complex (Carney complex) that includes (1) myxomas (cardiac, skin, and/or breast), (2) lentigines and/or pigmented nevi, and (3) endocrine overactivity (primary nodular adrenal cortical dis ease with or without Cushing’s syndrome, testicular tumors, and/or pituitary adenomas with gigantism or acromegaly). The genetic basis of this complex has not been elucidated completely; however, inactivating mutations in the tumor-</w:t>
      </w:r>
      <w:r w:rsidRPr="00F23836">
        <w:lastRenderedPageBreak/>
        <w:t xml:space="preserve">suppressor gene PRKAR1A, which encodes the protein kinase A type I-α regulatory subunit, have been identified in ~70% of patients with Carney complex. Pathologically, myxomas are gelatinous structures that consist of myxoma cells embedded in a stroma rich in glycosaminoglycans. Most sporadic tumors are solitary, arise from the interatrial septum in the vicinity of the fossa ovalis (particularly in the left atrium), and are often pedunculated on a fibrovascular stalk. In contrast, familial or syndromic tumors tend to occur in younger individuals, are often multiple, may be ventricular in location, and are more likely to recur after initial resection. Myxomas commonly present with obstructive signs and symptoms. The most common clinical presentation mimics that of mitral valve dis ease: either stenosis owing to tumor prolapse into the mitral orifice or regurgitation resulting from tumor-induced valvular trauma or distor tion. Ventricular myxomas may cause outflow tract obstruction similar to that caused by subaortic or subpulmonic stenosis. The symptoms and signs of myxoma may be sudden in onset or positional in nature, owing to the effects of gravity on tumor position. A characteristic low pitched sound, a “tumor plop,” may be appreciated on auscultation during early or mid-diastole and is thought to result from the impact of the tumor against the mitral valve or ventricular wall. Myxomas also may present with peripheral or pulmonary embolic phenomenon (resulting from embolization of tumor fragments or tumor-associated thrombus) or with constitutional signs and symptoms, including fever, weight loss, cachexia, malaise, arthralgias, rash, digital clubbing, and Raynaud’s phenomenon. These constitutional symptoms are likely the result of cytokines (e.g., interleukin 6) secreted by the myxoma. Labo ratory abnormalities, such as hypergammaglobulinemia, anemia, poly cythemia, leukocytosis, thrombocytopenia or thrombocytosis, elevated erythrocyte sedimentation rate, and elevated C-reactive protein level are often present. These features account for the frequent misdiagnosis of patients with myxomas as having endocarditis, collagen vascular disease, or a paraneoplastic syndrome. CHAPTER 282 Atrial Myxoma and Other Cardiac Tumors Two-dimensional and three-dimensional transthoracic and/or transesophageal echocardiography are useful in the diagnosis of cardiac myxoma and allow for assessment of tumor size and deter mination of the site of tumor attachment, both of which are impor tant considerations in the planning of surgical excision (Fig. 282-1). A B FIGURE 282-1 Transthoracic echocardiogram demonstrating a large atrial myxoma. The myxoma (Myx) fills the entire left atrium in systole (A) and prolapses across the mitral valve and into the left ventricle (LV) during diastole (B). RA, right atrium; RV, right ventricle. (Courtesy of Dr. Michael Tsang; with permission.) 2086 PART 6 Disorders of the Cardiovascular System Myxoma Surgical excision using cardiopulmonary bypass is indicated regard less of tumor size and is generally curative. Myxomas recur in 12–22% of familial cases but in only 1–2% of sporadic cases. Tumor recurrence most likely results from multifocal lesions in the former setting and incomplete tumor resection in the latter. Other Benign Tumors Cardiac lipomas, although relatively com mon, are usually incidental findings at postmortem examination; however, they may grow as large </w:t>
      </w:r>
      <w:r w:rsidRPr="00F23836">
        <w:lastRenderedPageBreak/>
        <w:t xml:space="preserve">as 15 cm, may present as an abnor mality of the cardiac silhouette on chest x-ray, and should be resected if they produce symptoms owing to mechanical interference with cardiac function, arrhythmias, or conduction disturbances. Papillary fibroelastomas are friable tumors with frond-like projections that are usually solitary and are the most common tumors of the cardiac valves. Although usually clinically silent, they can cause valve dysfunction and may embolize distally, resulting in transient ischemic attacks, stroke, or myocardial infarction. In general, these tumors should be resected even when asymptomatic, although a more conservative approach may be considered for small, right-sided lesions. Rhabdomyomas and fibro mas are the most common cardiac tumors in infants and children and usually occur in the ventricles, where they may produce mechanical obstruction to blood flow, thereby mimicking valvular stenosis, CHF, restrictive or hypertrophic cardiomyopathy, or pericardial constriction. Rhabdomyomas are probably hamartomatous growths, are multiple in RA RV T T T LV T FIGURE 282-3 Transthoracic echocardiogram revealing multiple tumors (T) consistent with rhabdomyomas in a 1-day-old infant. The largest tumor (arrows) was located in the left antrioventricular groove and measured 2 cm × 2 cm. LV, left ventricle; RA, right atrium; RV, right ventricle. FIGURE 282-2 Cardiac magnetic resonance imaging demonstrating a rounded mass (M) within the left atrium (LA). Pathologic evaluation at the time of surgery revealed it to be an atrial myxoma. LV, left ventricle; RA, right atrium; RV, right ventricle. Computed tomography (CT) and MRI may provide important addi tional information regarding size, shape, composition, and surface characteristics of the tumor (Fig. 282-2). Although cardiac catheterization and angiography were previously performed routinely before tumor resection, they no longer are con sidered mandatory when adequate noninvasive information is avail able and other cardiac disorders (e.g., coronary artery disease) are not considered likely. Additionally, catheterization of the chamber from which the tumor arises carries the risk of tumor embolization. Because myxomas may be familial, echocardiographic screening of first-degree relatives is appropriate, particularly if the patient is young and has multiple tumors or features of a myxoma syndrome. TREATMENT 90% of cases, occur in ~50% of children with tuberous sclerosis, and are associated with mutations in the tumor-suppressor genes TSC1 and TSC2 (Fig. 282-3). These tumors have a tendency to regress completely or partially; only tumors that cause obstruction require surgical resec tion. Fibromas are usually single, universally ventricular in location, often calcified, and may be associated with mutations in the tumor suppressor gene PTCH1. Fibromas tend to grow and cause arrhythmias and obstructive symptoms and should be completely resected when possible. Paragangliomas are rare chromaffin cell tumors that represent extra-adrenal pheochromocytomas. Most are located in the roof of the left atrium and can be identified on cardiac CT or MRI or with nuclear scanning using 131I-metaiodobenzylguanidine. They are highly vascu lar and may be hormonally active, resulting in uncontrolled hyperten sion. Extensive surgical resection is usually required. Hemangiomas and mesotheliomas are generally small tumors, most often intramyo </w:t>
      </w:r>
      <w:r w:rsidRPr="00F23836">
        <w:lastRenderedPageBreak/>
        <w:t xml:space="preserve">cardial in location, and may cause atrioventricular (AV) conduction disturbances and even sudden death as a result of their propensity to develop in the region of the AV node. Other benign tumors arising from the heart include teratoma, chemodectoma, neurilemoma, and granular cell myoblastoma. Malignant Tumors Almost all malignant primary cardiac tumors are sarcomas, which may be of several histologic types; angiosarcomas are the most common type in adults, whereas rhabdomyosarcomas are the most common type in children. In general, sarcomas are characterized by rapid progression that culminates in the patient’s death within weeks to months from the time of presentation as a result of hemodynamic compromise, local invasion, or distant metastases. Almost one-third are metastatic at the time of initial diagnosis, usually involving the lungs. Sarcomas commonly involve the right side of the heart, are rap idly growing, frequently invade the pericardial space, and may obstruct the cardiac chambers or venae cavae. Sarcomas also may occur on the left side of the heart and may be mistaken for myxomas. Isolated cardiac lymphomas have been rarely described but more commonly occur in the context of systemic disease. They are more common in men and in the elderly; usually involve the right heart; may present with arrhythmias, syncope, CHF, or constitutional symptoms; and are usually of the large B-cell type. TREATMENT Malignant Tumors The optimal therapy for cardiac sarcoma is complete resection, often with neoadjuvant and postoperative chemotherapy; however, at the time of presentation, many of these tumors have spread too extensively to allow for surgical excision. Although there are 2087 scattered reports of palliation with radiotherapy and/or chemother apy, the response of cardiac sarcomas to these therapies is generally poor. The one exception appears to be cardiac lymphosarcomas, which may respond to a combination of chemo- and radiotherapy. Primary cardiac lymphoma is the most chemotherapy-sensitive primary cardiac malignancy, with long-term survival achieved in ~40% of treated individuals. </w:t>
      </w:r>
      <w:r w:rsidRPr="00F23836">
        <w:rPr>
          <w:rFonts w:ascii="Arial" w:hAnsi="Arial" w:cs="Arial"/>
        </w:rPr>
        <w:t>■</w:t>
      </w:r>
      <w:r w:rsidRPr="00F23836">
        <w:t xml:space="preserve">TUMORS METASTATIC TO THE HEART Metastatic cardiac tumors are much more common than primary cardiac tumors, and their incidence is likely to increase as the life expectancy of patients with various forms of malignant neoplasms is extended by more effective therapy and improved imaging modalities allow earlier identification of metastatic disease. Although cardiac metastases may occur with any tumor type, the relative incidence is especially high in malignant melanoma and, to a somewhat lesser extent, leukemia and lymphoma (Fig. 282-4). In absolute terms, the most common primary sites from which cardiac metastases originate are carcinoma of the breast and lung, reflecting the high incidence of these malignancies. Cardiac metastases almost always occur in the set ting of widespread primary disease; most often, there is either primary or metastatic disease elsewhere in the thoracic cavity. Cardiac metastases may occur via hematogenous or lymphangitic spread or by direct tumor invasion. While they generally manifest as small, firm nodules, diffuse infiltration also may occur, especially with sarcomas or hematologic neoplasms. The pericardium is most often involved, followed by myocardial involvement of any chamber and, rarely, by involvement of the </w:t>
      </w:r>
      <w:r w:rsidRPr="00F23836">
        <w:lastRenderedPageBreak/>
        <w:t xml:space="preserve">endocardium or cardiac valves. Cardiac metastases are clinically apparent only ~10% of the time, are usually not the cause of the patient’s presentation, and rarely are the cause of death. The vast majority occur in the setting of a previously recognized malignant neoplasm. As with primary cardiac tumors, the clinical presentation reflects more the location and size of the tumor than its histologic type. When symptomatic, cardiac metastases may result in a variety of clinical features, including dyspnea, acute pericar ditis, cardiac tamponade, ectopic tachyarrhythmias, heart block, and CHF. Importantly, many of these signs and symptoms may also result from myocarditis, pericarditis, or cardiomyopathy induced by radio therapy or chemotherapy, and a high index of suspicion for cardiac involvement should be maintained for patients with malignant disease who develop these symptoms. Electrocardiographic (ECG) findings are nonspecific but may reveal features consistent with pericarditis or may demonstrate low QRS volt age and electrical alternans in the setting of a large pericardial effusion. On chest x-ray, the cardiac silhouette is most often normal but may be enlarged or exhibit a bizarre contour. Echocardiography is useful for Met RV LV LA FIGURE 282-4 Large metastatic lesion (Met) in the left ventricle (LV) of a patient with diffusely metastatic bladder cancer. The mass arose from the interventricular septum and prolapsed into the aortic outflow tract during systole. identifying and assessing the significance of pericardial effusions and visualizing larger metastases, although CT and radionuclide imaging may define the tumor burden more clearly. Cardiac MRI offers superb image quality and plays a central role in the diagnostic evaluation of cardiac metastases and cardiac tumors in general. Pericardiocentesis may allow for a specific cytologic diagnosis in patients with malignant pericardial effusions with a reported sensitivity of 67–92%. Angiogra phy is rarely necessary but may help to delineate discrete myocardial lesions. TREATMENT CHAPTER 283 Tumors Metastatic to the Heart Most patients with cardiac metastases have advanced malignant disease; thus, therapy is generally palliative and consists of control ling symptoms and treatment of the primary tumor. Symptomatic malignant pericardial effusions should be drained by pericardiocen tesis. For patients with refractory or recurrent malignant pericardial effusion, the surgical creation of a pericardial window allowing for drainage of the effusion to the adjacent pleural or peritoneal space may prevent recurrent pericardial tamponade. Prolonged drainage (3–5 days) and concomitant instillation of a sclerosing agent (e.g., bleomycin) can be considered as a palliative measure in terminally ill patients. Given the overall poor prognosis of these patients, dis cussions regarding goals of care and involvement of palliative care services are often appropriate. Cardiac Trauma </w:t>
      </w:r>
      <w:r w:rsidRPr="00F23836">
        <w:rPr>
          <w:rFonts w:ascii="Arial" w:hAnsi="Arial" w:cs="Arial"/>
        </w:rPr>
        <w:t>■</w:t>
      </w:r>
      <w:r w:rsidRPr="00F23836">
        <w:t xml:space="preserve">FURTHER READING Bussani R et al: Cardiac tumors: Diagnosis, prognosis and treatment. Curr Cardiol Rep 22:169, 2020. Mousavi N et al: Assessment of cardiac masses by cardiac magnetic resonance imaging: Histological correlation and clinical outcomes. J Am Heart Assoc 8:e007829, 2019. Shapira O et al: Tumors of the heart, in Sabiston and Spenser Surgery of the Chest, 9th ed, FW Sellke et al (eds). Philadelphia, Elsevier, 2016, pp 1849–1857. Tamin SS et al: Prognostic and bioepidemiologic </w:t>
      </w:r>
      <w:r w:rsidRPr="00F23836">
        <w:lastRenderedPageBreak/>
        <w:t xml:space="preserve">implications of papil lary fibroelastomas. J Am Coll Cardiol 65:2420, 2015. Young PM et al: Computed tomography imaging of cardiac masses. Radiol Clin N Am 57:75, 2019. 283 Cardiac Trauma Alexandra R. Pipilas, Eric H. Awtry </w:t>
      </w:r>
      <w:r w:rsidRPr="00F23836">
        <w:rPr>
          <w:rFonts w:ascii="Arial" w:hAnsi="Arial" w:cs="Arial"/>
        </w:rPr>
        <w:t>■</w:t>
      </w:r>
      <w:r w:rsidRPr="00F23836">
        <w:t xml:space="preserve">CARDIAC TRAUMA Traumatic cardiac injury may be caused by either penetrating or nonpenetrating trauma; the latter is often referred to as blunt cardiac injury (BCI). Penetrating injuries most often result from gunshot or knife wounds, and the site of entry is usually obvious. Blunt cardiac injuries most often occur during motor vehicle accidents, either from rapid deceleration or from impact of the chest, but can also result from falls from heights, crush injuries, blast injuries, violent assault, or significant physical contact during sporting events. Importantly, rapid deceleration following motor vehicle accidents may be associated with significant cardiac injury even in the absence of external signs of thoracic trauma. </w:t>
      </w:r>
      <w:r w:rsidRPr="00F23836">
        <w:rPr>
          <w:rFonts w:ascii="Arial" w:hAnsi="Arial" w:cs="Arial"/>
        </w:rPr>
        <w:t>■</w:t>
      </w:r>
      <w:r w:rsidRPr="00F23836">
        <w:t xml:space="preserve">BLUNT CARDIAC INJURY Myocardial contusion is a nonspecific term that has been used to describe a broad spectrum of nonpenetrating cardiac injuries that 2088 TABLE 283-1 Spectrum of Cardiac Abnormalities Following Blunt Cardiac Injury ABNORMALITY PART 6 Disorders of the Cardiovascular System ECG abnormalities Elevated cardiac biomarkers Focal wall motion abnormality or hematoma Valvular insufficiency Myocardial rupture Coronary artery injury Pericardial effusion and tamponade COMMENTS Sinus tachycardia, RBBB, heart block, ST-T wave abnormalities, atrial and ventricular arrhythmias Troponin I or T are most specific Most commonly involving RV free wall, LV apex, and interventricular septum Most commonly involving mitral and tricuspid valves and occasionally the aortic valve Ventricular septal defect or free wall rupture Most commonly involving the LAD; usually presents as STEMI Resulting from free wall rupture or coronary artery laceration Abbreviations: ECG, electrocardiogram; LAD, left anterior descending coronary artery; LV, left ventricle; RBBB, right bundle branch block; RV, right ventricle; STEMI, ST-segment elevation myocardial infarction. result in abnormalities on electrocardiogram (ECG), elevation in cardiac biomarkers, and acute structural cardiac abnormalities (Table 283-1). Importantly, the cardiac injury may initially be overlooked in trauma patients as the clinical focus is directed toward other, more obvious injuries. Unfortunately, there is no one sign or symptom that confirms the diagnosis of BCI, and clinical, laboratory, and radiographic find ings may be nonspecific in the setting of significant trauma. The physi cal examination may be challenging in the setting of chest wall injury; however, patients should be carefully examined to detect pericardial rubs, cardiac murmurs, and evidence of pericardial tamponade (Chap. 281). The mechanism of injury and the presence of other chest trauma should be considered when determining the index of suspicion for BCI; however, there is no proven association between sternal or rib fractures and the presence of BCI, and significant cardiac injury may be present in the absence of chest wall abnormalities. Chest pain is common following thoracic trauma, and while it can indicate cardiac ischemia or pericardial injury, it often reflects mus culoskeletal trauma. Nonetheless, myocardial necrosis may occur as a direct result of the blunt injury or as a result of traumatic coronary laceration, dissection, or thrombosis. The injured </w:t>
      </w:r>
      <w:r w:rsidRPr="00F23836">
        <w:lastRenderedPageBreak/>
        <w:t xml:space="preserve">myocardium is pathologically similar to infarcted myocardium and may be associ ated with atrial or ventricular arrhythmias, conduction disturbances including bundle branch and atrioventricular (AV) nodal block, or abnormalities on ECG resembling those of infarction or pericarditis. Thus, it is important to obtain an ECG in all patients presenting with chest trauma. Serum creatine kinase, myocardial band (CK-MB) isoenzyme levels are increased in ~20% of patients who experience blunt chest trauma but may be falsely elevated in the presence of massive skeletal muscle injury and should not be relied upon to confirm the diagnosis of BCI in the setting of trauma. Cardiac troponin levels are more specific for identifying cardiac damage; patients with normal serial troponin levels after chest trauma are very unlikely to have sustained cardiac injury. When combined with a normal ECG, a normal troponin level at 6–8 h after chest trauma essentially excludes BCI. Echocardiography is the most useful modality for the detection of structural and functional sequelae of BCI, including regional wall motion abnormalities (most commonly involving the right ventricle, interventricular septum, or left ventricular apex), pericardial effusion, valvular dysfunction, and ventricular or ventricular septal rupture. A transthoracic echocardio gram (TTE) should be performed in all patients with suspected BCI, especially in those with an abnormal ECG, elevated troponin, or hemo dynamic instability; transesophageal echocardiography should be con sidered for patients in whom adequate TTE images cannot be obtained. Traumatic rupture of the cardiac valves or their supporting struc tures, most commonly of the tricuspid or aortic valves, leads to acute valvular incompetence. This complication is usually heralded by the development of a loud murmur, may be associated with rapidly progressive heart failure, and can be diagnosed by either TTE or trans esophageal echocardiography. BCI may also result in dissection, occlu sion, or laceration of the coronary arteries. ST elevation may be seen on the ECG, and prompt intervention is often required. The most serious consequence of nonpenetrating cardiac injury is myocardial rupture. Free wall rupture may result in hemopericar dium and tamponade while a ventricular septal rupture can result in significant intracardiac shunting. Although generally fatal, up to 40% of patients with cardiac rupture have been reported to survive long enough to reach a specialized trauma center. Hemopericardium also may result from traumatic rupture of a pericardial vessel or a coro nary artery. Additionally, pericarditis and/or pericardial effusion may develop weeks or even months after blunt chest trauma as a manifesta tion of the post–cardiac injury syndrome, an inflammatory condition that resembles the postpericardiotomy syndrome (Chap. 281). Blunt, nonpenetrating, often innocent-appearing injuries to the chest may trigger ventricular fibrillation even in the absence of struc tural myocardial damage. This syndrome, referred to as commotio cordis, occurs most often in adolescents during sporting events (e.g., baseball, hockey, football, and lacrosse) and is an electrical phenom enon that probably results from an impact to the chest wall overlying the heart during the susceptible phase of repolarization (just before the peak of the T wave). Survival depends on prompt defibrillation. Sudden emotional or physical trauma, even </w:t>
      </w:r>
      <w:r w:rsidRPr="00F23836">
        <w:lastRenderedPageBreak/>
        <w:t xml:space="preserve">in the absence of direct cardiac trauma, may precipitate a transient catecholamine-mediated cardiomyopathy referred to as takotsubo syndrome or apical ballooning syndrome (Chaps. 266–270). Rupture or transection of the aorta, usually just above the aortic valve or at the site of the tethering ligamentum arteriosum, is a com mon consequence of nonpenetrating chest trauma and is the most common vascular deceleration injury. The clinical presentation may be similar to that of aortic dissection (Chap. 291); the arterial pressure and pulse amplitude may be increased in the upper extremities and decreased in the lower extremities, and chest x-ray may reveal medi astinal widening. Aortic rupture into the left thoracic space is almost universally fatal; however, the rupture may occasionally be contained by the aortic adventitia, resulting in a false, or pseudo-, aneurysm that may be discovered months or years after the initial injury. TREATMENT Blunt Cardiac Injury The treatment of BCI depends on the specific injury sustained. Hemodynamically stable patients with a normal ECG and normal serial troponin levels are at low risk for BCI and usually do not require hospital admission for cardiac issues. Patients with an abnormal ECG, including those with conduction disturbances, and/ or elevated troponin but normal echocardiogram usually warrant 24–48 h of telemetry monitoring; however, other specific cardiac treatment is not usually required in the absence of the development of arrhythmias, as conduction disturbances are often transient. Patients with mechanical complications (acute valvular insuffi ciency, myocardial rupture) require urgent operative correction. </w:t>
      </w:r>
      <w:r w:rsidRPr="00F23836">
        <w:rPr>
          <w:rFonts w:ascii="Arial" w:hAnsi="Arial" w:cs="Arial"/>
        </w:rPr>
        <w:t>■</w:t>
      </w:r>
      <w:r w:rsidRPr="00F23836">
        <w:t xml:space="preserve">PENETRATING CARDIAC INJURY Penetrating injuries of the heart produced by knife or bullet wounds usually result in rapid clinical deterioration and frequently in death as a result of hemopericardium/pericardial tamponade or massive hemorrhage. Nonetheless, up to half of such patients may survive long enough to reach a specialized trauma center if immediate resuscitation is performed. Prognosis in these patients relates to the mechanism of injury, the specific cardiac chamber(s) involved, and their clinical con dition at presentation. In general, gunshot wounds are associated with a higher mortality than are knife wounds. Twenty percent of shooting victims survive versus up to 65% of stabbing victims. This is likely in part because ballistic wounds are more frequently associated with mul tichamber cardiac injury. As a result of its anterior position in the chest, the right ventricle (RV) is the most frequently injured cardiac chamber, 2089 RV LV A B FIGURE 283-1 Transthoracic echocardiogram demonstrating a traumatic ventricular septal defect. The patient underwent emergent repair of the right ventricle following a self-inflicted stab wound to the chest. Subsequent two-dimensional imaging (A) revealed a laceration of the interventricular septum (arrow) with color flow Doppler (B) demonstrating prominent left-to-right shunting across the defect. LV, left ventricle; RV, right ventricle. followed by the left ventricle (LV); isolated atrial injury is uncommon. Some studies suggest that RV injuries may be associated with a better prognosis than LV injuries, and most reports indicate that multicham ber involvement carries a worse prognosis than single-chamber injury. Patients who are in hemodynamic collapse at presentation to the emer gency department have a </w:t>
      </w:r>
      <w:r w:rsidRPr="00F23836">
        <w:lastRenderedPageBreak/>
        <w:t xml:space="preserve">particularly poor prognosis with a mortality rate approaching 90%, whereas ~75% of patients who are stable enough to be brought to the operating room will survive. TREATMENT CHAPTER 283 Cardiac Trauma Penetrating Cardiac Injury Cardiac perforation of the right atrium, the RV free wall, or the interventricular septum may occur as a complication of cardiac pro cedures including placement of central venous/intracardiac catheters, insertion of pacemaker/defibrillator leads, or performance of RV endo myocardial biopsies; and coronary arterial perforation can occur dur ing deployment of intracoronary stents. These iatrogenic injuries are associated with a better prognosis than are other forms of penetrating cardiac trauma, likely related to a more limited degree of cardiac injury and the rapid availability of corrective therapies. Traumatic rupture of a great vessel from penetrating injury is usually associated with hemothorax and, less often, hemopericardium, both of which are associated with significant mortality. Local hematoma formation may compress adjacent vessels and produce ischemic symp toms, and arteriovenous fistulas may develop, occasionally resulting in high-output heart failure. Some patients with penetrating chest injuries are hemodynamically stable at presentation and without symptoms to suggest cardiac injury; however, as many as 20% of these patients will have occult penetrating cardiac trauma. As a result, there should always be a high index of sus picion for cardiac injury in any patient with penetrating chest trauma, irrespective of clinical stability. TTE should be performed in all of these patients to assess for the presence of pericardial effusion or hematoma. Occasionally, patients who survive penetrating cardiac injuries may subsequently present days or weeks later with a new cardiac murmur or heart failure as a result of mitral or tricuspid regurgitation or an intracardiac shunt (i.e., ventricular or atrial septal defect, aortopulmo nary fistula, or coronary arteriovenous fistula) that was undetected at the time of the initial injury or developed subsequently (Fig. 283-1). Therefore, trauma patients should be examined carefully several weeks after the injury. If a mechanical complication is suspected, it can be confirmed by echocardiography or cardiac catheterization. Penetrating cardiac injury associated with hemodynamic insta bility is a surgical emergency and requires immediate resuscita tive measures including endotracheal intubation, establishment of large-bore intravenous access to facilitate massive volume resuscita tion, and immediate thoracotomy to allow for pericardial drainage and repair of cardiac injuries. Occasionally, cross-clamping of the descending aorta is required to perfuse the heart and brain pref erentially until hemodynamic stability can be achieved. Hemody namically stable patients in whom echocardiography reveals even a small pericardial effusion require urgent surgical exploration to evaluate for occult cardiac perforation. Pericardiocentesis may be lifesaving in patients with tamponade but is usually only a tempo rizing measure while awaiting definitive surgical therapy. In some survivors of penetrating cardiac injury, the pericardial hemorrhage predisposes to the development of constriction (Chap. 281), which may require surgical decortication. </w:t>
      </w:r>
      <w:r w:rsidRPr="00F23836">
        <w:rPr>
          <w:rFonts w:ascii="Arial" w:hAnsi="Arial" w:cs="Arial"/>
        </w:rPr>
        <w:t>■</w:t>
      </w:r>
      <w:r w:rsidRPr="00F23836">
        <w:t xml:space="preserve">FURTHER READING Ali H et al: Clinical and electrocardiographic features of complete heart block </w:t>
      </w:r>
      <w:r w:rsidRPr="00F23836">
        <w:lastRenderedPageBreak/>
        <w:t xml:space="preserve">after blunt cardiac injury: A systematic review of the literature. Heart Rhythm 14:1561, 2017. Biffl WL et at: Diagnosis and management of blunt cardiac injury: What you need to know. J Trauma Acute Care Surg 96:685, 2024. Crawford T et al: Thoracic trauma, in Sabiston and Spencer Surgery of the Chest, 9th ed, FW Sellke et al (eds). Philadelphia, Elsevier, 2016, pp 100–130. Ismailov RM et al: Trauma associated with cardiac dysrhythmias: Results from a large, matched case-control study. J Trauma 62:1186, 2007. Morse BC et al: Penetrating cardiac injuries: A 36-year perspective at an urban level 1 trauma center. J Trauma Acute Care Surg 81:623, 2016. Wu Y et al: Imaging of cardiac trauma. Radiol Clin N Am 57:795, 2019. Yousef R, Carr JA: Blunt cardiac trauma: A review of the current knowledge and management. Ann Thorac Surg 98:1134, 2014. 2090 Section 5 Coronary and Peripheral Vascular Disease PART 6 Disorders of the Cardiovascular System 284 Ischemic Heart Disease Robert P. Giugliano, Elliott M. Antman, Joseph Loscalzo Ischemic heart disease (IHD) is a condition in which there is an inad equate supply of blood and oxygen to a portion of the myocardium; it typically occurs when there is an imbalance between myocardial oxygen supply and demand. The most common cause of myocardial ischemia is atherosclerotic disease of an epicardial coronary artery (or arteries) sufficient to cause a regional reduction in myocardial blood flow and inadequate perfusion of the myocardium supplied by the involved coronary artery. This chapter focuses on the chronic manifestations and treatment of IHD (sometimes referred to as chronic coronary disease or chronic coronary syndrome), while the subsequent chapters address the acute phases of IHD. </w:t>
      </w:r>
      <w:r w:rsidRPr="00F23836">
        <w:rPr>
          <w:rFonts w:ascii="Arial" w:hAnsi="Arial" w:cs="Arial"/>
        </w:rPr>
        <w:t>■</w:t>
      </w:r>
      <w:r w:rsidRPr="00F23836">
        <w:t xml:space="preserve">EPIDEMIOLOGY AND GLOBAL TRENDS IHD causes more deaths and disability and incurs greater economic costs than any other illness in the developed world. IHD is the most common, serious, chronic, life-threatening illness in the United States, where 20.5 million persons have IHD. Although there is regional variation, ~3–4% of the population has sustained a myocardial infarc tion. Genetic factors, a high-fat and energy-rich diet, smoking, and a sedentary lifestyle are associated with the emergence of IHD. In the United States and Western Europe, IHD is growing among low-income groups, but primary prevention has delayed the disease to later in life across socioeconomic groups. Despite these sobering statistics, it is worth noting that epidemiologic data show a decline in the rate of deaths due to IHD, about half of which is attributable to treatments and half to prevention by risk factor modification. Obesity, insulin resistance, and type 2 diabetes mellitus are increas ing and are powerful risk factors for IHD. These trends are occurring in Macrocirculation Segment and size Epicardial arteries &gt;400 µm the general context of population growth and as a result of the increase in the average age of the world’s population. With urbanization in countries with emerging economies and a growing middle class, ele ments of the energy-rich Western diet are being adopted. As a result, the prevalence of risk factors for IHD and the prevalence of IHD itself are both increasing rapidly, so that in analyses of the global burden of disease, there is a shift from communicable to noncommunicable diseases, and it is estimated that globally over 200 million people live with IHD. Population </w:t>
      </w:r>
      <w:r w:rsidRPr="00F23836">
        <w:lastRenderedPageBreak/>
        <w:t xml:space="preserve">subgroups that appear to be particularly affected are men in South Asian countries, especially India and the Middle East. IHD is a major contributor to the number of disability-adjusted life years (DALYs) experienced globally. </w:t>
      </w:r>
      <w:r w:rsidRPr="00F23836">
        <w:rPr>
          <w:rFonts w:ascii="Arial" w:hAnsi="Arial" w:cs="Arial"/>
        </w:rPr>
        <w:t>■</w:t>
      </w:r>
      <w:r w:rsidRPr="00F23836">
        <w:t xml:space="preserve">PATHOPHYSIOLOGY Central to an understanding of the pathophysiology of myocardial ischemia is the concept of myocardial supply and demand. In normal conditions, for any given level of a demand for oxygen, the myocar dium will control the supply of oxygen-rich blood to prevent under perfusion of myocytes and the subsequent development of ischemia and infarction. The major determinants of myocardial oxygen demand (MVO2 ) are heart rate, myocardial contractility, and myocardial wall tension (stress). An adequate supply of oxygen to the myocardium requires a satisfactory level of oxygen-carrying capacity of the blood (determined by the inspired level of oxygen, pulmonary function, and hemoglobin concentration and function) and an adequate level of coronary blood flow. Blood flows through the coronary arteries in a phasic fashion, with the majority occurring during diastole. About 75% of the total coronary resistance to flow occurs across three sets of arteries: (1) large epicardial arteries (Resistance 1 = R1 ), (2) prear teriolar vessels (R2 ), and (3) arteriolar and intramyocardial capillary vessels (R3 ). In the absence of significant flow-limiting atheroscle rotic obstructions, R1 is trivial; the major determinant of coronary resistance is found in R2 and R3 (Fig. 284-1). The normal coronary circulation is dominated and controlled by the heart’s requirements for oxygen. This need is met by the ability of the coronary vascular bed to vary its resistance (and, therefore, blood flow) considerably while the myocardium extracts a high and relatively fixed percentage of oxygen. Normally, intramyocardial resistance vessels demonstrate a great capacity for dilation (R2 and R3 decrease). The changing oxygen needs of the heart with exercise and emotional stress affect coronary Microcirculation Small arteries 20 min). Ischemia also causes characteristic changes in the electrocardiogram (ECG) such as repolarization abnormalities, as evidenced by inversion 2092 Repetitive/progressive manifestations of ischemia Systolic dysfunction PART 6 Disorders of the Cardiovascular System Regional wall motion Decreased segmental perfusion Diastolic dysfunction Micro-infarction/myocardial fibrosis Altered metabolism/abnormal ST segment Decreased subendocardial perfusion Endothelial and microvascular dysfunction Near term Exposure time of mismatch in myocardial oxygen supply/demand Prolonged FIGURE 284-2 Cascade of mechanisms and manifestations of ischemia. (Reproduced with permission from LJ Shaw et al: Women and ischemic heart disease: Evolving knowledge. J Am Coll Cardiol 54:1561, 2009.) of T waves and, when more severe, displacement of ST segments (Chap. 247). Transient T-wave inversion probably reflects nontrans mural, intramyocardial ischemia; transient ST-segment depression often reflects patchy subendocardial ischemia; and ST-segment eleva tion is thought to be caused by more severe transmural ischemia. Another important consequence of myocardial ischemia is electrical instability, which may lead to isolated ventricular premature beats or even ventricular tachycardia or ventricular fibrillation (Chaps. 261 and 262). Most patients who die suddenly from IHD do so as a </w:t>
      </w:r>
      <w:r w:rsidRPr="00F23836">
        <w:lastRenderedPageBreak/>
        <w:t xml:space="preserve">result of ischemia-induced ventricular tachyarrhythmias (Chap. 317). </w:t>
      </w:r>
      <w:r w:rsidRPr="00F23836">
        <w:rPr>
          <w:rFonts w:ascii="Arial" w:hAnsi="Arial" w:cs="Arial"/>
        </w:rPr>
        <w:t>■</w:t>
      </w:r>
      <w:r w:rsidRPr="00F23836">
        <w:t xml:space="preserve">ASYMPTOMATIC VERSUS SYMPTOMATIC IHD Although the prevalence is decreasing, postmortem studies of acci dent victims and military casualties in Western countries show that coronary atherosclerosis can begin before age 20 and is present among adults who were asymptomatic during life. Exercise stress tests in asymptomatic persons may show evidence of silent myocardial isch emia, i.e., exercise-induced ECG changes not accompanied by angina pectoris; coronary angiographic studies of such persons may reveal coronary artery plaques and previously unrecognized obstructions (Chap. 249). Coronary artery calcifications (CACs) may be seen on computed tomography (CT) images of the heart, can be quantified in a CAC score, and may be used as adjunctive information to support a diagnosis of IHD. However, they should not be used as the primary screening modality or as the isolated basis on which to formulate thera peutic decisions. (See further discussion below.) Postmortem examina tion of patients with such obstructions without a history of clinical manifestations of myocardial ischemia often shows macroscopic scars secondary to myocardial infarction in regions supplied by diseased coronary arteries, with or without collateral circulation. According to population studies, ~25% of patients who survive acute myocardial infarction may not come to medical attention, and these patients have the same adverse prognosis as do those who present with the classic clinical picture of acute myocardial infarction (Chap. 286). Sudden death may be unheralded and is a common presenting manifestation of IHD (Chap. 317). Patients with IHD also can present with cardiomegaly and heart failure secondary to ischemic damage of the LV myocardium that may have caused no symptoms before the development of heart failure; this condition is referred to as ischemic cardiomyopathy. In contrast to the asymptomatic phase of IHD, the symptomatic phase is characterized by chest discomfort due to either angina pectoris or acute myocardial infarction (Chap. 286). Having entered the symptomatic phase, the patient may exhibit a stable or progressive course, revert to the asymp tomatic stage, or die suddenly. STABLE ANGINA PECTORIS This episodic clinical syndrome is a result of transient myocardial isch emia. Various diseases that cause myocardial ischemia and the numer ous forms of discomfort with which it may be confused are discussed in Chap. 15. Males constitute ~70% of all patients with angina pectoris and an even greater proportion of those aged 50 years or a woman &gt;60 years of age who complains of episodes of chest discomfort, usually described as heaviness, pressure, squeezing, smothering, or choking and only rarely as frank pain. When the patient is asked to localize the sensation, they typically place a hand over the sternum, sometimes with a clenched fist, to indicate a squeezing, central, substernal discomfort (Levine’s sign). Angina is usually crescendo decrescendo in nature (typically with the severity of the discomfort not at its most intense level at the outset of symptoms), typically lasts 2–5 min, and can radiate to either shoulder and to both arms (espe cially the ulnar aspects of the forearm and hand). It also can arise in or radiate to the back, interscapular region, root of the neck, jaw, teeth, and epigastrium. Angina is rarely localized below the </w:t>
      </w:r>
      <w:r w:rsidRPr="00F23836">
        <w:lastRenderedPageBreak/>
        <w:t xml:space="preserve">umbilicus or above the mandible. A useful finding in assessing a patient with chest discomfort is the fact that myocardial ischemic discomfort does not radiate to the trapezius muscles; that radiation pattern is more typical of pericarditis. Although episodes of angina typically are caused by exertion (e.g., exercise, hurrying, or sexual activity) or emotion (e.g., stress, anger, fright, or frustration) and are relieved by rest, they also may occur at rest and while the patient is recumbent (angina decubitus). The patient may be awakened at night by typical chest discomfort and dyspnea. Nocturnal angina may be due to episodic tachycardia, diminished oxygenation as the respiratory pattern changes during sleep, or expan sion of the intrathoracic blood volume that occurs with recumbency; the latter causes an increase in cardiac size (end-diastolic volume), wall 2093 tension, and myocardial oxygen demand that can lead to ischemia and transient LV failure. The threshold for the development of angina pectoris may vary by time of day and emotional state. Many patients report a fixed threshold for angina, occurring predictably at a certain level of activity, such as climbing two flights of stairs at a normal pace. In these patients, coro nary stenosis and myocardial oxygen supply are fixed, and ischemia is precipitated by an increase in myocardial oxygen demand; they are said to have stable exertional angina. In other patients, the threshold for angina may vary considerably within any particular day and from day to day. In such patients, variations in myocardial oxygen supply, most likely due to changes in coronary vasomotor tone, may play an important role in defining the pattern of angina. A patient may report symptoms upon minor exertion in the morning yet by midday be capable of much greater effort without symptoms. Angina may also be precipitated by unfamiliar circumstances, a heavy meal, exposure to cold, or a combination of these factors. Exertional angina typically is relieved in 1–5 min by slowing or ceas ing activities and even more rapidly by rest and sublingual nitroglyc erin (see below). Indeed, the diagnosis of angina should be suspect if it does not respond to the combination of these measures. The severity of angina can be conveniently summarized by the Canadian Cardiac Soci ety functional classification (Table 284-1). Its impact on the patient’s functional capacity can be described by using the New York Heart Association functional classification (Table 284-1). Sharp, fleeting chest pain or a prolonged, dull ache localized to the left submammary area is rarely due to myocardial ischemia. However, especially in women and patients with diabetes mellitus, angina pec toris may be atypical in location and not strictly related to provoking factors. In addition, this symptom may exacerbate and remit over days, weeks, or months. Its occurrence can be seasonal, occurring more TABLE 284-1 Cardiovascular Disease Classification Chart CLASS I NEW YORK HEART ASSOCIATION FUNCTIONAL CLASSIFICATION Patients have cardiac disease but without the resulting limitations of physical activity. Ordinary physical activity does not cause undue fatigue, palpitation, dyspnea, or anginal pain. CANADIAN CARDIOVASCULAR SOCIETY FUNCTIONAL CLASSIFICATION Ordinary physical activity, such as walking and climbing stairs, does not cause angina. Angina present with strenuous or rapid or prolonged exertion at work or recreation. II III IV </w:t>
      </w:r>
      <w:r w:rsidRPr="00F23836">
        <w:lastRenderedPageBreak/>
        <w:t xml:space="preserve">Patients have cardiac disease resulting in slight limitation of physical activity. They are comfortable at rest. Ordinary physical activity results in fatigue, palpitation, dyspnea, or anginal pain. Patients have cardiac disease resulting in marked limitation of physical activity. They are comfortable at rest. Less than ordinary physical activity causes fatigue, palpitation, dyspnea, or anginal pain. Patients have cardiac disease resulting in inability to carry on any physical activity without discomfort. Symptoms of cardiac insufficiency or of the anginal syndrome may be present even at rest. If any physical activity is undertaken, discomfort is increased. Slight limitation of ordinary activity. Walking or climbing stairs rapidly, walking uphill, walking or stair climbing after meals, in cold, or when under emotional stress or only during the few hours after awakening. Walking more than two blocks on the level and climbing more than one flight of stairs at a normal pace and in normal conditions. Marked limitation of ordinary physical activity. Walking one to two blocks on the level and climbing one flight of stairs at normal pace. Inability to carry on any physical activity without discomfort— anginal syndrome may be present at rest. Source: Reproduced with permission from L Goldman et al: Comparative reproducibility and validity of systems for assessing cardiovascular functional class: Advantages of a new specific activity scale. Circulation 64:1227, 1981. frequently in the winter in temperate climates. Anginal “equivalents” are symptoms of myocardial ischemia other than angina. They include dyspnea, nausea, fatigue, and faintness and are more common in the elderly and in patients with diabetes mellitus. Systematic questioning of a patient with suspected IHD is impor tant to uncover the features of an unstable syndrome associated with increased risk, such as angina occurring with less exertion than in the past, occurring at rest, or awakening the patient from sleep. Since coro nary atherosclerosis often is accompanied by similar lesions in other arteries, a patient with angina should be questioned and examined for peripheral arterial disease (intermittent claudication [Chap. 292]), stroke, or transient ischemic attacks (Chap. 437). It is also important to uncover a family history of premature IHD (0.2 mV (2 mm), a fall in systolic blood pressure &gt;10 mmHg, or the development of a ventricular tachyarrhyth mia. This test is used to discover any limitation in exercise performance, detect typical ECG signs of myocardial ischemia, and establish their relationship to chest discomfort. The ischemic ST-segment response generally is defined as flat or downsloping depression of the ST segment &gt;0.1 mV below baseline (i.e., the PR segment) and lasting longer than 0.08 s (Fig. 284-2). Upsloping or junctional ST-segment changes are not considered characteristic of ischemia and do not constitute a positive test. Although T-wave abnormalities, conduction disturbances, and ventricular arrhythmias that develop during exercise should be noted, they are also not diagnostic. Negative exercise tests in which the target heart rate (85% of maximal predicted heart rate for age and sex) is not achieved are considered nondiagnostic. In interpreting ECG stress tests, the probability that coronary artery disease (CAD) exists in the patient or population under study (i.e., pretest probability) should be considered. A positive result on exer cise indicates that the likelihood of CAD is 98% in males who are </w:t>
      </w:r>
      <w:r w:rsidRPr="00F23836">
        <w:lastRenderedPageBreak/>
        <w:t xml:space="preserve">&gt;50 years with a history of typical angina pectoris and who develop chest discomfort during the test. The likelihood decreases if the patient has atypical or no chest pain by history and/or during the test. The incidence of false-positive tests is significantly increased in patients with low probabilities of IHD, such as asymptomatic men age 0.2 mV) ST-segment depression at a low workload, i.e., before completion of stage II of the Bruce protocol, and/or ST-segment depression that persists &gt;5 min after the termination of exercise increases the specificity of the test and suggests severe IHD and a high risk of future adverse events. Cardiac Imaging (See also Chap. 248) When the resting ECG is abnormal (e.g., preexcitation syndrome, &gt;1 mm of resting ST-segment depression, left bundle branch block, paced ventricular rhythm), information gained from an exercise test can be enhanced by stress myocardial radionuclide perfusion imaging after the intravenous administration of thallium-201 or 99m-technetium sestamibi during exercise (or with pharmacologic) stress. Contemporary data also sug gest positron emission tomography (PET) imaging (with exercise or pharmacologic stress) using N-13 ammonia or rubidium-82 as another technique for assessing perfusion. Images obtained immediately after cessation of exercise to detect regional ischemia are compared with those obtained at rest to confirm reversible ischemia and regions of persistently absent uptake that signify infarction. A sizable fraction of patients who need noninvasive stress testing to identify myocardial ischemia and increased risk of coronary events cannot exercise because of peripheral vascular or musculoskeletal disease, exertional dyspnea, or deconditioning. In these circum stances, an intravenous pharmacologic challenge is used in place of exercise. For example, adenosine can be given to create a coronary “steal” by temporarily increasing flow in nondiseased segments of the coronary vasculature at the expense of diseased segments. Alternatively, a graded incremental infusion of dobutamine may be administered to increase MVO2 . A variety of imaging options are available to accompany these pharmacologic stressors (Fig. 284-3). The development of a transient perfusion defect with a tracer such as thallium-201 or 99m-technetium sestamibi is used to detect myo cardial ischemia. 2095 Echocardiography is used to assess LV function in patients with chronic stable angina and patients with a history of a prior myocardial infarction, pathologic Q waves, or clinical evidence of heart failure. Two dimensional echocardiography can assess both global and regional wall motion abnormalities of the left ventricle that are transient when due to ischemia. Stress (exercise or dobutamine) echocardiography may cause the emergence of regions of akinesis or dyskinesis that are not present at rest. Stress echocardiography, like stress myocardial perfusion imaging, is more sensitive than exercise electrocardiography No diagnostic testing mandated Coronary CTA in the diagnosis of IHD. Cardiac magnetic resonance (CMR) stress testing is also evolving as an alternative to radionuclide, PET, or echocardiographic stress imaging. CMR stress testing performed with dobutamine infusion can be used to assess wall motion abnormalities accompanying ischemia, as well as myocardial perfusion. CMR can be used to provide more complete ventricular </w:t>
      </w:r>
      <w:r w:rsidRPr="00F23836">
        <w:lastRenderedPageBreak/>
        <w:t xml:space="preserve">evaluation using multislice magnetic resonance imaging (MRI) studies. Atherosclerotic plaques become progressively calcified over time, and coronary calcification in general increases with age. For this Choice of the test based on clinical likelihood, patient characteristics and preference, availability, as well as local expertise Testing for ischemia (imaging testing preferred) Very low Invasive angiography (with iwFR/FFR) Clinical likelihood of obstructive CAD Very high CHAPTER 284 Ischemic Heart Disease A FIGURE 284-3 Selecting appropriate testing patients with angina and suspected coronary artery disease (CAD). On the left of the figure is an algorithm for selecting from among testing options. In patients who are at low risk, in whom prior testing was equivocal, or in whom the diagnosis of is CAD uncertain, noninvasive functional stress testing with imaging for myocardial ischemia or computed tomography angiography (CTA) is reasonable to establish the diagnosis of CAD prior to initiation of treatment. Patients with a high clinical likelihood of CAD, patients with symptoms despite antianginal therapy or with low-level activities, and patients with high-risk features based on the initial clinical evaluation may proceed directly to invasive coronary angiography without further diagnostic testing. (Adapted from J Knuuti et al: 2019 ESC guidelines for the diagnosis and management of chronic coronary syndromes. Eur Heart J 41:407, 2020.) Panels A–F are examples of the data obtained with electrocardiogram (ECG) monitoring and specialized imaging procedures. CMR, cardiac magnetic resonance; EBCT, electron beam computed tomography; ECHO, echocardiography; FFR, fractional flow reserve; IHD, ischemic heart disease; iwFR, instantaneous wave-free ration; MIBI, methoxyisobutyl isonitrite; MR, magnetic resonance; PET, positron emission tomography. A. Lead V4 at rest (top panel) and after 4.5 min of exercise (bottom panel). There is 3 mm (0.3 mV) of horizontal ST-segment depression, indicating a positive test for ischemia. (Adapted from BR Chaitman, in E Braunwald et al [eds]: Heart Disease, 8th ed, Philadelphia, Saunders, 2008.) B. A 45-year-old avid jogger who began experiencing classic substernal chest pressure underwent an exercise echo study. With exercise, the patient’s heart rate increased from 52 to 153 beats/min. The left ventricular chamber dilated with exercise, and the septal and apical portions became akinetic to dyskinetic (red arrow). These findings are strongly suggestive of a significant flow-limiting stenosis in the proximal left anterior descending artery, which was confirmed at coronary angiography. (Modified from SD Solomon, in E Braunwald et al [eds]: Primary Cardiology, 2nd ed, Philadelphia, Saunders, 2003.) C. Stress and rest myocardial perfusion single-photon emission computed tomography images obtained with 99m-technetium sestamibi in a patient with chest pain and dyspnea on exertion. The images demonstrate a medium-size and severe stress perfusion defect involving the inferolateral and basal inferior walls, showing nearly complete reversibility, consistent with moderate ischemia in the right coronary artery territory (red arrows). (Images provided by Dr. Marcello Di Carli, Nuclear Medicine Division, Brigham and Women’s Hospital, Boston, MA.) D. A patient with a prior myocardial infarction presented with recurrent chest discomfort. On cardiac magnetic resonance (CMR) cine </w:t>
      </w:r>
      <w:r w:rsidRPr="00F23836">
        <w:lastRenderedPageBreak/>
        <w:t xml:space="preserve">imaging, a large area of anterior akinesia was noted (marked by the arrows in the top left and right images, systolic frame only). This area of akinesia was matched by a larger extent of late gadolinium-DTPA enhancements consistent with a large transmural myocardial infarction (marked by arrows in the middle left and right images). Resting (bottom left) and adenosine vasodilating stress (bottom right) first-pass perfusion images revealed reversible perfusion abnormality that extended to the inferior septum. This patient was found to have an occluded proximal left anterior descending coronary artery with extensive collateral formation. This case illustrates the utility of different modalities in a CMR examination in characterizing ischemic and infarcted myocardium. DTPA, diethylenetriamine penta-acetic acid. (Images provided by Dr. Raymond Kwong, Cardiovascular Division, Brigham and Women’s Hospital, Boston, MA.) E. Stress and rest myocardial perfusion PET images obtained with rubidium-82 in a patient with chest pain on exertion. The images demonstrate a large and severe stress perfusion defect involving the mid and apical anterior, anterolateral, and anteroseptal walls and the left ventricular apex, showing complete reversibility, consistent with extensive and severe ischemia in the mid-left anterior descending coronary artery territory (red arrows). (Images provided by Dr. Marcello Di Carli, Nuclear Medicine Division, Brigham and Women’s Hospital, Boston, MA.) F. A 58-year-old woman with psoriasis presented with chest discomfort and underwent coronary CT angiography (CCTA) for further evaluation. There was a large amount of mostly noncalcified plaque resulting in severe (&gt;70%) stenosis of the mid left anterior descending artery (LAD) and the mid-right coronary artery (RCA). There was minimal plaque in the left circumflex (LCx). CCTA data can be used to reconstruct three-dimensional images to aid visualization. In addition, each coronary artery can be visualized en face by creating a short axis along the length of the coronary segment being visualized. In this case, the stenosis of the LAD is seen in the red box (corresponding to the level of the dashed red line) and compared with the proximal normal segment in the green box (corresponding to the level of the dashed green line). (Images provided by Dr. Ron Blankstein, Cardiovascular Division, Brigham and Women’s Hospital, Boston, MA.) 2096 PART 6 Disorders of the Cardiovascular System FIGURE 284-3 (Continued) Ischemic Heart Disease 2097 CHAPTER 284 reason, methods for detecting coronary calcium have been developed as a measure of the presence of coronary atherosclerosis. These meth ods involve CT applications that achieve rapid acquisition of images (electron beam [EBCT] and multidetector [MDCT] detection). Coro nary calcium detected by these imaging techniques most commonly is quantified by using the Agatston score, which is based on the area and density of calcification. Coronary CT angiography (CCTA) (Fig. 284-3) is helpful in diag nosing the extent and severity of nonobstructive and obstructive IHD, as well as assessing plaque composition. Thus, CCTA is an attractive option when the pretest likelihood of IHD is intermediate in a young patient (&lt; 65 years) with chest pain or less obstructive IHD is sus pected. Stress imaging is the preferred diagnostic test when the goal is assessing the adequacy of ischemia-guided management. </w:t>
      </w:r>
      <w:r w:rsidRPr="00F23836">
        <w:rPr>
          <w:rFonts w:ascii="Arial" w:hAnsi="Arial" w:cs="Arial"/>
        </w:rPr>
        <w:t>■</w:t>
      </w:r>
      <w:r w:rsidRPr="00F23836">
        <w:t xml:space="preserve">CORONARY ARTERIOGRAPHY (See </w:t>
      </w:r>
      <w:r w:rsidRPr="00F23836">
        <w:lastRenderedPageBreak/>
        <w:t xml:space="preserve">also Chap. 249) This diagnostic method outlines the lumina of the coronary arteries and can be used to detect or exclude serious coronary obstruction. However, coronary arteriography provides no TABLE 284-2 Relation of Metabolic Equivalent Tasks (METs) to Stages in Various Testing Protocols FUNCTIONAL CLASS CLINICAL STATUS O2 COST mL/Kg/min METs TREADMILL PROTOCOLS NORMAL AND I </w:t>
      </w:r>
      <w:r w:rsidRPr="00F23836">
        <w:rPr>
          <w:rFonts w:ascii="Aptos" w:hAnsi="Aptos" w:cs="Aptos"/>
        </w:rPr>
        <w:t>      </w:t>
      </w:r>
      <w:r w:rsidRPr="00F23836">
        <w:t xml:space="preserve">BRUCE Modified 3 min Stages BRUCE 3 min Stages MPH %GR MPH %GR 6.0 22 6.0 22 HEALTHY, DEPENDENT ON AGE, ACTIVITY 5.5 20 5.2 20 5.0 18 5.0 18 56.0 16   52.5 15 49.0 14 45.5 13 4.2 16 4.2 16 42.0 12     38.5 11 3.4 14 3.4 14 SEDENTARY HEALTHY 35.0 10   31.5 9 28.0 8 LIMITED 24.5 7 2.5 12 2.5 12 II  SYMPTOMATIC 21.0 6  17.5 5 1.7 10 1.7 10 III 14.0 4     10.5 3 1.7 5  7.0 2 1.7 0 IV 3.5 1  Note: The standard Bruce treadmill protocol (right-hand column) begins at 1.7 MPH and 10% gradient (GR) and progresses every 3 min to a higher speed and elevation. The corresponding oxygen consumption and clinical status of the patient are shown in the center and left-hand columns. Abbreviations: GR, grade; MPH, miles per hour. Source: Reproduced with permission from GF Fletcher et al: Exercise standards for testing and training. Circulation 104:1694, 2001. FIGURE 284-3 (Continued) information about the arterial wall, and severe atherosclerosis that does not encroach on the lumen may go undetected. Of note, atherosclerotic plaques characteristically are scattered throughout the coronary tree, tend to occur more frequently at branch points, and grow progressively in the intima and media of an epicardial coronary artery at first without encroaching on the lumen, causing an outward bulging of the artery—a process referred to as remodeling. Later in the course of the disease, further growth causes luminal narrowing. Indications The ISCHEMIA trial informs decision-making about referral for coronary arteriography (with intent to perform revascular ization) in patients with stable IHD and an ejection fraction &gt;35% even in the presence of moderate-severe ischemia on noninvasive functional testing. Over the course of 4 years of follow-up, early referral for an invasive strategy was not associated with a reduction in the risk of myocardial infarction or death but was more effective than an initial conservative, medical strategy in relieving angina. Thus, coronary arteriography is indicated in (1) patients with chronic stable angina pectoris who are severely symptomatic despite medical therapy and are F 2098 PART 6 Disorders of the Cardiovascular System being considered for revascularization, i.e., a percutaneous coronary intervention (PCI) or coronary artery bypass grafting (CABG); (2) patients with troublesome symptoms that present diagnostic difficul ties in whom there is a need to confirm or rule out the diagnosis of IHD; (3) patients with known or possible angina pectoris who have survived cardiac arrest; and (4) patients with angina or evidence of ischemia on noninvasive testing with clinical or laboratory evidence of ventricular dysfunction. Examples of other indications for coronary arteriography include the following: 1. Patients with chest discomfort suggestive of angina pectoris but a negative or nondiagnostic stress test who require a definitive diag nosis for guiding medical management, alleviating psychological stress, career or family planning, or insurance purposes. 2. Patients who have been admitted repeatedly to the hospital for a </w:t>
      </w:r>
      <w:r w:rsidRPr="00F23836">
        <w:lastRenderedPageBreak/>
        <w:t xml:space="preserve">suspected acute coronary syndrome (Chaps. 285 and 286), but in whom this diagnosis has not been established and in whom it is considered clinically important to determine the presence or absence of CAD. 3. Patients with careers that involve the safety of others (e.g., pilots, firefighters, police) who have questionable symptoms or suspicious or positive noninvasive tests and in whom there are reasonable doubts about the state of the coronary arteries. 4. Patients with aortic stenosis or hypertrophic cardiomyopathy and angina in whom the chest pain could be due to IHD. 5. Male patients &gt;45 years and females &gt;55 years who are to undergo a cardiac operation such as valve replacement or repair and who may or may not have clinical evidence of myocardial ischemia. 6. Patients after myocardial infarction, especially those who are at high risk after myocardial infarction because of the recurrence of angina or the presence of heart failure, frequent ventricular premature con tractions, or signs of ischemia on the stress test. 7. Patients in whom coronary spasm or another nonatherosclerotic cause of myocardial ischemia (e.g., coronary artery anomaly, Kawa saki disease) is suspected. Noninvasive alternatives to diagnostic coronary arteriography include CT angiography and CMR angiography (Chap. 248). Important aspects of their use that should be noted include the substantially higher radia tion exposure with CT angiography compared to conventional diag nostic arteriography and the limitations on CMR imposed by cardiac movement during the cardiac cycle, especially at high heart rates. </w:t>
      </w:r>
      <w:r w:rsidRPr="00F23836">
        <w:rPr>
          <w:rFonts w:ascii="Arial" w:hAnsi="Arial" w:cs="Arial"/>
        </w:rPr>
        <w:t>■</w:t>
      </w:r>
      <w:r w:rsidRPr="00F23836">
        <w:t xml:space="preserve">PROGNOSIS The principal prognostic indicators in patients known to have IHD are age, the functional state of the left ventricle, the location(s) and severity of coronary artery narrowing, and the severity or activity of myocardial ischemia. Angina pectoris of recent onset, unstable angina (Chap. 285), early postmyocardial infarction angina, angina that is unresponsive or poorly responsive to medical therapy, and angina accompanied by symptoms of congestive heart failure all indicate an increased risk for adverse coronary events. The same is true for the physical signs of heart failure, episodes of pulmonary edema, transient third heart sounds, and mitral regurgitation and for echocardiographic or radioisotopic (or roentgenographic) evidence of cardiac enlarge ment and reduced (5 min after the cessation of exercise, a decline in systolic pressure &gt;10 mmHg during exercise, or the development of ventricular tachyar rhythmias during exercise); the development of large or multiple perfusion defects or increased lung uptake during stress radioisotope perfusion imaging; and a decrease in LV ejection fraction during exer cise on radionuclide ventriculography or during stress echocardiog raphy. Conversely, patients who can complete stage III of the Bruce exercise protocol and have a normal stress perfusion scan or negative stress echocardiographic evaluation are at very low risk for future coro nary events. The finding of frequent episodes of ST-segment deviation on ambulatory ECG monitoring (even in the absence of symptoms) is also an adverse prognostic finding. On cardiac catheterization, elevations of LV end-diastolic pressure and ventricular volume and reduced ejection fraction are the most important signs of LV dysfunction and are associated with a poor prog nosis. Patients with chest discomfort but normal LV function and normal coronary arteries have an excellent </w:t>
      </w:r>
      <w:r w:rsidRPr="00F23836">
        <w:lastRenderedPageBreak/>
        <w:t xml:space="preserve">prognosis. Obstructive lesions of the left main (&gt;50% luminal diameter) or left anterior descending coronary artery proximal to the origin of the first septal artery are associated with a greater risk than are lesions of the right or left circumflex coronary artery because of the greater quantity of myocardium at risk. Athero sclerotic plaques in epicardial arteries with fissuring or filling defects indicate increased risk. These lesions go through phases of inflammatory cellular activity, degeneration, endothelial dysfunction, abnormal vaso motion, platelet aggregation, and fissuring or hemorrhage. These factors can temporarily worsen the stenosis and cause thrombosis and/or abnor mal reactivity of the vessel wall, thus exacerbating the manifestations of ischemia. The recent onset of symptoms, the development of severe ischemia during stress testing (see above), and unstable angina pectoris (Chap. 285) all reflect episodes of rapid progression in coronary lesions. With any degree of obstructive CAD, mortality is greatly increased when LV function is impaired; conversely, at any level of LV function, the prognosis is influenced importantly by the quantity of myocardium perfused by critically obstructed vessels. Therefore, it is essential to col lect all the evidence substantiating past myocardial damage (evidence of myocardial infarction on ECG, echocardiography, radioisotope imaging, or left ventriculography), residual LV function (ejection frac tion and wall motion), and risk of future damage from coronary events (extent of coronary disease and severity of ischemia defined by nonin vasive stress testing). The larger the quantity of established myocardial necrosis is, the less the heart is able to withstand additional damage and the poorer the prognosis. Risk estimation must include age, presenting symptoms, all risk factors, signs of arterial disease, existing cardiac damage, and signs of impending damage (i.e., ischemia). The greater the number and severity of risk factors for coronary atherosclerosis (advanced age [&gt;75 years], hypertension, dyslipidemia, diabetes, morbid obesity, accompanying peripheral and/or cerebrovas cular disease, previous myocardial infarction), the worse the prognosis of an angina patient. Evidence exists that elevated levels of CRP in the plasma, extensive coronary calcification on EBCT (see above), and increased carotid intimal thickening on ultrasound examination also indicate an increased risk of coronary events. TREATMENT Stable Angina Pectoris Once the diagnosis of IHD has been made, each patient must be evaluated individually with respect to their level of understanding, expectations and goals, control of symptoms, and prevention of adverse clinical outcomes such as myocardial infarction and prema ture death. The degree of disability and the physical and emotional stress that precipitates angina must be recorded carefully to set treatment goals. The management plan should include the following components: (1) explanation of the problem and reassurance about the ability to formulate a treatment plan, (2) identification and treat ment of aggravating conditions, (3) recommendations for adaptation of activity as needed, (4) treatment of risk factors that will decrease the occurrence of adverse coronary outcomes, (5) drug therapy for angina, and (6) consideration of revascularization. Emphasis should be placed on a patient-centric, team-based approach to care, with recognition of the importance of social </w:t>
      </w:r>
      <w:r w:rsidRPr="00F23836">
        <w:lastRenderedPageBreak/>
        <w:t xml:space="preserve">determinants of health. EXPLANATION AND REASSURANCE Patients with IHD need to understand their condition and realize that a long and productive life is possible even though they have angina pectoris or have experienced and recovered from an acute Ischemic Heart Disease 2099 CHAPTER 284 myocardial infarction. Offering results of clinical trials showing improved outcomes can be of great value in encouraging patients to resume or maintain activity and return to work. A planned program of rehabilitation can encourage patients to lose weight, improve exercise tolerance, and control risk factors with more confidence. IDENTIFICATION AND TREATMENT OF AGGRAVATING CONDITIONS A number of conditions may increase oxygen demand or decrease oxygen supply to the myocardium and may precipitate or exacer bate angina in patients with IHD. LVH, aortic valve disease, and hypertrophic cardiomyopathy may cause or contribute to angina and should be excluded or treated. Obesity, hypertension, and hyperthyroidism should be treated aggressively to reduce the fre quency and severity of anginal episodes. Decreased myocardial oxy gen supply may be due to reduced oxygenation of the arterial blood (e.g., in pulmonary disease or, when carboxyhemoglobin is present, due to cigarette or cigar smoking) or decreased oxygen-carrying capacity (e.g., in anemia). Correction of these abnormalities, if pres ent, may reduce or even eliminate angina pectoris. ADAPTATION OF ACTIVITY Myocardial ischemia is caused by a discrepancy between the demand of the heart muscle for oxygen and the ability of the coro nary circulation to meet that demand. Most patients can be helped to understand this concept and utilize it in the rational programming of activity. Many tasks that ordinarily evoke angina may be accom plished without symptoms simply by reducing the speed at which they are performed. Patients must appreciate the diurnal variation in their tolerance of certain activities and reducing their energy requirements in the morning, immediately after meals, and in cold or inclement weather. On occasion, it may be necessary to recom mend a change in employment or residence to avoid physical stress. Physical conditioning usually improves the exercise tolerance of patients with angina and has substantial psychological benefits. A regular program of isotonic exercise that is within the limits of the individual patient’s threshold for the development of angina pectoris and that does not exceed 80% of the heart rate associated with ischemia on exercise testing should be strongly encouraged. Based on the results of an exercise test, the number of metabolic equivalent tasks (METs) performed at the onset of ischemia can be estimated (Table 284-2) and a practical exercise prescription can be formulated to permit daily activities that will fall below the ischemic threshold (Table 284-3). TREATMENT OF RISK FACTORS A family history of premature IHD is an important indicator of increased risk and should trigger a search for treatable risk fac tors such as hyperlipidemia, hypertension, and diabetes mellitus. Obesity impairs the treatment of other risk factors and increases the risk of adverse coronary events. In addition, obesity often is accompanied by three other risk factors: diabetes mellitus, hyper tension, and hyperlipidemia. The treatment of obesity and these accompanying risk factors is an important component of any management plan. </w:t>
      </w:r>
      <w:r w:rsidRPr="00F23836">
        <w:lastRenderedPageBreak/>
        <w:t xml:space="preserve">A diet low in saturated and trans-unsaturated fatty acids and a reduced caloric intake to achieve optimal body weight are a cornerstone in the management of chronic IHD. It is especially important to emphasize weight loss and regular exer cise in patients with the metabolic syndrome or overt diabetes mellitus. Cigarette smoking accelerates coronary atherosclerosis in both sexes and at all ages and increases the risk of thrombosis, plaque instability, myocardial infarction, and death. In addition, by increasing myocardial oxygen needs and reducing oxygen supply, it aggravates angina. Smoking cessation studies have demonstrated important benefits with a significant decline in the occurrence of these adverse outcomes. Noncombustible tobacco in the form of electronic cigarettes (nicotine delivery systems) may also increase the frequency of anginal episodes. The physician’s message must be clear and strong and supported by programs that achieve and monitor abstinence from all tobacco product use (Chap. 465). TABLE 284-3 Energy Requirements for Some Common Activities LESS THAN 3 METs 3–5 METs 5–7 METs 7–9 METs MORE THAN 9 METs Self-Care Washing/shaving Cleaning windows Easy digging in garden Heavy shoveling Carrying loads upstairs (objects &gt;90 lb) Dressing Raking Level hand lawn mowing Carrying objects (60–90 lb) Climbing stairs (quickly) Light housekeeping Power lawn mowing Carrying objects (30–60 lb) Shoveling heavy snow Desk work Bed making/stripping    Driving auto Carrying objects (15–30 lb) Occupational Sitting (clerical/assembly) Stocking shelves (light objects) Carpentry (exterior) Digging ditches (pick and shovel) Heavy labor Desk work Light welding/carpentry Shoveling dirt Standing (store clerk) Sawing wood Recreational Golf (cart) Dancing (social) Tennis (singles) Canoeing Squash Knitting Golf (walking) Snow skiing (downhill) Mountain climbing Ski touring Sailing Light backpacking Vigorous basketball Tennis (doubles) Basketball Stream fishing Physical Conditioning Walking (2 mph) Level walking (3–4 mph) Level walking (4.5–5.0 mph) Level jogging (5 mph) Running more than 6 mph Stationary bike Level biking (6–8 mph) Bicycling (9–10 mph) Swimming (crawl stroke) Bicycling (more than 13 mph) Very light calisthenics Light calisthenics Swimming, breast stroke Rowing machine Rope jumping Heavy calisthenics Walking uphill (5 mph) Bicycling (12 mph) Abbreviation: METs, metabolic equivalent tasks. Source: Modified from WL Haskell: Rehabilitation of the coronary patient, in NK Wenger, HK Hellerstein (eds): Design and Implementation of Cardiac Conditioning Program. New York, Churchill Livingstone, 1978. 2100 TABLE 284-4 Nitrate Therapy in Patients with Ischemic Heart Disease PREPARATION OF AGENT PART 6 Disorders of the Cardiovascular System Nitroglycerina   Ointment Transdermal patch Sublingual tablet Spray Hypertension (Chap. 288) may coexist with other risk factors for IHD and is associated with an increased risk of adverse clinical events from coronary atherosclerosis as well as stroke. In addition, the LVH that results from sustained hypertension aggravates ischemia. There is evidence that long-term effective treatment of hypertension can decrease the occurrence of adverse coronary events (Chap. 288). Diabetes mellitus (Chap. 415) accelerates coronary, cerebrovas cular, and peripheral atherosclerosis and is frequently associated with dyslipidemia and increases in the risk </w:t>
      </w:r>
      <w:r w:rsidRPr="00F23836">
        <w:lastRenderedPageBreak/>
        <w:t xml:space="preserve">of angina, myocardial infarction, and sudden coronary death. Aggressive control of the dyslipidemia (target LDL cholesterol 95% of cases. In diseased vein grafts, procedural success has been improved by the use of an embolic protection device, when feasible, to prevent isch emia and infarction. The use of current-generation drug-eluting stents that locally deliver antiproliferative drugs have a lower rate of restenosis (95% of cases. The majority of patients with symptomatic IHD who require revascu larization can be treated initially by PCI. Successful PCI is less invasive and expensive than CABG and permits savings in the initial cost of care. Successful PCI avoids the risk of stroke associated with CABG surgery and allows earlier return to work and resumption of an active life. However, the early health-related and economic benefits of PCI are reduced over time because of the greater need for follow-up and the increased need for repeat procedures. When directly compared in patients with diabetes or three-vessel or left main CAD, CABG was superior to PCI in preventing major adverse cardiac or cerebrovascular events over a 12-month follow-up. </w:t>
      </w:r>
      <w:r w:rsidRPr="00F23836">
        <w:rPr>
          <w:rFonts w:ascii="Arial" w:hAnsi="Arial" w:cs="Arial"/>
        </w:rPr>
        <w:t>■</w:t>
      </w:r>
      <w:r w:rsidRPr="00F23836">
        <w:t xml:space="preserve">CORONARY ARTERY BYPASS GRAFTING Anastomosis of one or both of the internal mammary arteries or a radial artery to the coronary artery distal to the obstructive lesion is the preferred procedure. For additional obstructions that cannot be bypassed by an artery, a section of a vein (usually the saphenous) is Although some indications for CABG are controversial, certain areas of agreement exist: 1. The operation is relatively safe, with mortality rates 10 min; (2) of relatively recent onset (i.e., within the prior 2 weeks); and/or (3) a crescendo pattern, i.e., distinctly more severe, prolonged, or frequent than previous episodes. Non-ST-Segment Elevation Acute Coronary Syndrome (Non-ST-Segment Elevation Myocardial Infarction and Unstable Angina) 2107 CHAPTER 285 Increasing chest pain/symptoms Oligo/ asymptomatic Persistent chest pain/symptoms Cardiogenic shock/ acute heart failure Cardiac arrest Normal ST segment depression ST segment elevation Malignant arrhythmia Clinical presentation ECG findings hs-cTn levels Final diagnosis Working diagnosis Non-elevated Unstable angina NSTE-ACS NSTEMI Rise and fall STEMI STEMI FIGURE 285-1 Spectrum of acute coronary syndromes. The spectrum of clinical presentations, electrocardiographic findings, and high-sensitivity cardiac troponin levels in patients with acute coronary syndrome. ACS, acute coronary syndrome; ECG, electrocardiogram; hs-cTn, high-sensitivity cardiac troponin; NSTE-ACS, non-ST-segment elevation acute coronary syndrome; NSTEMI, non-ST-segment elevation myocardial infarction; STEMI, ST-segment elevation myocardial infarction. (RA Byrne et al: 2023 ESC guideline for the management of acute coronary syndromes. Eur Heart J 44:3720, 2023, by permission of Oxford university Press.) Lipid core Fibrous cap *Red* thrombus Lumen Media Adventitia Ruptured Plaque • Thin fibrous cap • Collagen-poor fibrous cap • Large lipid core • Many macrophages • Fibrin-rich thrombus Intima Eroded Plaque • Protcoglycan, Glycosaminoglycan rich • Little or no lipid core • Neutrophils and NETs • Many smooth muscle cells • Platelet-rich thrombus Intima White thrombus Lumen Media Adventitia FIGURE 285-2 Comparison of the characteristics of human atheromata complicated by </w:t>
      </w:r>
      <w:r w:rsidRPr="00F23836">
        <w:lastRenderedPageBreak/>
        <w:t xml:space="preserve">thrombosis and causing acute coronary syndrome. The column on the left highlights some of the characteristics demonstrated by analyses of human coronary arterial lesions that have undergone thrombosis by these two diverse mechanisms. NETs, neutrophil extracellular traps. (Reproduced with permission from P Libby et al: Reassessing the mechanisms of acute coronary syndromes the“vulnerable plaque” and superficial erosion. Circ Res 124:150, 2019.) The diagnosis of NSTEMI is established if a patient with any of these features (without ECG ST-segment elevations) develops evidence of myocardial necrosis, as reflected in abnormally elevated levels of circu lating troponin, in the absence of another explanation (see below). The chest discomfort is typically located in the substernal region and radi ates to the left arm, left shoulder, and/or superiorly to the neck and jaw. Anginal equivalents such as dyspnea, epigastric discomfort, nausea, or weakness may occur instead of chest discomfort. These equivalents are more frequently reported by women, the elderly, and patients with diabetes mellitus. The physical examination resembles that in patients with stable angina (see Chap. 284) and may be unremarkable. How ever, if the patient has a large area of myocardial ischemia or a large NSTEMI, the physical findings can include diaphoresis; pale, cool skin; sinus tachycardia; a third and/or fourth heart sound; basilar rales; hypotension; and in severe cases, cardiogenic shock. An important goal of the physical examination is to identify potential alternative life-threatening diagnoses, e.g., pulmonary embolism (see Chap. 290), aortic dissection (see Chap. 291), and cardiac tamponade (see Chap. 281), TABLE 285-1 TIMI Risk Score for NSTE-ACS RISK MARKERS • Age ≥65 years • Known CAD (≥50% stenosis) • ST deviation &gt;0.5 mm on presenting ECG • ↑ cardiac markers • ≥2 original episodes in prior 24 h • Prior angina • ≥3 CAD risk factors NO. OF RISK MARKERS INCIDENCE OF ADVERSE CARDIAC EVENTSa (%) 0/1 5 2 8 3 13 4 20 5 26 6/7 41 aRisk at 14 days of death, new or recurrent myocardial infarction, or severe recurrent ischemia requiring urgent revascularization. Abbreviations: CAD, coronary artery disease; ECG, electrocardiogram; NSTE-ACS, non-ST-segment elevation acute coronary syndrome; TIMI, Thrombolysis in Myocardial Infarction. 2108 Patients with acute chest pain PART 6 Disorders of the Cardiovascular System ECG Nonischemic Known CAD No HEART score* 0–3 Serial troponins 99th percentile of the upper reference limit in patients without a clear clinical history or ECG features of acute myocardial ischemia. Myocardial injury may be caused by a variety of noncardiac and cardiac conditions other than MI (Table 285-2). </w:t>
      </w:r>
      <w:r w:rsidRPr="00F23836">
        <w:rPr>
          <w:rFonts w:ascii="Arial" w:hAnsi="Arial" w:cs="Arial"/>
        </w:rPr>
        <w:t>■</w:t>
      </w:r>
      <w:r w:rsidRPr="00F23836">
        <w:t xml:space="preserve">RISK STRATIFICATION Patients with documented NSTE-ACS exhibit a wide spectrum of early (30 days) risk of death, ranging from 1 to 10%, and a recurrent ACS rate of 5–15% during the first year. Assessment of risk can be accom plished by one of several clinical risk scoring systems, including those developed from the Thrombolysis in Myocardial Infarction (TIMI) Trials, the Global Registry of Acute Coronary Event (GRACE), and the HEART (history, electrocardiogram, age, risk factors, troponin) score (Fig. 285-3). Multimarker strategies including hsTn and brain natriuretic peptides are now gaining favor, both to define more fully the pathophysiologic mechanisms underlying a patient’s presentation </w:t>
      </w:r>
      <w:r w:rsidRPr="00F23836">
        <w:lastRenderedPageBreak/>
        <w:t xml:space="preserve">and to stratify the patient’s risk further. Early risk assessment is useful in identifying patients who would derive the greatest benefit from an early invasive strategy (see below). Non-ST-Segment Elevation Acute Coronary Syndrome (Non-ST-Segment Elevation Myocardial Infarction and Unstable Angina) 2109 CHAPTER 285 TREATMENT Non-ST-Segment Elevation Acute Coronary Syndrome Patients with a low likelihood of ischemia can usually be managed in an emergency department or a dedicated “chest pain unit.” Evalu ation of such patients includes clinical monitoring for recurrent ischemic discomfort and continuous monitoring of ECGs, serial monitoring of hsTn at presentation, 1 h, and, if necessary, 3 h. In patients for whom there is diagnostic uncertainty or intermediate risk patients, stress testing to detect and grade ischemia or cardiac computed tomography angiography to assess epicardial coronary artery obstruction may be considered (see Chaps. 248 and 284). MEDICAL TREATMENT Patients who “rule-in” for NSTE-ACS by clinical features, hsTn, or ST-T–wave changes on the ECG should be admitted to the hos pital. Patients should be placed on bed rest with continuous ECG monitoring for ST-segment deviation and cardiac arrhythmias, preferably on a specialized cardiac unit. Ambulation is permitted if the patient shows no recurrence of ischemia (symptoms or ECG changes) and does not develop an elevation of cTn for 24 h. Medical therapy consists of an acute phase focused on the clini cal symptoms and stabilization of the culprit lesion(s) and a longer term phase that involves therapies directed at the prevention of disease progression and future recurrent NSTE-ACS. ANTI-ISCHEMIC TREATMENT (TABLE 285-3) To provide relief of pain and discomfort, initial treatment, in addition to bed rest, includes nitrates, β-adrenergic blockers, and inhaled oxygen in patients with hypoxemia (arterial O2 saturation 0.24 s • 2nd or 3rd atrioventricular block • Heart rate 75 years old, maintenance dose of 5 mg/d Loading dose of 180 mg followed by 90 mg twice daily Intravenous Antiplatelet Therapy at the Time of PCI Cangrelor Eptifibatide Tirofiban 30 μg/kg bolus followed by 4 μg/kg/min infusion for 2 h or duration of procedure 180 μg/kg bolus followed in 10 min by second bolus of 180 μg/kg with infusion of 2.0 μg/kg/min for up to 18 h 25 μg/kg per min over 3 minutes, followed by infusion of 0.15 μg/ kg/min for up to 18 h Parenteral Anticoagulantsa Unfractionated heparin ANTITHROMBOTIC THERAPY Antithrombotic therapy consisting of antiplatelet and anticoagu lant drugs represents the second major cornerstone of treatment (Table 285-4). Antiplatelet Drugs (See Chap. 123) Initial treatment should begin with the cyclooxygenase inhibitor aspirin with a dose of 150–325 mg of an oral non-enteric-coated preparation or 75–250 mg intra venously. Thereafter, lower oral doses (75–100 mg/d) are recom mended since they maintain efficacy while causing less bleeding. Contraindications are severe active bleeding and aspirin allergy. In the absence of a high risk for bleeding, patients with NSTE ACS, irrespective of whether an invasive or conservative strategy Enoxaparin Bivalirudin Fondaparinux Bolus 70–100 U/kg (maximum 5000 U) IV followed by infusion of 12–15 U/kg per h titrated to ACT 250–300 s 0.5 mg/kg IV bolus at the time of PCI or 1 mg/kg subcutaneous every 12 h; the first dose may be preceded by a 30-mg IV bolus; renal adjustment to 1 mg/kg </w:t>
      </w:r>
      <w:r w:rsidRPr="00F23836">
        <w:lastRenderedPageBreak/>
        <w:t xml:space="preserve">once daily if creatine clearance 12 months, is favored in patients with high atherothrombotic risk (e.g., due to stenting of the left main coronary artery or proximal left anterior descending or proximal bifurcating coronary arteries, recurrent MI, stent thrombosis). Anticoagulants (See Chap. 123) Four parenteral options are avail able for anticoagulant therapy to be added to antiplatelet agents: (1) unfractionated heparin (UFH), long the mainstay of therapy; (2) the low-molecular-weight heparin (LMWH) enoxaparin, which has been shown to be superior to UFH in reducing recurrent cardiac events, especially in patients managed by a conservative strategy (however, it is accompanied by a modest increase in bleeding); (3) bivalirudin, a direct thrombin inhibitor that is similar in efficacy to either UFH or LMWH and is used just prior to and/or during PCI; and (4) fondaparinux, a synthetic factor Xa inhibitor that is equivalent in efficacy to enoxaparin but has a lower risk of major bleeding. While UFH and enoxaparin have been widely studied in patients managed either with an early conservative or invasive strategy, bivalirudin is rarely used in conservatively managed patients, while fondaparinux requires supplemental UFH to prevent procedure-related thrombosis. In patients who develop NSTE-ACS while receiving treatment with a direct oral anticoagulant (DOAC), the DOAC (see Chap. 123) should be held when one of the four parenteral anticoagulants is begun. If an early invasive strategy is indicated (see below), radial arte rial access is recommended to reduce the risk of bleeding. Excessive Very High Risk (1 or more) 1. Cardiogenic shock or unstable hemodynamics 2. Acute heart failure due to ongoing ischemia 3. Cardiac arrest post presentation 4. Life-threatening arrhythmias 5. Mechanical complications of MI 6. Angina refractory to medical treatment 7. Recurrent dynamic ischemic ECG changes bleeding is the most important adverse effect of all antithrom botic agents, including both antiplatelet agents and anticoagulants. Therefore, attention must be directed to the doses of antithrombotic agents, accounting for age, body weight, creatinine clearance, and a previous history of excessive bleeding. Patients who have experi enced a stroke are at higher risk of intracranial bleeding with potent antiplatelet agents and combinations of antithrombotic drugs. In patients with atrial fibrillation (including patients with NSTE-ACS) treated with an oral anticoagulant who undergo PCI, the duration of DAPT should be shortened (e.g., stop aspirin after hospital dis charge or at most at 1 month after PCI, except in patients at very high risk for ischemic events), and continue P2Y12 inhibitor plus DOAC for 1 year. After 1 year, the majority of patients should be transitioned to oral anticoagulation monotherapy without con comitant antiplatelet treatment. INVASIVE VERSUS CONSERVATIVE STRATEGY (FIG. 285-4) In an invasive strategy, following initiation of anti-ischemic and antithrombotic agents as described above, coronary arteriogra phy is recommended within 2 h of presentation for patients are unstable or within 24 h in high-risk stable patients, followed by coronary revascularization (PCI or coronary artery bypass graft ing), depending on the coronary anatomy (Fig. 285-4). Multiple clinical trials have demonstrated the benefit of this strategy in high-risk patients (i.e., patients with multiple clinical risk factors, ST-segment deviation, and/or </w:t>
      </w:r>
      <w:r w:rsidRPr="00F23836">
        <w:lastRenderedPageBreak/>
        <w:t xml:space="preserve">positive biomarkers). Two studies comparing an immediate invasive strategy (median time to inter vention of 1.4 and 4.7 h after presentation) reduced the rate of death or new MI compared to a delayed invasive strategy (median time of intervention of 61 and 62 h), with a greater benefit among patients with a high-risk score. In patients at low risk, the outcomes from an High Risk (1 or more) 1. Confirmed NSTEMI 2. GRACE risk score &gt;140* 3. Transient ST elevation 4. Dynamic ST or T wave changes Immediate Invasive (75 years as compared with younger patients. When patients with prolonged ischemic discomfort at rest are first seen, the working clinical diagnosis is that they are suffering from an acute coronary syndrome (Fig. 286-1). The 12-lead electrocardiogram (ECG) is a pivotal diagnostic and triage tool because it is at the center of the decision pathway for management, permitting distinction of those patients presenting with ST-segment elevation from those pre senting without ST-segment elevation. Circulating cardiac biomarkers of myocardial injury are measured to distinguish unstable angina (UA) from non-ST-segment elevation myocardial infarction (NSTEMI) and to estimate preliminarily the magnitude of myocardial necrosis in an ST-segment elevation myocardial infarction (STEMI). Epidemiologic studies indicate there has been a shift in the pattern of AMI over the past several decades with more patients with NSTEMI than STEMI. This chapter focuses on the evaluation and management of patients with STEMI, while Chap. 286 discusses UA/NSTEMI. PATHOPHYSIOLOGY: ROLE OF ACUTE PLAQUE RUPTURE/EROSION STEMI usually occurs when coronary blood flow decreases abruptly after a thrombotic occlusion of a coronary artery previously affected by atherosclerosis. Slowly developing, high-grade coronary artery stenoses do not typically precipitate STEMI because of the develop ment of a rich collateral network over time. Instead, STEMI occurs when a coronary artery thrombus develops rapidly at a site of vascular injury. This injury is produced or facilitated by factors such as ciga rette smoking, hypertension, lipid accumulation, and inflammation. In most cases, STEMI occurs when the surface of an atherosclerotic plaque becomes disrupted either through erosion or rupture (expos ing its contents to the blood) and conditions (local or systemic) favor thrombogenesis. Histologic studies indicate that the coronary plaques prone to disruption are those with a rich lipid core and a thin fibrous cap. However, current clinical data have demonstrated that less than 5% of such thin-capped fibroatheromas are a nidus for AMI during long-term follow-up. Other morphologic characteristics associated with rupture-prone plaque include expansive remodeling, neovascular ization (angiogenesis), plaque hemorrhage, adventitial inflammation, and a “spotty” pattern of calcification. CHAPTER 286 ST-Segment Elevation Myocardial Infarction A mural thrombus forms at the site of plaque disruption, and the involved coronary artery becomes occluded. After an initial platelet monolayer forms at the site of the disrupted plaque, various agonists (collagen, ADP, epinephrine, serotonin) promote platelet activation. After agonist stimulation of platelets, thromboxane A2 (a potent local vasoconstrictor) is released, further platelet activation occurs, and potential resistance to fibrinolysis develops. In addition to the generation of </w:t>
      </w:r>
      <w:r w:rsidRPr="00F23836">
        <w:lastRenderedPageBreak/>
        <w:t xml:space="preserve">thromboxane A2 , activation of plate lets by agonists promotes a conformational change in the glycoprotein IIb/IIIa receptor (Chap. 120). Once converted to its functional state, this receptor develops a high affinity for soluble adhesive proteins (i.e., integrins) such as fibrinogen. Since fibrinogen is a multivalent mol ecule, it can bind to two different platelets simultaneously, resulting in platelet cross-linking and aggregation. The coagulation cascade is activated on exposure of tissue factor in damaged endothelial cells at the site of the disrupted plaque. Fac tors VII and X are activated, ultimately leading to the conversion of prothrombin to thrombin, which then converts fibrinogen to fibrin (Chap. 121). Fluid-phase and clot-bound thrombin participate in an autoamplification reaction, leading to further activation of the coagulation cascade. The culprit coronary artery eventually becomes occluded by a thrombus containing platelet aggregates and fibrin strands (Fig. 286-2). In rare cases, STEMI may be due to coronary artery occlusion caused by coronary emboli, congenital coronary abnormalities, coro nary spasm, or spontaneous coronary artery dissection. The amount of myocardial damage caused by coronary occlusion depends on (1) the territory supplied by the affected vessel, (2) whether or not the vessel becomes totally occluded, (3) the duration of coronary occlusion, (4) the quantity of blood supplied by collateral vessels to the affected tis sue, (5) the demand for oxygen of the myocardium whose blood supply has been suddenly limited, (6) endogenous factors that can produce early spontaneous lysis of the occlusive thrombus, and (7) the adequacy of myocardial perfusion in the infarct zone when flow is restored in the occluded epicardial coronary artery. Patients at increased risk for developing STEMI include those with multiple coronary risk factors and those with UA (Chap. 285). Less 2114 PART 6 Disorders of the Cardiovascular System Unstable angina (demand related) Non-ST elevation MI (type 2) Non-ST elevation MI (type 1) ST elevation MI (type 1) Unstable angina (thrombotic mediated)– + + + No ST elevation ST elevation Q-wave MI Non-Q-wave MI Plaque rupture with thrombus Vasospasm or endothelial dysfunction Causes of myocardial oxygen supply-demand imbalance Ischemic Discomfort Presentation Working diagnosis ECG Biomarkers Final diagnosis Final ECG manifestation Fixed atherosclerosis and supply-demand imbalance Supply-demand imbalance alone Supply-demand imbalance (nonthrombotic Acute coronary syndrome (atherothrombotic) FIGURE 286-1 Acute coronary syndromes. Following disruption of a vulnerable plaque, patients experience ischemic discomfort resulting from a reduction of flow through the affected epicardial coronary artery. The flow reduction may be caused by a completely occlusive thrombus (right) or subtotally occlusive thrombus (middle). Patients with ischemic discomfort may present with or without ST-segment elevation. Of patients with ST-segment elevation, the majority ultimately develop a Q wave on the electrocardiogram (ECG; Q-wave myocardial infarction [MI]), while a minority do not develop Q waves and, in the past, were said to have sustained a non-Q-wave MI (NQMI). Patients who present without ST-segment elevation are suffering from either unstable angina or a non-ST-segment elevation MI (NSTEMI), a distinction that is ultimately made based on the </w:t>
      </w:r>
      <w:r w:rsidRPr="00F23836">
        <w:lastRenderedPageBreak/>
        <w:t xml:space="preserve">presence or absence of a biomarker of myocardial injury such as cardiac troponin detected in the blood. (Reproduced with permission from Hamm Scirica BM, Libby P, Morrow DA: ST-elevation myocardial infarction: Pathophysiology and clinical evolution, in Braunwald’s Heart Disease, 12th ed, Libby P et al (eds). New York, Elsevier, 2022, Figure 37-1, pp 636-661.) common underlying medical conditions predisposing patients to STEMI include hypercoagulability, collagen vascular disease, systemic inflammatory diseases, cocaine abuse, and intracardiac thrombi or masses that produce coronary emboli. There have been major advances in the management of STEMI with recognition that the “chain of survival” involves a highly integrated system starting with prehospital care and extending to early hospital management so as to provide expeditious implementation of a reperfu sion strategy. CLINICAL PRESENTATION In up to one-half of cases, a precipitating factor appears to be present before STEMI, such as vigorous physical exercise, emotional stress, or a medical or surgical illness. Although STEMI may commence at any time of the day or night, circadian variations have been reported such that clusters are seen in the morning within a few hours of awakening. Pain is the most common presenting complaint in patients with STEMI. The pain is deep and visceral; adjectives commonly used to describe it are heavy, squeezing, and crushing; although, occasionally, it is described as stabbing or burning (Chap. 15). It is similar in char acter to the discomfort of angina pectoris (Chap. 284) but commonly occurs at rest, is usually more severe, and lasts longer. Typically, the pain involves the central portion of the chest and/or the epigastrium, and, on occasion, it radiates to the arms. Less common sites of radiation include the abdomen, back, lower jaw, and neck. The frequent location of the pain beneath the xiphoid and epigastrium and the patients’ denial that they may be suffering a heart attack are chiefly responsible for the common mistaken impression of indigestion. The pain of STEMI may radiate as high as the occipital area but not below the umbilicus. It is often accompanied by sweating, nausea, vomiting, anxiety, and a sense of impending doom. The pain may commence when the patient is at rest, but when it begins during a period of exertion, it does not usually subside with cessation of activity, in contrast to angina pectoris. Vulnerable plaque Thrombogenic blood 2115 plaque • inflammation • extension • severity ion • location • inflammation • comorbidities • environmental factors • genetic background Vulnerable myocardium • inflammation • ischemia duration/extent • individual susceptibility Cardiomyocyte swelling Interstitial edema Thrombus debris Endothelial dysfunction Leukocyte and platelet activation/interaction FIGURE 286-2 Critical determinants of myocardial infarction injury. The overlapping of vulnerable plaque and thrombogenic blood are critical determinants for myocardial infarction occurrence and extension. In addition, myocardial vulnerability, which is largely due to coronary microvascular dysfunction, contributes to extension and severity of ischemic injury. In the most severe form (known as no-reflow), structural and functional impairments sustain vascular obstruction. Endothelial dysfunction triggers leukocyte and platelet activation/interaction, whereas thrombotic debris may worsen the obstruction. </w:t>
      </w:r>
      <w:r w:rsidRPr="00F23836">
        <w:lastRenderedPageBreak/>
        <w:t xml:space="preserve">Furthermore, cardiomyocyte swelling, interstitial edema, and tissue inflammation promote extravascular compression. (Modified from F Montecucco, F Carbone, TH Schindler. Pathophysiology of ST-segment elevation myocardial infarction: Novel mechanisms and treatments. Eur Heart J 37:1268, 2016.) The pain of STEMI can simulate pain from acute pericarditis (Chap. 281), pulmonary embolism (Chap. 290), acute aortic dis section (Chap. 291), costochondritis, and gastrointestinal disorders. These conditions should therefore be considered in the differential diagnosis. Radiation of discomfort to the trapezius is not seen in patients with STEMI and may be a useful distinguishing feature that suggests pericarditis is the correct diagnosis. However, pain is not uniformly present in patients with STEMI. The proportion of painless STEMIs is greater in patients with diabetes mellitus, and it increases with age. STEMI may present as sudden-onset breathlessness. Other less common presentations, with or without pain, include sudden loss of consciousness, a confusional state, a sensation of profound weakness, the appearance of an arrhythmia, evidence of peripheral embolism, or merely an unexplained drop in arterial pressure. </w:t>
      </w:r>
      <w:r w:rsidRPr="00F23836">
        <w:rPr>
          <w:rFonts w:ascii="Arial" w:hAnsi="Arial" w:cs="Arial"/>
        </w:rPr>
        <w:t>■</w:t>
      </w:r>
      <w:r w:rsidRPr="00F23836">
        <w:t xml:space="preserve">PHYSICAL FINDINGS Most patients are anxious and restless, attempting unsuccessfully to relieve the pain by moving about in bed, altering their position, and stretching. Pallor associated with perspiration and coolness of the extremities occurs commonly. The combination of substernal chest pain persisting for &gt;30 min and diaphoresis strongly suggests STEMI. Although many patients have a normal pulse rate and blood pressure within the first hour of STEMI, patients with anterior infarction may have manifestations of sympathetic nervous system hyperactivity (tachycardia and/or hypertension), and those with inferior infarction may show evidence of parasympathetic hyperactivity (bradycardia and/or hypotension). The precordium is usually quiet, and the apical impulse may be difficult to palpate. Other physical signs of ventricular dysfunction include fourth and third heart sounds, decreased intensity of the first heart sound, and paradoxical splitting of the second heart sound (Chap. 246). A transient midsystolic or late systolic apical systolic murmur due to dysfunction of the mitral valve apparatus may be pres ent. A pericardial friction rub may be heard in patients with transmural STEMI at some time in the course of the illness. The carotid pulse is often decreased in volume, reflecting reduced stroke volume. Tem perature elevations up to 38°C may be observed during the first week after STEMI. LABORATORY FINDINGS STEMI progresses through the following temporal stages: (1) acute (first few hours–7 days), (2) healing (7–28 days), and (3) healed (≥29 days). The myocardium undergoes a series of cellular responses in the infarct zone, beginning with recruitment of polymorphonuclear leukocytes (for removal of dead cells and clearance of extracellular macromol ecules) followed by monocytes. Experimental work has now detailed this sequence of accumulation of subpopulations of mononuclear phagocytes with an initial wave of monocytes characterized by high proteolytic and phagocytic capacity and elaboration of proinflamma tory cytokines followed by the repair monocytes that release a media tors that stimulate angiogenesis and extracellular matrix production (Fig. 286-3). New microvessels and fibrosis are key </w:t>
      </w:r>
      <w:r w:rsidRPr="00F23836">
        <w:lastRenderedPageBreak/>
        <w:t xml:space="preserve">constituents of forming granulation tissue, and these processes establish a foundation for myocardial scar formation, ventricular remodeling, and infarct healing. In addition, emerging evidence reveals a role for an “emer gency hematopoiesis” that mobilizes leukocyte progenitor cells that ultimately participate in myocardial healing. When evaluating the results of diagnostic tests for STEMI, the tem poral phase of the infarction must be considered. The tests of value in confirming the diagnosis may be divided into four groups: (1) ECG, (2) blood-based cardiac biomarkers, (3) cardiac imaging, and (4) nonspe cific indices of tissue necrosis and inflammation. CHAPTER 286 ST-Segment Elevation Myocardial Infarction </w:t>
      </w:r>
      <w:r w:rsidRPr="00F23836">
        <w:rPr>
          <w:rFonts w:ascii="Arial" w:hAnsi="Arial" w:cs="Arial"/>
        </w:rPr>
        <w:t>■</w:t>
      </w:r>
      <w:r w:rsidRPr="00F23836">
        <w:t xml:space="preserve">ELECTROCARDIOGRAM The electrocardiographic manifestations of STEMI are described in Chap. 247. During the initial stage, total occlusion of an epicardial coronary artery produces ST-segment elevation. Most patients initially presenting with ST-segment elevation ultimately evolve Q waves on the ECG. However, Q waves in the leads overlying the infarct zone may vary in magnitude and appear only transiently, depending on the reperfusion status of the ischemic myocardium and restoration of transmembrane potentials over time. A small proportion of patients initially presenting with ST-segment elevation will not develop Q waves when the obstructing thrombus is not totally occlusive, obstruction is transient, or a rich collateral network is present. Among patients pre senting with ischemic discomfort but without ST-segment elevation, if a cardiac biomarker of necrosis (see below) is detected, the diagnosis of NSTEMI is ultimately made (Fig. 286-1). A minority of patients who present initially without ST-segment elevation may develop a Q-wave myocardial infarction (MI). Previously, it was believed that transmural MI is present if the ECG demonstrates Q waves or loss of R waves, and nontransmural MI may be present if the ECG shows only transient ST-segment and T-wave changes. However, electrocardiographic pathologic correlations are far from perfect, and terms such as Q-wave MI, non-Q-wave MI, transmural MI, and nontransmural MI have been replaced by STEMI and NSTEMI (Fig. 286-1). Contemporary studies using magnetic resonance imaging (MRI) suggest that the development of a Q wave on the ECG is more dependent on the volume of infarcted tissue rather than the transmurality of infarction. </w:t>
      </w:r>
      <w:r w:rsidRPr="00F23836">
        <w:rPr>
          <w:rFonts w:ascii="Arial" w:hAnsi="Arial" w:cs="Arial"/>
        </w:rPr>
        <w:t>■</w:t>
      </w:r>
      <w:r w:rsidRPr="00F23836">
        <w:t xml:space="preserve">CARDIAC BIOMARKERS OF MYOCARDIAL INJURY Certain proteins, referred to as cardiac biomarkers, are released from necrotic heart muscle after STEMI. The rate of liberation of specific 2116 Polymorphonuclear leukocyte PART 6 Disorders of the Cardiovascular System • Phagocytosis Pro-inflammatory monocyte • Proteolysis-matrix degradation • Pro-inflammatory • Reactive O2 species Early damage clearance phase: Reparative monocyte CCR2 • Recruitment of leukocytes • Removal of dead cells • Dissolution and clearance of damaged extracellular matrix macromolecules Monocyte-derived fibroblasts • Preparing the injured myocardium for repair F4/80 • Transforming growth factor β • Vascular endothelial growth factor Later repair/healing phase: • Resolution of inflammation • Angiogenesis • Stimulation of extracellular matrix • Interstitial collagen production Regulation of the responses to myocardial ischemic injury FIGURE 286-3 Phases of myocardial injury and healing. Immediate recruitment of polymorphonuclear </w:t>
      </w:r>
      <w:r w:rsidRPr="00F23836">
        <w:lastRenderedPageBreak/>
        <w:t xml:space="preserve">leukocytes precedes the accumulation of proinflammatory monocytes (typically bearing the chemokine receptor 2 [CCR2]). These phagocytic cells release the mediators of the early phase response to ischemic injury by clearing dead cells and debris and prompting additional inflammatory cells to enter the injured area. Reparative monocytes stimulate the production of extracellular matrix macromolecules that reinforce the cardiac skeleton during healing as well as microvessel formation characteristic of granulation tissue. Monocyte-derived fibroblasts are capable of interstitial collagen synthesis that reinforces repair of the myocardial skeleton, potentially mitigating expansive remodeling of the infarct and promoting healing with less risk for chronic heart failure. (Reproduced with permission from P Libby et al: The myocardium: More than just myocytes. J Am Coll Cardiol 74:3137, 2019.) proteins differs depending on their intracellular location, their molecu lar weight, and the local blood and lymphatic flow. Cardiac biomarkers become detectable in the peripheral blood once the capacity of the car diac lymphatics to clear the interstitium of the infarct zone is exceeded and spillover into the venous circulation occurs. The criteria for AMI require a rise and/or fall in cardiac biomarker values with at least one value above the 99th percentile of the upper reference limit for normal individuals. Cardiac-specific troponin T (cTnT) and cardiac-specific troponin I (cTnI) have amino-acid sequences that differ from those of the skeletal muscle forms of these proteins. These differences permitted the devel opment of quantitative assays for cTnT and cTnI using highly specific monoclonal antibodies. cTnT and cTnI may increase after STEMI to levels many times higher than the upper reference limit (set at the 99th percentile of values in a reference population). The measurement of cTnT or cTnI is of considerable diagnostic usefulness, and they are now the preferred biochemical markers for MI when measured with high sensitivity assays (Fig. 286-4 and Chap. 15). In practical terms, the high-sensitivity troponin assays are of less immediate value in patients with STEMI. Contemporary urgent reperfusion strategies necessitate making a decision (based largely on a combination of clinical and ECG findings) before the results of blood tests have returned from the labo ratory. Levels of cTnI and cTnT typically remain elevated for at least 7–10 days after STEMI. Historically, creatine phosphokinase (CK) and its MB isoenzyme (CK-MB) were used for the diagnosis of AMI. A ratio (relative index) of CK-MB mass to CK activity ≥2.5 suggests but is not diagnostic of a myocardial rather than a skeletal muscle source for the CK-MB eleva tion. It is not cost-effective to measure both a cardiac-specific troponin and CK-MB. Because of its more rapid decline after the onset of AMI, CK-MB may be useful for the discrimination of early reinfarction during the period that cardiac troponin remains elevated following the index event (Fig. 286-3). While it has long been recognized that the total quantity of protein released correlates with the size of the infarct, the peak protein con centration correlates only weakly with infarct size. Recanalization of a coronary artery occlusion (either spontaneously or by mechanical or pharmacologic means) in the early hours of STEMI causes earlier peaking of biomarker measurements (Fig. 286-4) because of a rapid washout from the </w:t>
      </w:r>
      <w:r w:rsidRPr="00F23836">
        <w:lastRenderedPageBreak/>
        <w:t xml:space="preserve">interstitium of the infarct zone, quickly overwhelm ing lymphatic clearance of the proteins. The nonspecific reaction to myocardial injury is associated with polymorphonuclear leukocytosis, which appears within a few hours after the onset of pain and persists for 3–7 days; the white blood cell count often reaches levels of 12,000–15,000/μL. The erythrocyte sedimentation rate rises more slowly than the white blood cell count, peaking during the first week and sometimes remaining elevated for 1 or 2 weeks. </w:t>
      </w:r>
      <w:r w:rsidRPr="00F23836">
        <w:rPr>
          <w:rFonts w:ascii="Arial" w:hAnsi="Arial" w:cs="Arial"/>
        </w:rPr>
        <w:t>■</w:t>
      </w:r>
      <w:r w:rsidRPr="00F23836">
        <w:t xml:space="preserve">CARDIAC IMAGING Abnormalities of wall motion on two-dimensional echocardiography (Chap. 248) are almost universally present in patients with STEMI. Although acute STEMI cannot be distinguished from an old myo cardial scar or from acute severe ischemia by echocardiography, the ease and safety of the procedure make its use appealing as a screening tool in the emergency department. When the ECG is not diagnostic of STEMI, early detection of the presence or absence of wall motion abnormalities by echocardiography can aid in management decisions, such as whether the patient should receive reperfusion therapy (e.g., percutaneous coronary intervention [PCI] or fibrinolysis). Echocar diographic estimation of left ventricular (LV) function is useful prog nostically; detection of reduced function serves as an indication for 2117 Zone of necrosing myocardium Troponin free in cytoplasm Cardiomyocyte Myosin Myoglobin and CK isoforms Multiples of the AMI cutoff limit 50 20 10 0 1 2 5 CKMB Actin Troponin (large MI) Troponin complex bound to actin filament Lymphatic system Venous system Troponin (small MI) 0 1 2 3 99th percentile 4 5 6 7 8 9 Days after onset of AMI FIGURE 286-4 The zone of necrosing myocardium is shown at the top of the figure, followed in the middle portion of the figure by a diagram of a cardiomyocyte that is in the process of releasing biomarkers. The biomarkers that are released into the interstitium are first cleared by lymphatics followed subsequently by spillover into the venous system. After disruption of the sarcolemmal membrane of the cardiomyocyte, the cytoplasmic pool of biomarkers is released first (left-most arrow in bottom portion of figure). Markers such as myoglobin and CK isoforms are rapidly released, and blood levels rise quickly above the cutoff limit; this is then followed by a more protracted release of biomarkers from the disintegrating myofilaments that may continue for several days. Cardiac troponin levels rise to about 20–50 times the upper reference limit (the 99th percentile of values in a reference control group) in patients who have a “classic” acute myocardial infarction (MI) and sustain sufficient myocardial necrosis to result in abnormally elevated levels of the MB fraction of creatine kinase (CK-MB). Clinicians can now diagnose episodes of microinfarction by sensitive assays that detect cardiac troponin elevations above the upper reference limit, even though CK-MB levels may still be in the normal reference range (not shown). CV, coefficient of variation. (Modified from EM Antman: Decision making with cardiac troponin tests. N Engl J Med 346:2079, 2002, and; bottom image: Reproduced with permission from AS Jaffe: Biomarkers in acute cardiac disease: The present and the future. J Am Coll Cardiol 48:1, 2006.) therapy with an inhibitor of the renin-angiotensin-aldosterone system. Echocardiography may also identify the presence of right ventricular (RV) infarction, </w:t>
      </w:r>
      <w:r w:rsidRPr="00F23836">
        <w:lastRenderedPageBreak/>
        <w:t xml:space="preserve">ventricular aneurysm, pericardial effusion, and LV thrombus. In addition, Doppler echocardiography is useful in the detection and quantitation of a ventricular septal defect and mitral regurgitation, two serious complications of STEMI. Radionuclide imaging techniques (Chap. 248) are available but rarely used for evaluating patients with suspected STEMI. Myocardial perfu sion imaging with [99mTc]-sestamibi, which is distributed in proportion to myocardial blood flow and concentrated by viable myocardium (Chap. 285), reveals a defect (“cold spot”) in most patients during the first few hours after development of a transmural infarct. However, the technique cannot distinguish acute infarcts from chronic scars and, thus, is not specific for the diagnosis of acute MI. An Expert Consensus Task Force for the Universal Definition of Myocardial Infarction has provided a comprehensive set of criteria for the definition of MI that integrates the clinical and laboratory findings discussed earlier as well as a classification of MI into five types that reflect the clinical circumstances in which it may occur (Table 286-1). INITIAL MANAGEMENT </w:t>
      </w:r>
      <w:r w:rsidRPr="00F23836">
        <w:rPr>
          <w:rFonts w:ascii="Arial" w:hAnsi="Arial" w:cs="Arial"/>
        </w:rPr>
        <w:t>■</w:t>
      </w:r>
      <w:r w:rsidRPr="00F23836">
        <w:t xml:space="preserve">PREHOSPITAL CARE The prognosis in STEMI in the era of primary PCI is largely related to the occurrence of two general classes of complications: (1) electri cal complications (arrhythmias) and (2) mechanical complications (“pump failure”). Most out-of-hospital deaths from STEMI result from the sudden development of ventricular fibrillation. The vast majority of deaths due to ventricular fibrillation occur within the first 24 h of the onset of symptoms, and of these, over half occur in the first hour. Therefore, the major elements of prehospital care of patients with sus pected STEMI include (1) recognition of symptoms by the patient and prompt seeking of medical attention; (2) rapid deployment of an emer gency medical team capable of performing resuscitative maneuvers, including defibrillation; (3) expeditious transportation of the patient to a hospital facility that is continuously staffed by physicians and nurses skilled in managing arrhythmias and providing advanced cardiac life support; and (4) expeditious implementation of reperfusion therapy. The greatest delay usually occurs not during transportation to the hos pital but, rather, between the onset of pain and the patient’s decision to call for help. This delay can best be reduced by health care professionals educating the public concerning the significance of chest discomfort and the importance of seeking early medical attention. Regular office visits with patients having a history of, or who are at risk for, ischemic heart disease are important “teachable moments” for clinicians to review the symptoms of AMI and the appropriate action plan. Increasingly, monitoring and treatment are carried out by trained personnel in the ambulance, further shortening the time between the onset of the infarction and appropriate treatment. In areas remote from PCI centers, fibrinolytic therapy may be administered prehospi tal. General guidelines for initiation of fibrinolysis in the prehospital setting include the ability to transmit 12-lead ECGs to confirm the diagnosis, the presence in the ambulance of personnel trained in the interpretation of ECGs and management of STEMI, and online medi cal command and control that can authorize the initiation of treatment in the field. CHAPTER 286 ST-Segment Elevation Myocardial Infarction MANAGEMENT IN THE </w:t>
      </w:r>
      <w:r w:rsidRPr="00F23836">
        <w:lastRenderedPageBreak/>
        <w:t xml:space="preserve">EMERGENCY DEPARTMENT In the emergency department, the goals for the management of patients with suspected STEMI include control of cardiac discomfort, rapid identification of patients who are candidates for urgent reperfu sion therapy, triage of lower-risk patients to the appropriate location in the hospital, and avoidance of inappropriate discharge of patients with STEMI. Many aspects of the treatment of STEMI are initiated in the emergency department and then continued during the in-hospital phase of management. The overarching goal is to minimize the time from first medical contact to initiation of reperfusion therapy (Fig. 286-5). This may involve transfer from a non-PCI hospital to one 2118 PART 6 Disorders of the Cardiovascular System that is PCI capable, with a goal of initiating PCI within 120 min of first medical contact (Fig. 286-5). Aspirin is essential in the management of patients with suspected STEMI and is effective across the entire spectrum of acute coronary syndromes. Rapid inhibition of cyclooxygenase-1 in platelets followed by a reduction of thromboxane A2 levels is achieved by buccal absorp tion of a chewed 160–325-mg tablet in the emergency department. This measure should be followed by daily oral administration of aspirin in a dose of 75–162 mg. In patients whose arterial oxygen (O2 ) saturation is normal, supple mental O2 is not recommended. However, when hypoxemia is present (O2 saturation 60 beats/min, systolic pressure &gt;100 mmHg, a PR interval 0.24 s, second- or third-degree heart block, active asthma, or reactive airway disease). In eligible patients, 15 min after the last intravenous dose, an oral regimen is initiated with 50 mg every 6 h for 48 h, followed by 100 mg every 12 h. Unlike beta blockers, calcium antagonists are of little value in the acute setting, and there is evidence that short-acting dihydropyridines may be associated with an increased mortality risk. TABLE 286-1 Definitions of Myocardial Injury and Infarction Criteria for Myocardial Injury The term myocardial injury should be used when there is evidence of elevated cardiac troponin (cTn) levels with at least one value above the 99th percentile upper reference limit (URL). The myocardial injury is considered acute if there is a rise and/or fall of cTn values. Criteria for Acute Myocardial Infarction (types 1, 2, and 3 MI) The term acute myocardial infarction (MI) should be used when there is acute myocardial injury with clinical evidence of acute myocardial ischemia and with detection of a rise and/or fall of cTn values with at least one value above the 99th percentile URL and at least one of the following: • Symptoms of myocardial ischemia • New ischemic electrocardiographic (ECG) changes • Development of pathologic Q waves • Imaging evidence of new loss of viable myocardium or new regional wall motion abnormality in a pattern consistent with an ischemic etiology • Identification of a coronary thrombus by angiography or autopsy (not for types 2 or 3 MIs) Postmortem demonstration of acute atherothrombosis in the artery supplying the infarcted myocardium meets criteria for type 1 MI. Evidence of an imbalance between myocardial oxygen supply and demand unrelated to acute atherothrombosis meets criteria for type 2 MI. Cardiac death in patients with symptoms suggestive of myocardial ischemia and presumed new ischemic ECG changes before cTn values became available or abnormal meets criteria for type 3 MI. Criteria for </w:t>
      </w:r>
      <w:r w:rsidRPr="00F23836">
        <w:lastRenderedPageBreak/>
        <w:t xml:space="preserve">Coronary Procedure–Related MI (types 4 and 5 MI) Percutaneous coronary intervention (PCI)–related MI is termed type 4a MI. Coronary artery bypass grafting (CABG)–related MI is termed type 5 MI. Coronary procedure–related MI 5 times for type 4a MI and &gt;10 times for type 5 MI of the 99th percentile URL in patients with normal baseline values. Patients with elevated preprocedural cTn values, in whom the preprocedural cTn levels are stable (5- or &gt;10-fold increase and manifest a change from the baseline value of &gt;20%. In addition, they must have at least one of the following: • New ischemic ECG changes (this criterion is related to type 4a MI only) • Development of new pathologic Q waves • Imaging evidence of loss of viable myocardium that is presumed to be new and in a pattern consistent with an ischemic etiology • Angiographic findings consistent with a procedural flow-limiting complication such as coronary dissection, occlusion of a major epicardial artery or graft, side-branch occlusion-thrombus, disruption of collateral flow, or distal embolization Isolated development of new pathologic Q waves meets the type 4a MI or type 5 MI criteria with either revascularization procedure if cTn levels are elevated and rising, but less than the prespecified thresholds for PCI and CABG. Other types of type 4 MI include type 4B MI stent thrombosis and type 4C MI restenosis that both meet type 1 MI criteria. Postmortem demonstration of a procedure-related thrombus meets the type 4a MI and type 5 MI criteria if associated with a stent. Criteria for Prior or Silent/Unrecognized MI Any one of the following criteria meets the diagnosis for prior or silent/ unrecognized MI: • Abnormal Q waves with or without symptoms in the absence of nonischemic causes • Imaging evidence of loss of viable myocardium in a pattern consistent with ischemic etiology • Pathoanatomical findings of a prior MI Source: Reproduced with permission from K Thygesen et al: Fourth universal definition of myocardial infarction (2018). Circulation 138:e618, 2018. 2119 STEMI patient who is a candidate for reperfusion Initially seen at a PCI-capable hospital Initially seen at a non–PCI-capable hospital* DIDO time ≤30 min Send to cath lab for primary PCI FMC-device time ≤90 min (Class I, LOE: A) Diagnostic angiogram Medical therapy only Transfer for primary PCI FMC-device time as soon as possible and ≤120 min (Class I, LOE: B) Administer fibrinolytic agent within 30 min of arrival when anticipated FMC device &gt;120 min (Class I, LOE: B) PCI CABG Urgent transfer for PCI for patients with evidence of failed reperfusion or reocclusion (Class IIa, LOE: B) *Patients with cardiogenic shock or severe heart failure initially seen at a non–PCI-capable hospital should be transferred for cardiac catheterization and revascularization as soon as possible, irrespective of time delay from myocardial infarction (MI) onset (Class I, LOE: B). †Angiography and revascularization should not be performed within the first 2–3 h after administration of fibrinolytic therapy. FIGURE 286-5 Reperfusion therapy for patients with ST-segment elevation myocardial infarction (STEMI). Performance of percutaneous coronary intervention (PCI) is dictated by an anatomically appropriate culprit stenosis. CABG, coronary artery bypass graft; DIDO, door-in–door-out; FMC, first medical contact; LOE, level of evidence. (Reproduced with permission from PT O’Gara: 2013 ACCF/AHA guideline for the management of ST-elevation myocardial infarction. </w:t>
      </w:r>
      <w:r w:rsidRPr="00F23836">
        <w:lastRenderedPageBreak/>
        <w:t xml:space="preserve">Circulation 127:e362, 2013.) MANAGEMENT STRATEGIES The primary tool for screening patients and making triage decisions is the initial 12-lead ECG. When ST-segment elevation meeting the Universal Definition of MI criteria (Table 286-2) is present, a patient should be considered a candidate for reperfusion therapy (Figs. 286-1 and 286-5). The process of selecting patients for fibrinolysis versus primary PCI (Chap. 287) is discussed below. In the absence of ST segment elevation, fibrinolysis is not helpful, and evidence exists sug gesting that it may be harmful. LIMITATION OF INFARCT SIZE The quantity of myocardium that becomes necrotic as a consequence of a coronary artery occlusion is determined by factors other than just the location of occlusion. While the central zone of the infarct contains necrotic tissue that is irretrievably lost, the fate of the surrounding isch emic myocardium (ischemic penumbra) may be improved by timely restoration of coronary perfusion, reduction of myocardial O2 demands, prevention of the accumulation of noxious metabolites, and blunting of the impact of mediators of reperfusion injury (e.g., calcium overload and oxygen-derived free radicals). Up to one-third of patients with STEMI may achieve spontaneous reperfusion of the infarct-related coronary artery within 24 h and experience improved healing of infarcted tissue. TABLE 286-2 Electrocardiographic Criteria for ST-Elevation Myocardial Infarction New ST-elevation at the J-point in 2 contiguous leads with the cut-point: • In all leads other than leads V2–V3 : ≥0.1 mV (1 mm on standard scale) • In leads V2–V3 : • ≥0.2 mV (2 mm) in men ≥40 years old • ≥0.25 mV (2.5 mm) in men 180 mmHg and/or a diastolic pressure &gt;110 mmHg) at any time during the acute presentation, suspicion of aortic dissection, and active internal bleeding (excluding menses). While advanced age is associated with an increase in hemorrhagic complications, the benefit of fibrinolytic therapy in the elderly appears to justify its use if no other contraindications are present, the amount of myocardium in jeopardy appears to be substantial, and timely access to primary PCI is not available. Relative contraindications to fibrinolytic therapy, which require assessment of the risk-to-benefit ratio, include current use of anti coagulants (international normalized ratio ≥2), a recent (10 min) cardiopulmo nary resuscitation, known bleeding diathesis, pregnancy, a hemor rhagic ophthalmic condition (e.g., hemorrhagic diabetic retinopathy), active peptic ulcer disease, and a history of severe hypertension that is currently adequately controlled. Because of the risk of an allergic reac tion, patients should not receive streptokinase if that agent had been received within the preceding 5 days to 2 years. Allergic reactions to streptokinase occur in ~2% of patients who receive it. While a minor degree of hypotension occurs in 4–10% of patients given this agent, marked hypotension occurs, although rarely, in association with severe allergic reactions. Hemorrhage is the most frequent and potentially the most serious complication. Because bleeding episodes that require transfusion are more common when patients require invasive procedures, unneces sary venous or arterial interventions should be avoided in patients receiving fibrinolytic agents. Hemorrhagic stroke is the most serious complication and occurs in ~0.5–0.9% of patients being treated with these agents. This rate increases with advancing age, with </w:t>
      </w:r>
      <w:r w:rsidRPr="00F23836">
        <w:lastRenderedPageBreak/>
        <w:t xml:space="preserve">patients &gt;70 years experiencing roughly twice the rate of intracranial hemor rhage as those 90 min), in which case a rescue PCI should be considered; or (2) coronary artery reocclusion (re-elevation of ST segments and/or recurrent chest pain) or the development of recurrent ischemia. More over, transfer to a PCI-capable center is recommended in all patients immediately after fibrinolysis with intent for angiography and PCI of the infarct-related artery, if indicated, between 3 and 24 h after suc cessful fibrinolysis. Coronary artery bypass surgery should be reserved for patients whose coronary anatomy is unsuited to PCI but in whom revascularization appears to be advisable because of extensive jeopar dized myocardium or recurrent ischemia. HOSPITAL PHASE MANAGEMENT </w:t>
      </w:r>
      <w:r w:rsidRPr="00F23836">
        <w:rPr>
          <w:rFonts w:ascii="Arial" w:hAnsi="Arial" w:cs="Arial"/>
        </w:rPr>
        <w:t>■</w:t>
      </w:r>
      <w:r w:rsidRPr="00F23836">
        <w:t xml:space="preserve">CARDIAC INTENSIVE CARE UNITS These units, previously described as coronary care units, are routinely equipped with continuous monitoring of the cardiac rhythm of each patient and hemodynamic monitoring in selected patients. Equally important is the organization of a highly trained team of nurses who can recognize arrhythmias and perform cardiac resuscitation, includ ing electroshock, when necessary. The availability of electrocardio graphic monitoring and trained personnel outside the coronary care unit has made it possible to admit lower-risk patients (e.g., those not hemodynamically compromised and without active arrhythmias) to “intermediate care units.” However, it remains reasonable to admit patients with STEMI to a cardiac intensive care unit when high-risk features are present (e.g., hemodynamic or electrical instability) or when suitably equipped and staffed intermediate care units are not available. The duration of stay in the coronary care unit is dictated by the ongoing need for intensive care. In general, patients with STEMI who remain at low risk (no persistent chest discomfort, HF, hypotension, or cardiac arrhythmias) may be safely transferred out of the coronary care unit within 24–48 h. 2121 Activity Factors that increase the work of the heart during the ini tial hours of infarction may increase the size of the infarct. Therefore, patients with STEMI should generally be kept at bed rest for the first 6–12 h. However, in the absence of complications, patients should be encouraged, under supervision, to resume an upright posture by dangling their feet over the side of the bed and sitting in a chair within the first 24 h. This practice is psychologically beneficial and usually results in a reduction in the pulmonary capillary wedge pressure. In the absence of hypotension and other complications, patients typically are ambulating with increasing duration, anticipating that they may be discharged after 3–5 days. Diet Because of the risk of emesis and aspiration soon after STEMI, patients should receive either nothing or only clear liquids by mouth for the first 4–12 h. The typical diet after AMI should provide ≤30% of total calories as fat and have a cholesterol content of ≤300 mg/d. Complex carbohydrates should make up 50–55% of total calories. Por tions should not be unusually large, and the menu should be enriched with foods that are high in potassium, magnesium, and fiber, but low in sodium. Diabetes mellitus and hypertriglyceridemia are managed by restriction of concentrated sweets in the diet. PHARMACOTHERAPY </w:t>
      </w:r>
      <w:r w:rsidRPr="00F23836">
        <w:rPr>
          <w:rFonts w:ascii="Arial" w:hAnsi="Arial" w:cs="Arial"/>
        </w:rPr>
        <w:t>■</w:t>
      </w:r>
      <w:r w:rsidRPr="00F23836">
        <w:t xml:space="preserve">ANTITHROMBOTIC AGENTS The use of antiplatelet and anticoagulant therapy during </w:t>
      </w:r>
      <w:r w:rsidRPr="00F23836">
        <w:lastRenderedPageBreak/>
        <w:t xml:space="preserve">the initial phase of STEMI is based on extensive laboratory and clinical evidence that thrombosis plays an important role in the pathogenesis of this condition. The primary goal of treatment with antiplatelet and antico agulant agents is to maintain patency of the infarct-related artery, in conjunction with reperfusion strategies. A secondary goal is to reduce the patient’s tendency to thrombosis and, thus, the likelihood of mural thrombus formation or deep-venous thrombosis. The degree to which antiplatelet and anticoagulant therapy achieves these goals partly determines how effectively it reduces the risk of mortality from STEMI. As noted previously (see “Management in the Emergency Depart ment” earlier), aspirin is the standard antiplatelet agent for patients with STEMI. The most compelling evidence for the benefits of anti platelet therapy (mainly with aspirin) in STEMI is found in the com prehensive overview by the Antiplatelet Trialists’ Collaboration. Data from nearly 20,000 patients with MI enrolled in 15 randomized trials were pooled and revealed a relative reduction of 27% in the mortal ity rate, from 14.2% in control patients to 10.4% in patients receiving antiplatelet agents. Inhibitors of the P2Y12 ADP receptor prevent activation and aggre gation of platelets. The addition of the P2Y12 inhibitor clopidogrel to background treatment with aspirin to STEMI patients reduces the risk of clinical events (death, reinfarction, stroke) and, in patients receiving fibrinolytic therapy, has been shown to prevent reocclusion of a suc cessfully reperfused infarct artery. Third-generation oral P2Y12 ADP receptor antagonists, such as prasugrel and ticagrelor, are more effec tive than clopidogrel in preventing ischemic complications in STEMI patients undergoing PCI but are associated with an increased risk of bleeding. Glycoprotein IIb/IIIa receptor inhibitors may be used when thrombotic complications occur during PCI. The anticoagulant agent most commonly used in clinical practice is unfractionated heparin (UFH). Use of UFH is recommended in patients with STEMI undergoing primary PCI. In addition, the avail able data suggest that when UFH is added to a regimen of aspirin and a non-fibrin-specific thrombolytic agent such as streptokinase, addi tional mortality benefit occurs (about 5 lives saved per 1000 patients treated). The immediate administration of intravenous UFH, in addi tion to a regimen of aspirin and relatively fibrin-specific fibrinolytic agents (tPA, rPA, or TNK), helps to maintain patency of the infarct related artery. This effect is achieved at the cost of a small increased risk of bleeding. The recommended dose of UFH is an initial bolus of 60 U/kg (maximum 4000 U) followed by an initial infusion of 12 U/kg per h (maximum 1000 U/h). The activated partial thromboplastin time during maintenance therapy should be 1.5–2 times the control value. Alternatives to UFH for anticoagulation of patients with STEMI are the low-molecular-weight heparin (LMWH) preparations, a synthetic version of the critical pentasaccharide sequence (fondaparinux), and the direct antithrombin bivalirudin. Advantages of LMWHs include high bioavailability permitting administration subcutaneously, reliable anticoagulation without monitoring, and greater anti-Xa:IIa activity. Enoxaparin has been shown to reduce significantly the composite endpoints of death/nonfatal reinfarction and death/nonfatal reinfarc tion/urgent revascularization compared with UFH in STEMI </w:t>
      </w:r>
      <w:r w:rsidRPr="00F23836">
        <w:lastRenderedPageBreak/>
        <w:t xml:space="preserve">patients who receive fibrinolysis. Treatment with enoxaparin is associated with higher rates of serious bleeding, but net clinical benefit—a composite endpoint that combines efficacy and safety—still favors enoxaparin over UFH. Interpretation of the data on fondaparinux is difficult because of the complex nature of the pivotal clinical trial evaluating it in STEMI (OASIS-6). Fondaparinux appears superior to placebo in STEMI patients not receiving reperfusion therapy, but its relative efficacy and safety compared with UFH are less certain. Owing to the risk of catheter thrombosis, fondaparinux should not be used alone at the time of coronary angiography and PCI but should be combined with another anticoagulant with antithrombin activity such as UFH or bivalirudin. Trials of bivalirudin used an open-label design to evaluate its efficacy and safety compared with UFH plus a glycoprotein IIb/ IIIa inhibitor. Bivalirudin was associated with a lower rate of bleeding, largely driven by reductions in vascular access site hematomas ≥5 cm or the administration of blood transfusions. Bivalirudin is an alterna tive to UFH in patients undergoing primary PCI. Patients with an anterior location of the infarction, severe LV dys function, HF, a history of embolism, or two-dimensional echocardio graphic evidence of mural thrombus are at increased risk of systemic or pulmonary thromboembolism. Patients with suspected mural throm bus should receive full therapeutic levels of anticoagulant therapy (LMWH or UFH) while hospitalized, followed by at least 3 months of oral anticoagulant therapy. It is reasonable to consider extended oral anticoagulant therapy (i.e., up to 3 months after presentation with STEMI) in patients with a high risk of developing systemic thrombo embolism because of a large area of akinetic myocardium. CHAPTER 286 ST-Segment Elevation Myocardial Infarction </w:t>
      </w:r>
      <w:r w:rsidRPr="00F23836">
        <w:rPr>
          <w:rFonts w:ascii="Arial" w:hAnsi="Arial" w:cs="Arial"/>
        </w:rPr>
        <w:t>■</w:t>
      </w:r>
      <w:r w:rsidRPr="00F23836">
        <w:t xml:space="preserve">BETA-ADRENOCEPTOR BLOCKERS The benefits of beta blockers in patients with STEMI can be divided into those that occur immediately when the drug is given acutely and those that accrue over the long term when the drug is given for second ary prevention after an infarction. Acute intravenous beta blockade, although no longer routinely recommended because of the risk of precipitating heart failure, improves the myocardial O2 supply-demand relationship, decreases pain, reduces infarct size, and decreases the incidence of serious ventricular arrhythmias. In patients who undergo fibrinolysis soon after the onset of chest pain, no incremental reduction in mortality rate is seen with beta blockers, but recurrent ischemia and reinfarction are reduced. Oral beta-blocker therapy after STEMI is useful for most patients (including those treated with an angiotensin-converting enzyme [ACE] inhibitor) except those in whom it is specifically contraindicated (patients with HF or severely compromised LV function, heart block, orthostatic hypotension, or a history of asthma) and perhaps those whose excellent long-term prognosis (defined as an expected mortality rate of 100 mmHg). The mecha nism involves a reduction in ventricular remodeling after infarction (see 2122 </w:t>
      </w:r>
      <w:r w:rsidRPr="00F23836">
        <w:rPr>
          <w:rFonts w:ascii="Arial" w:hAnsi="Arial" w:cs="Arial"/>
        </w:rPr>
        <w:t>■</w:t>
      </w:r>
      <w:r w:rsidRPr="00F23836">
        <w:t xml:space="preserve">VENTRICULAR DYSFUNCTION PART 6 Disorders of the Cardiovascular System </w:t>
      </w:r>
      <w:r w:rsidRPr="00F23836">
        <w:rPr>
          <w:rFonts w:ascii="Aptos" w:hAnsi="Aptos" w:cs="Aptos"/>
        </w:rPr>
        <w:t>“</w:t>
      </w:r>
      <w:r w:rsidRPr="00F23836">
        <w:t>Ventricular Dysfunction</w:t>
      </w:r>
      <w:r w:rsidRPr="00F23836">
        <w:rPr>
          <w:rFonts w:ascii="Aptos" w:hAnsi="Aptos" w:cs="Aptos"/>
        </w:rPr>
        <w:t>”</w:t>
      </w:r>
      <w:r w:rsidRPr="00F23836">
        <w:t xml:space="preserve"> later) with a subsequent reduction in the risk of HF. The rate of recurrent infarction may also be lower in patients treated chronically with ACE inhibitors after infarction. ACE inhibitors should be continued indefinitely in patients who have </w:t>
      </w:r>
      <w:r w:rsidRPr="00F23836">
        <w:lastRenderedPageBreak/>
        <w:t xml:space="preserve">clinically evident HF, in patients in whom an imaging study shows a reduction in global LV function or a large regional wall motion abnormality, or in those who are hypertensive. Angiotensin receptor blockers (ARBs) should be administered to STEMI patients who are intolerant of ACE inhibitors and who have either clinical or radiologic signs of HF. Long-term mineralocorticoid receptor inhibition (spironolactone, eplerenone) should be prescribed for STEMI patients who are already receiving therapeutic doses of an ACE inhibitor, have an LV ejection fraction ≤40%, and have either symptomatic HF or diabetes mellitus and do not have significant renal dysfunction (creatinine ≥2.5 mg/dL in men and ≥2.0 mg/dL in women) or hyperkalemia (potassium ≥5.0 mEq/L). Although angiotensin receptor–neprilysin inhibition with sacubi tril/valsartan is more effective than ACE inhibitor therapy in patients with symptomatic HF with a reduced ejection fraction, sacubitril/val sartan was not more effective than an ACE inhibitor in preventing the development of incident HF in patients early post-MI. </w:t>
      </w:r>
      <w:r w:rsidRPr="00F23836">
        <w:rPr>
          <w:rFonts w:ascii="Arial" w:hAnsi="Arial" w:cs="Arial"/>
        </w:rPr>
        <w:t>■</w:t>
      </w:r>
      <w:r w:rsidRPr="00F23836">
        <w:t>OTHER AGENTS Favorable effects on the ischemic process and ventricular remodeling (see below) previously led many physicians to routinely use intravenous nitroglycerin (5</w:t>
      </w:r>
      <w:r w:rsidRPr="00F23836">
        <w:rPr>
          <w:rFonts w:ascii="Aptos" w:hAnsi="Aptos" w:cs="Aptos"/>
        </w:rPr>
        <w:t>–</w:t>
      </w:r>
      <w:r w:rsidRPr="00F23836">
        <w:t xml:space="preserve">10 </w:t>
      </w:r>
      <w:r w:rsidRPr="00F23836">
        <w:rPr>
          <w:rFonts w:ascii="Aptos" w:hAnsi="Aptos" w:cs="Aptos"/>
        </w:rPr>
        <w:t>μ</w:t>
      </w:r>
      <w:r w:rsidRPr="00F23836">
        <w:t xml:space="preserve">g/min initial dose and up to 200 </w:t>
      </w:r>
      <w:r w:rsidRPr="00F23836">
        <w:rPr>
          <w:rFonts w:ascii="Aptos" w:hAnsi="Aptos" w:cs="Aptos"/>
        </w:rPr>
        <w:t>μ</w:t>
      </w:r>
      <w:r w:rsidRPr="00F23836">
        <w:t>g/min as long as hemodynamic stability is maintained) for the first 24</w:t>
      </w:r>
      <w:r w:rsidRPr="00F23836">
        <w:rPr>
          <w:rFonts w:ascii="Aptos" w:hAnsi="Aptos" w:cs="Aptos"/>
        </w:rPr>
        <w:t>–</w:t>
      </w:r>
      <w:r w:rsidRPr="00F23836">
        <w:t xml:space="preserve">48 h after the onset of infarction. However, a subsequent large, randomized trial demonstrated no benefit of intravenous nitroglycerin with respect to major outcomes in patients with STEMI. Use of intravenous nitroglyc erin may be considered in patients with STEMI who have persistent hypertension, HF, or ongoing ischemia. Results of multiple trials of different calcium antagonists have failed to establish a role for these agents in the treatment of most patients with STEMI. Therefore, the routine use of calcium antagonists can not be recommended. Targeted control of blood glucose in diabetic patients with STEMI has been shown to reduce the mortality rate. Serum magnesium should be measured in all patients on admission, and any demonstrated deficits should be corrected to minimize the risk of arrhythmias. COMPLICATIONS AND THEIR MANAGEMENT Recognition and management of the complications of STEMI are essential elements of the care of this patient population (Table 286-3). After STEMI, the left ventricle undergoes a series of changes in shape, size, and thickness in both the infarcted and noninfarcted segments. This process is referred to as ventricular remodeling and generally precedes the development of clinically evident HF in the months to years after infarction. Soon after STEMI, the left ventricle begins to dilate. Acutely, this results from expansion of the infarct, i.e., slip page of muscle bundles, disruption of normal myocardial cells, and tissue loss within the necrotic zone, resulting in disproportionate thinning and elongation of the infarct zone. Later, lengthening of the noninfarcted segments occurs as well. The overall chamber enlarge ment that occurs is related to the size and location of the infarct, with greater dilation following infarction of the anterior wall and apex of the left ventricle and causing more marked hemodynamic impair ment, more frequent HF, and a poorer prognosis. Progressive dilation and its clinical consequences may be ameliorated by therapy with ACE inhibitors. In patients with an ejection fraction 5 mm </w:t>
      </w:r>
      <w:r w:rsidRPr="00F23836">
        <w:lastRenderedPageBreak/>
        <w:t xml:space="preserve">pericardial effusion not visualized in all cases; layered, high-acoustic echoes within the pericardium (blood clot); direct visualization of tear; signs of tamponade Ventriculography insensitive, classic signs of tamponade not always present (equalization of diastolic pressures in the cardiac chambers) Abrupt onset of shortness of breath and pulmonary edema; hypotension A soft murmur in some cases, no thrill, variable signs of RV overload, severe pulmonary edema, cardiogenic shock Hypercontractile LV, torn papillary muscle or chordae tendineae, flail leaflet, severe mitral regurgitation on color flow Doppler echocardiography No increase in oxygen saturation from the RA to RV, large v waves, very high PCWP Abbreviations: LV, left ventricle; PCI, percutaneous coronary intervention; PCWP, pulmonary capillary wedge pressure; RA, right atrium; RV, right ventricle. Source: Reproduced with permission from Bohula EA, Morrow DA: ST-elevation myocardial infarction: Management, in Braunwald’s Heart Disease, 12th ed, Libby P et al (eds). New York, Elsevier, 2022, pp 662-713. </w:t>
      </w:r>
      <w:r w:rsidRPr="00F23836">
        <w:rPr>
          <w:rFonts w:ascii="Arial" w:hAnsi="Arial" w:cs="Arial"/>
        </w:rPr>
        <w:t>■</w:t>
      </w:r>
      <w:r w:rsidRPr="00F23836">
        <w:t xml:space="preserve">RIGHT VENTRICULAR INFARCTION 2123 one-third to one-half. However, the mortality rate for patients with cardiogenic shock (class IV) has plateaued without additional improvement for the past 25 years. Hemodynamic evidence of abnormal global LV function appears when contraction is seriously impaired in 20–25% of the left ventricle. Infarction of ≥40% of the left ventricle usually results in cardiogenic shock (Chap. 316). Positioning of a balloon flotation (Swan-Ganz) catheter in the pulmonary artery permits monitoring of LV filling pressure as well as estimation of the cardiac output; this technique may be useful in patients who exhibit hypotension and/or clinical evidence of HF. With the addition of intraarterial pressure monitoring, systemic vascular resistance can be calculated as a guide to adjusting vasopres sor and vasodilator therapy. Some patients with STEMI have markedly elevated LV filling pressures (&gt;22 mmHg) and normal cardiac indices (2.6–3.6 L/[min/m2]), while others have relatively low LV filling pres sures (120 beats/min) or if tachycardia induces HF, shock, or ischemia (as manifested by recurrent pain or ECG changes), a synchronized electroshock should be used. Accelerated junctional rhythms have diverse causes but may occur in patients with inferoposterior infarction. Digitalis excess must be ruled out. In some patients with severely compromised LV function, the loss of appropriately timed atrial systole results in a marked reduc tion of cardiac output. Right atrial or coronary sinus pacing is indicated in such instances. Sinus Bradycardia Treatment of sinus bradycardia is indicated if hemodynamic compromise results from the slow heart rate. Atro pine is the most useful drug for increasing heart rate and should be given intravenously in doses of 1.0 mg initially. If the rate remains EP study (especially in the presence of NSVT) GDMT (Class I) WCD (Class IIb) Inducible sustained VT No Yes Yes ICD (Class I) Reassess LVEF &gt;40 d after MI and/or &gt;90 d after revascularization LVEF ≤40%, NSVT, inducible sustained VT on EP study NYHA class IV candidate for advanced HF therapy† Yes Yes No N o ICD (Class I)* ICD (Class I) ICD GDMT (Class IIa) ICD should not be implanted (Class III: No benefit) FIGURE 286-6 Primary prevention of SCD in patients with ischemic heart disease, including recent MI. *Scenarios exist for early ICD placement in </w:t>
      </w:r>
      <w:r w:rsidRPr="00F23836">
        <w:lastRenderedPageBreak/>
        <w:t xml:space="preserve">select circumstances such as patients with a pacing indication or syncope. †Advanced HF therapy includes CRT, cardiac transplant, and left ventricular assist device. CRT, cardiac resynchronization therapy; EP, electrophysiologic; GDMT, guideline-directed management and therapy; HF, heart failure; ICD, implantable cardioverter-defibrillator; IHD, ischemic heart disease, LVEF, left ventricular ejection fraction; MI, myocardial infarction; NSVT, nonsustained ventricular tachycardia; NYHA, New York Heart Association; pts, patients; SCD, sudden cardiac death; VT, ventricular tachycardia; WCD, wearable cardioverter-defibrillator. The available evidence does not suggest there is a survival advantage to the use of an ICD early after MI, and the WCD is a potential option while waiting until the ejection fraction is reassessed (see figure). While the WCD appears to be effective in patients who wear the device, it is associated with frequent alarms, skin irritation, and emotional distress, which results in reduced wear time in a large number of patients. (Reproduced with permission from SM Al-Khatib et al: 2017 AHA/ACC/HRS guideline for management of patients with ventricular arrhythmias and the prevention of sudden cardiac death. Circulation 138:e272, 2018.) 2125 75, diabetes mellitus, prolonged sinus tachycardia, hypotension, ST-segment changes at rest without angina (“silent isch emia”), an abnormal signal-averaged ECG, nonpatency of the infarct related coronary artery (if angiography is undertaken), and persistent advanced heart block or a new intraventricular conduction abnormal ity on the ECG. Therapy must be individualized on the basis of the relative importance of the risk(s) present. The goal of preventing reinfarction, pump failure, and death after recovery from STEMI has led to strategies to evaluate risk after infarction. The risk of early recurrent ischemic events has diminished substantially in the era of primary PCI, with further reduction in the setting of current practice recommendations for routine revascular ization of suitable severely stenosed nonculprit coronary arteries. In contrast, in stable patients after fibrinolysis who have not undergone revascularization, submaximal exercise stress testing may be carried out before hospital discharge to detect residual ischemia and ven tricular ectopy and to provide the patient with a guideline for exercise in the early recovery period. Alternatively, or in addition, a maximal (symptom-limited) exercise stress test may be carried out 4–6 weeks after infarction. Patients in whom angina is induced at relatively low workloads, those who have a large reversible defect on perfusion imag ing, those with demonstrable ischemia, and those in whom exercise provokes symptomatic ventricular arrhythmias should be considered at high risk for recurrent MI or death from arrhythmia. Cardiac catheter ization with coronary angiography and/or invasive electrophysiologic evaluation is advised. 2126 PART 6 Disorders of the Cardiovascular System Lawton JS et al: 2021 ACC/AHA/SCAI Guideline for Coronary Artery Revascularization: A report of the American College of Cardiology/ American Heart Association Joint Committee on Clinical Practice Guidelines. Circulation 145:e18, 2022. Matter MA et al: Inflammation in acute myocardial infarction: The good, the bad and the ugly. Eur Heart J 45:89, 2024. Evaluation of LV function should be performed in all patients with STEMI. Recognition of a depressed LV ejection </w:t>
      </w:r>
      <w:r w:rsidRPr="00F23836">
        <w:lastRenderedPageBreak/>
        <w:t xml:space="preserve">fraction by echocardiography, cardiac magnetic resonance imaging (MRI), or nuclear myocardial perfusion imaging (Chap. 248) identifies patients who should receive medications to inhibit the renin angiotensin-aldosterone system. Cardiac MRI (Chap. 248) can pro vide high-resolution imaging of the extent of myocardial injury. A standard imaging agent (gadolinium) is administered, and images are obtained after a 10-min delay. Since little gadolinium enters the normal myocardium, where there are tightly packed myocytes, but does per colate into the intercellular region of the infarct zone, there is a bright signal in areas of infarction that appears in stark contrast to the dark areas of normal myocardium. In many hospitals, a cardiac rehabilitation program with progres sive exercise is initiated in the hospital and continued after discharge. Such programs should include an educational component that informs patients about their disease and its risk factors. Exercise testing per formed at entry into cardiac rehabilitation also aids in formulating an individualized exercise prescription. The usual duration of hospitalization for an uncomplicated STEMI is about 3–5 days. The remainder of the convalescent phase may be accomplished at home. During the first 1–2 weeks, the patient should be encouraged to increase activity by walking about the house and out doors in good weather. Normal sexual activity may be resumed during this period. After 2 weeks, the physician should regulate the patient’s activity on the basis of exercise tolerance. Most patients will be able to return to work within 2–4 weeks. SECONDARY PREVENTION Various secondary preventive measures are at least partly responsible for the improvement in the long-term mortality and morbidity rates after STEMI. Long-term treatment with an antiplatelet agent (usually aspirin) after STEMI is associated with a 25% reduction in the risk of recurrent infarction, stroke, or cardiovascular mortality (36 fewer events for every 1000 patients treated). Dual antiplatelet therapy with aspirin and a P2Y12 receptor antagonist (clopidogrel, prasugrel, or ticagrelor) is recommended for 12 months after a STEMI, in the absence of high bleeding risk or the occurrence of bleeding complications. ACE inhibi tors or ARBs and, in appropriate patients, aldosterone antagonists should be used indefinitely by patients with clinically evident HF, a reduced LV ejection fraction, or a large regional wall motion abnor mality to prevent late ventricular remodeling and recurrent ischemic events. After several decades of evaluation, there is substantial evidence that suggests that administration of an anticoagulant for secondary preven tion has a favorable effect on late mortality, stroke, and reinfarction in patients hospitalized with STEMI. Nevertheless, given the multiple alternatives for antithrombotic therapy, including potent antiplatelet agents, for this indication, clinicians must weigh the potential benefits of treatment with an oral anticoagulant based on established indica tions for anticoagulation, the use of other antithrombotic therapies, including long-term dual antiplatelet therapy, and the risk for bleeding. The chronic routine use of oral beta-adrenoceptor blockers for at least 1 year after STEMI is supported by well-conducted, placebo controlled trials. Anti-inflammatory therapy with low-dose colchicine (0.5 mg once daily) may be considered as part of a secondary preventive regimen for patients </w:t>
      </w:r>
      <w:r w:rsidRPr="00F23836">
        <w:lastRenderedPageBreak/>
        <w:t xml:space="preserve">with STEMI, particularly if the patient has had a recurrent ath erosclerotic vascular event despite guideline-directed medical therapy. Finally, risk factors for atherosclerosis (Chap. 244) should be dis cussed with the patient and, when possible, favorably modified. </w:t>
      </w:r>
      <w:r w:rsidRPr="00F23836">
        <w:rPr>
          <w:rFonts w:ascii="Arial" w:hAnsi="Arial" w:cs="Arial"/>
        </w:rPr>
        <w:t>■</w:t>
      </w:r>
      <w:r w:rsidRPr="00F23836">
        <w:t xml:space="preserve">FURTHER READING Gershlick AH, Price MJ: Full revascularization in the patient with ST-segment elevation myocardial infarction: The story so far. J Am Coll Cardiol 74:2724, 2019. Krumholz HM et al: Twenty-year trends in outcomes for older adults with acute myocardial infarction in the United States. JAMA Netw Open 2:e191938, 2019. O’Gara PT et al: 2013 ACCF/AHA guideline for the management of ST-elevation myocardial infarction: Executive summary: A report of the American College of Cardiology Foundation/American Heart Association Task Force on Practice Guidelines. Circulation 127:529, 2013. Park J et al: Prognostic implications of door-to-balloon time and onset-to-door time on mortality in patients with ST-segment elevation myocardial infarction treated with primary percutaneous coronary intervention. J Am Heart Assoc 8:e012188, 2019. Stahli BE et al: Timing of complete revascularization with multivessel PCI for myocardial infarction. N Engl J Med 389:1368, 2023. Szummer K et al: From early pharmacology to recent pharmacology interventions in acute coronary syndromes: JACC state-of-the-art review. J Am Coll Cardiol 74:1618, 2019. Thiele H et al: PCI strategies in patients with acute myocardial infarc tion and cardiogenic shock. N Engl J Med 377:2419, 2017. Tsao CW et al: Heart disease statistics–2023 update: A report from the American Heart Association. Circulation 147:e93, 2023. 287 Percutaneous Coronary Interventions and Other Interventional Procedures Deepak L. Bhatt, Pinak B. Shah Percutaneous transluminal coronary angioplasty (PTCA) was first introduced by Andreas Gruentzig in 1977 as an alternative to coronary bypass surgery. The concept was initially demonstrated by Charles Dotter in 1964 in peripheral vessels. The development of a small inelastic balloon catheter by Gruentzig allowed expansion of the technique into smaller peripheral and coronary vessels. Initial coronary experience was limited to single-vessel coronary disease and discrete proximal lesions due to the technical limitations of the equip ment. Advances in technology with smaller profile balloon catheters and movable steerable guidewires and greater operator experience allowed the procedure to grow rapidly with expanded use in patients with more complex lesions and multivessel disease. The introduc tion of coronary stents in 1994 was one of the major advances in the field. These devices reduced acute complications and reduced by half the significant problems of acute thrombosis and late restenosis (or recurrence of stenosis). Further reductions in restenosis were achieved by the introduction of drug-eluting stents in 2003. These stents slowly release antiproliferative drugs directly into the plaque over a few months. Percutaneous coronary intervention (PCI) is the most common revascularization procedure in the United States and is performed more than twice as often as coronary artery bypass surgery: &gt;900,000 patients a year. Interventional cardiology is a separate discipline that began with coronary interventions. The discipline has now expanded to include interventions for structural heart disease including treatment of con genital heart </w:t>
      </w:r>
      <w:r w:rsidRPr="00F23836">
        <w:lastRenderedPageBreak/>
        <w:t xml:space="preserve">disease and valvular heart disease; it also includes inter ventions to treat peripheral vascular disease, including atherosclerotic and nonatherosclerotic lesions in the carotid, renal, aortic, and periph eral arterial and venous circulations. 2127 A B C D FIGURE 287-1 Schematic diagram of the primary mechanisms of balloon angioplasty and stenting. A. A balloon angioplasty catheter is positioned into the stenosis over a guidewire under fluoroscopic guidance. B. The balloon is inflated, temporarily occluding the vessel. C. The lumen is enlarged primarily by stretching the vessel, often resulting in small dissections in the neointima. D. A stent mounted on a deflated balloon is placed into the lesion and pressed against the vessel wall with balloon inflation (not shown). The balloon is deflated and removed, leaving the stent permanently against the wall acting as a scaffold to hold the dissections against the wall and prevent vessel recoil. (Reproduced with permission from EJ Topol: Textbook of Cardiovascular Medicine, 2nd ed. Philadelphia, Lippincott Williams &amp; Wilkins, 2002.) TECHNIQUE The initial procedure is performed in a similar manner as a diagnostic cardiac catheterization (Chap. 249). Arterial access is obtained via the radial or femoral artery. To prevent thrombotic complications during the procedure, patients who are anticipated to need PCI are given aspi rin (325 mg) and may be given a platelet P2Y12 inhibitor such as clopi dogrel (loading dose of 600 mg), prasugrel (loading dose of 60 mg), or ticagrelor (loading dose of 180 mg) before the procedure. Cangrelor, a potent IV P2Y12 inhibitor, is approved for use in patients who have not received an oral agent prior to the procedure. During the proce dure, anticoagulation is achieved by administration of unfractionated heparin, enoxaparin (a low-molecular-weight heparin), or bivalirudin (a direct thrombin inhibitor). In patients with ST-segment elevation myocardial infarction (STEMI), high-risk acute coronary syndrome, or a large thrombus in the coronary artery, an intravenous glycoprotein IIb/IIIa inhibitor (tirofiban or eptifibatide) may also be given, although cangrelor appears to be as effective with less bleeding risk. beyond. This guidewire then serves as a “rail” over which angioplasty balloons, stents, or other therapeutic devices can be advanced to enlarge the narrowed segment of coronary artery. The artery is usually dilated with a balloon catheter followed by placement of a stent. The catheters and introducing sheath are removed and the artery manually held, or in the case of radial access, an inflatable cuff is used. One of several femoral arterial closure devices can also be used to achieve hemostasis. Because PCI is usually performed under local anesthesia and mild sedation, pro cedural recovery is generally less than 24 h. Most patients undergoing elective PCI can be discharged the same day of the procedure. Balloon angioplasty works by stretching the artery and displacing the plaque away from the lumen, enlarging the entire vessel (Figs. 287-1 and 287-2). The procedure rarely results in embolization of atheroscle rotic material. Owing to inelastic elements in the plaque, the stretching of the vessel by the balloon results in small, localized dissections that can protrude into the lumen and be a nidus for acute thrombus forma tion. If the dissections are severe, then they can obstruct the lumen or induce a thrombotic occlusion of the artery (acute closure). Stents have largely prevented this complication </w:t>
      </w:r>
      <w:r w:rsidRPr="00F23836">
        <w:lastRenderedPageBreak/>
        <w:t xml:space="preserve">by holding the dissection flaps up against the vessel wall (Fig. 287-1). CHAPTER 287 Percutaneous Coronary Interventions and Other Interventional Procedures Following placement of an introducing sheath into the artery, pre formed guiding catheters are used to cannulate selectively the origins of the coronary arteries. Through the guiding catheter, a flexible, steerable guidewire is negotiated into the coronary artery lumen using fluoroscopic guidance; it is then advanced through the stenosis and into the vessel Stents are currently used in &gt;90% of coronary angioplasty proce dures. Stents are wire meshes (usually made of stainless steel or other FIGURE 287-2 An example of neointimal hyperplasia and restenosis showing narrowing of the vessel. (Reprinted from CE Essed, M Van den Brand, AE Becker: Transluminal coronary angioplasty and early restenosis. Fibrocellular occlusion after wall laceration. Br Heart J 49:393, 1983; with permission.) 2128 PART 6 Disorders of the Cardiovascular System information regarding plaque morphology. OCT utilizes near-infrared light to provide intraluminal imaging of the vessel. The resolution of OCT is better than IVUS; however, both modalities have been shown in meta-analyses of clinical trials to optimize stent diameters and reduce the likelihood of delayed complications, such as in-stent reste nosis and stent thrombosis. SUCCESS AND COMPLICATIONS metals, such as cobalt chromium or nitinol) that are compressed over a deflated angioplasty balloon. When the balloon is inflated, the stent is enlarged to approximate the “normal” vessel lumen. The balloon is then deflated and removed, leaving the stent behind to provide a per manent scaffold in the artery. Owing to the design of the struts, these devices are flexible, allowing their passage through diseased and tortu ous coronary vessels. Stents are rigid enough to prevent elastic recoil of the vessel and have dramatically improved the success and safety of the procedure as a result. Drug-eluting stents (DESs) further enhanced the efficacy of PCI. An antiproliferative agent is attached to the metal stent by use of a thin polymer coating. The antiproliferative drug elutes from the stent over a 1- to 3-month period or longer after implantation. DESs have been shown to reduce clinical restenosis by 50%, so that in uncomplicated lesions, symptomatic restenosis occurs in 5–10% of patients. Not sur prisingly, this benefit led to the rapid acceptance of these devices, and given their safety profile, nearly 100% of stents placed today are DESs. The first-generation DESs were coated with either sirolimus or pacli taxel. Second-generation DESs use newer agents such as everolimus, biolimus, and zotarolimus. These second-generation DESs appear to be more effective with fewer complications, such as early or late stent thrombosis, than the first-generation devices and, therefore, have replaced the first-generation stents. Biodegradable polymers that are used to attach the drugs to the stents may be theoretically superior to permanent polymers in preventing late stent thrombosis. In addition, the first-generation everolimus-eluting biodegradable vascular scaf fold (BVS) stent had been shown to be reasonably safe with gradual degradation over several years, although concerns about late and very late stent thrombosis ultimately prevented introduction into clinical practice in the United States. Additional bioresorbable stents are under investigation. Drug-coated balloons (DCBs) are covered </w:t>
      </w:r>
      <w:r w:rsidRPr="00F23836">
        <w:lastRenderedPageBreak/>
        <w:t xml:space="preserve">with an antip roliferative drug that can also reduce restenosis and are used primarily to treat in-stent restenosis. Other interventional devices include atherectomy devices, throm bectomy catheters, and intravascular lithotripsy (IVL). These devices are designed to modify complex plaque or thrombus to facilitate and optimize stent placement. Rotational atherectomy is the most com monly used adjunctive device and is modeled after a dentist’s drill, with small round burrs of 1.25–2.5 mm at the tip of a flexible wire shaft. The burr is passed over the guidewire up to the stenosis and drills ath erosclerotic material. Because the atherosclerotic particles are ≤25 μm, they pass through the coronary microcirculation and rarely result in complications. The device is particularly useful in heavily calcified plaques that are resistant to balloon dilatation. Orbital atherectomy is a newer approach to calcified lesions that also relies on a spinning burr. IVL catheters emit pressure waves that fracture calcium within vessel walls, thereby increasing the compliance of the vessel and enhancing stent deployment. In acute STEMI, specialized catheters without a bal loon can be used to aspirate thrombus in order to prevent embolization down the coronary vessel and to improve blood flow before angio plasty and stent placement. Current studies show that manual catheter thrombus aspiration should not be used routinely but, in certain cases of a large thrombus burden, can improve blood flow in primary PCI. PCI of degenerated saphenous vein graft lesions has been associated with a significant incidence of distal embolization of atherosclerotic material, unlike PCI of native vessel disease. A number of distal pro tection devices have been shown to significantly reduce embolization and myocardial infarction in this setting. Most devices work by using a collapsible wire filter at the end of a guidewire that is expanded in the distal vessel before PCI. If atherosclerotic debris is dislodged, the bas ket captures the material, and at the end of the PCI, the basket is pulled into a delivery catheter, and the debris safely removed from the patient. Intravascular imaging is an adjunct to angiographic imaging for PCI that provides information regarding optimal treatment strategy and improves the long-term durability and safety of PCI. There are two modalities available for intravascular imaging: intravascular ultrasound (IVUS) and optical coherence tomography (OCT). IVUS catheters have piezoelectric ultrasound transducers at the distal end that can provide an image from within the vessel, as well as provide A successful procedure (angiographic success), defined as a reduction of the stenosis to less than a 20% diameter narrowing, occurs in 95–99% of patients. Lower success rates are seen in patients with tortu ous, small, or calcified vessels or chronic total occlusions. Chronic total occlusions have the lowest success rates, and their recanalization is sig nificantly better if the occlusion is recent (within 3 months) or there are favorable anatomic features. Improvements in equipment and complex antegrade and retrograde wire crossing techniques have increased the success rates of recanalization of chronic total occlusions to 70–80%. Serious complications are rare but include a mortality rate of 0.1 0.3% for elective cases, a large myocardial infarction in 65 years), undergoing an emer gent or urgent procedure, have chronic kidney disease, present with STEMI, or are in </w:t>
      </w:r>
      <w:r w:rsidRPr="00F23836">
        <w:lastRenderedPageBreak/>
        <w:t xml:space="preserve">shock have significantly higher risk. Scoring systems can help to estimate the risk of the procedure. Myocardial infarction during PCI can occur for multiple reasons including an acute occlud ing thrombus, severe coronary dissection, embolization of thrombus or atherosclerotic material with resulting (micro) vascular occlusion, or closure of a side branch vessel at the site of angioplasty or stent place ment. Most myocardial infarctions are small and only detected by a rise in the creatine phosphokinase (CPK) or troponin level after the pro cedure. Only those with significant enzyme elevations (&gt;10 times the upper limit of normal) are associated with a less favorable long-term outcome. Coronary stents have largely prevented occlusive coronary dissections from angioplasty due to the scaffolding effect of the stent. All types of stents are prone to stent thrombosis (1–3%), either acute (1 year) stent thromboses occur very infrequently with stents but are slightly more common with first-generation DESs. Use of the second-generation stents is associated with lower rates of late and very late stent thromboses, and shorter durations of DAPT (6 months) are recommended for the stent, although longer durations may be use ful depending on the underlying atherothrombotic and bleeding risks. Longer durations of DAPT up to 1 year should also be considered for patients undergoing PCI for acute coronary syndromes. Premature discontinuation of DAPT, particularly in the first month after implan tation, is associated with a significantly increased risk for stent throm bosis (three- to nine-fold greater). Stent thrombosis results in death in 10–20% and myocardial infarction in 30–70% of patients. Elective surgery that requires discontinuation of antiplatelet therapy after DES implantation should be postponed until after 3 months and preferably after 6 months, if at all possible. Restenosis, or renarrowing of the dilated coronary stenosis, is the most common complication of PCI and occurs in 20–50% of patients with balloon angioplasty alone, 10–30% of patients with bare metal stents, and 5–15% of patients with DESs within the first year. The fact that stent placement provides a larger acute luminal area than balloon angioplasty alone reduces the incidence of subsequent reste nosis. DESs further reduce restenosis through a reduction in exces sive neointimal growth over the stent. If restenosis does not occur, the long-term outcome is excellent (Fig. 287-3). Clinical restenosis is recognized by recurrence of angina or symptoms within 12 months of the procedure. Less frequently, patients with restenosis can pres ent with non-ST-segment elevation myocardial infarction (NSTEMI) (10%) or STEMI (2%) as well. Very late stent thrombosis and restenosis after 1 year are more likely to be due to neoatherosclerosis than inti mal hyperplasia seen within the first year. Clinical restenosis requires confirmation of a significant stenosis at the site of the prior PCI. The 2129 FIGURE 287-3 Long-term results from one of the first patients to receive a sirolimus-eluting stent from early Sao Paulo experience. (From GW Stone, in D Baim [ed]: Cardiac Catheterization, Angiography and Intervention, 7th ed. Philadelphia, Lippincott Williams &amp; Wilkins, 2006; with permission.) management of clinical restenosis is usually to repeat the PCI with bal loon dilatation and placement of another DES. Once a patient has had restenosis, the risk of a second restenosis is further </w:t>
      </w:r>
      <w:r w:rsidRPr="00F23836">
        <w:lastRenderedPageBreak/>
        <w:t xml:space="preserve">increased. The risk factors for restenosis are diabetes, myocardial infarction, long lesions, small-diameter vessels, and suboptimal initial PCI result. Treatments for symptomatic recurrent restenosis include re-stenting, brachyther apy, DCBs, or coronary bypass surgery. INDICATIONS The American College of Cardiology (ACC)/American Heart Asso ciation (AHA) guidelines extensively review the indications for PCI in patients with stable angina, unstable angina, NSTEMI, and STEMI and should be referred to for a comprehensive discussion of the indications. Briefly, the two principal indications for coronary revascularization in patients with chronic stable angina (Chap. 284) are (1) to improve angina symptoms in patients who remain symptomatic despite ade quate medical therapy and (2) to reduce mortality rates in patients with severe and extensive coronary disease. In patients with stable angina who are well controlled on medical therapy, studies such as the Clinical Outcomes Utilizing Revascularization and Aggressive Drug Evaluation (COURAGE) and Bypass Angioplasty Revascularization Investigation 2 Diabetes (BARI 2D) trials have shown that initial revascularization does not lead to better outcomes (death or myocardial infarction) and can be safely delayed until symptoms worsen or evidence of severe isch emia on noninvasive testing occurs. The International Study of Com parative Health Effectiveness with Medical and Invasive Approaches (ISCHEMIA) trial was the largest trial comparing optimal medical therapy to revascularization with PCI or coronary artery bypass graft ing (CABG) in stable patients with moderate ischemia on stress test ing but without left main disease or reduced left ventricular function (3 months in duration) with unfavorable characteristics. A lesion classification to characterize the likelihood of success or failure of PCI has been devel oped by the ACC/AHA. Lesions with the highest success are called type A lesions (such as proximal noncalcified subtotal lesions), and those with the lowest success or highest complication rate are type C lesions (such as chronic total occlusions). Intermediate lesions are classified as type B1 or B2 depending on the number of unfavorable characteristics. Approximately 25–30% of patients will not be candidates for PCI due to unfavorable anatomy, whereas only 5% of CABG patients will not be candidates for surgery due to coronary anatomy. The primary reason for being considered inoperable with CABG is the presence of severe comorbidities such as advanced age, frailty, severe chronic obstructive pulmonary disease (COPD), poor left ventricular function or lack of suitable surgical conduits, or poor distal targets for bypass. 2130 PART 6 Disorders of the Cardiovascular System Revascularization Strategies to Treat Multivessel Disease After Early PCI for STEMI (COMPLETE) trial supports complete revasculariza tion of nonculprit lesions in STEMI either in the hospital or in the few weeks after discharge. OTHER INTERVENTIONAL TECHNIQUES </w:t>
      </w:r>
      <w:r w:rsidRPr="00F23836">
        <w:rPr>
          <w:rFonts w:ascii="Arial" w:hAnsi="Arial" w:cs="Arial"/>
        </w:rPr>
        <w:t>■</w:t>
      </w:r>
      <w:r w:rsidRPr="00F23836">
        <w:t xml:space="preserve">STRUCTURAL HEART DISEASE Another consideration in choosing a revascularization strategy is the degree of revascularization needed. In patients with multivessel disease, bypass grafts can usually be placed to all vessels &gt;2 mm with significant stenosis, whereas PCI may be able to treat only some of the lesions due to the presence of unfavorable anatomy. Assessment of the significance of intermediate </w:t>
      </w:r>
      <w:r w:rsidRPr="00F23836">
        <w:lastRenderedPageBreak/>
        <w:t xml:space="preserve">lesions using fractional flow reserve (FFR) or the instantaneous wave-free ratio (iFR) (Chap. 249) can assist in determining which lesions should be revascularized. The Fractional Flow Reserve versus Angiography for Multivessel Evaluation (FAME) trial showed a 30% reduction in adverse events when revasculariza tion by PCI was restricted to those lesions that were hemodynamically significant (FFR ≤0.80) rather than when guided by angiography alone. Trials have shown that iFR is as predictive as FFR but is quicker and easier to perform, especially if there are sequential lesions or mul tivessel disease. Thus, complete revascularization of all functionally significant lesions should be favored and considered when choosing the optimal revascularization strategy. Given the multiple factors that need to be considered in choosing the best revascularization for an individual patient with multivessel disease, it is optimal to have a discussion among the cardiac surgeon, interventional cardiologist, and the physicians caring for the patient (so-called heart team) to weigh the choices properly. Patients with acute coronary syndrome are at excess risk of short- and long-term mortality. Randomized clinical trials have shown that PCI is superior to intensive medical therapy in reducing mortality and myocardial infarction, with the benefit largely confined to those patients who are high risk. High-risk non-ST-segment elevation acute coronary syndrome patients are defined as those with any one of the following: refractory ischemia, recurrent angina, positive cardiac specific enzymes, new ST-segment depression, transient ST-segment elevation, low ejection fraction, severe arrhythmias, or a recent PCI or CABG. PCI is preferred over surgical therapy in most high-risk patients with acute coronary syndromes unless they have severe multivessel disease or the culprit lesion responsible for the unstable presentation cannot be adequately determined or treated. In STEMI, thrombolysis and PCI (primary PCI) are effective methods to restore coronary blood flow and salvage myocardium within the first 12 h after onset of chest pain. Because PCI is more effective in restoring flow than thrombolysis, it is preferred if readily available within 90 min of presentation to the hospital. PCI is also performed following throm bolysis to facilitate adequate reperfusion or as a rescue procedure in those who do not achieve reperfusion from thrombolysis, who cannot be rapidly transferred to a hospital that can perform primary PCI, or who develop cardiogenic shock. The Complete Versus Culprit-Only Interventional treatment for structural heart disease (adult congenital heart disease and valvular heart disease) is a significant and growing component of the field of interventional cardiology. The most common adult congenital lesion to be treated with percu taneous techniques is closure of atrial septal defects (Chap. 280). The procedure is done as in a diagnostic right heart catheterization with the passage of a catheter up the femoral vein into the right atrium. With echo and fluoroscopic guidance, the size and location of the defect can be accurately defined, and closure is accomplished using one of several approved devices. All devices use a left atrial and right atrial wire mesh or covered disk that are pulled together to capture the atrial septum around the defect and seal it off. The Amplatzer Septal Occluder (AGA Medical, Minneapolis, MN) and the Gore </w:t>
      </w:r>
      <w:r w:rsidRPr="00F23836">
        <w:lastRenderedPageBreak/>
        <w:t xml:space="preserve">ASD Occluder (W.L. Gore, Flagstaff, AZ) are the most commonly used devices in the United States (Fig. 287-4). The success rate in selected patients is 85–95%, and the device complications are rare and include device embolization, infec tion, or erosion. Closure of patent foramen ovale (PFO) is done in a sim ilar fashion. PFO closure may be considered in patients who have had recurrent paradoxical stroke or transient ischemic attack (TIA) despite adequate medical therapy including anticoagulation or antiplatelet therapy or who are at high risk for recurrent stroke. Ten-year follow-up from the Randomized Evaluation of Recurrent Stroke Comparing PFO Closure to Established Current Standard of Care Treatment (RESPECT) trial showed a benefit of closure in reducing the risk for recurrent cryp togenic stroke, as have the REDUCE and CLOSE trials. The use in the treatment of migraine is not supported by the current data. Similar devices can also be used to close patent ductus arteriosus and ventricular septal defects. Other congenital diseases that can be treated percutaneously include coarctation of the aorta, pulmonic ste nosis, peripheral pulmonary stenosis, and other abnormal communica tions between the cardiac chambers or vessels. The treatment of valvular heart disease is the most rapidly growing area in interventional cardiology. In the past, the only available tech niques were balloon valvuloplasty for the treatment of aortic, mitral, or pulmonic stenosis (Chap. 272). Mitral valvuloplasty is the preferred treatment for symptomatic patients with rheumatic mitral stenosis A C E B D F FIGURE 287-4 Devices commonly used for structural heart procedures. A. Gore Atrial Septal Occluder. (Reproduced with permission from W.L. Gore.) B. Amplatzer ASD Occluder. (Reproduced with permission from Abbott.) C. MitraClip. (Reproduced with permission from Abbott.) D. Pascal. (Reproduced with permission from Edwards Lifesciences.) E. Sapien 3 Ultra. (Reproduced with permission from Edwards Lifesciences.) F. Evolut FX. (Reproduced with permission from Medtronic.) 2131 who have favorable anatomy. The outcome in these patients is equal to that of surgical commissurotomy. The success is highly related to the echocardiographic appearance of the valve. The most favorable setting is commissural fusion without calcification or subchordal fusion and the absence of significant mitral regurgitation. Access is obtained from the femoral vein using a transseptal technique in which a long metal catheter with a needle tip is advanced from the femoral vein through the right atrium and atrial septum at the level of the foramen ovale into the left atrium. A balloon-dilatation catheter is negotiated across the mitral valve and inflated to a predetermined size to enlarge the valve. The most commonly used dilatation catheter is the Inoue balloon. The technique splits the commissural fusion and commonly results in a doubling of the mitral valve area. The success of the procedure in favor able anatomy is 95%, and severe complications are rare (1–2%). The most common complications are tamponade due to puncture into the pericardium during the transseptal puncture or the creation of severe mitral regurgitation due to damage to the valve leaflets. Severe mitral regurgitation can be treated percutaneously using transcatheter edge-to-edge repair (TEER). There are two devices approved for TEER including the MitraClip (Abbott, Abbott Park, IL) and the </w:t>
      </w:r>
      <w:r w:rsidRPr="00F23836">
        <w:lastRenderedPageBreak/>
        <w:t xml:space="preserve">PASCAL device (Edwards Lifescience, Irvine, CA) (Fig. 287-4). The procedure involves the passage of a catheter into the left atrium using the transseptal technique. A special catheter with a metallic clasping device on the end is passed through the mitral valve and retracted to catch and bring together the mid portion of the anterior and posterior mitral valve leaflets. The device creates a double opening in the mitral valve and thereby reduces mitral regurgitation similar to the surgical Alfieri repair. In the Endovascular Valve Edge-to-Edge Repair Study (EVEREST II) trial, the MitraClip device was less effective than surgi cal repair or replacement but was shown to be safe. Subsequent trials have shown it to be reasonably effective for patients who are not good candidates for surgical repair, particularly when the regurgitation is due to functional causes. The Cardiovascular Outcomes Assessment of the MitraClip Percutaneous Therapy for Heart Failure Patients with Functional Mitral Regurgitation (COAPT) trial showed that, in patients with heart failure and functional mitral regurgitation who were carefully selected based on clinical and echocardiographic fea tures, the procedure can reduce mortality. At the present time, there are no approved devices for transcatheter mitral valve replacement (TMVR of native mitral valves). There are many devices presently in clinical trials. TMVR device development has been challenging due to the interior location of the mitral valve, the large size of the mitral valve, and potential for left ventricular outflow tract obstruction. Severe aortic stenosis can be treated with balloon valvuloplasty as well. In this setting, the valvuloplasty balloon catheter is placed retrograde across the aortic valve from the femoral artery and briefly inflated to stretch open the valve. The success is much less favorable, with only 50% achieving an aortic valve area of &gt;1 cm2 and a restenosis rate of 25–50% after 6–12 months. This poor success rate has limited its use to patients who are not surgical candidates or as a bridge to surgery or transcatheter aortic valve replacement (TAVR). In this setting, the interme diate-term mortality rate of the procedure is high (10%). Repeat aortic valvuloplasty as a treatment for aortic valve restenosis has been reported. TAVR has been shown to be an effective treatment for low-, intermediate-, and high-risk patients and inoperable patients with aortic ste nosis. Currently, three valve devices are approved in the United States: the Edwards SAPIEN valve (Edwards Lifescience, Irvine, CA), the Evo lut platform (Medtronic, Minneapolis, MN), and the Navitor system (Abbott Cardiovascu lar, Plymouth, MN) (Fig. 287-4). Data to date show excellent durability of the valves, although long-term outcomes of 10 years are not yet available. The Evolut and Navitor valves are self expanding, whereas the Sapien valve is balloon expanded. The cannulas are large (14–18 French), and retrograde access via the femoral artery is most commonly utilized. In patients with peripheral artery disease, access via the axillary or carotid artery may be utilized. The valve is positioned across the valve and deployed, occasionally requiring postdeployment balloon inflation to ensure full contact with the aortic annulus. The success rate is &gt;90%, and the 30-day mortality rate is 2–15% based on preoperative risk. The Place ment of Aortic Transcatheter Valve (PARTNER) randomized trial of the Edwards valve showed a 55% reduction in 1-year </w:t>
      </w:r>
      <w:r w:rsidRPr="00F23836">
        <w:lastRenderedPageBreak/>
        <w:t xml:space="preserve">mortality and major adverse events in the extreme-risk group randomized to TAVR compared with medical therapy. In separate randomized trials compar ing the Sapien platform to surgery and the Evolut platform to surgery, low-, moderate-, and high-risk patients had similar outcomes to sur gical valve replacement at 1 year. As a result, these valves have been approved for low-, intermediate-, high-, and extreme-risk patients with severe symptomatic aortic stenosis. At the present time, the Navitor platform is only approved for patients at high risk for surgery. Aortic and mitral bioprosthetic valve degeneration can be treated with repeat surgery or, in high-risk patients, with a transcatheter valve-in-valve procedure where a percutaneous valve is placed inside of the prior surgical valve. It has been shown to be effective for aortic and mitral valves. Pulmonic stenosis can also be effectively treated with balloon valvuloplasty and percutaneously replaced with the Melody valve (Medtronic). Tricuspid valve interventions are increasingly being per formed utilizing TEER and tricuspid valve replacement devices, which are now approved for use. </w:t>
      </w:r>
      <w:r w:rsidRPr="00F23836">
        <w:rPr>
          <w:rFonts w:ascii="Arial" w:hAnsi="Arial" w:cs="Arial"/>
        </w:rPr>
        <w:t>■</w:t>
      </w:r>
      <w:r w:rsidRPr="00F23836">
        <w:t xml:space="preserve">PERIPHERAL ARTERY INTERVENTIONS The use of percutaneous interventions to treat symptomatic patients with arterial obstruction in the carotid, renal, aortic, and peripheral vessels is an effective alternative to vascular surgery. Randomized clinical trial data support the use of carotid stenting in patients at high risk of complications from carotid endarterectomy (Fig. 287-5). Recent trials suggest similar outcomes with carotid stenting and carotid endarterectomy in patients at average risk, although depending on the patient’s risk for periprocedural stroke or myocardial infarction, one procedure may be preferred over the other. The success rate of periph eral artery interventional procedures has been improving, including treatment for long segments of occlusive disease historically treated by peripheral bypass surgery (Fig. 287-6). The use of DCBs and DESs has been shown to reduce restenosis when compared with balloon angio plasty alone. Peripheral intervention is increasingly part of the training of an interventional cardiologist, and most programs now require an additional year of training after the interventional cardiology training year. The techniques and outcomes are described in detail in the chap ter on peripheral vascular disease (Chap. 292). CHAPTER 287 Percutaneous Coronary Interventions and Other Interventional Procedures A B FIGURE 287-5 A. An example of a high-risk patient who requires carotid revascularization but who is not a candidate for carotid endarterectomy. B. Carotid artery stenting resulted in an excellent angiographic result. (From M Belkin, DL Bhatt: Carotid stenting in the elderly: Is 80 the new 60? Circulation 119:2302; 2009; with permission.) 2132 PART 6 Disorders of the Cardiovascular System A B C D E FIGURE 287-6 Peripheral interventional procedures have become highly effective at treating anatomic lesions previously amenable only to bypass surgery. A. Complete occlusion of the left superficial femoral artery. B. Wire and catheter advanced into subintimal space. C. Intravascular ultrasound positioned in the subintimal space to guide retrograde wire placement through the occluded vessel. D. Balloon dilation of the occlusion. E. Stent placement with excellent angiographic result. (Reprinted from A Almahameed, DL Bhatt: Contemporary management of peripheral </w:t>
      </w:r>
      <w:r w:rsidRPr="00F23836">
        <w:lastRenderedPageBreak/>
        <w:t xml:space="preserve">arterial disease: III. Endovascular and surgical management. Cleve Clin J Med 2006;73(suppl 4):S45-S51. With permission from The Cleveland Clinic Foundation. © 2006. The Cleveland Clinic Foundation. All rights reserved.) </w:t>
      </w:r>
      <w:r w:rsidRPr="00F23836">
        <w:rPr>
          <w:rFonts w:ascii="Arial" w:hAnsi="Arial" w:cs="Arial"/>
        </w:rPr>
        <w:t>■</w:t>
      </w:r>
      <w:r w:rsidRPr="00F23836">
        <w:t xml:space="preserve">CIRCULATORY SUPPORT TECHNIQUES The use of circulatory support techniques is indicated for the man agement of patients with shock or hemodynamic instability and occasionally is needed in order to safely perform PCI on hemo dynamically unstable patients. It also can be useful in helping to stabilize patients before surgical interventions. The most commonly used device is the percutaneous intraaortic balloon pump developed in the early 1960s. A 7- to 8-French, 25- to 50-mL balloon catheter is placed retrograde from the femoral artery into the descending aorta between the aortic arch and the abdominal aortic bifurcation. It is connected to a helium gas inflation system that synchronizes the inflation to coincide with early diastole with deflation by mid-dias tole. As a result, it increases early diastolic pressure, lowers systolic pressure, and lowers late diastolic pressure through displacement of blood from the descending aorta (counterpulsation). This results in an increase in coronary blood flow and a decrease in afterload. It is contraindicated in patients with aortic regurgitation, aortic dissec tion, or severe peripheral artery disease. The major complications are vascular and thrombotic. Intravenous heparin is given in order to reduce thrombotic complications. Another support device is the Impella (Abiomed, Danvers, MA). The Impella CP catheter is placed percutaneously from the femoral artery into the left ventricle. The catheter has a small microaxial pump at its tip that can pump up to 2.5–5 L/min from the left ventricle to the aorta. The larger Impella 5.5 device provides greater support for longer periods of time but requires surgical implantation typically through the axillary artery. Patients can also be placed on peripheral extracorporeal membrane oxygenation (ECMO) using large cannulas placed in the femoral artery and vein. This technique can be performed emergently or electively in the catheterization laboratory and is useful for support of patients with acute respiratory failure or cardiac failure. </w:t>
      </w:r>
      <w:r w:rsidRPr="00F23836">
        <w:rPr>
          <w:rFonts w:ascii="Arial" w:hAnsi="Arial" w:cs="Arial"/>
        </w:rPr>
        <w:t>■</w:t>
      </w:r>
      <w:r w:rsidRPr="00F23836">
        <w:t>INTERVENTIONS FOR PULMONARY EMBOLISM The treatment of deep vein thrombosis is intravenous anticoagulation, with placement of an inferior vena cava filter if recurrent pulmonary emboli (PE) occur or anticoagulation is not possible. Postphlebitic syndrome is a serious condition due to chronic venous obstruction that can lead to chronic leg edema and venous ulcers. Randomized data show that mechanical treatments may have a selective role in treatment of large iliofemoral deep-vein thrombosis. PE should be treated with fibrinolytic agents if massive and in some cases if submassive. Surgical pulmonary embolectomy is an option for the treatment of massive PE with hemodynamic instability in patients who have contraindications for systemic fibrinolysis or those in whom it has failed. Catheter-based therapies for submassive and massive PEs are still evolving, but studies have shown promise. The techniques employed include catheter directed thrombolysis with intraclot infu sion of a thrombolytic agent, potentially enhanced with ultrasound assisted catheter-directed thrombus fragmentation. The success of these techniques has been reported to be 80–</w:t>
      </w:r>
      <w:r w:rsidRPr="00F23836">
        <w:lastRenderedPageBreak/>
        <w:t xml:space="preserve">90%, with major compli cations occurring in 2–4% of patients. Thrombus removal with large bore aspiration devices include the FlowTriever (Inari Medical, Irvine, CA) and the CAT12 (Penumbra, Alameda, CA). </w:t>
      </w:r>
      <w:r w:rsidRPr="00F23836">
        <w:rPr>
          <w:rFonts w:ascii="Arial" w:hAnsi="Arial" w:cs="Arial"/>
        </w:rPr>
        <w:t>■</w:t>
      </w:r>
      <w:r w:rsidRPr="00F23836">
        <w:t xml:space="preserve">INTERVENTIONS FOR REFRACTORY HYPERTENSION The recent recognition of the importance of the renal sympathetic nerves in modulating blood pressure has led to a technique to selec tively denervate renal sympathetic nerves in patients with refractory hypertension. The procedure involves applying low-power radiofre quency treatment via a catheter along the length of both renal arteries. Despite promising nonrandomized data, in the randomized Symplicity HTN-3 trial, renal denervation did not significantly reduce blood pres sure compared with medical therapy. Further optimization of the tech nique is ongoing with some evidence from small, randomized trials of modest efficacy, which was sufficient to lead to regulatory approval. CONCLUSION Interventional cardiology continues to expand its borders. Treatment for coronary artery disease, including complex anatomic subsets, continues to advance. Technological advances such as DESs, now already in their second generation, are improving the results of PCI. PCI is the treatment of choice for patients with acute coronary syndromes. For patients with stable coronary disease, PCI is effective in symptom alleviation. Use of a Heart Team is the best way to make decisions concerning which revascu larization—PCI or CABG—is best for an individual patient. Treatment of peripheral and cerebrovascular disease can be effective with percutaneous techniques. Structural heart disease is increasingly being treated with per cutaneous options, with interventional approaches such as TAVR becom ing preferred over surgical aortic valve replacement. Further growth of invasive procedures is anticipated in years to come. </w:t>
      </w:r>
      <w:r w:rsidRPr="00F23836">
        <w:rPr>
          <w:rFonts w:ascii="Arial" w:hAnsi="Arial" w:cs="Arial"/>
        </w:rPr>
        <w:t>■</w:t>
      </w:r>
      <w:r w:rsidRPr="00F23836">
        <w:t>FURTHER READING Arterial blood pressure Cardiac output Stroke volume 2133 Bhatt DL: Cardiovascular Intervention: A Companion to Braunwald</w:t>
      </w:r>
      <w:r w:rsidRPr="00F23836">
        <w:rPr>
          <w:rFonts w:ascii="Aptos" w:hAnsi="Aptos" w:cs="Aptos"/>
        </w:rPr>
        <w:t>’</w:t>
      </w:r>
      <w:r w:rsidRPr="00F23836">
        <w:t xml:space="preserve">s Heart Disease. Philadelphia, Elsevier, 2024. Kumar V et al: Transcatheter aortic valve replacement programs: Clin ical outcomes and developments. J Am Heart Assoc 9:120.015921, 2020. Lawton JS et al: 2021 ACC/AHA/SCAI guideline for coronary artery revascularization: A report of the American College of Cardiology/ American Heart Association Joint Committee on Clinical Practice Guidelines. Circulation 145:e18, 2022. 288 Hypertension Paul K. Whelton High blood pressure (BP) is a leading risk factor for cardiovascular disease (CVD), including ischemic and hemorrhagic stroke, coro nary heart disease (CHD), heart failure (HF), peripheral arterial dis ease (PAD), chronic kidney disease (CKD)/end-stage kidney disease (ESKD), dementia, and all-cause mortality. Hypertension, a subset of high BP, is very common no matter how it is defined and results in a huge burden due to death, morbidity, disability, social and workplace disruption, and cost to the individual and society. According to data from the National Ambulatory Medical Care Survey (NAMCS), hyper tension is a component for more than one-third of all visits to office based physicians by U.S. adults. Likewise, global estimates have ranked hypertension as the most common reason for primary care visits worldwide. Hypertension is often associated with other CVD risk fac tors, resulting in a higher risk of complications and related burden of illness. The optimal approach to high </w:t>
      </w:r>
      <w:r w:rsidRPr="00F23836">
        <w:lastRenderedPageBreak/>
        <w:t xml:space="preserve">BP is to prevent its development, but diagnosis, treatment, and control of hypertension also provide an effective means to reduce the risk of BP-related CVD. Unfortunately, both strategies are poorly implemented worldwide, resulting in a high burden of preventable disease. BLOOD PRESSURE PHYSIOLOGY AND PATHOPHYSIOLOGY Complex and incompletely understood mechanisms control blood flow in individual organs and the arteriolar system. At the most basic level, arterial BP is controlled by cardiac output and peripheral resis tance (Fig. 288-1). However, arterial pressure is largely thought to be controlled by a renal-volume-endocrine pressure control system, in which the blood volume and total peripheral resistance are manipu lated slowly to adjust arterial BP. Cardiac output is influenced by stroke volume and heart rate, with stroke volume being related to myocardial contraction and the size of the intravascular compartment. Changes in cardiac output play an important role in acute BP responses to stressors. Peripheral vascular resistance is determined by functional and anatomic changes in small arteries and arterioles. The vascular endothelium is composed of a single layer of endothelial cells that constitute the inner cellular lining of arterioles. It serves as a direct contact with circulating blood and regulates exchanges between the bloodstream and surrounding tissues. Endothelial cells control vascular tone and, thereby, blood flow by syn thesizing and releasing relaxing and contracting factors such as nitric oxide; metabolites of arachidonic, lipoxygenase, and cytochrome path ways; peptides, including endothelin; adenosine; purines; and reactive oxygen species; and by generating endothelial enzymes that produce vasoactive hormones such as angiotensin II. Endothelial dysfunction may play an important role in the initiation or progression of hyper tension and atherosclerosis. A wide variety of systems interplay to keep cardiac output and peripheral resistance in balance, including sodium Heart rate Vascular structure Peripheral resistance Vascular function FIGURE 288-1 Schematic depiction of factors that influence the control of blood pressure. handling, primarily by the kidney, and many neural and hormonal systems that influence peripheral resistance by stimulating vascular constriction (e.g., the sympathetic system and the renin-angiotensin aldosterone system [RAAS]) or inducing vasodilation (e.g., bradykinin system), and by modulating hormones that result in excretion or reten tion of sodium (natriuretic peptides and aldosterone, respectively). Most vascular beds have the capacity to autoregulate blood flow. When peripheral arterial resistance is increased, the autoregulatory systems tend to increase vascular resistance within the vascular bed to maintain constant blood flow. During the 1960s, Arthur Guyton hypothesized that the capacity of the kidney to excrete sodium ulti mately dictates long-term changes in levels of BP. Although the Guyton model has been challenged and alternatives proposed, it has had a profound influence on the understanding of BP regulation. A com monly accepted theory is that initial elevation of BP is due to increased cardiac output and expanded intravascular volume; peripheral resis tance increases and cardiac output reverts toward normal over time. Whether or not this is the typical sequence of events in the pathogen esis of hypertension, salt can activate a number of neural, </w:t>
      </w:r>
      <w:r w:rsidRPr="00F23836">
        <w:lastRenderedPageBreak/>
        <w:t xml:space="preserve">endocrine, paracrine, and vascular mechanisms that have the potential to increase arterial pressure. As arterial pressure increases in response to a high intake of sodium chloride, urinary sodium excretion increases, and sodium balance is maintained at the expense of an increase in arterial pressure. The mechanism for this “pressure-natriuresis” phenomenon may involve a subtle increase in glomerular filtration rate (GFR), decreased sodium absorption capacity in the renal tubules, and hor monal factors such as atrial natriuretic factor. In individuals with an impaired capacity to excrete sodium, greater increases in arterial pres sure are required to achieve natriuresis and sodium balance. Many of the drugs used to manage high BP work though influ ences on the various BP control mechanisms. For example, direct vasodilators and calcium channel blockers (CCBs) work by induc ing arteriolar vasodilation. Agents that block the RAAS, such as angiotensin-converting enzyme inhibitors (ACEIs), angiotensin recep tor blockers (ARBs), and renin inhibitors, act by blocking the vaso constricting effects of angiotensin II and sodium-retaining effects of aldosterone. ACEIs also inhibit inactivation of the vasodilator bradyki nin, resulting in angioedema in some patients treated with this agent. Beta blockers tend to affect BP by impairing the action of sympathetic system neurotransmitters that stimulate vasoconstriction and heart rate. For example, beta blockers can antagonize the neurotransmitter acetylcholine as well as epinephrine and norepinephrine. In addition to being the most important site for the effect of agents that block the RAAS activity, many drugs affect electrolyte and fluid exchange in the kidneys. Carbonic anhydrase inhibitors have a diuretic effect in the proximal tubules, but due to side effects and diminishing efficacy over time, they are rarely used for BP control. Thiazide and thiazide like diuretics work to enhance sodium excretion in the distal convo luted tubule and are a mainstay of drug therapy for BP control. They work by reducing intravascular volume, but over the long term, their effect on BP is through reducing peripheral arteriolar resistance. Loop diuretics are more potent diuretics that produce sodium excretion in the loop of Henle. They tend to be relatively short-acting agents that are better suited for sodium excretion than BP reduction. Mineralo corticoid receptor antagonists (MRAs) or aldosterone antagonists are diuretic drugs that work in the distal tubule of the kidney, including the distal convoluted tubule, connecting the tubule and cortical collect ing duct, to antagonize the action of aldosterone at mineralocorticoid CHAPTER 288 Hypertension 2134 receptor sites. These are examples of presumed principal mechanisms of action, but many drugs have other effects on the control of vascular tone and cardiac output that play a role in their effects on BP. PART 6 Disorders of the Cardiovascular System BLOOD PRESSURE MEASUREMENT Commonly, BP measurements are used to estimate an individual’s average level of BP; estimate their risk of CVD, in combination with other indicators; and determine the need for hypertension prevention or treatment. Office and clinic BP measurements are among the most common procedures in clinical practice and arguably provide the best assessment of BP because they have been used in almost all of the landmark BP-CVD risk prediction cohort studies and hypertension prevention </w:t>
      </w:r>
      <w:r w:rsidRPr="00F23836">
        <w:lastRenderedPageBreak/>
        <w:t>and treatment trials. The need for standardization of the BP measurement procedure was recognized by early advocates of BP assessment. Subsequently, the effects of factors that can systematically (predictably) result in falsely high or low BP estimates were quanti fied, which formed the basis for BP measurement recommendations by professional societies and clinical practice guideline committees. BP also varies randomly (nonpredictably) within and between visits, resulting in corresponding recommendations to rely on an average of repeated readings obtained at more than one visit for classification of an individual’s average level of BP. For many years, U.S. clinical prac tice guidelines have recommended using an average of two or more BP measurements obtained at two or more visits to estimate the usual level of BP. The most important elements for obtaining accurate office BP measurements are visually depicted in Fig. 288-2 and outlined below. •</w:t>
      </w:r>
      <w:r w:rsidRPr="00F23836">
        <w:t> </w:t>
      </w:r>
      <w:r w:rsidRPr="00F23836">
        <w:t>Instruct the patient to avoid a full bladder and abstain from caffeine, smoking, alcohol, or exercise for 30 min prior to the measurements. •</w:t>
      </w:r>
      <w:r w:rsidRPr="00F23836">
        <w:t> </w:t>
      </w:r>
      <w:r w:rsidRPr="00F23836">
        <w:t>Use a quiet room with a comfortable ambient temperature. •</w:t>
      </w:r>
      <w:r w:rsidRPr="00F23836">
        <w:t> </w:t>
      </w:r>
      <w:r w:rsidRPr="00F23836">
        <w:t>Explain the procedure to the patient, including the number of readings. •</w:t>
      </w:r>
      <w:r w:rsidRPr="00F23836">
        <w:t> </w:t>
      </w:r>
      <w:r w:rsidRPr="00F23836">
        <w:t>Instruct the patient to rest for 3–5 min prior to the first measure ment and avoid talking or distractions such as cell phone use during the rest period and subsequent BP measurements. •</w:t>
      </w:r>
      <w:r w:rsidRPr="00F23836">
        <w:t> </w:t>
      </w:r>
      <w:r w:rsidRPr="00F23836">
        <w:t>Seat the patient in a chair with upright back support. The patient’s feet should be flat on the ground and the measurement arm com fortably supported such that the cuff is at heart level. •</w:t>
      </w:r>
      <w:r w:rsidRPr="00F23836">
        <w:t> </w:t>
      </w:r>
      <w:r w:rsidRPr="00F23836">
        <w:t>Use a clinically validated, preferably automated BP measurement device. Choose a cuff that is the correct size for the patient’s arm, and measure their BP at the mid-brachial level. •</w:t>
      </w:r>
      <w:r w:rsidRPr="00F23836">
        <w:t> </w:t>
      </w:r>
      <w:r w:rsidRPr="00F23836">
        <w:t xml:space="preserve">The BP measurements should be obtained by a trained, preferably certified, member of the health care team using the arm with the highest pressure at the first visit. Back supported TABLE 288-1 American College of Cardiology/American Heart Association Blood Pressure Classification System in Adults BP CATEGORY Normal BP Elevated BP Stage 1 hypertension SYSTOLIC BP, mmHg 103 million adults in the United States have hypertension, making it one of the most com mon health conditions reported. Hypertension is present in ~20–30% of U.S. adults aged 20–44 years, but the prevalence increases to 80–85% in those aged 75 years or older. The overall prevalence of hyperten sion in U.S. adults has remained fairly stable in recent decades (~46% overall). Men have slightly higher BPs compared to women during the first half of life, but the opposite is true in later life. In the United States, non-Hispanic black adults have a prevalence of hypertension (59%) that is substantially higher compared to whites (45%), Hispanics (47%), or Asians (46%). Adjusted estimates of hypertension in adult non-Hispanic black men and women are reported to be 59 and 56%, respectively, whereas the corresponding estimates for non-Hispanic white men and women are 47 and 41%, respectively. In addition, hypertension in non-Hispanic black adults tends to begin at a younger age and result in more CVD and kidney complications compared to the other major racial/ethnic groups in the United States. The prevalence of hypertension and CVD complications (especially stroke) is higher in the southeastern United States compared to other regions of the </w:t>
      </w:r>
      <w:r w:rsidRPr="00F23836">
        <w:lastRenderedPageBreak/>
        <w:t xml:space="preserve">coun try, especially the northwest. No matter how defined, hypertension is very common in all parts of the world, with a progressively increasing prevalence in low- and middle-income countries and a slight decline in high-income countries. Using the hypertension definition of SBP ≥140 mmHg, DBP ≥90 mmHg, or taking antihypertensive medication, the prevalence in adults was estimated to be 31.5% (1.04 billion) in low- and middle-income countries and 28.5% (349 million) in high-income countries in 2010. As in the United States, hypertension prevalence is very age-dependent and varies by region, race/ethnicity, and other fac tors, including importantly socioeconomic factors, in most countries. CHAPTER 288 Hypertension LABORATORY AND OTHER INVESTIGATIONS In patients with newly diagnosed hypertension, basic laboratory test ing is indicated to (1) recognize the presence and extent of target organ damage; (2) facilitate the identification of secondary causes of hypertension, including kidney disease and primary aldosteronism; (3) recognize comorbid conditions, including diabetes mellitus and hyperlipidemia; (4) estimate atherosclerotic CVD (ASCVD) risk in patients without a history of a CVD; and (5) assist in the optimal choice of antihypertensive drug therapy. At a minimum, a complete blood count, serum electrolytes (sodium, potassium, calcium), serum creati nine and estimated GFR (eGFR), lipid profile, glycemic status (hemo globin A1c or fasting blood glucose), thyroid-stimulating hormone level, urinalysis and urine albumin-to-creatinine ratio, and 12-lead electrocardiogram (ECG) should be obtained. These basic tests can be complemented by other evaluations as clinically indicated. In some countries, it is not possible to obtain the minimally recommended laboratory results. Guidelines written for clinicians in such countries, including the 2021 World Health Organization (WHO) guideline for the treatment of hypertension in adults, recommend that this should not be an impediment to BP reduction. ESTIMATION OF CARDIOVASCULAR DISEASE RISK Abundant studies have shown that BP is associated with CVD risk in a continuous, progressive, log-linear fashion from low to high levels of SBP and DBP. For SBP, the risk relationship has been documented from as low as 90 mmHg to more than 180 mmHg, suggesting rela tively low levels of BP, if physiological, may be optimal to prevent the genesis of BP-related atherosclerotic complications. It also suggests that 2136 PART 6 Disorders of the Cardiovascular System temperature, with lower and higher BPs during the warmest and cold est seasons, respectively. BP also tends to be higher in those who are acutely exposed to high altitudes, possibly due to a combination of hypoxia and cold temperatures. one might reasonably expect a “lower BP is better” finding in antihy pertensive randomized controlled treatment (RCT) trials. In addition to CVD, the level of BP is strongly associated with other diseases, including CKD, ESKD, and dementia. The BP-CVD risk association in observational studies is equally true for men and women. The BP related slope for relative risk of CVD is steeper at younger age when BP elevation is often an isolated risk predictor. In older adults, the corresponding slope for CVD risk is less steep, but the absolute risk of CVD is far higher because other CVD risk factors are common in those with an elevated BP. At any level of BP, the risk of a CVD </w:t>
      </w:r>
      <w:r w:rsidRPr="00F23836">
        <w:lastRenderedPageBreak/>
        <w:t xml:space="preserve">complication varies dramatically with more than a 30-fold difference in 10-year predicted risk of CVD for those with an isolated elevation of BP compared to their counterparts with multiple CVD risk factors in addition to an elevated BP. This observation has special relevance for clinical decision-making in patients with a usual SBP between 130 and 139 mmHg. In individuals with stage 1 hypertension as an isolated CVD risk factor, the 5- or 10-year risk of a CVD event may be quite small and limit enthusiasm for introducing antihypertensive drug therapy. However, when stage 1 hypertension is accompanied by other CVD risk factors, the corresponding risk of ASCVD may be quite high and make prescription of antihypertensive drug therapy much more appealing. In antihypertensive clinical trials, the relative risk reductions for CVD events are similar in groups with different levels of underlying CVD risk, but the absolute benefit is much greater in the groups at higher risk for ASCVD. For both these reasons, CVD risk assessment should be part of the initial evaluation. Patients with a history of a prior CVD complication are known to be at high risk for recurrent CVD events. In those without a history of prior CVD, ASCVD risk should be estimated using a risk calculator. For U.S. adults 40–75 years of age, use of the ACC/AHA pooled cohort equations estimator is recommended because it has been validated in non-Hispanic white and black adults. Those with a 10-year risk of ASCVD ≥10% should be considered at high risk. PREVENT is an updated risk predicting model that is based on a larger and more cur rent dataset than that used for the pooled cohort equations model. It incorporates an assessment of kidney (glomerular) function and allows for inclusion of urinary albumin/creatinine ratio, zip code for assess ment of the social determinants of health, and hemoglobin A1c where indicated and has been introduced by the AHA as a replacement for the pooled cohort equations. It can be used in U.S. adults aged 30–70 years to predict 10- and 30-year CVD risk. It includes the prediction of heart failure risk, an important feature in the care of patients with hyperten sion. Over time, the PREVENT instrument is expected to replace the current pooled cohort equations risk prediction model. CAUSES OF HYPERTENSION </w:t>
      </w:r>
      <w:r w:rsidRPr="00F23836">
        <w:rPr>
          <w:rFonts w:ascii="Arial" w:hAnsi="Arial" w:cs="Arial"/>
        </w:rPr>
        <w:t>■</w:t>
      </w:r>
      <w:r w:rsidRPr="00F23836">
        <w:t xml:space="preserve">PRIMARY HYPERTENSION Most adults have </w:t>
      </w:r>
      <w:r w:rsidRPr="00F23836">
        <w:rPr>
          <w:rFonts w:ascii="Aptos" w:hAnsi="Aptos" w:cs="Aptos"/>
        </w:rPr>
        <w:t>“</w:t>
      </w:r>
      <w:r w:rsidRPr="00F23836">
        <w:t>primary</w:t>
      </w:r>
      <w:r w:rsidRPr="00F23836">
        <w:rPr>
          <w:rFonts w:ascii="Aptos" w:hAnsi="Aptos" w:cs="Aptos"/>
        </w:rPr>
        <w:t>”</w:t>
      </w:r>
      <w:r w:rsidRPr="00F23836">
        <w:t xml:space="preserve"> hypertension, with no obvious underlying anatomic cause of their high BP. Adoption, twin, clinical, and family studies provide evidence for a heritable component of high BP and hypertension. However, much of this may be due to a shared environ ment because, with rare exceptions, genetic investigations have only identified modest polygenic associations between multiple genes and BP. While genetic research remains an important area for investigation, the clinical implications of genetic studies for diagnosis and manage ment of high BP are currently very limited. Strong associations with level of BP have been reported for several general environmental exposures, including heavy metals such as lead, mercury, cadmium, and arsenic. Several indicators of air pollu tion, commonly including levels of particulate matter with a diam eter of 2.5 microns (PM2.5 ) or less, have been associated with higher levels of SBP and DBP. In most studies, the increase in SBP has been ~3–5 mmHg, but the magnitude can vary depending on quantity and duration of the exposure. Air pollution is a challenge </w:t>
      </w:r>
      <w:r w:rsidRPr="00F23836">
        <w:lastRenderedPageBreak/>
        <w:t xml:space="preserve">worldwide, but the level of exposure to pollutants varies widely by geography, climate, season, and extent of economic development. In addition to air pollution, clinically important changes in BP are recognized in geographic regions that experience large seasonal variations in ambient Personal environmental exposures related to components of diet, physical activity, and alcohol consumption seem to be responsible for much of the age-related increases in BP that are common in most countries. A large body of ecological, migrant, and longitudinal cohort studies have documented higher BPs in those who consume unhealthy diets, have an excessive intake of sodium or an inadequate intake of potassium, are physically inactive, are overweight or obese, or consume alcohol. Many of these exposures have also been linked to CVD com plications. For example, insufficient dietary intake of potassium has been identified as a risk factor for stroke in many studies. Stress and other psychosocial indicators have also been associated with higher BPs and CVD events. The six personal exposures identified in Table 288-2 (diet quality, body weight, excessive dietary sodium intake, insufficient dietary potassium intake, physical inactivity, and alcohol consumption) are all highly prevalent and strongly associated with higher BP and age-related increases in BP. About half of U.S. adults report attempts to eat a heart healthy diet, but this is likely to represent an overestimate. Almost all adults worldwide exceed the intake of dietary sodium and fail to meet the level of dietary potassium recommended by the WHO and national organizations. Likewise, excess body weight is very com mon in many countries. For example, approximately three-quarters of U.S. adults are either overweight (body mass index [BMI] 25–29 kg/m2) or obese (BMI ≥30 kg/m2). More than a quarter of U.S. adults report no physical activity outside their workplace, and about half report less than the recommended level of physical activity (≥150 min of aero bic exercise/week). About 85% of U.S. adults report consumption of alcohol at some point during their life, with &gt;60% reporting alcohol consumption during the previous year and 25% reporting binge drink ing during the previous month. Thus, these six exposures are not only closely related to level of BP and targets for interventions aimed at BP lowering but also extremely common exposures. </w:t>
      </w:r>
      <w:r w:rsidRPr="00F23836">
        <w:rPr>
          <w:rFonts w:ascii="Arial" w:hAnsi="Arial" w:cs="Arial"/>
        </w:rPr>
        <w:t>■</w:t>
      </w:r>
      <w:r w:rsidRPr="00F23836">
        <w:t xml:space="preserve">SECONDARY HYPERTENSION A minority of patients have </w:t>
      </w:r>
      <w:r w:rsidRPr="00F23836">
        <w:rPr>
          <w:rFonts w:ascii="Aptos" w:hAnsi="Aptos" w:cs="Aptos"/>
        </w:rPr>
        <w:t>“</w:t>
      </w:r>
      <w:r w:rsidRPr="00F23836">
        <w:t>secondary</w:t>
      </w:r>
      <w:r w:rsidRPr="00F23836">
        <w:rPr>
          <w:rFonts w:ascii="Aptos" w:hAnsi="Aptos" w:cs="Aptos"/>
        </w:rPr>
        <w:t>”</w:t>
      </w:r>
      <w:r w:rsidRPr="00F23836">
        <w:t xml:space="preserve"> hypertension, with an overt underlying anatomic or biochemical cause for their high BP. Second ary hypertension should be considered during the evaluation of all patients with new-onset hypertension and in selected patients with prevalent hypertension who have indicators that suggest the possibil ity of a complicating secondary cause of hypertension, including (1) treatment-resistant hypertension; (2) abrupt worsening of hyperten sion; (3) disproportionate target organ damage for level of BP; and (4) laboratory or diagnostic findings such as unprovoked hypokalemia, proteinuria, or left ventricular hypertrophy. The approximate preva lence, pathophysiology, possible clinical and physical examination findings, common screening and confirmatory tests, and potential treatments for the six most common causes of secondary hypertension are summarized in Table 288-3. Obstructive Sleep Apnea Obstructive sleep apnea (OSA) is probably the most common cause of </w:t>
      </w:r>
      <w:r w:rsidRPr="00F23836">
        <w:lastRenderedPageBreak/>
        <w:t>secondary hypertension. It is closely associated with overweight, obesity, and other comorbidities. The reported prevalence of OSA varies substantially depending on the criteria used for definition and methods of ascertainment. However, it is very common and may be present in as many as 15–30% of adult men and 10–15% of adult women in the United States. More than half of U.S. adults with OSA have hypertension and &gt;30% of U.S. adults with hypertension have OSA. OSA and hypertension share many common pathophysiologic features, including being overweight, obe sity, unhealthy lifestyles, and abnormalities of the renin-angiotensin system and fluid distribution. Sympathetic system activation due to intermittent hypoxia is also an important component of the underly ing pathophysiology in OSA. Almost three-quarters of patients with OSA are overweight or obese. In general, there is a direct association between the severity of OSA and an individual’s level of BP as well as their resistance to antihypertensive therapy. Resistant hypertension, Hypertension 2137 CHAPTER 288 TABLE 288-2 Summary Information for the Six Best Proven Nonpharmacologic Interventions That Lower Blood Pressure CHARACTERISTIC BP ASSOCIATION INTERVENTION REGIMEN EXPECTED CHANGE IN BP Diet BPs are lower in those who consume heart-healthy diets. Consumption of a heart healthy diet, especially the Dietary Approaches to Stop Hypertension (DASH) diet. DASH diet meal plans are readily available. With good adherence to the DASH diet plan, an average SBP reduction of about 5 mmHg can be expected in patients with and 2–3 mmHg in those without hypertension. Body weight Increased body weight is directly associated with SBP/ DBP. Almost 75% of U.S. adults are overweight (BMI 25–5 mmHg in adults with hypertension. Abbreviations: BMI, body mass index; BP, blood pressure; CVD, cardiovascular disease; DASH, Dietary Approaches to Stop Hypertension; DBP, diastolic BP; RCT, randomized controlled trials; SBP, systolic BP. snoring, poor quality sleep, breathing pauses during sleep, and day time sleepiness are common clinical indicators of OSA. Several simple questionnaire-based tests are available to screen for those who should be evaluated more carefully with a sleep study (polysomnography). Lifestyle improvements, especially those resulting in weight loss, are an important component of treatment for both OSA and any associated hypertension. OSA-specific treatment includes continuous positive airway pressure (CPAP), but meta-analyses demonstrate limited BP lowering due to CPAP treatment. As a result, hypertension in patients with OSA should be treated with antihypertensive drug therapy in addition to nonpharmacologic therapy. Medication and Other Substances Prescription and over-the counter medications, herbal and food additives, and illegal substances are often identified as secondary causes of new-onset hypertension or diminished BP control in patients being treated for hypertension. Typically, the increase in BP results from a direct pressor effect of the agents, but these exposures can also have an indirect effect on BP as a result of drug-drug or drug-nondrug exposure interactions. Some of the most common prescription drugs that can increase BP include amphetamines, angiogenesis inhibitors, antidepressants and antipsychotic agents, decongestants, oral contraceptives, nonsteroidal anti-</w:t>
      </w:r>
      <w:r w:rsidRPr="00F23836">
        <w:lastRenderedPageBreak/>
        <w:t xml:space="preserve">inflammatory drugs (NSAIDs), and systemic corticosteroids. Examples of illicit drugs that can result in a higher BP include cocaine, marijuana, amphetamines, and methylenedioxymethamphetamine. Herbal treatments that have been reported to raise BP include arnica, ephedra (Ma-Huang), ginseng, guarana, consumption of large quanti ties of licorice, and St. John’s wort. Finally, caffeine and several anes thetic agents can result in short-term elevation of BP. A careful history will identify most of these agents and will allow for use of alternatives or a reduced dosage in most patients. The exact prevalence of expo sure to any of these agents is uncertain but high. For example, in the nationally representative 1999–2004 National Health and Nutrition Examination Survey (NHANES), &gt;26% of U.S. adults reported regular NSAID use, and the percentage was much higher in older adults and in non-Hispanic whites. 2138 PART 6 Disorders of the Cardiovascular System TABLE 288-3 Summary Description of the Most Common Secondary Causes of Hypertension CAUSE PREVALENCE PATHOPHYSIOLOGY CLINICAL INDICATORS PHYSICAL EXAMINATION SCREENING TESTS CONFIRMATORY TESTS TREATMENT Obstructive sleep apnea (OSA) OSA is very common (10–30% of U.S. adults). More than 50% of U.S. adults with OSA have hypertension, and ~30% with hypertension have OSA. OSA and hypertension share many common pathophysiologic features, including overweight and obesity. Activation of the sympathetic system due to intermittent hypoxia is an important component of the pathophysiology for OSA. Resistant hypertension, snoring, poor quality sleep, breathing pauses during sleep, daytime sleepiness, overweight and obesity Obesity and signs of upper airway narrowing OSA screening questionnaires (several have been validated) Polysomnography (sleep study) Lifestyle improvement, especially aimed at weight loss, is indicated for both OSA and associated hypertension. Antihypertensive drug therapy. Continuous positive airway pressure (CPAP) treatment for OSA has little effect on BP. Medication and other substances High prevalence. Numerous potential exposures. For NSAID alone, &gt;26% of U.S. adults reporting regular use. Varies depending on exposure. Usually exposure best detected by medical history report Occasionally, specific physical exam findings, e.g., signs suggesting cocaine use History taking History taking Discontinuation, substitution of alternative therapy, or maintenance of exposure but management of high BP. Renal parenchymal disease. One of the most common causes of secondary hypertension (&gt;5%). Various kidney diseases, including polycystic renal disease, chronic glomerulonephritis, diabetic and hypertensive kidney disease, recurrent stones, and kidney infections. Resistant hypertension, fatigue, edema, report of hematuria Proteinuria, renal mass Serum creatinine, albuminuria, glucose abnormality Imaging by sonography, CT, or MRI Renal biopsy Treatment of ASCVD risk factors, including hypertension. Management of the specific kidney disease, if feasible. Primary aldosteronism One of the more common causes of secondary hypertension, responsible for the high BP in ~5% of adults with hypertension. Idiopathic bilateral adrenal hyperplasia (60–70%) Benign adrenal adenoma (30–40%) Occasionally, familial Rarely due to other causes Severe or resistant hypertension Hypokalemia Nonspecific </w:t>
      </w:r>
      <w:r w:rsidRPr="00F23836">
        <w:lastRenderedPageBreak/>
        <w:t xml:space="preserve">fatigue, muscle cramps, or weakness Incidental finding of adrenal adenoma Obstructive sleep apnea Family history of early-onset hypertension or stroke No specific findings on clinical examination High plasma aldosterone/renin ratio, when measured under standardized conditions CT of the abdomen Saline suppression test or captopril challenge test are helpful, but adrenal vein sampling for aldosterone levels is generally accepted as the gold standard test. Adrenalectomy (laparoscopic or surgical) for many patients with an adrenal adenoma. Hypertension due to adrenal hyperplasia best treated medically, with inclusion of a mineralocorticoid receptor antagonist, and lifestyle changes to reduce sodium intake and body weight. Renovascular disease Generally reported to approximate 5%. Usually unilateral disease due to ASCVD (90%) with &gt;70% arterial lumen narrowing. About 10% due to fibromuscular disease, typically occurring in middle-aged white women. Early, abrupt-onset hypertension (consider fibromuscular disease) Rapidly worsening or resistant hypertension in older adults (consider ASCVD) Bruits, especially abdominal renal artery bruit Various imaging options, including Doppler ultrasonography, magnetic resonance, or CT angiography Digital subtraction angiography PTA may cure or substantially improve hypertension in patients with discrete fibromuscular disease lesions. Medical treatment is preferred in patients with ASCVD and those with very diffuse fibromuscular disease. Hypertensive disorders of pregnancy During pregnancy, approximate prevalence of hypertension 10%, preeclampsia 3%, and eclampsia 0.1–0.3%. Varies depending on whether the hypertension is new onset or chronic. New-onset hypertension seems to result from reduced placental perfusion and subsequent elevation in peripheral resistance, which usually disappears after delivery. High BP Preeclampsia if high BP is accompanied by proteinuria or other evidence of target organ damage High BP, with or without proteinuria No specific screening tests Diagnosis by recognition of high BP, based on an average of ≥2 accurately measured BP readings taken on ≥2 occasions Lifestyle counseling and antihypertensive medication. ACEIs and ARBs should not be used. Initial use of the β-blocker labetalol and/ or the CCB nifedipine is commonly recommended because of their safety record and known efficacy in pregnancy. Abbreviations: ACEI, angiotensin converting enzyme inhibitor; ARB, angiotensin receptor blocker; ASCVD, atherosclerotic cardiovascular disease; BP, blood pressure; CCB, calcium channel blocker; CT, computed tomography; MRI, magnetic resonance imaging; NSAID, nonsteroidal anti-inflammatory drug; PTA, percutaneous transluminal angioplasty. 2139 Renal Parenchymal Disease This is also relatively common and probably accounts for &gt;5% of all non-OSA and medication-related secondary causes of hypertension. It can result from almost any type of underlying kidney disease but is somewhat more common with glomerular than interstitial disorders. Most patients with CKD dis ease have hypertension. Importantly, it is often difficult to determine the extent to which a patient’s high BP is the cause or a consequence of their kidney disease. Activation of the RAAS is often a part of the underlying pathophysiology that leads to hypertension. Clinical indicators of hypertension due to renal parenchymal disease </w:t>
      </w:r>
      <w:r w:rsidRPr="00F23836">
        <w:lastRenderedPageBreak/>
        <w:t xml:space="preserve">include treatment resistance, fatigue, palpation of a renal mass, hematuria, pro teinuria, elevated creatinine, or hyperglycemia. Imaging with sonog raphy, computed tomography (CT), or magnetic resonance imaging (MRI) can be helpful for the diagnosis of some forms of underlying kidney disease. Renal biopsy is most helpful when glomerulonephritis is suspected. Most patients with CKD have a variety of both conven tional and novel risk factors for ASCVD placing them at high risk for CVD complications. Improvement of CVD risk factors, including hypertension, is an essential element of treating patients with CKD. Often, control of hypertension may require use of three or more anti hypertensive agents in addition to lifestyle management. Diuretics and RAAS inhibitors such as ACEIs and ARBs are obvious components of the antihypertensive drug treatment regimen. Traditionally, thiazide and thiazide-like diuretics were thought to be relatively ineffective for the management of patients with a serum creatinine &gt;3 mg/dL, but a recent well-conducted trial documented substantial BP and albu minuria reduction in patients with advanced CKD who were treated with the long-acting diuretic chlorthalidone. Finerenone, a newer MRA, has also been shown to enhance BP reduction in patients with advanced CKD. Gliflozins or sodium-glucose cotransporter 2 (SGLT2 inhibitors), which are often very useful in the management of patients with CKD, are diuretics and may provide a small reduction in BP. If possible, the underlying kidney disease should be treated with specific therapy. Primary Aldosteronism A relatively common cause of secondary hypertension, primary aldosteronism may be the underlying cause of high BP in ~5% of adults with non-OSA and medication-related sec ondary hypertension. However, the reported prevalence varies widely depending on the criteria for diagnosis and the population studied. Most patients with primary aldosteronism (60–70%) have idiopathic bilateral adrenal hyperplasia but ~30–40% have a benign adenoma, usually unilateral. Often, the clinical presentation is subtle with no more than resistant hypertension or nonspecific symptoms. However, in some patients with more pronounced aldosteronism, unprovoked hypokalemia or hypokalemia-related cardiac arrhythmias, such as atrial fibrillation, may be present. Common screening tests for pri mary aldosteronism include abdominal imaging by CT to detect an adenoma and measurement, under standardized conditions, of a high aldosterone/renin ratio in conjunction with high plasma aldosterone levels. Several noninvasive investigations, including the saline suppres sion and captopril challenge tests, can provide more definitive evidence of primary aldosteronism, but adrenal vein aldosterone sampling is generally accepted as the gold standard test for diagnosis. The most important goal is to recognize the minority of patients with a benign unilateral adenoma whose hypertension can be cured or substantially improved by adrenalectomy. The latter can be accomplished by mini mally invasive laparoscopy or by use of traditional surgical techniques. Medical management of hypertension in patients with aldosteronism should include the use of MRA agents. In most patients, spirono lactone is well tolerated but occasionally adverse effects, including hyperkalemia, breast tenderness, or gynecomastia in men, require the substitution of </w:t>
      </w:r>
      <w:r w:rsidRPr="00F23836">
        <w:lastRenderedPageBreak/>
        <w:t xml:space="preserve">newer, more expensive, alternative MRAs. The screen ing tests and especially the more definitive diagnostic tests for primary aldosteronism require careful attention to detail and are generally best conducted by those who have specialized experience in the evaluation of patients who may have primary aldosteronism. Likewise, most adre nal adenomas are very small, and removal by laparoscopy or surgery is most successful when performed by an experienced treatment team. Rarely, primary aldosteronism can be caused by an adrenal carcinoma, ectopic malignancy, or rare genetic disorders. Renovascular Hypertension Renovascular obstructions that result in substantial and hemodynamically important occlusion of the renal artery can result in hypertension and impaired renal function. Renovascular disease is found in as many as 25% of patients at autopsy, but renovascular hypertension only accounts for ~1% of the high BP in all patients with hypertension. In ~90% of patients with renovascular hypertension, renal artery obstruction is caused by atherosclerosis. Commonly, atherosclerotic renovascular disease is unilateral and the principal obstruction tends to present as a discrete lesion found close to the origin of the renal artery. Patients with atherosclerotic renovascular disease tend to be older and have other indications of ASCVD, including an abnormal risk factor profile and atherothrom botic lesions in other vascular beds. At times, a bruit can be heard over the renal artery or over the carotid or femoral arteries. A minority of patients with renovascular disease have fibromuscular disease. They tend to be younger, mostly white, women. Their renal artery lesions are more diffuse, with an irregular sawtooth appearance, and they are frequently located in more distal parts of the renal artery compared with atherosclerotic lesions. In addition, bilateral real artery disease is more common in patients with fibromuscular disease than is the case for renovascular disease due to ASCVD. Fibromuscular disease should be suspected in any patient with abrupt-onset hypertension, especially in young white women, and in those with resistant hypertension, or recent worsening of hypertension. Underlying atherosclerosis should be suspected in older patients with other indications of ASCVD and in those with otherwise unexplained worsening of kidney function. The threshold for additional diagnostic investigations should be lower when fibromuscular disease is suspected. CHAPTER 288 Hypertension A variety of screening tests, including renal ultrasound studies, CT and magnetic resonance angiography imaging studies, renograms, and standardized measurement of plasma renin activity, can be used to exclude other causes of hypertension and to screen for evidence of renovascular disease. Renal angiography provides more definitive evidence of the extent and type of renovascular disease and is cur rently considered to be the gold standard diagnostic test. Skilled inter ventional radiologists can employ digital subtraction angiography to generate high-quality studies with less contrast exposure compared to standard angiography. Hypertension due to renovascular disease is more likely in patients with lesions that occlude &gt;70% of the ves sel lumen. For many years, renal venous renin sampling was a gold standard diagnostic test but is now rarely performed due to a high frequency of false-positive and false-negative results. In many patients with </w:t>
      </w:r>
      <w:r w:rsidRPr="00F23836">
        <w:lastRenderedPageBreak/>
        <w:t xml:space="preserve">hypertension due to fibromuscular disease, percutaneous transluminal angioplasty results in a cure for their hyper tension or substantially improves the control of their high BP. For this reason, the most important goal in evaluating patients with suspected renovascular hypertension is to recognize individuals with underlying fibromuscular disease. As is the case for some other forms of second ary hypertension, screening, diagnosis, and treatment results tend to be better when conducted by teams with experience in caring for patients with renovascular disease. Several well-conducted random ized controlled trials, with relatively large sample sizes, have failed to demonstrate any special benefit for BP control or renal preservation following percutaneous transluminal angioplasty or renovascular sur gery compared to medical care in patients with atherosclerotic reno vascular hypertension. Most patients with suspected atherosclerotic renovascular hypertension should be managed using a combination of nonpharmacologic and antihypertensive drug therapy, including the use of agents that block the RAAS. In rare instances, arteritis and other inflammatory disease can be the underlying cause of renovascular hypertension. The underlying cause should be treated in addition to medical management of hypertension. Hypertensive Disorders of Pregnancy Hypertension occurs in &gt;10% of pregnancies in the United States and about 3–5% are complicated by preeclampsia, in which hypertension is accompanied by proteinuria or other evidence of target organ damage. The HELLP 2140 PART 6 Disorders of the Cardiovascular System congenital abnormalities. When the defect is mild, the disorder may not be recognized until early adulthood. The classical physical exami nation findings are delayed and diminished femoral and distal pulses. A systolic mummer may be heard in the posterior intrascapular area, and signs of left ventricular hypertrophy may be detected. Screening and diagnostic tests include imaging studies such as echocardiography, CT, and angiography. Treatment options include balloon angioplasty, surgery, and medical management. Other rare causes of hypertension include hyper- and hypothyroidism, acromegaly, and hypercalcemia. syndrome, in which hypertension is accompanied by hemolysis, elevated liver enzymes, and low platelets, represents a more severe form of preeclampsia. Progression to eclampsia, with seizures as the cardinal feature, occurs in 80% of an individual’s sodium intake is generally due to sodium added during food processing or commercial preparation of foods and only ~10% is due to naturally occurring sources of sodium. Careful scrutiny of food labels for packaged foods while shopping, reducing meal portion size, choosing condiments and seasonings with low sodium content, salt substitution using herbs and spices, and use of salt substitutes that replace ~25% of the sodium content with potassium are other well-proven strategies to reduce dietary sodium intake. Salt substitutes provide a relatively easy and well-accepted way to achieve a mod est reduction in sodium intake and an increase in potassium intake, especially in those who primarily eat foods prepared in the home and/ or add a lot of salt at the table. A large cluster-designed clinical trial conducted in Chinese adults with stroke or at high risk for stroke dem onstrated an impressive and </w:t>
      </w:r>
      <w:r w:rsidRPr="00F23836">
        <w:lastRenderedPageBreak/>
        <w:t xml:space="preserve">statistically significant 14% reduction in stroke (the primary outcome), other major CVD events, and all-cause mortality in adults randomized to use a salt with 25% substitution of potassium for sodium compared to those who used regular salt. There was no evidence of a difference in hyperkalemic events in the two treat ment groups. Public health messaging based on simple educational and action recommendations is also useful. Policy aimed at reducing the amount of sodium added to foods has great potential but has been difficult to implement in the United States. Long-term follow-up for 10–15 years in participants who had been randomized to a behavioral change sodium reduction intervention or usual care has also suggested a significant reduction of 30% in new-onset CVD events. Potassium Supplementation A higher intake of potassium is associated with a lower BP and a reduced risk of CVD, especially stroke. U.S. Dietary Reference Intake committees have not made a dietary allowance intake recommendation due to insufficient evidence but have identified 2600 and 3400 mg/d in women and men, respec tively, as adequate intake levels. Individual RCTs and meta-analyses provide strong evidence that potassium supplementation reduces BP. This has been achieved with pill therapy and dietary supplementation, with the latter being the preferred approach in clinical practice because this usually results in consumption of a more heart-healthy diet and a lower intake of dietary sodium. In most RCTs, routine potassium intake has been supplemented by about 2300 mg (60 mmol) per day, and the average reduction in SBP has been ~5 mmHg in trials with a successful intervention (net change in urinary potassium ≥20 mmol [870 mg] per day). As expected, the SBP reduction is greater in adults with (~5 mmHg) than without hypertension (~2 mmHg) trials. The SBP lowering is almost three times greater in black compared with white adults. Finally, there is a strong linear association between BP reduction with potassium supplementation and consumption of Many foods contain potassium, but fruits, vegetables, legumes, and leafy greens are especially high in potassium content. By design, the DASH diet targets provision of 4700 mg of potassium per day, exceed ing the recommended intake of 3500 mg/d in U.S. adults. Potassium supplementation is contraindicated in patients with hyperkalemia or advanced kidney disease and in those taking pills that can block the urinary excretion of potassium, including potassium-sparing diuretics, inhibitors of the RAAS, and MRA agents, such as aldosterone, eplere none, and finerenone. Physical Activity Observational studies identify a strong inverse association between physical activity (leisure time or total) and BP as well as CVD. In like manner, high-quality RCTs have demonstrated that increased physical activity lowers BP in adults with and without hypertension. Most of the trials have been based on aerobic exercise interventions such as brisk walking, swimming, or dancing. Meta analyses of aerobic exercise RCTs have been consistent in document ing substantial BP-lowering efficacy, but the quantitative estimates for average reduction in BP have varied considerably, with reports of 5–10 mmHg for SBP in studies restricted to adults with hypertension and 3–5 mmHg for studies in those without hypertension. Dynamic resistance exercises such as climbing stairs, push-ups, weightlifting, and squats have </w:t>
      </w:r>
      <w:r w:rsidRPr="00F23836">
        <w:lastRenderedPageBreak/>
        <w:t xml:space="preserve">also been shown to lower BP and are often employed concurrently with aerobic exercise. Isometric resistance exercises, during which muscles or muscle groups are tightened without any visible movement of the surrounding joints, include yoga poses, wall sit, plank, and bench press exercises. Fewer high-quality RCTs have assessed the efficacy of isometric resistance exercise, but individual trials and meta-analyses indicate this approach is effective for BP lowering. In the largest meta-analysis (~400 trials) of physical activity, aerobic exercise reduced SBP by ~5 mmHg in adults with hypertension and when combined with dynamic resistance exercise by ~6.5 mmHg. In trials that allowed for a direct comparison with antihypertensive drug therapy, physical activity yielded an almost identical level of BP lowering. Most guidelines recommend moderate-intensity aerobic exercise as the principal approach to lowering BP but acknowledge that dynamic and isometric resistance exercises are a useful comple ment. Based on clinical trial evidence, an aerobic exercise duration of 40–60 min three or more times per week for a total ≥150 min per week may be optimal. Although more intensive physical activity may be ideal for overall cardiac fitness, less intensive physical activity is sufficient for BP reduction. Less frequent but more intensive physical activity (e.g., “weekend warrior” exercise) has been shown to lower BP. Alcohol Consumption Alcohol has long been known to be a pres sor. Observational dose-response meta-analyses demonstrate a roughly linear association between alcohol consumption and both BP and hypertension, with no threshold for the association. For each 14-mg increased intake of alcohol (amount in a U.S. standard alcoholic drink), SBP is ~1.5 mmHg higher. RCTs have studied the efficacy of reducing alcohol intake on BP by substitution of lower-alcohol or no-alcohol drinks, use of behavior change interventions, or abstinence without access to alcohol. The overall effect of alcohol reduction on SBP in the largest meta-analysis was a reduction of ~5.5 mmHg. However, the magnitude of the effect is greatly influenced by baseline level of BP and alcohol intake and by the success of the intervention. Most current U.S. guidelines recommend an alcohol intake goal of ≤2 and ≤1 standard drinks per day for men and women, respectively. In part, this reflects the possibility that a modest intake of alcohol may favorably influence other CVD risk factors, such as high-density lipoprotein cholesterol. The WHO recommends abstinence from alcohol. Summary for Nonpharmacologic Interventions to Lower BP In summary, a strong body of evidence supports the value of 2143 interventions based on the six exposures highlighted in Table 288-2. In general, the interventions exhibit a linear-type dose-response for BP reduction. Consequently, more successful interventions result in greater BP reduction, and even smaller than desired changes in the exposure are likely to be beneficial. In addition, greater BP lowering can be expected in adults with compared to adults without hyperten sion, in those who start with more abnormality in the exposure, and when two or more interventions are combined. For example, a greater reduction in BP can be expected when the intervention combines the DASH diet with weight loss or sodium reduction. However, the behav ioral changes needed for combination interventions are typically more </w:t>
      </w:r>
      <w:r w:rsidRPr="00F23836">
        <w:lastRenderedPageBreak/>
        <w:t xml:space="preserve">challenging and require a greater commitment by the therapist and patient. Finally, nonpharmacologic interventions often enhance the effect of antihypertensive medications. This has been especially well demonstrated for reductions in sodium intake. A practical approach is to focus initially on the behavior that is most abnormal and most amenable to change, with a longer-term goal of more comprehensive improvements. With the exception of salt substitution, change in BP has been the primary outcome in most of the nonpharmacologic treat ment trials, but some have demonstrated improvements in intermedi ate CVD outcomes, especially left ventricular mass and left ventricular hypertrophy. In addition, randomized comparisons following long periods of posttrial follow-up have suggested CVD benefits for both sodium reduction and weight loss. </w:t>
      </w:r>
      <w:r w:rsidRPr="00F23836">
        <w:rPr>
          <w:rFonts w:ascii="Arial" w:hAnsi="Arial" w:cs="Arial"/>
        </w:rPr>
        <w:t>■</w:t>
      </w:r>
      <w:r w:rsidRPr="00F23836">
        <w:t xml:space="preserve">PHARMACOLOGIC THERAPY TO PREVENT CARDIOVASCULAR DISEASE Efficacy of Pharmacologic Therapy in Uncomplicated Primary Hypertension In most adults, primary hypertension is uncomplicated and relatively easy to manage. The introduction of diuretics in the late 1950s and early 1960s revolutionized pharmaco therapy of high BP, and these drugs were the principal agents in the early antihypertensive drug treatment trials. The first antihypertensive drug RCT reported a substantial benefit of active therapy compared to placebo in 1966, but it was quickly superseded by two larger placebo controlled multicenter Veterans Administration Cooperative Group RCT analyses. The first analysis was for adults with an average DBP between 115 and 129 mmHg, and this component was stopped early due to benefit and published in 1967. The second analysis, for adults with an average DBP between 90 and 114 mmHg, was published in 1970. Both analyses demonstrated that antihypertensive drug therapy resulted in a dramatic CVD benefit compared to placebo. Subsequent trials confirmed these findings and documented benefits when SBP reductions were targeted, either in combination with an elevated DBP or as an isolated elevation of SBP in older adults. In a group meta analysis of 123 trials, active treatment resulted in a reduction of major CVD (20%), CHD (17%), stroke (27%), HF (28%), and all-cause mor tality (13%). In this and other meta-analyses, the relative reduction in risk has been almost identical for those with or without prior CVD, albeit only adults at high risk for CVD could participate in the included trials, and benefit has accrued to those with a baseline SBP from 130 to 139 mmHg and above. Choice of Antihypertensive Drug Classes Characteristics of the 11 most commonly used classes of antihypertensive medication, including examples, usual daily dosage, frequency of administration, proposed mechanism of action, approximate BP lowering compared to placebo, most common side effects, frequency of adverse events, and special aspects of the drug class are shown in Table 288-4. Initial therapy with agents from five classes of drug therapy (diuretics, beta blockers, CCB, ACEI, and ARB) has been shown to prevent CVD compared to placebo. However, in head-to-head RCTs, beta blockers have been inferior to agents from the other four antihypertensive drug classes, especially for prevention of stroke. CCBs are good for preven tion of stroke but inferior for prevention of HF, especially compared to diuretics. Generally, meta-analyses have identified </w:t>
      </w:r>
      <w:r w:rsidRPr="00F23836">
        <w:lastRenderedPageBreak/>
        <w:t xml:space="preserve">diuretics as being the “best in class” for first-step prevention of CVD. Recognizing these differences in antihypertensive drug classes, RCTs and meta-analyses also provide evidence that BP lowering, however achieved, is more important than the drugs used to achieve it. Most clinical practice guidelines, including the U.S. ACC/AHA BP guideline, recommend an approach similar to that outlined in Fig. 288-4 in which diuretics, CCBs, and ACEIs or ARBs, alone or in combination, are used for initial drug therapy in patients without a compelling indication for use of a beta blocker. One or more nonpharmacologic therapies should be used to man age adults with stage 1 hypertension who are not at high risk for CVD (no CVD and a calculated 10-year risk of ASCVD 20 mmHg above treatment goal - diuretic or CCB combined with ACEI or ARB - single-pill combinations preferred, if feasible Triple-drug therapy if SBP/DBP remains &gt;130/80 mmHg - diuretic, CCB, and ACEI or ARB If SBP/DBP remains &gt;130/80 mmHg (resistant hypertension) - consider adding MRA, and vasodilators, if needed - If still uncontrolled, add other agents, or refer to specialist FIGURE 288-4 Overview of specific antihypertensive treatments in adults with uncomplicated hypertension. ACEI, angiotensin converting enzyme inhibitor; ARB, angiotensin receptor blocker; BP, blood pressure; CCB, calcium channel blocker; DASH, Dietary Approaches to Stop Hypertension; DBP, diastolic BP; MRA, mineralocorticoid receptor antagonists; SBP, systolic BP. same BP but start from a lower level of BP. As one would expect from the observational association between BP and CVD, the incremental benefit for CVD protection diminishes as the category of achieved BP gets progressively lower. Almost all of the meta-analyses, including one conducted for the ACC/AHA BP clinical practice guideline com mittee, have reported that an achieved SBP of 30%). If untreated, ARAS progresses in nearly 50% of cases over a 5-year period, sometimes to total occlusion. Intensive treatment of arterial blood pressure and statin therapy can slow these rates and improve clinical outcomes. Critical levels of stenosis (usually &gt;70–80% luminal obstruction) lead to a reduction in perfusion pressure that activates the renin angiotensin system, reduces sodium excretion, and activates sympa thetic adrenergic pathways. These events lead to systemic hypertension characterized by angiotensin dependence in the early stages, widely varying pressures, loss of circadian blood pressure (BP) rhythms, and accelerated target organ injury, including left ventricular hypertrophy and renal fibrosis. Renovascular hypertension can be treated with agents that block the renin-angiotensin system and other drugs that modify these pressor pathways. It can also be treated with restoration of renal blood flow by either endovascular or surgical revasculariza tion. Most patients require continued antihypertensive drug therapy due to preexisting hypertension and because revascularization alone rarely lowers BP to normal. ARAS and systemic hypertension tend to affect both the postste notic and contralateral kidneys, reducing overall glomerular filtration rate (GFR) in ARAS. When kidney function is threatened by large vessel disease primarily, it has been labeled ischemic nephropathy. Moderately reduced blood flow that develops gradually is associated with reduced GFR and limited </w:t>
      </w:r>
      <w:r w:rsidRPr="00F23836">
        <w:lastRenderedPageBreak/>
        <w:t xml:space="preserve">oxygen consumption with preserved tissue oxygenation. Hence, kidney function often remains reduced but stable during medical therapy, sometimes for years. With more advanced disease, reductions in cortical perfusion and overt tissue hypoxia develop. Unlike FMD, ARAS develops in patients with other risk factors for atherosclerosis and is commonly superimposed upon preexisting small-vessel disease in the kidney resulting from hyperten sion, aging, and diabetes. Nearly 85% of patients considered for renal revascularization have stage 3–5 chronic kidney disease (CKD) with estimated GFR 200 cm/s generally predict lesions with more than &gt;60% vessel lumen occlusion, although some treatment trials have required velocity &gt;300 cm/s to avoid false positives. The renal resistive index has predictive value regarding the viability of the kidney. It remains operator- and institution-dependent, however. Contrast-enhanced computed tomog raphy (CT) with vascular reconstruction provides excellent vascular images and functional assessment but carries a small risk of contrast toxicity. It provides a more reliable evaluation of accessory vessels and the distal vasculature than duplex or magnetic resonance imaging (MRI). Magnetic resonance angiography (MRA) is less often used than previously, as gadolinium contrast has been associated with neph rogenic systemic fibrosis particularly in patients with reduced GFR. Captopril-enhanced renography has a strong negative predictive value when entirely normal. TREATMENT Renal Artery Stenosis While restoring renal blood flow and perfusion seems intuitively beneficial for high-grade occlusive lesions, revascularization proce dures also pose hazards and expense. Patients with FMD are com monly younger females with otherwise normal vessels and a long Medulla 2151 Cortex Normal MV proliferation (early atherosclerosis) MV rarefaction (chronic renal ischemia) FIGURE 289-1 Examples of micro-CT images from vessels defined by radiopaque casts injected into the renal vasculature. These illustrate the complex, dense cortical capillary network supplying the kidney cortex that can either proliferate or succumb to rarefaction under the influence of atherosclerosis and/or occlusive disease. Changes in blood supply are followed by tubulointerstitial fibrosis and loss of kidney function. MV, microvascular. (Reproduced with permission from LO Lerman, AR Chade. Angiogenesis in the kidney: A new therapeutic target? Curr Opin Nephrol Hypertens 18:160, 2009.) life expectancy. These patients often respond well to percutaneous renal artery angioplasty. If BP can be controlled to goal levels and kidney function remains stable in patients with ARAS, it may be argued that medical therapy with follow-up for disease progression is equally effective over periods of 3–5 years. Multiple prospective randomized controlled trials for individuals with moderate stenosis have failed to identify compelling additional benefits for interven tional revascularization procedures regarding short-term results of BP and renal function. Studies of cardiovascular outcomes, includ ing stroke, congestive heart failure, myocardial infarction, and end-stage renal failure, suggest a small mortality benefit for stented patients without proteinuria. Medical therapy should include block ade of the renin-angiotensin system, attainment of goal BPs, cessa tion of tobacco, statins, and aspirin. Follow-up requires surveillance for progressive occlusion manifest </w:t>
      </w:r>
      <w:r w:rsidRPr="00F23836">
        <w:lastRenderedPageBreak/>
        <w:t xml:space="preserve">by worsening renal function and/or loss of BP control. Renal revascularization should be consid ered for patients with rapidly progressive clinical syndromes, failing medical therapy, and/or developing additional complications. Techniques of renal revascularization are improving. With expe rienced operators, major complications occur in 2.0 mg/dL (177 μmol/L) Heavily dependent on operator’s experience; less useful than invasive angiography for the diagnosis of fibromuscular dysplasia and abnormalities in accessory renal arteries Provides excellent images; stents do not cause artifacts Not nephrotoxic, but concerns for gadolinium toxicity exclude use in GFR 3% of elderly subjects with end-stage renal disease (ESRD) and is likely underdiagnosed. It is more frequent in males with a history of diabetes, hypertension, and ischemic cardiac disease. Atheroemboli in the kidney are strongly associated with aortic aneurysmal disease and renal artery stenosis. Most clinically evident cases can be linked to precipitating events, such as angiography, vascular surgery, anticoagulation with heparin, thrombolytic therapy, or trauma. Clinical manifestations of this syndrome commonly develop between 1 and 14 days after an inciting event and may continue to develop for weeks thereafter. Systemic embolic disease manifestations, such as fever, abdominal pain, and weight loss, are present in less than half of patients, although cutaneous manifestations including livedo reticularis and localized toe gangrene may be more common. Wors ening hypertension and deteriorating kidney function are common, sometimes reaching a malignant phase. Progressive renal failure can occur and require dialytic support. These cases often develop after a stuttering onset over many weeks and have an ominous prognosis. Mor tality rate after 1 year exceeds 38%, and although some may eventually recover sufficiently to no longer require dialysis, many do not. Beyond the clinical manifestations above, laboratory findings include rising creatinine, transient eosinophilia (60–80%), elevated sedimentation rate, and hypocomplementemia (15%). Establishing this diagnosis can be difficult and is often by exclusion. Definitive diagnosis depends on kidney biopsy demonstrating microvessel occlusion with cholesterol crystals that leave a “cleft” in the vessel. Biopsies obtained from patients undergoing surgical revascularization of the kidney indicate that silent cholesterol emboli are frequently present before any further manipulation is performed. No effective therapy is available for atheroembolic disease once it has developed. Withdrawal of anticoagulation is recommended. Late recovery of kidney function after supportive measures sometimes occurs, and statin therapy may improve outcome. The role of embolic protection devices in the renal circulation during angiography is unclear, but a few prospective trials have failed to demonstrate major benefits. The effect of such devices is limited to distal protection during the endovascular procedure, and they offer no protection from embolic debris developing after removal. THROMBOEMBOLIC RENAL DISEASE Thrombotic occlusion of renal vessels or branch arteries can lead to declining renal function and hypertension. It is difficult to diagnose and is often overlooked, especially in elderly patients. Thrombosis can develop as a result of local vessel abnormalities, such as local dissec tion, trauma, inflammatory vasculitis, or </w:t>
      </w:r>
      <w:r w:rsidRPr="00F23836">
        <w:lastRenderedPageBreak/>
        <w:t xml:space="preserve">systemic infections, such as COVID-19. Local microdissections sometimes lead to patchy, transient areas of infarctions labeled “segmental arteriolar mediolysis.” Although hypercoagulability conditions sometimes present as renal artery throm bosis, this is rare. It can also derive from distant embolic events, e.g., the left atrium in patients with atrial fibrillation or from fat emboli originat ing from traumatized tissue, most commonly large bone fractures. Car diac sources include vegetations from subacute bacterial endocarditis. Systemic emboli to the kidneys may also arise from the venous circula tion if right-to-left shunting occurs, e.g., through a patent foramen ovale. Clinical manifestations vary depending on the rapidity of onset and extent of occlusion. Acute arterial thrombosis may produce flank pain, fever, leukocytosis, nausea, and vomiting. If kidney infarction results, enzymes such as lactate dehydrogenase (LDH) rise transiently to extreme levels. If both kidneys are affected, renal function will decline precipitously with a drop in urine output. If a single kidney is involved, renal functional changes may be minor. Hypertension related to sud den release of renin from ischemic tissue can develop rapidly, as long as some viable tissue in the “peri-infarct” border zone remains. If the infarct zone demarcates precisely, the rise in BP and renin activity may resolve. Diagnosis of renal infarction may be established by vascular imaging with CT angiography, MRI, or arteriography (Fig. 289-2). </w:t>
      </w:r>
      <w:r w:rsidRPr="00F23836">
        <w:rPr>
          <w:rFonts w:ascii="Arial" w:hAnsi="Arial" w:cs="Arial"/>
        </w:rPr>
        <w:t>■</w:t>
      </w:r>
      <w:r w:rsidRPr="00F23836">
        <w:t>MANAGEMENT OF ARTERIAL THROMBOSIS OF THE KIDNEY Options for interventions of newly detected arterial occlusion include surgical reconstruction, anticoagulation, thrombolytic therapy, endo vascular procedures, and supportive care, particularly antihypertensive drug therapy. Application of these methods depends on the patient</w:t>
      </w:r>
      <w:r w:rsidRPr="00F23836">
        <w:rPr>
          <w:rFonts w:ascii="Aptos" w:hAnsi="Aptos" w:cs="Aptos"/>
        </w:rPr>
        <w:t>’</w:t>
      </w:r>
      <w:r w:rsidRPr="00F23836">
        <w:t xml:space="preserve">s overall condition, the precipitating factors (e.g., local trauma or sys temic illness), the magnitude of renal tissue and function at risk, and the likelihood of recurrent events in the future. For unilateral disease, for example, arterial dissection with thrombosis and supportive care with anticoagulation may suffice. Acute, bilateral occlusion is potentially catastrophic, producing anuric renal failure. Depending on the precipi tating event, surgical or thrombolytic therapies can sometimes restore kidney viability if undertaken early in the course of the acute event. MICROVASCULAR INJURY ASSOCIATED WITH HYPERTENSION </w:t>
      </w:r>
      <w:r w:rsidRPr="00F23836">
        <w:rPr>
          <w:rFonts w:ascii="Arial" w:hAnsi="Arial" w:cs="Arial"/>
        </w:rPr>
        <w:t>■</w:t>
      </w:r>
      <w:r w:rsidRPr="00F23836">
        <w:t xml:space="preserve">ARTERIOLONEPHROSCLEROSIS </w:t>
      </w:r>
      <w:r w:rsidRPr="00F23836">
        <w:rPr>
          <w:rFonts w:ascii="Aptos" w:hAnsi="Aptos" w:cs="Aptos"/>
        </w:rPr>
        <w:t>“</w:t>
      </w:r>
      <w:r w:rsidRPr="00F23836">
        <w:t>Malignant</w:t>
      </w:r>
      <w:r w:rsidRPr="00F23836">
        <w:rPr>
          <w:rFonts w:ascii="Aptos" w:hAnsi="Aptos" w:cs="Aptos"/>
        </w:rPr>
        <w:t>”</w:t>
      </w:r>
      <w:r w:rsidRPr="00F23836">
        <w:t xml:space="preserve"> Hypertension Although BP rises with age, it has long been recognized that some individuals develop rapidly progressive BP elevations with target organ injury including retinal hemorrhages, encephalopathy, and declining kidney function. Pla cebo arms during the early controlled trials of hypertension therapy identified progression to severe levels in 20% of subjects over 5 years. If untreated, patients with target organ injury including papilledema 2153 CHAPTER 289 Renovascular Disease A B FIGURE 289-2 A. CT angiogram illustrating loss of circulation to the upper pole of the right kidney in a patient with fibromuscular disease and a renal artery aneurysm. Activation of the renin-angiotensin system produced rapidly developing hypertension. B. Angiogram illustrating high-grade renal artery stenosis affecting the left kidney. This lesion is often part of widespread atherosclerosis and sometimes is an extension of aortic plaque. This </w:t>
      </w:r>
      <w:r w:rsidRPr="00F23836">
        <w:lastRenderedPageBreak/>
        <w:t xml:space="preserve">lesion develops in older individuals with preexisting atherosclerotic risk factors. patients, fibrinoid necrosis led to obliteration of glomeruli and loss of tubular structures. Progressive kidney failure ensued and, without dialysis support, led to early mortality in untreated malignant-phase hypertension. These vascular changes could develop with pressure related injury from a variety of hypertensive pathways, including but not limited to activation of the renin-angiotensin system and severe vasospasm associated with catecholamine release. Occasionally, endothelial injury is sufficient to induce microangiopathic hemolysis, as discussed below. and declining kidney function suffered mortality rates in excess of 50% over 6–12 months, hence the designation “malignant.” Postmor tem studies of such patients identified vascular lesions, designated “fibrinoid necrosis,” with breakdown of the vessel wall, deposition of eosinophilic material including fibrin, and a perivascular cellular infiltrate. A separate lesion was identified in the larger interlobu lar arteries in many patients with hyperplastic proliferation of the vascular wall cellular elements, deposition of collagen, and separa tion of layers, designated the “onionskin” lesion. For many of these 2154 PART 6 Disorders of the Cardiovascular System 290 Deep-Venous Thrombosis and Pulmonary Thromboembolism Samuel Z. Goldhaber Antihypertensive therapy is the mainstay of therapy for malignant hypertension. With effective BP reduction, manifestations of vascular injury, including microangiopathic hemolysis and renal dysfunction, can improve over time. Whereas prior reports before the era of drug therapy suggested that 1-year mortality rates exceeded 90%, current survival over 5 years exceeds 50%. Malignant hypertension is less common in Western countries, although it persists in parts of the world where medical care and antihy pertensive drug therapy are less available. It most commonly develops in patients with treated hypertension who neglect to take medications or who may use vasospastic drugs, such as cocaine. Renal abnormalities typically include rising serum creatinine and occasionally hematuria and proteinuria. Biochemical findings may include evidence of hemo lysis (anemia, schistocytes, and reticulocytosis) and changes associated with kidney failure. African-American males are more likely to develop rapidly progressive hypertension and kidney failure than are whites in the United States. Genetic polymorphisms for APOL1 that are common in the African-American population predispose to focal sclerosing glo merular disease, with severe hypertension developing at younger ages secondary to renal disease in this instance. “Hypertensive Nephrosclerosis” Based on experience with malignant hypertension and epidemiologic evidence linking BP with long-term risks of kidney failure, it has long been believed that lesser degrees of hypertension induce less severe, but prevalent, changes in kidney vessels and loss of kidney function. As a result, a large portion of patients reaching ESRD without a specific etiologic diagnosis are assigned the designation “hypertensive nephrosclerosis.” Pathologic examination commonly identifies afferent arteriolar thickening with deposition of homogeneous eosinophilic material (hyaline arteriolo sclerosis) associated with narrowing of vascular lumina. Clinical mani festations </w:t>
      </w:r>
      <w:r w:rsidRPr="00F23836">
        <w:lastRenderedPageBreak/>
        <w:t xml:space="preserve">include retinal vessel changes associated with hypertension (arteriolar narrowing, arteriovenous crossing changes), left ventricular hypertrophy, and elevated BP. The role of these vascular changes in kidney function is unclear. Multiple studies of nephrectomy and biopsy samples from normotensive kidney donors demonstrate changes of nephrosclerosis associated with aging, dyslipidemia, and glucose intol erance, with only modest association with BP. Antihypertensive drug therapy does not alter the course of kidney dysfunction identified spe cifically as hypertensive nephrosclerosis, although BP reduction does slow progression of proteinuric kidney diseases and is warranted to reduce the excessive cardiovascular risks associated with CKD. </w:t>
      </w:r>
      <w:r w:rsidRPr="00F23836">
        <w:rPr>
          <w:rFonts w:ascii="Arial" w:hAnsi="Arial" w:cs="Arial"/>
        </w:rPr>
        <w:t>■</w:t>
      </w:r>
      <w:r w:rsidRPr="00F23836">
        <w:t xml:space="preserve">FURTHER READING Bhalla V et al: Revascularization for renovascular disease: A scientific statement from the American Heart Association. Hypertension 79:e128, 2022. De Mast Q, Beutler JJ: The prevalence of atherosclerotic renal artery stenosis in risk groups: A systemic literature review. J Hypertens 27:1333, 2009. Freedman BI, Cohen AH: Hypertension-attributed nephropathy: What’s in a name? Nat Rev Nephrol 12:27, 2016. Gornik HL et al: First International Consensus on the diagnosis and management of fibromuscular dysplasia. Vasc Med 24:164. 2019. Herrmann SM et al: Management of atherosclerotic renovascular dis ease after Cardiovascular Outcomes in Renal Atherosclerotic Lesions (CORAL). Nephrol Dial Transplant 30:366, 2015. Modi KS, Rao VK: Atheroembolic renal disease. J Am Soc Nephrol 12:1781 2001. Parikh SA et al: SCAI expert consensus statement for renal artery stent ing appropriate use. Catheter Cardiovasc Interv 84:1163, 2014. Persu A et al: European consensus on the diagnosis and manage ment of fibromuscular dysplasia. J Hypertens 32:1367, 2014. Textor SC, Lerman LO: The role of hypoxia in ischemic chronic kidney disease. Semin Nephrol 39:589, 2019. </w:t>
      </w:r>
      <w:r w:rsidRPr="00F23836">
        <w:rPr>
          <w:rFonts w:ascii="Arial" w:hAnsi="Arial" w:cs="Arial"/>
        </w:rPr>
        <w:t>■</w:t>
      </w:r>
      <w:r w:rsidRPr="00F23836">
        <w:t xml:space="preserve">EPIDEMIOLOGY Venous thromboembolism (VTE) encompasses deep-venous throm bosis (DVT) and pulmonary embolism (PE) and causes cardiovascular death, chronic disability, and emotional distress. Hospitalizations in the United States have decreased for acute myocardial infarction (MI), heart failure, and stroke among Medicare beneficiaries, but PE hospi talizations increased. Pulmonary Embolism Mortality PE-related mortality in the United States decreased from 6 per 100,000 in 2000 and plateaued at approximately 4.5 per 100,000 in 2017. In contrast, Europe’s age-standardized annual PE-related mortality rate has continued to decrease linearly since 2000. In the United States, PE-related mortal ity is increasing among young and middle-aged adults. Consequently, the median age at death from PE decreased from 73 years in 2000 to 68 years in 2018. During this period, the annual PE mortality was up to 50% higher in African Americans compared with Caucasians. Socioeconomic Status To evaluate the relationship between socioeconomic status and PE, as well as other cardiovascular diseases, 10,942,483 Medicare beneficiaries were studied to determine whether they were hospitalized for PE, MI, heart failure, or stroke between 2003 and 2019. Hospitalizations for MI, heart failure, and stroke declined in socioeconomically disadvantaged and nondisadvantaged communi ties. In contrast, PE hospitalizations increased in both disadvantaged and nondisadvantaged communities. The heat map </w:t>
      </w:r>
      <w:r w:rsidRPr="00F23836">
        <w:lastRenderedPageBreak/>
        <w:t xml:space="preserve">(Fig. 290-1) shows marked regional differences in the rates of PE hospitalization and degrees of social and community disadvantage throughout the United States. By 2019, 30-day mortality was similar between hospitalized beneficiaries from socioeconomically disadvantaged and nondisadvan taged communities for MI, heart failure, and ischemic stroke. In con trast, mortality among patients hospitalized with PE was consistently higher in disadvantaged areas (Fig. 290-2). This finding may be due, in part, to poor outpatient follow-up and impeded access to anticoagulant medications. Pulmonary Embolism Readmissions From 2010 to 2018, 721,710 fee-for-service Medicare beneficiaries were hospitalized with PE. The 30-day all-cause readmission rate was 11%, and the 90-day all-cause readmission rate was 15% (Fig. 290-3). The most common reason for readmission was recurrent PE, accounting for about 11% of readmissions within 30 days. COVID-19 In 2020, COVID-19 erupted and caused a global pan demic. The most notable clinical feature was a life-threatening acute respiratory syndrome requiring prolonged mechanical ventilation and resulting in a high case–fatality rate. This viral illness was associated with a high incidence of DVT and PE. At autopsy, about one-fourth of PE patients with COVID had both macrovascular and microvascular PE. Contributing etiologies included excessive inflammation with cytokine storm, platelet activation, endothelial dysfunction, and stasis (Fig. 290-4). Long-Term Sequelae of Pulmonary Embolism With respect to quality of life, about half of PE patients report persistent dyspnea, fatigue, and reduced exercise capacity, and about one-quarter have per sistent right ventricular dysfunction on echocardiogram. This constel lation of findings is being recognized more frequently and is called the “post-PE syndrome” (Fig. 290-5). A less frequent complication of PE is the development of chronic thromboembolic pulmonary hypertension (CTEPH), which usually causes breathlessness, especially with exertion. Deep-Venous Thrombosis and Pulmonary Thromboembolism 2155 CHAPTER 290 Non-disadvantaged: &gt;227.5 Non-disadvantaged: 119.2–173.1 Non-disadvantaged: 0–119.2 Disadvantaged: 0–119.2 Disadvantaged: 119.2–173.1 Disadvantaged: 173.1–227.5 Disadvantaged: &gt;227.5 Non-disadvantaged: 173.1–227.5 FIGURE 290-1 Observed hospitalizations for PE are shown per 100,000 Medicare beneficiaries aged 65 year or older residing in socioeconomically disadvantaged (orange) and nondisadvantaged (blue) counties of the United States in 2019. Lower hospitalization rates are represented with lighter shades of each color, and higher hospitalization rates are represented with darker shades. The range of hospitalizations per 100,000 represented by each shade of orange and each shade of blue are shown in the legend. (Reproduced with permission from RK Wadhera et al: Circ Cardiovasc Qual Outcomes 17:e010090, 2024.) Year Observed 30-day mortality risk With 95% Confidence limits 2003 0 5 10 15 20 2004200520062007200820092010 2011 2012 2013 2014 2015 2016 2017 2018 2019 Non-disadvantaged community Disadvantaged community FIGURE 290-2 Trends in 30-day mortality among Medicare beneficiaries hospitalized with pulmonary embolism by community socioeconomic disadvantage from 2003 to 2019. The red lines represent beneficiaries from </w:t>
      </w:r>
      <w:r w:rsidRPr="00F23836">
        <w:lastRenderedPageBreak/>
        <w:t xml:space="preserve">disadvantaged communities, and the blue line, beneficiaries from nondisadvantaged communities. The bands represent 95% confidence intervals for estimates. Trends in observed 30-day mortality among Medicare beneficiaries hospitalized with cardiovascular conditions by community socioeconomic disadvantage from 2003 to 2019. (Reproduced with permission from RK Wadhera et al: Circ Cardiovasc Qual Outcomes 17:e010090, 2024.) 2156 PART 6 Disorders of the Cardiovascular System Postthrombotic Syndrome Postthrombotic syndrome (also known as chronic venous insufficiency) damages the venous valves of the leg and worsens quality of life by causing ankle or calf swelling and leg aching, especially after prolonged standing. In its most severe form, postthrombotic syndrome causes deep skin ulceration (Fig. 290-6). </w:t>
      </w:r>
      <w:r w:rsidRPr="00F23836">
        <w:rPr>
          <w:rFonts w:ascii="Arial" w:hAnsi="Arial" w:cs="Arial"/>
        </w:rPr>
        <w:t>■</w:t>
      </w:r>
      <w:r w:rsidRPr="00F23836">
        <w:t xml:space="preserve">PATHOPHYSIOLOGY Inflammation Inflammation takes center stage as a trigger of acute PE and DVT. Inflammation-related risk factors and medical illnesses are now linked as precipitants of VTE (Table 290-1). Prothrombotic States The two most common autosomal domi nant genetic mutations are (1) factor V Leiden, which causes resistance to the endogenous anticoagulant, protein C, and (2) the prothrombin gene mutation, which increases the plasma prothrombin concentration (Chaps. 69 and 122). Antithrombin, protein C, and protein S are natu rally occurring coagulation inhibitors. Deficiencies of these inhibitors are associated with VTE but are rare. Antiphospholipid syndrome (APS) is an acquired (not genetic) thrombophilic disorder that predis poses to both venous and arterial thrombosis. Patients with APS often warrant lifetime anticoagulation, even if the initial VTE was provoked by trauma or surgery. Clinical Risk Factors Common comorbid VTE risk factors include cancer, obesity, cigarette smoking, systemic arterial hyperten sion, chronic obstructive pulmonary disease, chronic kidney disease, long-haul air travel, air pollution, estrogen-containing contraceptives, pregnancy, the first 6–12 weeks postpartum, postmenopausal hormone replacement, surgery, and trauma. A sedentary lifestyle is an increas ingly prevalent risk factor. A Japanese study found that each 2 hours per day increment of television watching is associated with a 40% increased likelihood of fatal PE. Polygenic Risk Scores Ghouse and colleagues reported a genome wide association study of VTE that incorporated 81,190 cases and 1,419,671 controls from six cohorts. They identified 93 risk loci, 62 of which were previously unreported. Many risk loci affected the coagu lation cascade or platelet function. A VTE polygenic risk score (PRS) enabled identification of both high- and low-risk individuals. Individu als within the top 0.1% of PRS distribution had a VTE risk similar to homozygous or compound heterozygous carriers of factor V Leiden or the prothrombin gene mutation. In contrast, in the bottom 10% of the PRS distribution, factor V Leiden and prothrombin gene mutation carriers had a VTE risk similar to that of the general population. PRS improved individual risk prediction beyond that of genetic and clini cal risk factors. Some risk factors for arterial thrombosis, such as body mass index and smoking, were concordant with VTE risk, whereas others, such as blood pressure and triglyceride levels, were discordant. Activated Platelets Virchow’s triad of venous stasis, hypercoagu lability, and endothelial injury, usually coupled with an </w:t>
      </w:r>
      <w:r w:rsidRPr="00F23836">
        <w:lastRenderedPageBreak/>
        <w:t xml:space="preserve">inflammatory trigger, leads to recruitment of activated platelets, which release mic roparticles. These microparticles contain proinflammatory mediators 2014 2016 2018 2010 2012 9.7 12 20.2 11.8 19.4 11.2 18.8 30 25 20 15 10 5 0 10.2 35 17.7 All cause readmission trends 16.2 (%) 30-day readmissions 90-day readmissions FIGURE 290-3 Graph showing all-cause readmission rates for pulmonary embolism (PE) patients within 30 days and within 90 days from 2010 to 2018. (Reproduced from M Murthi: Am J Cardiol 184:133, 2022.) Sars-COV-2 Risk factors Inflammatory response Endothelial dysfunction Superinfected Hemostatic abnormalities Clinical outomes A B C Acute illness Bed-ridden, stasis Genetics Fever Diarrhea Sepsis Tissue factor TFPI Inflammatory cytokines IL-6, CRP Lymphopenia Liver injury CKD COPD HF Malignancy Pulmonary microthrombi Intravascular coagulopathy Myocardial injury Cardiac biomarkers D-dimer, FDPs, PT Platelets Venous thromboembolism Myocardial infarction Disseminated intravascular coagulation FIGURE 290-4 Postulated mechanisms of coagulopathy and pathogenesis of thrombosis in COVID-19. A. Severe acute respiratory syndrome coronavirus 2 (SARS-CoV-2) infection activates an inflammatory response, leading to release of inflammatory mediators. Endothelial and hemostatic activation ensues, with decreased levels of TFPI and increased tissue factor. The inflammatory response to severe infection is marked by lymphopenia and thrombocytopenia. Liver injury may lead to decreased coagulation and antithrombin formation. B. COVID-19 may be associated with hemostatic derangement and elevated troponin. C. Increased thromboembolic state results in venous thromboembolism, myocardial infarction, or, in case of further hemostatic derangement, disseminated intravascular coagulation. CKD, chronic kidney disease; COPD, chronic obstructive pulmonary disease; CRP, C-reactive protein; FDP, fibrin degradation product; HF, heart failure; IL, interleukin; LDH, lactate dehydrogenase; PT, prothrombin time; TFPI, tissue factor pathway inhibitor. (Reproduced with permission from B Bikdeli et al: COVID-19 and thrombotic or thromboembolic disease: Implications for prevention, antithrombotic therapy, and follow-up. J Am Coll Cardiol 75:2950, 2020.) Deep-Venous Thrombosis and Pulmonary Thromboembolism 2157 CHAPTER 290 PVFS scale grade No functional limitations 0 1 2 3 4 D Negligible functional limitations Slight functional limitations Moderate functional limitations Severe functional limitations Assistance needed in activities of daily living due to symptoms, pain, or anxiety: nursing care and attention are required. Death occurred before the scheduled assessment. Usual duties/activities at home or at work have been structurally modified (reduced) due to symptoms, pain, or anxiety. Some usual duties/activities at home or at work are carried out at a lower level of intensity or are occasionally avoided due to symptoms, pain, or anxiety. All usual duties/activities at home or at work can be carried out at the same level of intensity, despite some symptoms, pain, or anxiety. All usual duties/activities at home or at work can be carried out at the same level of intensity. Symptoms, pain and anxiety are absent. Death Description Flowchart for patient self-report of the Post-VTE Functional Status scale Can you live alone without any assistance from another </w:t>
      </w:r>
      <w:r w:rsidRPr="00F23836">
        <w:lastRenderedPageBreak/>
        <w:t xml:space="preserve">person? (e.g., independently being able to eat, walk, use the toilet and manage routine daily hygiene) Are there duties/activities at home or at work which you are no longer able to perform yourself? Do you suffer from symptoms, pain, or anxiety? Do you need to avoid or reduce duties/ activities or spread these over time? Grade 0 Yes No No Yes Yes No No Yes Grade 1 Grade 2 Grade 3 Grade 4 FIGURE 290-5 Flow chart for patient self-report of the Post-Venous Thromboembolism (VTE) Functional Status scale. (Reproduced with permission from GJAM Boon et al: Thromb Res 190:45, 2020, Figure 2.) FIGURE 290-6 Skin ulceration in the medial malleolus from postthrombotic syndrome of the leg. TABLE 290-1 Inflammation-Linked Conditions That Can Trigger PE or DVT Ulcerative colitis Crohn’s disease Rheumatoid arthritis Psoriasis Diabetes mellitus, type 2 Obesity/metabolic syndrome Hypercholesterolemia, especially elevated LDL cholesterol Lipoprotein(a) Pneumonia Acute coronary syndrome Acute stroke Cigarette smoking Sepsis/septic shock Erythropoiesis-stimulating agents Blood transfusion Cancer Abbreviations: DVT, deep-venous thrombosis; LDL, low-density lipoprotein; PE, pulmonary embolism. that bind neutrophils, stimulating them to release their nuclear material and form web-like extracellular networks called neutrophil extracellular traps. These prothrombotic networks contain histones that stimu late platelet aggregation and promote platelet-dependent thrombin generation. Venous thrombi form and flourish in this environment of stasis, low oxygen tension, and upregulation of proinflammatory genes. Interaction Between Venous Thromboembolism and Atherothrombosis VTE (red clot) and arterial thrombotic (white clot) events were previously considered separate entities. However, the presence of carotid artery plaque is associated with double the risk of incident VTE. This observation led to the discovery of a broad interac tion of VTE with acute coronary syndrome and with acute ischemic stroke (Fig. 290-7). These three vascular conditions share similar risk factors and similar pathophysiology: inflammation, hypercoagulability, and endothelial injury. Patients who suffer VTE are more than twice 2158 PE PART 6 Disorders of the Cardiovascular System MI Stroke FIGURE 290-7 Broad interaction between venous thromboembolism and atherothrombosis. MI, myocardial infarction; PE, pulmonary embolism. as likely to have a future MI or stroke. Conversely, patients with MI or stroke are more than twice as likely to suffer a future VTE. Embolization When DVTs (Fig. 290-8) detach from their site of formation, they embolize to the vena cava, right atrium, and right ven tricle and lodge in the pulmonary arterial circulation, thereby causing acute PE. Many patients with PE have no evidence of DVT because the leg thrombus has already embolized to the lungs. Paradoxically, these thrombi occasionally embolize to the arterial circulation through a pat ent foramen ovale or atrial septal defect. Physiology The most common gas exchange abnormalities are arterial hypoxemia and an increased alveolar-arterial O2 tension gra dient, which represent the inefficiency of oxygen transfer across the lungs. Anatomic dead space increases because breathed gas does not enter gas exchange units of the lung. Physiologic dead space increases because ventilation to gas exchange units exceeds venous blood flow </w:t>
      </w:r>
      <w:r w:rsidRPr="00F23836">
        <w:lastRenderedPageBreak/>
        <w:t xml:space="preserve">through the pulmonary capillaries (Fig. 290-9). Other pathophysiologic abnormalities include: 1. Increased pulmonary vascular resistance due to vascular obstruction or platelet secretion of vasoconstricting neurohumoral agents such as serotonin. Release of vasoactive mediators can produce venti lation-perfusion mismatching at sites remote from the embolus, thereby accounting for discordance between a small PE and a large alveolar-arterial O2 gradient. 2. Impaired gas exchange due to increased alveolar dead space from vascular obstruction, hypoxemia from alveolar hypoventilation rela tive to perfusion in the nonobstructed lung, right-to-left shunting, or impaired carbon monoxide transfer due to loss of gas exchange surface. 3. Alveolar hyperventilation due to reflex stimulation of irritant receptors. FIGURE 290-8 Deep-venous thrombosis at autopsy. RV pressure overload PE MI RV dysfunction Stroke RV wall tension RV ischemia or infarction LV preload Coronary Inflammation: A common underlying process LV Cardiac output perfusion Systemic pressure FIGURE 290-9 Pathophysiology of pulmonary embolism (PE). LV, left ventricular; RV, right ventricular. 4. Increased airway resistance due to constriction of airways distal to the bronchi. 5. Decreased pulmonary compliance due to lung edema, lung hemor rhage, or loss of surfactant. Pulmonary Hypertension, Right Ventricular (RV) Dysfunction, and RV Microinfarction Pulmonary artery obstruction and neu rohumoral mediators cause a rise in both pulmonary artery pressure and pulmonary vascular resistance. When RV wall tension rises, RV dilation, stretch, and dysfunction ensue, with release of the cardiac biomarker brain natriuretic peptide. The interventricular septum bulges into and compresses an intrinsically normal left ventricle (LV). Dia stolic LV dysfunction reduces LV distensibility and impairs LV filling. Increased RV wall tension also compresses the right coronary artery, limits myocardial oxygen supply, and precipitates right coronary artery ischemia and RV microinfarction, with release of cardiac biomarkers such as troponin. Underfilling of the LV may lead to a fall in LV cardiac output and systemic arterial pressure, with consequent circulatory col lapse and death (Fig. 290-9). </w:t>
      </w:r>
      <w:r w:rsidRPr="00F23836">
        <w:rPr>
          <w:rFonts w:ascii="Arial" w:hAnsi="Arial" w:cs="Arial"/>
        </w:rPr>
        <w:t>■</w:t>
      </w:r>
      <w:r w:rsidRPr="00F23836">
        <w:t>CLASSIFICATION OF PULMONARY EMBOLISM AND DEEP-VENOUS THROMBOSIS Pulmonary Embolism Massive (high-risk) PE accounts for 5</w:t>
      </w:r>
      <w:r w:rsidRPr="00F23836">
        <w:rPr>
          <w:rFonts w:ascii="Aptos" w:hAnsi="Aptos" w:cs="Aptos"/>
        </w:rPr>
        <w:t>–</w:t>
      </w:r>
      <w:r w:rsidRPr="00F23836">
        <w:t xml:space="preserve">10% of cases and is usually characterized by systemic arterial hypotension and extensive thrombosis affecting at least half of the pulmonary vas culature. Dyspnea, syncope, hypotension, and cyanosis are hallmarks of massive PE. Patients with massive PE may present in cardiogenic shock and can die from multisystem organ failure. Submassive (intermediate risk) PE accounts for 20–25% of patients and is characterized by RV dysfunction despite normal systemic arterial pressure. The combina tion of right heart failure and release of cardiac biomarkers such as troponin indicates a high risk of clinical deterioration. Low-risk PE constitutes about 65–75% of cases. These patients have an excellent prognosis. Deep-Venous Thrombosis Lower extremity DVT usually begins in the calf and can propagate proximally to the popliteal, femoral, and iliac veins. Leg DVT is ~10 times more common than upper extremity DVT, which is often precipitated by placement of pacemakers, internal cardiac defibrillators, or indwelling central venous catheters. The likeli hood of upper extremity </w:t>
      </w:r>
      <w:r w:rsidRPr="00F23836">
        <w:lastRenderedPageBreak/>
        <w:t xml:space="preserve">DVT increases as the catheter diameter and number of lumens increase. Superficial venous thrombosis usually presents with erythema, ten derness, and a “palpable cord”; it is most common in the lower extremi ties because of varicose veins and in the upper extremities because of indwelling intravenous catheters. Superficial veins may be visible in the chest wall (Urschel’s sign). Patients are at risk for extension of the superficial vein thrombosis to the deep-venous system. </w:t>
      </w:r>
      <w:r w:rsidRPr="00F23836">
        <w:rPr>
          <w:rFonts w:ascii="Arial" w:hAnsi="Arial" w:cs="Arial"/>
        </w:rPr>
        <w:t>■</w:t>
      </w:r>
      <w:r w:rsidRPr="00F23836">
        <w:t xml:space="preserve">DIAGNOSIS Suspect DVT or PE 2159 Clinical Evaluation PE is known as </w:t>
      </w:r>
      <w:r w:rsidRPr="00F23836">
        <w:rPr>
          <w:rFonts w:ascii="Aptos" w:hAnsi="Aptos" w:cs="Aptos"/>
        </w:rPr>
        <w:t>“</w:t>
      </w:r>
      <w:r w:rsidRPr="00F23836">
        <w:t>the great masquerader.</w:t>
      </w:r>
      <w:r w:rsidRPr="00F23836">
        <w:rPr>
          <w:rFonts w:ascii="Aptos" w:hAnsi="Aptos" w:cs="Aptos"/>
        </w:rPr>
        <w:t>”</w:t>
      </w:r>
      <w:r w:rsidRPr="00F23836">
        <w:t xml:space="preserve"> Diagnosis is difficult because symptoms and signs are nonspecific. The most common symptom of PE is unexplained breathlessness. When occult PE occurs concomitantly with overt congestive heart failure or pneumonia, clinical improvement often fails to ensue despite standard medical treatment of the concomitant illness. This scenario provides a clinical clue to the possible coexistence of PE. With DVT, the most common symptom is a cramp or “charley horse” in the lower calf that persists and intensifies over several days. Wells Point Score criteria, validated in ambulatory patients but not in hospitalized patients, help estimate the clinical likelihood of DVT and PE (Table 290-2). Patients with a low likelihood of DVT or a low-to moderate likelihood of PE should undergo initial diagnostic evaluation with d-dimer testing alone (see “Blood Tests”), without obligatory imaging tests if the d-dimer test result is normal (Fig. 290-10). How ever, patients with a high clinical likelihood of VTE should skip d-dimer testing and undergo imaging as the next step in the diagnostic algorithm. Clinical Pearls Not all leg pain is due to DVT, and not all dyspnea is due to PE (Table 290-3). Sudden, severe calf discomfort suggests a ruptured Baker’s cyst. Fever and chills often herald cellulitis rather than DVT. Physical findings, if present, may consist only of mild palpation discomfort in the lower calf. However, massive DVT often presents with marked thigh swelling, tenderness, and erythema. If a leg is dif fusely edematous, DVT is unlikely, except for the most serious form of DVT, phlegmasia cerulea dolens. Recurrent left thigh edema, especially in young women, raises the possibility of May-Thurner syndrome, with right proximal iliac artery compression of the left proximal iliac vein. This syndrome may be associated with a DVT. Upper extremity venous thrombosis may present with asymmetry in the supraclavicular fossa or in the circumference of the upper arms. Pulmonary infarction usually indicates a small PE. This condition is exquisitely painful because the thrombus lodges peripherally, near the innervation of pleural nerves. Nonthrombotic PE etiologies include fat embolism after pelvic or long bone fracture, tumor embolism, bone marrow, and air embolism. Cement embolism and bony fragment embolism can occur after total hip or knee replacement. Intravenous drug users may inject themselves with a wide array of substances that TABLE 290-2 Clinical Decision Rules Low Clinical Likelihood of DVT if Point Score Is Zero or Less; Moderate Likelihood if Score Is 1 to 2; High Likelihood if Score Is 3 or Greater CLINICAL VARIABLE Active cancer Paralysis, paresis, or recent cast Bedridden for &gt;3 days; major surgery 3 cm Pitting edema Collateral superficial nonvaricose veins Alternative diagnosis at least as likely as DVT DVT SCORE High Clinical Likelihood of PE if Point Score Exceeds 4 CLINICAL VARIABLE </w:t>
      </w:r>
      <w:r w:rsidRPr="00F23836">
        <w:lastRenderedPageBreak/>
        <w:t xml:space="preserve">Signs and symptoms of DVT Heart rate &gt;100/min Prior PE or DVT Alternative diagnosis less likely than PE Immobilization &gt;3 days; surgery within 4 weeks Hemoptysis Cancer 1 1 1 1 1 1 1 1–2 PE SCORE 3.0 3.0 1.5 1.5 1.5 1.0 1.0 Assess clinical likelihood DVT PE Low D-dimer Normal High No DVT I Not low N ot high D-dimer Normal maging test needed No PE High Imaging test needed FIGURE 290-10 How to decide whether diagnostic imaging is needed. For assessment of clinical likelihood, see Table 290-2. DVT, deep-venous thrombosis; PE, pulmonary embolism. can embolize, such as hair, talc, and cotton. Amniotic fluid embolism occurs when fetal membranes leak or tear at the placental margin. Nonimaging Diagnostic Modalities • BLOOD TESTS The quantitative plasma d-dimer enzyme-linked immunosorbent assay (ELISA) rises in the presence of DVT or PE because of the breakdown of fibrin by plasmin. Elevation of d-dimer indicates endogenous, although often clinically ineffective, thrombolysis. The sensitivity of an abnormally elevated d-dimer is &gt;95% for PE. A normal d-dimer is a useful “rule out” test for PE in patients with low pretest probability. However, the d-dimer assay is not specific. Levels increase in patients with MI, pneumonia, sepsis, cancer, and the postoperative state, and those in the second or third trimester of pregnancy. Therefore, d-dimer testing rarely has a useful role among hospitalized patients because levels are frequently elevated due to systemic illness. The upper limit of normal for d-dimer was considered to be 500 ng/mL; however, guidelines now recommend use of an age adjusted d-dimer when ruling out acute PE. The age-adjusted d-dimer applies to patients older than 50 years of age with low or intermedi ate clinical probability of PE. To calculate the upper limit of normal d-dimer in these patients, multiply the age by 10. For example, a 70-year-old patient suspected of PE would have 700 ng/mL as the upper limit of normal for d-dimer. Implementing routine use of the TABLE 290-3 Differential Diagnosis of DVT and PE DVT Ruptured Baker’s cyst Muscle strain/injury Cellulitis Acute postthrombotic syndrome/venous insufficiency PE Pneumonia, asthma, chronic obstructive pulmonary disease Congestive heart failure Pericarditis Pleurisy: “viral syndrome,” costochondritis, musculoskeletal discomfort Rib fracture, pneumothorax Acute coronary syndrome Anxiety Vasovagal syncope CHAPTER 290 High Deep-Venous Thrombosis and Pulmonary Thromboembolism Abbreviations: DVT, deep-venous thrombosis; PE, pulmonary embolism. Abbreviations: DVT, deep-venous thrombosis; PE, pulmonary embolism. 2160 PART 6 Disorders of the Cardiovascular System I II III aVR aVL V1 V2 V4 V5 aVF II V3 V6 FIGURE 290-11 Electrocardiogram with both the S1Q3T3 sign and T-wave inversions in leads V1-V4 —typical of an anatomically large pulmonary embolism. This patient’s CT pulmonary angiogram is shown as Fig. 290-13A and B. age-adjusted d-dimer reduces the number of computed tomogra phy (CT) pulmonary angiograms that are ordered. However, the age-adjusted d-dimer does not apply to patients suspected of acute DVT. ELEVATED CARDIAC BIOMARKERS Serum troponin increases because of RV microinfarction. Myocardial stretch causes release of brain natri uretic peptide or NT-pro-brain natriuretic peptide. ELECTROCARDIOGRAM The most frequently cited abnormality, in </w:t>
      </w:r>
      <w:r w:rsidRPr="00F23836">
        <w:lastRenderedPageBreak/>
        <w:t xml:space="preserve">addition to sinus tachycardia, is the S1Q3T3 sign: an S wave in lead I, a Q wave in lead III, and an inverted T wave in lead III (Chap. 247). This finding is relatively specific but insensitive. RV strain and ischemia cause the most common abnormality, T-wave inversion in leads V1 to V4 (Fig. 290-11). Noninvasive Imaging Modalities • VENOUS ULTRASONOGRAPHY Ultrasonography of the deep-venous system relies on loss of vein compressibility as the primary diagnostic criterion for DVT. When a normal vein is imaged in cross-section, it readily collapses with gentle manual pressure on the ultrasound transducer. This creates the illusion No Compression CFA CFV of a “wink.” With acute DVT, the vein loses its compressibility because of passive distention by acute thrombus. The diagnosis of acute DVT is even more secure when thrombus is directly visualized; it appears homogeneous, is located in the center of the vein, and has low echo genicity (Fig. 290-12). The vein itself often appears mildly dilated, and collateral channels may be absent. Venous flow dynamics can be examined with Doppler imaging. Normally, manual calf compression causes augmentation of the Dop pler flow pattern. Loss of normal respiratory variation is caused by an obstructing DVT or by any obstructive process within the pelvis. For patients with a technically poor or nondiagnostic venous ultrasound, consider alternative imaging modalities such as CT and magnetic resonance imaging. CHEST ROENTGENOGRAPHY A normal or nearly normal chest x-ray often occurs in PE. Well-established abnormalities include focal olige mia (Westermark’s sign), a peripheral triangular-shaped density usually located at the pleural base (Hampton’s hump—which is usually due to pulmonary infarction), and an enlarged right descending pulmonary artery (Palla’s sign). Compression CFA CFV FIGURE 290-12 Venous ultrasound, with and without compression of the leg veins. CFA, common femoral artery; CFV, common femoral vein; GSV, great saphenous vein; LT, left. 2161 A B RV LV FIGURE 290-13 A. Massive bilateral proximal pulmonary embolism on an axial chest CT image in a 53-year-old man (whose electrocardiogram is shown in Fig. 290-11) with filling defects in the right and left main pulmonary arteries (white arrows). B. Four-chamber view in the same patient showing the right ventricle (RV) larger than the left ventricle (LV). CHEST CT CT pulmonary angiography with intravenous contrast is the principal imaging test for the diagnosis of PE (Fig. 290-13A). Thin-cut chest CT images can provide exquisite detail, with ≤1 mm of resolution during a short breath hold. Sixth-order branches can be visualized with resolution superior to that of conventional invasive contrast pulmonary angiography. The CT scan also provides an excel lent four-chamber view of the heart (Fig. 290-13B). RV enlargement on chest CT indicates an increased likelihood of death within the next 30 days compared with PE patients who have normal RV size (commonly defined as a right to left ventricular diameter ratio &gt;1). In patients without PE, the lung parenchymal images may establish alter native diagnoses not apparent on chest x-ray that explain the present ing symptoms and signs, such as pneumonia, emphysema, pulmonary fibrosis, pulmonary mass, and aortic pathology. LUNG SCANNING Ventilation/perfusion lung scanning has become a second-line diagnostic test for PE, used mostly for patients who cannot </w:t>
      </w:r>
      <w:r w:rsidRPr="00F23836">
        <w:lastRenderedPageBreak/>
        <w:t xml:space="preserve">tolerate intravenous contrast. Small particulate aggregates of albumin labeled with a gamma-emitting radionuclide are injected intravenously and trapped in the pulmonary capillary bed. The perfusion scan defect indicates absent or decreased blood flow, possibly due to PE. Ventila tion scans, obtained with a radiolabeled inhaled gas such as xenon or krypton, improve the specificity of the perfusion scan. Abnormal ven tilation scans indicate abnormal nonventilated lung, thereby providing possible explanations for perfusion defects other than acute PE, such as asthma or chronic obstructive pulmonary disease. A high-probability scan for PE is defined as two or more segmental perfusion defects in the presence of normal ventilation. The diagnosis of PE is very unlikely in patients with normal and nearly normal scans and, in contrast, is ~90% certain in patients with high-probability scans. MAGNETIC RESONANCE (MR) (CONTRAST-ENHANCED) IMAGING When pelvic or leg ultrasound is equivocal, MR venography with gadolinium contrast is an excellent imaging modality to diagnose DVT. MR pulmo nary angiography may detect large proximal PE but is not reliable for smaller segmental and subsegmental PE. ECHOCARDIOGRAPHY Echocardiography is not a reliable diagnostic imaging tool for acute PE because most patients with PE have nor mal echocardiograms. However, echocardiography is very useful for detecting conditions that may mimic PE, such as acute MI, pericar dial tamponade, and aortic dissection. Transthoracic echocardiogra phy rarely images thrombus directly in the main pulmonary artery or the right or left main branches. The best-known indirect sign of PE on transthoracic echocardiography is McConnell’s sign: hypokinesis of the RV free wall with normal or hyperkinetic motion of the RV apex. Invasive Diagnostic Modalities • PULMONARY ANGIOGRAPHY Chest CT pulmonary angiography with contrast (see above) has vir tually replaced invasive pulmonary angiography as a diagnostic test. Invasive catheter-based diagnostic testing is reserved for patients with technically unsatisfactory chest CTs and for those in whom an interventional procedure such as catheter-directed thrombolysis or embolectomy is planned. A definitive diagnosis of PE requires visual ization of an intraluminal filling defect in more than one projection. Secondary signs of PE include abrupt occlusion (“cut-off”) of vessels, segmental oligemia, avascularity, and a prolonged arterial phase with slow filling and tortuous, tapering peripheral vessels. CONTRAST PHLEBOGRAPHY Venous ultrasonography has virtually replaced contrast phlebography as the principal diagnostic test for suspected DVT. However, contrast phlebography is used when an interventional procedure is planned. CHAPTER 290 Deep-Venous Thrombosis and Pulmonary Thromboembolism Integrated Diagnostic Approach An integrated diagnostic approach streamlines the workup of suspected DVT and PE (Fig. 290-14). TREATMENT Deep-Venous Thrombosis UPPER EXTREMITY DVT As peripherally inserted central catheter (PICC) use has increased, so has the rate of upper extremity DVT. This rate can be decreased by more judicious selection of patients who require a PICC, use of single-lumen rather than double- or triple-lumen PICCs, and use of the smallest possible lumen size, ideally 4 French rather than 5 or 6 French. ISOLATED CALF DVT The GARFIELD-VTE Registry </w:t>
      </w:r>
      <w:r w:rsidRPr="00F23836">
        <w:lastRenderedPageBreak/>
        <w:t xml:space="preserve">recruited 2145 patients with isolated calf DVT and 3846 patients with proximal DVT with or without calf DVT. Isolated calf DVT patients were more likely to have either undergone surgery or have experienced leg trauma, and they were less likely to have active cancer or a prior history of VTE. Almost all isolated calf DVT patients received anticoagulation, and nearly half were anticoagulated for at least 1 year. FIBRINOLYSIS If advanced therapy beyond anticoagulation is warranted, one can utilize clot dissolution or clot extraction therapy with catheter directed therapy. The open vein hypothesis postulates that patients who receive primary therapy will sustain less long-term damage to venous valves, with consequent lower rates of postthrombotic syndrome. However, the ATTRACT trial randomized 692 patients with femoral or iliofemoral DVT to catheter-directed therapy plus 2162 DVT imaging test PART 6 Disorders of the Cardiovascular System Venous ultrasound Diagnostic Stop Nondiagnostic MR CT PE imaging test Chest CT Diagnostic Stop Nondiagnostic, unavailable, or unsafe Lung scan Diagnostic Stop Positive Treat for PE Nondiagnostic Venous ultrasound Transesophageal ECHO or MR or invasive pulmonary angiography FIGURE 290-14 Integrated diagnostic approach. CT, computed tomography; DVT, deep-venous thrombosis; ECHO, echocardiography; MR, magnetic resonance; PE, pulmonary embolism. anticoagulation versus usual care with anticoagulation alone. After 2 years of follow-up, there was no overall reduction in postthrom botic syndrome in the thrombolysis group. However, there was a trend toward less postthrombotic syndrome among patients with iliofemoral DVT (compared with only femoral DVT) who received catheter-directed thrombolysis compared with anticoagulation alone. COMPRESSION STOCKINGS For patients with swelling of the legs when acute DVT is diag nosed, below-knee graduated compression stockings may be pre scribed, usually 30–40 mmHg or 20–30 mmHg, to lessen patient discomfort. They should be replaced every 3–6 months because they lose their elasticity. However, prescription of vascular com pression stockings in asymptomatic newly diagnosed acute DVT patients does not prevent the development of postthrombotic syndrome. TREATMENT Pulmonary Embolism RISK STRATIFICATION Hemodynamic instability, RV dysfunction on echocardiography, RV enlargement on chest CT, and elevation of the troponin level due to RV microinfarction portend a high risk of adverse clinical outcomes despite anticoagulation. However, in most cases, RV Risk stratify Normotension plus normal RV Secondary prevention Phlebography Anticoagulation alone Normotension plus RV hypokinesis Individualize therapy IVC filter Anticoagulation plus thrombolysis Hypotension Primary therapy Embolectomy: catheter/surgical FIGURE 290-15 Acute management of pulmonary thromboembolism. IVC, inferior vena cava; PE, pulmonary embolism; RV, right ventricular. function and hemodynamic function remain normal, which por tend an excellent prognosis and clinical outcome (Fig. 290-15). ANTICOAGULATION Negative There are three major strategies for anticoagulation: (1) the well-established—but waning—strategy of parenteral anticoagu lation with unfractionated heparin (UFH), low-molecular-weight heparin (LMWH), or fondaparinux either as monotherapy or more often “bridged” to warfarin; (2) parenteral </w:t>
      </w:r>
      <w:r w:rsidRPr="00F23836">
        <w:lastRenderedPageBreak/>
        <w:t xml:space="preserve">anticoagulation, switched after 5 days to dabigatran (a direct thrombin inhibi tor) or edoxaban (an anti-Xa agent); or (3) oral anticoagulation monotherapy with rivaroxaban or apixaban (both anti-Xa agents) with a 3-week or 1-week loading dose, respectively. For patients with VTE in the setting of suspected or proven heparin-induced thrombocytopenia, one can choose between two intravenous direct thrombin inhibitors: argatroban (metabolized by the liver) or bivalirudin (metabolized by the kidney), or subcutaneously administered fondaparinux (Table 290-4). Unfractionated Heparin UFH binds to and accelerates the activity of antithrombin, thus preventing additional thrombus formation. Intravenous UFH is typically dosed to achieve a target activated partial thromboplastin time (aPTT) of 60–80 s, which usually corresponds to a chromogenic anti-Xa level of 0.3–0.7 U/mL. When switching from a direct oral anticoagulant (DOAC) to intravenous UFH, monitor the aPTT, not the chromogenic anti Xa assay. However, the anti-Xa assay is more accurate than the aPTT in critically ill patients, APS, pregnancy, and suspected heparin resistance. In patients with normal liver function, use an initial bolus of 80 U/kg as a loading dose of UFH, followed by an initial infusion rate of 18 U/kg per h in patients with normal liver function. The short half-life of UFH is especially useful in patients in whom hour to-hour control of anticoagulation intensity is desired. Heparin also has pleiotropic effects that may decrease systemic and local inflammation. Low-Molecular-Weight Heparins These fragments of UFH exhibit less binding to plasma proteins and endothelial cells and consequently have greater bioavailability, a more predictable dose response, and a longer half-life than UFH. No monitoring or dose adjustment is needed unless the patient is markedly obese or has chronic kidney disease. Fondaparinux Fondaparinux, an anti-Xa pentasaccharide, is essentially an ultra-low-molecular-weight heparin. It is adminis tered as a weight-based, once-daily subcutaneous injection in a pre filled syringe. No laboratory monitoring is required. Fondaparinux is synthesized in a laboratory and, unlike LMWH or UFH, is not derived from animal products. It does not cause heparin induced thrombocytopenia. For patients with renal dysfunction, the fondaparinux dose must be adjusted downward. Deep-Venous Thrombosis and Pulmonary Thromboembolism 2163 CHAPTER 290 Warfarin This vitamin K antagonist prevents carboxylation dependent activation of coagulation factors II, VII, IX, and X (Chap. 69). The full effect of warfarin is attained after daily therapy for 5–7 days. Overlapping UFH, LMWH, fondaparinux, or parenteral direct thrombin inhibitors during initiation of war farin provides therapeutic levels of anticoagulation. Parenteral anticoagulation is discontinued when warfarin has achieved a target international normalized ratio (INR) of 2.5. Warfarin can cause major hemorrhage, including intracranial hemorrhage, even when the INR remains within the desired therapeutic range. Warfarin can also cause “off-target” side effects such as alopecia or arterial vascular calcification. Centralized anticoagulation clinics have improved the efficacy and safety of warfarin dosing. Some patients can self-monitor their INR with a home point-of-care fingerstick machine, and a few can be taught to self-dose their warfarin. </w:t>
      </w:r>
      <w:r w:rsidRPr="00F23836">
        <w:lastRenderedPageBreak/>
        <w:t xml:space="preserve">Direct Oral Anticoagulants DOACs are administered in a fixed dose, establish effective anticoagulation within hours of ingestion, do not require laboratory coagulation monitoring or limitation of green leafy vegetables, and have few drug-drug interactions. DOACs should not be prescribed during pregnancy or breastfeed ing. Warfarin, not DOACs, is the standard treatment for APS. The efficacy and safety of DOACs remain uncertain in patients with end-stage kidney disease or cirrhosis. Management of Bleeding from Anticoagulants For life-threatening or intracranial hemorrhage due to heparin or LMWH, administer protamine sulfate. The dabigatran antibody, idarucizumab, is an effective, rapidly acting antidote for dabigatran. Andexanet alfa or protein complex concentrate reverses major bleeding caused by anti-Xa DOACs, but beware of rebound thrombosis. With minor bleeding, fresh-frozen plasma, vitamin K, or observation without pharmacologic intervention can be considered. Cancer and Venous Thromboembolism For patients with can cer and VTE, prescribe LMWH as monotherapy or a DOAC in the absence of a gastrointestinal cancer, and continue extended duration anticoagulation until the patient is declared cancer-free. The National Comprehensive Cancer Network guidelines endorse treatment of VTE with apixaban or edoxaban. Duration of Anticoagulation Data-driven guidelines from the European Society of Cardiology are changing our conceptual approach to determining the optimal duration of anticoagulation (Tables 290-5 and 290-6). We should no longer classify VTE as “provoked” or “unprovoked,” given that many types of provoked VTE have a similar recurrence rate to unprovoked VTE once anti coagulation is discontinued. Enduring risk factors such as heart failure, chronic lung disease, and inflammatory bowel diseases can heighten the risk of recurrence. INFERIOR VENA CAVA FILTERS The two principal indications for insertion of an inferior vena cava filter are (1) active bleeding that precludes anticoagulation and (2) recurrent venous thrombosis despite intensive anticoagulation. Prevention of PE in patients who are not candidates for anticoagu lation is a much “softer” indication for filter placement. The filter itself may fail by permitting the passage of small- to medium-size clots via collateral veins that develop. Paradoxically, by providing a nidus for clot formation, filters may increase the DVT rate even though they usually prevent PE. In most situations, place a retriev able rather than a permanent filter. MANAGEMENT OF MASSIVE PE For patients with massive PE and hypotension, replete volume with 500 mL of normal saline. Excessive fluid administration exacerbates RV wall stress, causes more profound RV ischemia, and worsens LV compliance and filling by causing further interventricular septal shift toward the LV. Norepinephrine and dobutamine are first-line vasopressor and inotropic agents, respectively, for treatment of PE related shock. Norepinephrine increases systemic arterial pressure. Dobutamine increases RV inotropy and lowers filling pressures. If TABLE 290-4 Anticoagulation of VTE Non-Warfarin Anticoagulation Unfractionated heparin, bolus and continuous infusion, to achieve aPTT 2–3 times the upper limit of the laboratory normal, or Enoxaparin 1 mg/kg twice daily with normal renal function, or Dalteparin 200 U/kg once daily or 100 U/kg twice daily, with normal renal function, or </w:t>
      </w:r>
      <w:r w:rsidRPr="00F23836">
        <w:lastRenderedPageBreak/>
        <w:t xml:space="preserve">Tinzaparin 175 U/kg once daily with normal renal function, or Fondaparinux weight-based once daily; adjust for impaired renal function Direct thrombin inhibitors: argatroban or bivalirudin (with suspected or proven heparin-induced thrombocytopenia) Rivaroxaban 15 mg twice daily for 3 weeks, followed by 20 mg once daily with the dinner meal thereafter. For CrCl 15–50 mL/min: 10 mg twice daily. Apixaban 10 mg twice daily for 1 week, followed by 5 mg twice daily thereafter. In patients with at least 2 of the following characteristics: age &gt;80 years, body weight 1.5 mg/dL, the recommended dose is 2.5 mg orally twice daily. Dabigatran: 5 days of unfractionated heparin, LMWH, or fondaparinux followed by dabigatran 150 mg twice daily with CrCl &gt;30 mL/min. For CrCl 15–30 mL/min: 75 mg twice daily. Edoxaban: 5 days of unfractionated heparin, LMWH, or fondaparinux followed by edoxaban 60 mg once daily with normal renal function, weight &gt;60 kg, in the absence of potent P-glycoprotein inhibitors. For CrCl 15–50 mL/ min: 30 mg once daily. Warfarin Anticoagulation Requires 5–10 days of administration to achieve effectiveness as monotherapy Use full-dose unfractionated heparin, LMWH, or fondaparinux as “bridging agents” when initiating warfarin. Continue parenteral anticoagulation for a minimum of 5 days and until two sequential INR values, at least 1 day apart, achieve the target INR range. Usual start dose is 5 mg Titrate to INR, target 2.0–3.0 Abbreviations: aPTT, activated partial thromboplastin time; CrCl, creatinine clearance; INR, international normalized ratio; LMWH, low-molecular-weight heparin; VTE, venous thromboembolism. TABLE 290-5 Take-Home Points from the European Society of Cardiology 2019 Pulmonary Embolism Guidelines 1. Terminology such as “provoked” versus “unprovoked” PE/DVT is no longer supported by the guidelines, as it is potentially misleading and not helpful for decision-making regarding the duration of anticoagulation. 2. Extended oral anticoagulation without an end date should be considered for patients with a first episode of PE and: a. No identifiable risk factor b. A persistent risk factor c. A minor transient or reversible risk factor Abbreviations: DVT, deep-venous thrombosis; PE, pulmonary embolism. TABLE 290-6 Risk of Recurrent Venous Thromboembolism After Discontinuing Anticoagulation (European Society of Cardiology 2019 Pulmonary Embolism Guidelines) RISK OF RECURRENCE EXAMPLES Low risk (8% per year) Active cancer Antiphospholipid syndrome 2164 additional hemodynamic circulatory support is required, available, and within the scope of the patient’s goals of care, consider veno arterial extracorporeal membrane oxygenation (ECMO). PART 6 Disorders of the Cardiovascular System FIBRINOLYSIS Successful fibrinolytic therapy rapidly reverses right heart failure and may result in a lower rate of death and recurrent PE by (1) dis solving much of the anatomically obstructing pulmonary arterial thrombus, (2) preventing the continued release of serotonin and other neurohumoral factors that exacerbate pulmonary hyperten sion, and (3) lysing much of the source of the thrombus in the pelvic or deep leg veins, thereby potentially decreasing the likelihood of recurrent PE. For massive PE, the U.S. Food and Drug Administration has approved systemically administered 100 mg of recombinant tissue </w:t>
      </w:r>
      <w:r w:rsidRPr="00F23836">
        <w:lastRenderedPageBreak/>
        <w:t xml:space="preserve">plasminogen activator (tPA) (alteplase) prescribed as a continuous intravenous infusion over 2 h. The sooner thrombolysis is admin istered, the more effective it is. However, systemic fibrinolysis can be utilized effectively for at least 14 days after the PE has occurred. A popular but controversial off-label dosing regimen is 50 mg of tPA administered over 2 h. This lower dose appears less effective than full-dose tPA but may be associated with fewer bleeding complications. Contraindications to fibrinolysis include intracranial disease, recent surgery, and trauma. The overall major bleeding rate is ~10%, including a 2–3% risk of intracranial hemorrhage. Careful screening of patients for contraindications to fibrinolytic therapy (Chap. 286) is the best way to minimize bleeding risk. For patients with submassive PE who have preserved systolic blood pressure but moderate or severe RV dysfunction, use of fibrinolysis remains controversial. A 2019 American Heart Associa tion Scientific Statement suggests consideration of thrombolysis or embolectomy in patients with a lack of clinical improvement, clini cal deterioration, clot in transit, severe or persistent RV strain, or signs of low cardiac output. CATHETER-DIRECTED THERAPY There are three types of catheter-directed therapy to treat VTE: (1) pharmacologic only, (2) mechanical only, or (3) pharmacomechani cal. Pharmacologic therapy usually utilizes a low-dose continuous infusion of tPA. Mechanical therapy serves as a percutaneous thrombectomy. The procedure usually employs suction, snaring, and extraction of thrombus without using thrombolytic therapy. One mechanical device is a catheter with expandable nitinol disks that traps the thrombus, which is then removed. Pharmacomechani cal therapy is epitomized by low-energy ultrasound-facilitated low dose thrombolysis. The low-dose thrombolysis strategy most likely explains the lower major bleeding complication rate compared with systemically administered fibrinolysis. SURGICAL PULMONARY EMBOLECTOMY The substantial risk of major hemorrhage with systemically admin istered fibrinolysis reawakened interest in alternative treatment with surgical embolectomy, an operation that had almost become extinct. More rapid referral for surgery before the onset of irrevers ible multisystem organ failure, improved surgical technique, and utilization of ECMO have increased the survival rate of surgical pulmonary embolectomy and have markedly improved right ven tricular function. PULMONARY THROMBOENDARTERECTOMY CTEPH develops in about 2% of acute PE patients. Therefore, PE patients who have initial pulmonary hypertension (often detected initially during echocardiography) should be followed up at about 6 weeks and, if necessary, at 6 months, with repeat echo cardiograms to determine whether pulmonary arterial pressure has worsened, plateaued, or abated. Patients impaired by dyspnea due to CTEPH should be considered for pulmonary thromboen darterectomy, which can markedly reduce, and sometimes even cure, pulmonary hypertension (Chap. 294). The operation requires TABLE 290-7 Prevention of Venous Thromboembolism Among Hospitalized Patients CONDITION High-risk nonorthopedic surgery Medical oncology (ambulatory) Cancer surgery, including gynecologic cancer surgery Major orthopedic surgery Medically ill patients, especially if immobilized, with a history of </w:t>
      </w:r>
      <w:r w:rsidRPr="00F23836">
        <w:lastRenderedPageBreak/>
        <w:t xml:space="preserve">prior VTE, with an indwelling central venous catheter, or with cancer (but without active gastroduodenal ulcer, major bleeding within 3 months, or platelet count 30 years. The non profit North American Thrombosis Forum (www.thrombosis.org) runs monthly online support groups that garner worldwide participation. </w:t>
      </w:r>
      <w:r w:rsidRPr="00F23836">
        <w:rPr>
          <w:rFonts w:ascii="Arial" w:hAnsi="Arial" w:cs="Arial"/>
        </w:rPr>
        <w:t>■</w:t>
      </w:r>
      <w:r w:rsidRPr="00F23836">
        <w:t xml:space="preserve">FURTHER READING Barco S et al: Age-sex specific pulmonary embolism-related mortality in the USA and Canada, 2000–18: An analysis of the WHO Mortality Database and of the CDC Multiple Cause of Death database. Lancet Respir Med 9:33, 2021. 2165 Bejjani A et al: When direct oral anticoagulants should not be stan dard treatment. JACC State-of-the-Art Review. J Am Coll Cardiol 83:444, 2024. Bikdeli B et al: COVID-19 and thrombotic or thromboembolic disease: Implications for prevention, antithrombotic therapy, and follow-up. J Am Coll Cardiol 75:2590, 2020. Ghouse J et al: Genome-wide meta-analysis identifies 93 risk loci and enables risk prediction equivalent to monogenic forms of venous thromboembolism. Nat Genet 55:399, 2023. Goldberg JB et al: Survival and right ventricular function after surgi cal management of acute pulmonary embolism. J Am Coll Cardiol 76:903, 2020. Kobayashi T et al: Contemporary management of outcomes of patients with high-risk pulmonary embolism. J Am Coll Cardiol 83:35, 2024. Konstantinides SV et al: 2019 ESC Guidelines for the diagnosis and management of acute pulmonary embolism developed in col laboration with the European Respiratory Society (ERS). Eur Heart J 41:543, 2020. Luijten D et al: Post-pulmonary embolism syndrome and functional outcomes after acute pulmonary embolism. Semin Thromb Hemost 49:848, 2023. Murthi M et al: Pulmonary embolism readmission trend over the years (from a National Readmission Database). Am J Cardiol 184:133, 2022. Wadhera RK et al: Community socioeconomic status, acute cardio vascular hospitalizations and mortality among Medicare beneficia ries, 2003 to 2019. Circ Cardovasc Qual Outcomes 17:e010090. 2024. 291 Diseases of the Aorta Mark A. Creager, Joseph Loscalzo The aorta is the conduit through which blood ejected from the left ventricle is delivered to the systemic arterial bed. In adults, its diameter is ~3.5 cm at the origin and in the ascending portion, ~2.5 cm in the descending portion in the thorax, and 1.8–2.0 cm in the abdomen. The aortic wall consists of a thin intima composed of endothelium, subendothelial connective tissue, and an internal elastic lamina; a thick tunica media composed of smooth muscle cells, elastic fibers, collagen, and extracellular matrix; and an adventitia composed primarily of con nective tissue enclosing the vasa vasorum and nervi vascularis. In addi tion to the conduit function of the aorta, its viscoelastic and compliant properties serve a buffering function. The aorta is distended during systole to allow a portion of the stroke volume and elastic energy to be stored, and it recoils during diastole so that blood continues to flow to the periphery. Owing to its continuous exposure to high pulsatile pres sure and shear stress, the aorta is particularly prone to injury and dis ease resulting from mechanical trauma. The aorta is also more prone to rupture than is any other vessel, especially with the development of aneurysmal dilation, since its wall tension, as governed by Laplace’s law (i.e., proportional to the product of pressure and radius), will be increased. CONGENITAL </w:t>
      </w:r>
      <w:r w:rsidRPr="00F23836">
        <w:lastRenderedPageBreak/>
        <w:t xml:space="preserve">ANOMALIES OF THE AORTA Congenital anomalies of the aorta usually involve the aortic arch and its branches. Symptoms such as dysphagia, stridor, and cough may occur if an anomaly causes a ring around or otherwise compresses the esophagus or trachea. Anomalies associated with symptoms include double aortic arch, origin of the right subclavian artery distal to the left subclavian artery, and right-sided aortic arch with an aberrant left subclavian artery. A Kommerell diverticulum is an anatomic remnant of a right aortic arch. Most congenital anomalies of the aorta do not cause symptoms and are detected during catheter-based procedures. The diagnosis of suspected con genital anomalies of the aorta typically is confirmed by computed tomographic (CT) or magnetic resonance (MR) angiography. Sur gery is used to treat symptomatic anomalies. Coarctation of the aorta (Chap. 280) typically occurs near the insertion of the ligamentum arteriosum, adjacent to the left subclavian artery. It may be associated with a bicuspid aortic valve, aortic arch hypoplasia, other congenital heart defects, and intracranial aneu rysms. A pulse delay or pressure differential between the upper and lower extremities should raise suspicion of aortic coarctation. Imaging modalities, including echocardiography, CT, and MR angiography are used to confirm the diagnosis. If untreated, hypertension develops in the arteries proximal to the coarctation. Treatment of hemodynami cally significant aortic coarctation includes endovascular stent implan tation if feasible or surgical repair. AORTIC ANEURYSM An aneurysm is defined as a pathologic dilation of a segment of a blood vessel. A true aneurysm involves all three layers of the vessel wall and is distinguished from a pseudoaneurysm, in which the intimal and medial layers are disrupted and the dilated segment of the aorta is lined by adventitia only and, at times, by perivascular clot. Aneurysms also may be classified according to their gross appearance. A fusiform aneurysm affects the entire circumference of a segment of the vessel, resulting in a diffusely dilated artery. In contrast, a saccular aneurysm involves only a portion of the circumference, resulting in an outpouching of the vessel wall. Aortic aneurysms also are classified according to location, i.e., abdominal versus thoracic. Aneurysms of the descending thoracic aorta are usually contiguous with infradiaphragmatic aneurysms and are referred to as thoracoabdominal aortic aneurysms. CHAPTER 291 Diseases of the Aorta </w:t>
      </w:r>
      <w:r w:rsidRPr="00F23836">
        <w:rPr>
          <w:rFonts w:ascii="Arial" w:hAnsi="Arial" w:cs="Arial"/>
        </w:rPr>
        <w:t>■</w:t>
      </w:r>
      <w:r w:rsidRPr="00F23836">
        <w:t xml:space="preserve">ETIOLOGY Aortic aneurysms result from conditions that cause degradation or abnor mal production of the structural components of the aortic wall: elastin and collagen. The causes of aortic aneurysms may be broadly categorized as degenerative or sporadic, heritable, congenital, aortitis, infective, and trauma (Table 291-1). Inflammation, oxidative stress, proteolysis, and biomechanical wall stress contribute to the degenerative processes that characterize most aneurysms of the abdominal and descending thoracic aorta. These are mediated by B-cell and T-cell lymphocytes, macro phages, inflammatory cytokines, and matrix metalloproteinases that degrade elastin and collagen and alter the tensile strength and ability of the aorta to accommodate pulsatile stretch. The associated histopathol ogy demonstrates destruction of elastin and collagen, decreased vascular smooth muscle, in-growth of new blood vessels, and </w:t>
      </w:r>
      <w:r w:rsidRPr="00F23836">
        <w:lastRenderedPageBreak/>
        <w:t xml:space="preserve">inflammation. Factors associated with degenerative aortic aneurysms include aging, cigarette smoking, hypercholesterolemia, hypertension, and male sex. The most common pathologic condition associated with degen erative aortic aneurysms is atherosclerosis. Many patients with aortic aneurysms have coexisting risk factors for atherosclerosis, as well as atherosclerosis in other blood vessels. The pathologic condition of aortic aneurysms associated with genetic or developmental diseases is medial degeneration, a histopath ologic term used to describe the degeneration of collagen and elastic fibers in the tunica media of the aorta as well as the loss of medial cells that are replaced by multiple clefts of mucoid material, such as pro teoglycans. Medial degeneration characteristically affects the proximal aorta, results in circumferential weakness and dilation, and leads to the development of fusiform aneurysms involving the ascending aorta and the sinuses of Valsalva. It is found in patients with Marfan syndrome, Loeys-Dietz syndrome, vascular Ehlers-Danlos syndrome (Chap. 425), hypertension, bicuspid aortic valves, Turner syndrome, and familial thoracic aortic aneurysm syndromes. It sometimes appears as an isolated condition in patients without any other apparent disease. Thoracic and abdominal aortic aneurysms also occur in patients with fibromuscular dysplasia, although the nature of the aortic pathology is not established. 2166 PART 6 Disorders of the Cardiovascular System TABLE 291-1 Diseases of the Aorta: Etiology and Associated Factors Aortic aneurysm      Degenerative/sporadic           Aging           Cigarette smoking           Hypercholesterolemia           Hypertension           Atherosclerosis      Heritable           Marfan syndrome           Loeys-Dietz syndrome           Ehlers-Danlos syndrome type IV           Aneurysm-osteoarthritis syndrome           Smooth muscle dysfunction syndrome           Familial (nonsyndromic)      Congenital           Bicuspid aortic valve           Turner syndrome           Aortic coarctation      Fibromuscular dysplasia      Chronic aortic dissection      Aortitis (see below)      Infective (see below)      Trauma Acute aortic syndromes (aortic dissection, acute intramural hematoma, penetrating atherosclerotic ulcer)      Degenerative disorders (see above)      Heritable/disorders (see above)      Congenital disorders (see above)      Hypertension      Aortitis (see below)      Pregnancy      Trauma Aortic occlusion      Atherosclerosis      Thromboembolism Aortitis      Vasculitis           Takayasu’s arteritis           Giant cell arteritis           IgG4-related aortitis           Isolated aortitis      Rheumatic           Rheumatoid aortitis           HLA-B27–associated spondyloarthropathies           Behçet syndrome           Cogan syndrome      Infective           Syphilis           Tuberculosis           Mycotic (Salmonella, staphylococcal, streptococcal, fungal) Familial clusterings of aortic aneurysms occur in 20% of patients, suggesting a hereditary basis for the disease. Mutations of the gene that encodes fibrillin-1 are present in patients with Marfan syndrome. Fibrillin-1 is an important component of extracellular microfibrils, which support the architecture of elastic fibers and other connective tissue. Deficiency of fibrillin-1 in the extracellular matrix leads to excessive signaling by transforming growth factor β (TGF-β). Loeys Dietz </w:t>
      </w:r>
      <w:r w:rsidRPr="00F23836">
        <w:lastRenderedPageBreak/>
        <w:t xml:space="preserve">syndrome is caused by mutations in the genes that encode TGF-β isoforms (TGFB2 and TGFB3), TGF-β receptors 1 (TGFBR1) and 2 (TGFBR2), and SMAD3, which encodes a downstream signaling protein involved with TGF binding to its receptors. Increased signal ing by TGF-β and mutations of TGFBR1, TGFBR2, as well as TGFB2 and TGFB3, may cause thoracic aortic aneurysms. Thoracic aortic aneurysm is associated with autosomal dominant polycystic kidney disease, which is caused by mutations in PKD1. Mutations of the genes encoding the smooth muscle–specific alpha-actin (ACTA2), smooth muscle cell–specific myosin heavy chain 11 (MYH11), myosin light chain kinase (MYLK), and type I cGMP-dependent protein kinase (PRKG1), as well as mutations of TGFBR2 and SMAD3 and several other pathogenic variants, have been reported in some patients with nonsyndromic familial thoracic aortic aneurysms. Mutations in type III procollagen (COL3A1) have been implicated in vascular Ehlers Danlos syndrome. The infectious causes of aortic aneurysms include syphilis, tubercu losis, and other bacterial infections. Syphilis (Chap. 187) is a relatively uncommon cause of aortic aneurysm. Syphilitic periaortitis and meso aortitis damage elastic fibers, resulting in thickening and weakening of the aortic wall. Approximately 90% of syphilitic aneurysms are located in the ascending aorta or aortic arch. Tuberculous aneurysms (Chap. 183) typically affect the thoracic aorta and result from direct extension of infection from hilar lymph nodes or contiguous abscesses as well as from bacterial seeding. Loss of aortic wall elasticity results from granu lomatous destruction of the medial layer. A mycotic aneurysm is a rare condition that develops as a result of staphylococcal, streptococcal, Sal monella, or other bacterial or fungal infections of the aorta, usually at an atherosclerotic plaque. These aneurysms are usually saccular. Blood cultures are often positive and reveal the nature of the infective agent. Vasculitides associated with aortic aneurysm include Takayasu arte ritis and giant cell arteritis, which may cause aneurysms of the aortic arch and descending thoracic aorta. Thoracic and abdominal aortic aneurysms also occur in patients with IgG4-related systemic disease or those with isolated aortitis. Spondyloarthropathies such as anky losing spondylitis, rheumatoid arthritis, psoriatic arthritis, relapsing polychondritis, and reactive arthritis are associated with dilation of the ascending aorta. Aortic aneurysms also occur in patients with Behçet syndrome (Chap. 376) and Cogan syndrome. Traumatic aneurysms may occur after penetrating or nonpenetrating chest trauma and most commonly affect the descending thoracic aorta just beyond the site of insertion of the ligamentum arteriosum. Chronic aortic dissections are associated with weakening of the aortic wall that may lead to the development of aneurysmal dilatation. </w:t>
      </w:r>
      <w:r w:rsidRPr="00F23836">
        <w:rPr>
          <w:rFonts w:ascii="Arial" w:hAnsi="Arial" w:cs="Arial"/>
        </w:rPr>
        <w:t>■</w:t>
      </w:r>
      <w:r w:rsidRPr="00F23836">
        <w:t xml:space="preserve">THORACIC AORTIC ANEURYSMS A contemporary definition of an aneurysm affecting the aortic root and ascending aorta is that of the diameter </w:t>
      </w:r>
      <w:r w:rsidRPr="00F23836">
        <w:rPr>
          <w:rFonts w:ascii="Aptos" w:hAnsi="Aptos" w:cs="Aptos"/>
        </w:rPr>
        <w:t>≥</w:t>
      </w:r>
      <w:r w:rsidRPr="00F23836">
        <w:t xml:space="preserve">4.5 cm, whereas a diam eter of 4.0 cm to 4.4 cm is defined as aortic dilation. An aneurysm of the descending thoracic aorta and abdominal aorta is designated when their diameters are dilated 50% more than the adjacent normal diam eter. The clinical manifestations and natural history of thoracic aortic aneurysms depend on their cause and location. Medial degeneration is the most </w:t>
      </w:r>
      <w:r w:rsidRPr="00F23836">
        <w:lastRenderedPageBreak/>
        <w:t xml:space="preserve">common pathology associated with ascending aortic aneu rysms, whereas atherosclerosis is the condition most frequently associ ated with aneurysms of the descending thoracic aorta. The average growth rate of thoracic aortic aneurysms is 0.1–0.2 cm per year. The risk of rupture is related to the size of the aneurysm and the presence of symptoms, ranging approximately from 2–3% per year for thoracic aortic aneurysms 6 cm in diameter. Thoracic aortic aneurysms associated with Marfan syn drome may expand at a greater rate. Some patients with Loeys-Dietz syndrome, such as those with the TGFBR1 and TGFBR2 pathogenic variants and some with nonsyndromic familial thoracic aortic disease, are at greater risk of rupture at smaller aortic root sizes than those with Marfan syndrome. Most thoracic aortic aneurysms are asymptomatic; however, compression or erosion of adjacent tissue by aneurysms may cause symptoms such as chest pain, shortness of breath, cough, hoarse ness, and dysphagia. Aneurysmal dilation of the ascending aorta may cause congestive heart failure as a consequence of aortic regurgitation, 2167 FIGURE 291-1 A chest x-ray of a patient with a thoracic aortic aneurysm.   and compression of the superior vena cava may produce congestion of the head, neck, and upper extremities. A chest x-ray may be the first test that suggests the diagnosis of a thoracic aortic aneurysm (Fig. 291-1). Findings include widening of the mediastinal shadow and displacement or compression of the trachea or left main stem bronchus. Echocardiography, particularly transesophageal echocardiography, can be used to assess the proximal ascending aorta and descending thoracic aorta. Contrast-enhanced CT, magnetic resonance imaging (MRI), and conventional invasive aor tography are sensitive and specific tests for assessment of aneurysms of the thoracic aorta and involvement of branch vessels (Fig. 291-2). In asymptomatic patients whose aneurysms are too small to justify surgery, noninvasive testing with either contrast-enhanced CT or MRI should be performed initially at least every 6–12 months to monitor expansion. Subsequent surveillance imaging should be performed every 6–24 months depending on the size, stability of prior measure ments, and the underlying cause. FIGURE 291-2 A magnetic resonance angiogram demonstrating a fusiform aneurysm of the ascending thoracic aorta. (Courtesy of Dr. Michael Steigner, Brigham and Women’s Hospital, Boston, MA, with permission.) Genetic testing is recommended in patients with ascending thoracic aortic disease who have features of Marfan syndrome, Loeys-Dietz syndrome, or vascular Ehlers-Danlos syndrome, or who present when they are 0.5 cm per year, and when performed under the direction of an experienced multidisciplinary aortic team. Replacement of the ascending aorta ≥4.5 cm is reasonable in patients with bicuspid aortic valves undergoing aortic valve replacement because of severe aortic stenosis or aortic regurgitation. In patients with Marfan syn drome, aortic root and ascending thoracic aortic aneurysms of ≥4.5 to ≥5.0 cm should be considered for surgery, with the threshold also depending on the presence of high-risk features. Due to the higher risk of dissection at smaller aortic sizes in patients with Loeys Dietz syndrome and those with nonsyndromic familial thoracic aortic aneurysms, the aortic diameter threshold for </w:t>
      </w:r>
      <w:r w:rsidRPr="00F23836">
        <w:lastRenderedPageBreak/>
        <w:t xml:space="preserve">operative repair ranges from ≥4.0 to ≥5.0 cm, depending on the genetic variant and presence of high-risk features. Repair is indicated for patients with isolated aortic arch aneurysms and descending thoracic aortic aneurysms when the diameter is ≥5.5 cm. The threshold for repair of a descending thoracic aortic aneurysm of ≥5.0 cm may be con sidered in patients with syndromic and nonsyndromic heritable aortopathies or when the diameter of a descending thoracic aortic aneurysm has increased &gt;0.5 cm per year. CHAPTER 291 Diseases of the Aorta </w:t>
      </w:r>
      <w:r w:rsidRPr="00F23836">
        <w:rPr>
          <w:rFonts w:ascii="Arial" w:hAnsi="Arial" w:cs="Arial"/>
        </w:rPr>
        <w:t>■</w:t>
      </w:r>
      <w:r w:rsidRPr="00F23836">
        <w:t xml:space="preserve">ABDOMINAL AORTIC ANEURYSMS Abdominal aortic aneurysms occur more frequently in males than in females, and the incidence increases with age. Cigarette smoking is a potent modifiable risk factor. Abdominal aortic aneurysms ≥4.0 cm may affect 1–2% of men aged &gt;50 years. At least 90% of all abdomi nal aortic aneurysms &gt;4.0 cm are related to atherosclerotic disease, and most of these aneurysms are below the level of the renal arteries. 2168 PART 6 Disorders of the Cardiovascular System A B FIGURE 291-3 A computed tomographic angiogram depicting a fusiform abdominal aortic aneurysm before (A) and after (B) treatment with a bifurcated stent graft. (Courtesy of Drs. Elizabeth George and Frank Rybicki, Brigham and Women’s Hospital, Boston, MA, with permission.) Prognosis is related to both the size of the aneurysm and the severity of coexisting coronary artery and cerebrovascular disease. The risk of rupture increases with the size of the aneurysm: the 5-year risk for aneurysms 5 cm in diameter. The formation of mural thrombi within aneurysms may predispose to peripheral embolization. An abdominal aortic aneurysm commonly produces no symptoms. It usually is detected on routine examination as a palpable, pulsatile, expansile, and nontender mass, or it is an incidental finding observed on an abdominal imaging study performed for other reasons. As abdominal aortic aneurysms expand, however, they may become painful. Some patients complain of strong pulsations in the abdomen; others experience pain in the chest, lower back, or scrotum. Aneurys mal pain is usually a harbinger of rupture and represents a medical emergency. More often, acute rupture occurs without any prior warn ing, and this complication is always life-threatening. Rarely, there is leakage of the aneurysm with severe pain and tenderness. Acute pain and hypotension occur with rupture of the aneurysm, which requires an emergency operation or endovascular repair. Abdominal radiography may demonstrate the calcified outline of the aneurysm; however, ~25% of aneurysms are not calcified and cannot be visualized by x-ray imaging. An abdominal ultrasound can delineate the transverse and longitudinal dimensions of an abdominal aortic aneurysm and may detect mural thrombus. Abdominal ultra sound is useful for serial documentation of aneurysm size and can be used to screen patients at risk for developing an aortic aneurysm. In a large study, ultrasound screening of men aged 65–74 years was associated with a risk reduction in aneurysm-related death of 42%. In a meta-analysis of population-based randomized clinical trials, ultrasound screening of men aged 65 years or older was associated with a 35% risk reduction in aneurysm-related death over 12–15 years. According to the AHA/ACC Guidelines on Aortic Disease, screening by ultrasonography is recommended </w:t>
      </w:r>
      <w:r w:rsidRPr="00F23836">
        <w:lastRenderedPageBreak/>
        <w:t xml:space="preserve">for men aged ≥65 years who have ever smoked. Although the prevalence of abdominal aortic aneurysms is less in women than in men, the risk of abdominal aortic aneurysms is still substantially increased in women who have smoked. Accordingly, it is reasonable to consider abdominal aortic aneurysm screening in women aged ≥65 years who have ever smoked. In addition, screen ing for abdominal aortic aneurysms is recommended for males and females ≥65 years who have siblings or offspring with abdominal aortic aneurysms. Individuals with thoracic aortic or peripheral arterial aneu rysms should also undergo screening for abdominal aortic aneurysms. CT with contrast and MRI are accurate noninvasive tests to determine the location and size of abdominal aortic aneurysms and to plan endovascular or open surgical repair (Fig. 291-3A). Contrast aortog raphy may be used for the evaluation of patients with aneurysms, but the procedure carries a small risk of complications such as bleeding, allergic reactions, and atheroembolism. Since the presence of mural thrombi may reduce the luminal size, aortography may underestimate the diameter of an aneurysm. TREATMENT Abdominal Aortic Aneurysms Many of the treatment recommendations for abdominal aortic aneurysms are derived from the AHA/ACC Aortic Disease Practice Guidelines. Statins are indicated to reduce the risk of cardiovas cular events related to atherosclerosis. Medical therapies, such as β-adrenergic blockers and renin-angiotensin inhibitors, have not proven effective in reducing the rate of aneurysm growth. None theless, antihypertensive therapy to lower the blood pressure to 8-year) mor tality rate between those followed with ultrasound surveillance and those undergoing elective endovascular or surgical repair. The risk of rupture, however, was higher in woman than in men at smaller diameters. Thus, serial noninvasive follow-up of smaller aneurysms Type A 2169 (50%) complication of proximal dissection. It is the outcome of either Diseases of the Aorta 2170 PART 6 Disorders of the Cardiovascular System a circumferential tear that widens the aortic root or a disruption of the annulus by a dissecting hematoma that tears a leaflet(s) or displaces it inferior to the line of closure. Signs of aortic regurgitation include bounding pulses, a wide pulse pressure, a diastolic murmur often radiating along the right sternal border, and evidence of congestive heart failure. The clinical manifestations depend on the severity of the regurgitation. In dissections involving the ascending aorta, the chest x-ray often reveals a widened superior mediastinum. A pleural effusion (usually left-sided) also may be present. This effusion is typically serosanguine ous and not indicative of rupture unless accompanied by hypotension and falling hematocrit. In dissections of the descending thoracic aorta, a widened mediastinum may be observed on chest x-ray. In addition, the descending aorta may appear to be wider than the ascending por tion. An electrocardiogram that shows no evidence of myocardial ischemia is helpful in distinguishing aortic dissection from myocardial infarction among patients who present with chest pain. Rarely, the dis section involves the right or, less commonly, left coronary ostium and causes acute myocardial infarction. The diagnosis of aortic dissection can be established by noninvasive techniques such as echocardiography, CT, and MRI. Aortography is used </w:t>
      </w:r>
      <w:r w:rsidRPr="00F23836">
        <w:lastRenderedPageBreak/>
        <w:t xml:space="preserve">less commonly because of the accuracy of these noninvasive tech niques. Transthoracic echocardiography can be performed simply and rapidly and has an overall sensitivity of 60–85% for aortic dissection. For diagnosing proximal ascending aortic dissections, its sensitivity exceeds 80%; it is less useful for detecting dissection of the arch and descending thoracic aorta. Transesophageal echocardiography requires greater skill and patient cooperation but is very accurate in identifying dissections of the ascending and descending thoracic aorta but not the arch, achieving 98% sensitivity and ~90% specificity. Echocardiogra phy also provides important information regarding the presence and severity of aortic regurgitation and pericardial effusion. CT and MRI are both highly accurate in identifying the intimal flap and the extent of the dissection and involvement of major arteries; each has a sensi tivity and specificity &gt;90%. They are useful in recognizing intramural hemorrhage and penetrating ulcers. The relative utility of CT, MRI, and transesophageal echocardiography depends on the availability and expertise in individual institutions, although among these, CT is the imaging method most often used due to the presence of CT scanners near emergency rooms and the rapidity of performance. TREATMENT Aortic Dissection Medical therapy should be initiated as soon as the diagnosis is considered. The patient should be admitted to an intensive care unit for hemodynamic monitoring. Unless hypotension is present, therapy should be aimed at reducing cardiac contractility and sys temic arterial pressure, and thus shear stress. For acute dissection, unless contraindicated, β-adrenergic blockers should be adminis tered parenterally, using intravenous propranolol, metoprolol, or the short-acting esmolol to achieve a heart rate of 60–80 beats/ min. This should be accompanied by intravenous dilators, such as sodium nitroprusside, if needed to lower systolic blood pressure to ≤120 mmHg. Labetalol (Chap. 288), a drug with both β- and α-adrenergic blocking properties, also may be used as a parenteral agent in acute therapy for dissection. The calcium channel antagonists verapamil and diltiazem may be used intravenously if nitroprusside or β-adrenergic blockers can not be employed. The addition of a parenteral angiotensin-converting enzyme (ACE) inhibitor such as enalaprilat to a β-adrenergic blocker also may be considered. Isolated use of a direct vasodilator such as hydralazine is contraindicated because these agents can increase hydraulic shear and heart rate and may propagate the dissection. Emergent or urgent surgical correction is the preferred treatment for acute ascending aortic dissections and intramural hematomas (type A). Surgery involves excision of the intimal flap, obliteration of the false lumen, and placement of an interposition graft. Aortic valve repair or aortic root replacement with a composite valve graft conduit is used if the aortic valve is disrupted. The overall in-hospital mortality rate after surgical treatment of patients with aortic dissection is reported to be 15–25%. The major causes of perioperative mortality and morbidity include myocardial infarc tion, paraplegia, renal failure, tamponade, hemorrhage, and sepsis. Thoracic endovascular aortic repair with an endoluminal stent graft is indicated for complicated type B dissections, including those characterized by propagation, compromise of major aortic </w:t>
      </w:r>
      <w:r w:rsidRPr="00F23836">
        <w:lastRenderedPageBreak/>
        <w:t xml:space="preserve">branches, impending rupture, or continued pain. Other transcath eter techniques, such as fenestration of the intimal flaps and stent ing of narrowed branch vessels to increase flow to compromised organs, are used in selected patients. Surgical correction is indicated for complicated type B dissections, particularly if endovascular repair is not feasible. Hybrid procedures consisting of both surgery and endovascular repair may be used when the dissection involves both the aortic arch and the descending thoracic aorta. For uncom plicated and stable distal dissections and intramural hematomas (type B), medical therapy is the preferred treatment. The in-hospital mortality rate of medically treated patients with type B dissection is ~12%. Long-term therapy for patients with aortic dissection and intramural hematomas (with or without surgery) consists of control of hypertension and reduction of cardiac contractility with the use of β-adrenergic blockers plus other antihypertensive agents, such as ACE inhibitors or calcium antagonists. Patients with chronic type B dissection and intramural hematomas should be followed on an outpatient basis initially at 1 month, 6 months, and 12 months, and then, if stable, every 12 months with contrast-enhanced CT or MRI to detect propagation or expansion. Patients with Marfan syndrome are at high risk for postdissection complications. The long-term prognosis following hospital discharge for patients with treated dissections is generally good with careful follow-up; the 10-year survival rate is ~60%. </w:t>
      </w:r>
      <w:r w:rsidRPr="00F23836">
        <w:rPr>
          <w:rFonts w:ascii="Arial" w:hAnsi="Arial" w:cs="Arial"/>
        </w:rPr>
        <w:t>■</w:t>
      </w:r>
      <w:r w:rsidRPr="00F23836">
        <w:t xml:space="preserve">CHRONIC ATHEROSCLEROTIC OCCLUSIVE DISEASE Atherosclerosis may affect the thoracic and abdominal aorta. Occlusive aortic disease caused by atherosclerosis usually is confined to the distal abdominal aorta below the renal arteries. Frequently the disease extends to the iliac arteries (Chap. 292). Claudication characteristically involves the buttocks, thighs, and calves and may be associated with impotence in males (Leriche syndrome). The severity of the symptoms depends on the adequacy of collaterals. With sufficient collateral blood flow, a com plete occlusion of the abdominal aorta may occur without the develop ment of ischemic symptoms. The physical findings include the absence of femoral and other distal pulses bilaterally and the detection of an audible bruit over the abdomen (usually at or below the umbilicus) and the common femoral arteries. Atrophic skin, loss of hair, and coolness of the lower extremities usually are observed. In advanced ischemia, rubor on dependency and pallor on elevation can be seen. The diagnosis usually is established by physical examination and noninvasive testing, including leg pressure measurements, Doppler velocity analysis, pulse volume recordings, and duplex ultrasonog raphy. The anatomy may be defined by MRI, CT, or conventional contrast angiography, typically performed when one is considering revascularization. Catheter-based endovascular or operative treatment is indicated in patients with lifestyle-limiting or debilitating symptoms of claudication and patients with chronic limb-threatening ischemia. </w:t>
      </w:r>
      <w:r w:rsidRPr="00F23836">
        <w:rPr>
          <w:rFonts w:ascii="Arial" w:hAnsi="Arial" w:cs="Arial"/>
        </w:rPr>
        <w:t>■</w:t>
      </w:r>
      <w:r w:rsidRPr="00F23836">
        <w:t xml:space="preserve">ACUTE AORTIC OCCLUSION Acute occlusion in the distal abdominal aorta constitutes a medical emergency because it threatens the viability of the lower extremities; it usually results from an occlusive (saddle) embolus that almost always originates from the heart. Rarely, acute occlusion may occur as the result of in situ </w:t>
      </w:r>
      <w:r w:rsidRPr="00F23836">
        <w:lastRenderedPageBreak/>
        <w:t xml:space="preserve">thrombosis in a preexisting severely narrowed segment of the aorta. The clinical picture is one of acute ischemia of the lower extremi ties. Severe rest pain, coolness, and pallor of the lower extremities and the absence of distal pulses bilaterally are the usual manifestations. </w:t>
      </w:r>
      <w:r w:rsidRPr="00F23836">
        <w:rPr>
          <w:rFonts w:ascii="Arial" w:hAnsi="Arial" w:cs="Arial"/>
        </w:rPr>
        <w:t>■</w:t>
      </w:r>
      <w:r w:rsidRPr="00F23836">
        <w:t>ISOLATED AORTITIS 2171 Diagnosis should be established rapidly by MRI, CT, or aortography. Emergency thrombectomy or revascularization is indicated. AORTITIS Aortitis, a term referring to inflammatory disease of the aorta, may be caused by large vessel vasculitides such as Takayasu arteritis, giant cell arteritis, IgG4-related systemic disease, isolated aortitis, rheumatic and HLA-B27</w:t>
      </w:r>
      <w:r w:rsidRPr="00F23836">
        <w:rPr>
          <w:rFonts w:ascii="Aptos" w:hAnsi="Aptos" w:cs="Aptos"/>
        </w:rPr>
        <w:t>–</w:t>
      </w:r>
      <w:r w:rsidRPr="00F23836">
        <w:t>associated spondyloarthropathies, Beh</w:t>
      </w:r>
      <w:r w:rsidRPr="00F23836">
        <w:rPr>
          <w:rFonts w:ascii="Aptos" w:hAnsi="Aptos" w:cs="Aptos"/>
        </w:rPr>
        <w:t>ç</w:t>
      </w:r>
      <w:r w:rsidRPr="00F23836">
        <w:t xml:space="preserve">et syndrome, antineutrophil cytoplasmic antibody (ANCA)–associated vasculitides, Cogan syndrome, Erdheim-Chester disease, and infections such as syphilis, tuberculosis, and Salmonella, or it may be associated with retroperitoneal fibrosis. Aortitis may result in aneurysmal dilation and aortic regurgitation, occlusion of the aorta and its branch vessels, or acute aortic syndromes. </w:t>
      </w:r>
      <w:r w:rsidRPr="00F23836">
        <w:rPr>
          <w:rFonts w:ascii="Arial" w:hAnsi="Arial" w:cs="Arial"/>
        </w:rPr>
        <w:t>■</w:t>
      </w:r>
      <w:r w:rsidRPr="00F23836">
        <w:t xml:space="preserve">TAKAYASU ARTERITIS (See also Chap. 375) This inflammatory disease often affects the ascending aorta and aortic arch, causing obstruction of the aorta and its major arteries. Takayasu arteritis is also termed pulseless disease because of the frequent occlusion of the large arteries originating from the aorta. It also may involve the descending thoracic and abdominal aorta and occlude large branches such as the renal arteries. Aortic aneurysms also may occur. The pathology is a panarteritis character ized by mononuclear cells and occasionally giant cells, with marked intimal hyperplasia, medial and adventitial thickening, and, in the chronic form, fibrotic occlusion. The disease is most prevalent in young females of Asian descent but does occur in women of other geographic and ethnic origins and also in young men. During the acute stage, fever, malaise, weight loss, and other systemic symptoms may be evident. Elevations of the erythrocyte sedimentation rate and C-reactive protein are common. The chronic stages of the disease, which is intermittently active, present with symptoms related to large artery occlusion, such as upper extremity claudication, cerebral ischemia, and syncope. The pro cess is progressive, and there is no definitive therapy. Glucocorticoids are effective in most patients during the acute phase. Other immuno suppressive agents, such as methotrexate, azathioprine, leflunomide, or mycophenolate, are prescribed to some patients to lower glucocorticoid requirements and treat relapses. Biologically targeted agents, such as the tumor necrosis factor (TNF) inhibitors etanercept and infliximab, are also used, but efficacy has not been established in randomized clini cal trials. Surgical bypass or endovascular intervention of a critically stenotic artery may be necessary. </w:t>
      </w:r>
      <w:r w:rsidRPr="00F23836">
        <w:rPr>
          <w:rFonts w:ascii="Arial" w:hAnsi="Arial" w:cs="Arial"/>
        </w:rPr>
        <w:t>■</w:t>
      </w:r>
      <w:r w:rsidRPr="00F23836">
        <w:t xml:space="preserve">GIANT CELL ARTERITIS (See also Chap. 375) This vasculitis occurs in older individuals and affects women more often than men. Primarily large and medium size arteries are affected. The pathology is that of focal granulomatous lesions involving the entire arterial wall; it frequently is associated with polymyalgia rheumatica. Obstruction of medium-size arteries (e.g., temporal and ophthalmic arteries) and major branches of the aorta and the development of aortitis and aortic regurgitation are important complications of the disease. High-dose </w:t>
      </w:r>
      <w:r w:rsidRPr="00F23836">
        <w:lastRenderedPageBreak/>
        <w:t xml:space="preserve">glucocorticoid therapy should be administered early and then gradually tapered. Immunosuppressive therapy with methotrexate may allow reduction in steroid dosage and reduce the risk of relapse. Tocilizumab, an interleukin-6 antagonist, demonstrated efficacy in several randomized trials. Other biologically targeted therapies are under investigation. </w:t>
      </w:r>
      <w:r w:rsidRPr="00F23836">
        <w:rPr>
          <w:rFonts w:ascii="Arial" w:hAnsi="Arial" w:cs="Arial"/>
        </w:rPr>
        <w:t>■</w:t>
      </w:r>
      <w:r w:rsidRPr="00F23836">
        <w:t xml:space="preserve">IGG4-RELATED AORTITIS Aortitis may occur in patients with IgG4-related disease (Chap. 380) and is associated with retroperitoneal fibrosis and hydronephrosis. It can affect the thoracic and abdominal aorta, as well as the iliac arteries. Serum IgG4 levels may be elevated but are not diagnostic. Histopatho logic characteristics include a lymphoplasmacytic infiltrate that com prises IgG4-positive plasma cells, fibrosis, and obliterative adventitial phlebitis; it affects men more than women and typically occurs in middle age. Glucocorticoids are used for initial treatment. Case series have reported efficacy with rituximab, an anti-CD20 monoclonal antibody. Immunosuppressive agents such as azathioprine are steroid sparing and may be effective. Isolated abdominal aortitis is characterized by adventitial and periaor tic inflammation with thickening of the aortic wall; it is associated with abdominal aortic aneurysms and idiopathic retroperitoneal fibrosis. Affected individuals may present with vague constitutional symptoms, fever, and abdominal pain. Retroperitoneal fibrosis can cause ureteral obstruction and hydronephrosis. Glucocorticoids and immunosup pressive agents may reduce the inflammation. </w:t>
      </w:r>
      <w:r w:rsidRPr="00F23836">
        <w:rPr>
          <w:rFonts w:ascii="Arial" w:hAnsi="Arial" w:cs="Arial"/>
        </w:rPr>
        <w:t>■</w:t>
      </w:r>
      <w:r w:rsidRPr="00F23836">
        <w:t xml:space="preserve">RHEUMATIC AORTITIS Rheumatoid arthritis (Chap. 370), ankylosing spondylitis (Chap. 374), psoriatic arthritis (Chap. 374), reactive arthritis (formerly known as Reiter’s syndrome) (Chap. 374), relapsing polychondritis, and inflam matory bowel disorders may all be associated with aortitis involving the ascending aorta. The inflammatory lesions usually involve the ascending aorta and may extend to the sinuses of Valsalva, the mitral valve leaflets, and adjacent myocardium. The clinical manifestations are aneurysm, aortic regurgitation, and involvement of the cardiac conduction system. </w:t>
      </w:r>
      <w:r w:rsidRPr="00F23836">
        <w:rPr>
          <w:rFonts w:ascii="Arial" w:hAnsi="Arial" w:cs="Arial"/>
        </w:rPr>
        <w:t>■</w:t>
      </w:r>
      <w:r w:rsidRPr="00F23836">
        <w:t xml:space="preserve">INFECTIVE AORTITIS CHAPTER 291 Diseases of the Aorta Infective aortitis may result from direct invasion of the aortic wall by bacterial pathogens such as Staphylococcus, Streptococcus, and Salmo nella or by fungi. These bacteria cause aortitis by infecting the aorta at sites of atherosclerotic plaque. Bacterial proteases lead to degradation of collagen, and the ensuing destruction of the aortic wall leads to the formation of a saccular aneurysm referred to as a mycotic aneurysm. Mycotic aneurysms have a predilection for the suprarenal abdominal aorta. The pathologic characteristics of the aortic wall include acute and chronic inflammation, abscesses, hemorrhage, and necrosis. Mycotic aneurysms typically affect the elderly and occur in men three times more frequently than in women. Patients may present with fever, sepsis, and chest, back, or abdominal pain; there may have been a pre ceding diarrheal illness. Blood cultures are positive in the majority of patients. Both CT and MRI are useful to diagnose mycotic aneurysms. Treatment includes antibiotic therapy and surgical removal of the affected part of the aorta and revascularization of the lower extremities with grafts placed in uninfected tissue. Syphilitic aortitis is a late manifestation of luetic infection (Chap. 187) that usually affects the proximal ascending </w:t>
      </w:r>
      <w:r w:rsidRPr="00F23836">
        <w:lastRenderedPageBreak/>
        <w:t xml:space="preserve">aorta, particularly the aortic root, resulting in aortic dilation and aneurysm formation. Syphilitic aortitis occasionally may involve the aortic arch or the descending aorta. The aneurysms may be saccular or fusiform and are usually asymptomatic, but compression of and erosion into adjacent structures may result in symptoms; rupture also may occur. The initial lesion is an obliterative endarteritis of the vasa vasorum, especially in the adventitia. This is an inflammatory response to the invasion of the adventitia by the spirochetes. Destruction of the aortic media occurs as the spirochetes spread into this layer, usually via the lymphatics accompanying the vasa vasorum. Destruction of collagen and elastic tissues leads to dilation of the aorta, scar formation, and calcification. These changes account for the characteristic radiographic appearance of linear calcification of the ascending aorta. The disease typically presents as an incidental chest radiographic finding 15–30 years after initial infection. Symptoms may result from aortic regurgitation, narrowing of coronary ostia due to syphilitic aortitis, compression of adjacent structures (e.g., esophagus), or rup ture. Diagnosis is established by a positive serologic test, such as rapid plasmin regain (RPR), Venereal Disease Research Laboratory (VDRL), or fluorescent treponemal antibody absorption (FTA-ABS). Treatment includes penicillin and surgical excision and repair. </w:t>
      </w:r>
      <w:r w:rsidRPr="00F23836">
        <w:rPr>
          <w:rFonts w:ascii="Arial" w:hAnsi="Arial" w:cs="Arial"/>
        </w:rPr>
        <w:t>■</w:t>
      </w:r>
      <w:r w:rsidRPr="00F23836">
        <w:t xml:space="preserve">FURTHER READING Chou E et al: Genetics and mechanisms of thoracic aortic disease. Nat Rev Cardiol 20:168, 2023. Fletcher AJ et al: Inherited thoracic aortic disease: New insights and translational targets. Circulation 141:1570, 2020. Guirguis-Blake JM et al: Primary care screening for abdominal aortic aneurysm: Updated evidence report and systematic review for the US Preventive Services Task Force. JAMA 322:2211, 2019. 2172 PART 6 Disorders of the Cardiovascular System Hensley SE, Upchurch GR Jr: Repair of abdominal aortic aneu rysms: JACC focus seminar, part 1. J Am Coll Cardiol 80:831, 2022. Isselbacher EM et al: 2022 ACC/AHA guideline for the diagnosis and management of aortic disease: A report of the American Heart Association/American College of Cardiology Joint Committee on Clinical Practice Guidelines. Circulation 146:e334, 2022. Kadian-Dodov D et al: Inflammatory diseases of the aorta: JACC focus seminar, part 2. J Am Coll Cardiol 80:832, 2022. Pitcher A et al: Angiotensin receptor blockers and β blockers in Marfan syndrome: An individual patient data meta-analysis of ran domised trials. Lancet 400:822, 2022. Vilacosta I et al: Acute aortic syndrome revisited: JACC state-of-the art review. J Am Coll Cardiol 78:2106, 2021. 292 Arterial Diseases of the Extremities Mark A. Creager, Joseph Loscalzo </w:t>
      </w:r>
      <w:r w:rsidRPr="00F23836">
        <w:rPr>
          <w:rFonts w:ascii="Arial" w:hAnsi="Arial" w:cs="Arial"/>
        </w:rPr>
        <w:t>■</w:t>
      </w:r>
      <w:r w:rsidRPr="00F23836">
        <w:t xml:space="preserve">PERIPHERAL ARTERY DISEASE Peripheral artery disease (PAD) is defined as a clinical disorder in which there is a stenosis or occlusion in the aorta or the arteries of the limbs. Atherosclerosis is the leading cause of PAD in patients &gt;40 years old. Other causes include thrombosis, embolism, vasculitis, fibromus cular dysplasia, entrapment, cystic adventitial disease, and trauma. The highest prevalence of atherosclerotic PAD occurs in the sixth and sev enth decades of life. Prevalence of PAD is similar in men and women, is greater in persons identified as black than non-Hispanic white, and is associated with lower socioeconomic status. As in patients with atherosclerosis of the coronary and cerebral </w:t>
      </w:r>
      <w:r w:rsidRPr="00F23836">
        <w:lastRenderedPageBreak/>
        <w:t xml:space="preserve">vasculature, there is an increased risk of developing PAD in cigarette smokers and in persons with diabetes mellitus, hypercholesterolemia, elevated lipoprotein(a), hypertension, or renal insufficiency. Pathology Segmental lesions that cause stenosis or occlusion are usually localized to large and medium-size vessels. The pathology of the lesions includes atherosclerotic plaques with calcium deposition, thinning of the media, patchy destruction of muscle and elastic fibers, fragmentation of the internal elastic lamina, and thrombi composed of platelets and fibrin. The primary sites of involvement are the abdomi nal aorta and iliac arteries (30% of symptomatic patients), the femoral and popliteal arteries (80–90% of patients), and the more distal ves sels, including the tibial and peroneal arteries (40–50% of patients). Atherosclerotic lesions occur preferentially at arterial branch points, which are sites of increased turbulence, altered shear stress, and intimal injury. Involvement of the distal vasculature is most common in elderly individuals and patients with diabetes mellitus. Clinical Evaluation Fewer than 50% of patients with PAD are symp tomatic, although many have a slow or impaired gait. The most typical symptom is intermittent claudication, which is defined as a pain, ache, cramp, numbness, or a sense of fatigue in the muscles; it occurs during exercise and is relieved by rest. The site of claudication is distal to the location of the occlusive lesion. For example, buttock, hip, thigh, and calf discomfort occurs in patients with aortoiliac disease, whereas calf claudica tion develops in patients with femoral-popliteal disease. Symptoms are far more common in the lower than in the upper extremities because of the higher incidence of obstructive lesions in the former region. In patients with severe arterial occlusive disease in whom resting blood flow cannot accommodate basal nutritional needs of the tissues, chronic limb-threat ening ischemia may develop. Patients complain of rest pain or a feeling of cold or numbness in the foot and toes. Frequently, these symptoms occur at night when the legs are horizontal and improve when the legs are in a dependent position. With severe ischemia, rest pain may be persistent. A comprehensive vascular examination includes palpation of the peripheral pulses, including the femoral, popliteal, dorsalis pedis, and posterior tibial arteries; auscultation of the abdomen and groin for bruits; and inspection of the legs and feet. Important physical findings of PAD include decreased or absent pulses distal to the obstruction, the presence of bruits over the narrowed artery, and muscle atrophy. With more severe disease, hair loss, thickened nails, smooth and shiny skin, reduced skin temperature, and pallor or cyanosis are common physical signs. In patients with chronic limb-threatening ischemia, ulcers or gangrene may occur. Elevation of the legs and repeated flex ing of the calf muscles produce pallor of the soles of the feet, whereas rubor, secondary to reactive hyperemia, may develop when the legs are dependent. The time required for rubor to develop or for the veins in the foot to fill when the patient’s legs are transferred from an elevated to a dependent position is related to the severity of the ischemia and the presence of collateral vessels. Patients with severe ischemia may develop peripheral edema because they keep their legs in a dependent position much of the time. Ischemic neuropathy can result in numb </w:t>
      </w:r>
      <w:r w:rsidRPr="00F23836">
        <w:lastRenderedPageBreak/>
        <w:t xml:space="preserve">ness and hyporeflexia. Noninvasive Testing The history and physical examination are often sufficient to establish the diagnosis of PAD. An objective assess ment of the presence and severity of disease is obtained by noninvasive techniques. Arterial pressure can be recorded noninvasively in the legs by placement of sphygmomanometric cuffs at the ankles and the use of a Doppler device to auscultate or record blood flow from the dorsalis pedis and posterior tibial arteries. Normally, systolic blood pressure in the legs and arms is similar. Indeed, ankle pressure may be slightly higher than arm pressure due to pulse-wave amplification. In the presence of hemodynamically significant stenoses, the systolic blood pressure in the leg is decreased. Thus, the ratio of the ankle and brachial artery systolic pressures (termed the ankle-brachial index, or ABI) is 1.00–1.40 in normal individuals. ABI values of 0.91–0.99 are considered “borderline,” and those ≤0.90 are abnormal and diagnostic of PAD. ABIs &gt;1.40 indicate noncompressible arteries secondary to vascular calcification, as may occur in patients with diabetes mellitus or chronic kidney disease. When an ABI cannot be accurately assessed due to vascular calcification, the presence of PAD can be detected by measuring the systolic pressure of the great toe and calculating a toe brachial index (TBI). A TBI of ≤0.70 is considered abnormal. Other noninvasive tests include segmental pressure measurements, segmental pulse volume recordings, duplex ultrasonography (which combines B-mode imaging and Doppler flow velocity waveform analysis), transcutaneous oximetry, and stress testing (usually using a treadmill). Placement of pneumatic cuffs enables assessment of systolic pressure along the legs. The presence of pressure gradients between sequential cuffs provides evidence of the presence and location of hemodynamically significant stenoses. In addition, the amplitude of the pulse volume contour becomes blunted in the presence of signifi cant PAD. Duplex ultrasonography is used to image and detect stenotic lesions in native arteries and bypass grafts. Treadmill testing allows the physician to assess functional limi tations objectively. Decline of the ABI immediately after exercise provides further support for the diagnosis of PAD in patients with equivocal symptoms and findings on examination. Magnetic resonance angiography (MRA), computed tomographic angiography (CTA), and conventional catheter-based angiography should not be used for routine diagnostic testing, but are performed before potential revascularization (Fig. 292-1). Each test is useful in defining the anatomy to assist planning for endovascular and surgical revascularization procedures. Prognosis The natural history of patients with PAD is influenced primarily by the extent of coexisting coronary artery and cerebrovascu lar disease. Approximately one-third to one-half of patients with symp tomatic PAD have evidence of coronary artery disease (CAD) based on clinical presentation and electrocardiogram, and over one-half have 2173 B A FIGURE 292-1 Magnetic resonance angiography of a patient with intermittent claudication, showing stenoses of the distal abdominal aorta and right common iliac artery (A) and stenoses of the right and left superficial femoral arteries (B). (Courtesy of Dr. Edwin Gravereaux, with permission.) significant CAD by coronary angiography. </w:t>
      </w:r>
      <w:r w:rsidRPr="00F23836">
        <w:lastRenderedPageBreak/>
        <w:t xml:space="preserve">Patients with PAD have a 15–25% 5-year mortality rate and a two- to fourfold increased risk of death from cardiovascular disease. Measurement of ABI is useful for detecting PAD and identifying persons at risk for adverse cardiovascu lar and limb events. Mortality rates are highest in those with the most severe PAD. The ABI worsens in almost 40% of patients, and symptoms progress in ~20–25% when assessed over a period of 5 years. Approxi mately 11% of patients with symptomatic PAD ultimately develop chronic limb-threatening ischemia, and without revascularization, approximately 25% of patients with chronic limb-threatening ischemia undergo amputation within 1 year. The prognosis is worse in patients who continue to smoke cigarettes or have diabetes mellitus. TREATMENT Peripheral Artery Disease Patients with PAD should receive therapies to reduce the risk of associated cardiovascular events, such as myocardial infarction and death, and to improve limb symptoms, prevent progression to chronic limb-threatening ischemia, and preserve limb viability. Risk factor modification and antithrombotic therapy should be initiated to improve cardiovascular outcomes. The importance of discontin uing cigarette smoking cannot be overemphasized. The physician must assume a major role in this lifestyle modification. Counseling and adjunctive drug therapy with the nicotine patch, bupropion, or varenicline increase smoking cessation rates and reduce recidivism. It is important to control blood pressure in hypertensive patients. Angiotensin-converting enzyme inhibitors and angiotensin recep tor blockers may reduce the risk of cardiovascular events in patients with symptomatic PAD. β-Adrenergic blockers do not worsen claudication and may be used to treat hypertension, especially in patients with coexistent CAD. Treatment of hypercholesterolemia with statins and, if needed, adjunctive lipid-lowering agents such as ezetimibe or a PCSK9 inhibitor, are advocated to reduce the risk of myocardial infarction, stroke, and death. Statins and PCSK9 inhibitors also are associated with a decreased risk of adverse limb events, including amputation, in patients with PAD. The 2018 American Heart Association (AHA)/American College of Cardiol ogy (ACC) Guideline on the Management of Blood Cholesterol recommends high-intensity statin treatment in patients with ath erosclerotic disorders, including PAD, with the aim of achieving a 50% or greater reduction in low-density lipoprotein cholesterol. Intensive glucose lowering reduces the risk of amputations in patients with diabetes mellitus. Among patients with diabetes and established cardiovascular disease, including PAD, the glucagon like protein (GLP)-1 agonists and the sodium-glucose cotrans porter 2 (SGLT2) inhibitors have beneficial cardiovascular effects. GLP-1 agonists also may reduce the risk of amputation. Platelet inhibitors, including aspirin and the adenosine diphosphate (ADP) antagonist clopidogrel, reduce the risk of adverse cardiovascular events in patients with atherosclerosis and are recommended for patients with symptomatic PAD, including those with intermittent claudication or chronic limb-threatening ischemia or prior lower extremity revascularization. Outcomes with ticagrelor are similar to those with clopidogrel. The benefit of dual antiplatelet therapy with both aspirin and clopidogrel compared with aspirin alone in reducing </w:t>
      </w:r>
      <w:r w:rsidRPr="00F23836">
        <w:lastRenderedPageBreak/>
        <w:t xml:space="preserve">cardiovascular morbidity and mortality rates in patients with PAD is uncertain. When added to other antiplatelet therapy, vorapaxar, a protease-activated receptor-1 antagonist that inhibits thrombin-mediated platelet activation, decreases the risk of adverse cardiovascular events in patients with atherosclerosis, including PAD. It also reduces the risk of acute limb ischemia and peripheral revascularization; however, it is associated with an increased rate of moderate bleeding. The anticoagulant warfarin is as effective as antiplatelet therapy in preventing adverse cardiovascular events but causes more major bleeding; therefore, it is not indicated to improve outcomes in patients with chronic PAD. The combination of a low dose of the oral factor Xa inhibitor rivaroxaban and aspirin improves cardiovascular and limb outcomes in patients with ath erosclerosis, including those with established PAD, as well as those who have undergone peripheral revascularization, but is associated with increased risk of bleeding. Therapies for intermittent claudication and chronic limb threatening ischemia include supportive measures, medications, exer cise training, endovascular interventions, and surgery. Supportive measures include meticulous care of the feet, which should be kept clean and protected against excessive drying with moisturizing creams. Well-fitting and protective shoes are advised to reduce trauma. Elastic support hose should be avoided, as it reduces blood flow to the skin. In patients with chronic limb-threatening ischemia, shock blocks under the head of the bed together with a canopy over the feet may improve perfusion pressure and ameliorate some of the rest pain. Patients with claudication should be encouraged to exercise regu larly and at progressively more strenuous levels. Supervised exercise CHAPTER 292 Arterial Diseases of the Extremities 2174 PART 6 Disorders of the Cardiovascular System training programs for 30- to 45-min sessions, at least three times per week for 12 weeks, prolong walking distance. The beneficial effect of supervised exercise training on walking performance in patients with claudication often is similar to or greater than that realized after a revascularization procedure. Structured home and community-based exercise programs are also effective. Pharmaco logic treatment of PAD has not been as successful as the medical treatment of CAD (Chap. 284). In particular, vasodilators as a class have not proved to be beneficial. During exercise, peripheral vasodilation occurs distal to sites of significant arterial stenoses. As a result, perfusion pressure falls, often to levels lower than those generated in the interstitial tissue by the exercising muscle. Drugs such as α-adrenergic blocking agents, calcium channel antagonists, and other vasodilators have not been shown to be effective in patients with PAD. Cilostazol, a phosphodiesterase-3 inhibitor with vasodilator and antiplatelet properties, increases claudication distance by 40–60% and improves measures of quality of life. The mechanism of action accounting for its beneficial effects is not known. Pentoxifylline, a substituted xanthine derivative, increases blood flow to the micro circulation and enhances tissue oxygenation. Although several placebo-controlled studies have found that pentoxifylline modestly increases the duration of exercise, its efficacy has not been con firmed in other clinical trials. Statins appeared effective for treat ment of </w:t>
      </w:r>
      <w:r w:rsidRPr="00F23836">
        <w:lastRenderedPageBreak/>
        <w:t xml:space="preserve">intermittent claudication in initial clinical trials, but more studies are needed to confirm the efficacy of this class of drugs. There is no definitive medical therapy for chronic limb threatening ischemia. Vasodilators, including prostaglandins, are not effective in relieving symptoms or preventing limb loss. Enthu siasm for therapy with angiogenic growth factors abated when clinical trials of intramuscular gene transfer of DNA encoding vas cular endothelial growth factor, fibroblast growth factor, hepatocyte growth factor, or hypoxia-inducible factor 1α failed to demonstrate improvement in symptoms or outcomes in patients with intermit tent claudication or critical limb ischemia. Most clinical trials of bone marrow–derived vascular progenitor cells to promote angio genesis and preserve limb viability in patients with critical limb isch emia have failed to demonstrate benefit, although a meta-analysis of these trials suggested a modest reduction in the risk of amputation. REVASCULARIZATION Revascularization procedures, including catheter-based, open sur gical, and hybrid interventions, are indicated for patients with chronic limb-threatening ischemia to relieve pain and prevent limb loss. These procedures are also indicated for patients with disabling, progressive, or severe symptoms of intermittent claudica tion despite medical therapy in order to improve walking distance and functional capacity. When revascularization is performed in conjunction with a supervised exercise program, walking distance improves more than with exercise training alone. MRA, CTA, or conventional angiography should be performed to assess vascular anatomy in patients who are being considered for revascularization. Endovascular interventions include percutaneous transluminal balloon angioplasty (PTA) (including drug-coated balloons), stent placement (including drug-eluting stents), stent grafts, and ather ectomy (Chap. 287). Several operative procedures are available for treating patients with PAD. The preferred operative procedure depends on the location and extent of the obstruction(s) and the general medical condition of the patient. Operative procedures for aortoiliac disease include aortobifemoral bypass, axillofemo ral bypass, femoro-femoral bypass, and aortoiliac endarterectomy. Operative therapy for femoral-popliteal and tibioperoneal artery disease includes in situ and reverse autogenous saphenous vein bypass grafts, placement of polytetrafluoroethylene (PTFE) or other synthetic grafts, and thromboendarterectomy. The decision to use an endovascular, open surgical, or a hybrid revascularization strategy depends on the vascular anatomy, including the location and extent of the arterial occlusions, the availability of suitable saphenous vein segments, comorbidities, and the skill and experience of the operator. Preoperative cardiac risk assessment may identify individuals who are especially likely to experience an adverse cardiac event during the perioperative period. Patients with angina, prior myo cardial infarction, heart failure, diabetes, or renal insufficiency are among those at increased risk. Stress testing with treadmill exercise (if feasible), radionuclide myocardial perfusion imaging, or echocardiography permits further stratification of risk in these patients, particularly those with poor or unknown functional capacity (Chap. 287). Patients with abnormal test results require close supervision and adjunctive </w:t>
      </w:r>
      <w:r w:rsidRPr="00F23836">
        <w:lastRenderedPageBreak/>
        <w:t xml:space="preserve">management with anti-ischemic medications. Coronary angiography and coronary artery revas cularization compared with optimal medical therapy do not improve outcomes in most patients undergoing peripheral vas cular surgery, but cardiac catheterization should be considered in patients with unstable angina and angina refractory to medical therapy as well as those suspected of having left main or three vessel CAD. </w:t>
      </w:r>
      <w:r w:rsidRPr="00F23836">
        <w:rPr>
          <w:rFonts w:ascii="Arial" w:hAnsi="Arial" w:cs="Arial"/>
        </w:rPr>
        <w:t>■</w:t>
      </w:r>
      <w:r w:rsidRPr="00F23836">
        <w:t xml:space="preserve">FIBROMUSCULAR DYSPLASIA Fibromuscular dysplasia (FMD) is a hyperplastic disorder that typi cally affects medium-size and small arteries, but it can also affect larger arteries. The most common histologic characteristics include medial deposition of collagen causing fibromuscular ridges alternating with areas of thinned media. FMD occurs predominantly in females and usually involves the renal and carotid/vertebral arteries but can involve coronary and mesenteric arteries, as well as extremity vessels such as the iliac and subclavian arteries. FMD may cause stenosis, dissection, aneurysm, or thrombosis in affected arteries. When limb vessels are involved, clinical manifestations are similar to those for atherosclerosis, including claudication and rest pain. A contemporary classification based on the angiographic appear ance divides FMD into two types: multifocal, identified by a “string of beads” appearance caused by the thickened fibromuscular ridges contiguous with thin, less-involved portions of the arterial wall; and focal, identified as either unifocal (50 years. Thromboangiitis obliterans is an uncommon cause of Raynaud phenomenon but should be consid ered in young men, particularly those who are cigarette smokers. The development of cold-induced pallor in these disorders may be confined to one or two digits of the involved extremity. Occasionally, Raynaud phenomenon may follow acute occlusion of large and medium-sized arteries by a thrombus or embolus. Embolization of atheroembolic debris may cause digital ischemia. The latter situation often involves one or two digits and should not be confused with Raynaud phenom enon. In patients with thoracic outlet compression syndrome, Raynaud phenomenon may result from diminished intravascular pressure, stimulation of sympathetic fibers in the brachial plexus, or a combina tion of both. Raynaud phenomenon occurs in patients with primary pulmonary hypertension (Chap. 294); this is more than coincidental and may reflect a neurohumoral abnormality that affects both the pul monary and digital circulations. A variety of blood dyscrasias may be associated with Raynaud phe nomenon. Cold-induced precipitation of plasma proteins, hyperviscos ity, and aggregation of red cells and platelets may occur in patients with cold agglutinins, cryoglobulinemia, or cryofibrinogenemia. Hypervis cosity syndromes that accompany myeloproliferative disorders and lym phoplasmacytic lymphoma (Waldenström macroglobulinemia) should also be considered in the initial evaluation of patients with Raynaud phenomenon. Raynaud phenomenon occurs often in patients whose vocations require the use of vibrating hand tools, such as chain saws or jackham mers. The frequency of Raynaud phenomenon also seems to be increased in pianists and keyboard operators. Electric shock injury to the hands or frostbite may lead to the later development of Raynaud phenomenon. Several drugs have been causally implicated in </w:t>
      </w:r>
      <w:r w:rsidRPr="00F23836">
        <w:lastRenderedPageBreak/>
        <w:t xml:space="preserve">Raynaud phenom enon. They include ergot preparations, methysergide, β-adrenergic receptor antagonists, and the chemotherapeutic agents bleomycin, vinblastine, cisplatin, and gemcitabine. TREATMENT Raynaud Phenomenon Most patients with Raynaud phenomenon experience only mild and infrequent episodes. These patients need reassurance and should be instructed to dress warmly and avoid unnecessary cold exposure. In addition to gloves and mittens, patients should protect the trunk, head, and feet with warm clothing to prevent cold-induced reflex vasoconstriction. Tobacco use is contraindicated. Drug treatment should be reserved for severe cases. Dihy dropyridine calcium channel antagonists such as nifedipine and amlodipine decrease the frequency and severity of Raynaud phe nomenon. Diltiazem may be considered but is less effective. The postsynaptic α1-adrenergic antagonist prazosin has been used with favorable responses; doxazosin and terazosin may also be effective. Phosphodiesterase type 5 inhibitors such as sildenafil, tadalafil, and vardenafil may improve symptoms in patients with secondary Raynaud phenomenon, as occurs with systemic sclerosis. There is also evidence that topical nitroglycerin preparations are effective. Digital sympathectomy is helpful in some patients who are unre sponsive to medical therapy. Injection of botulinum toxin into the perivascular tissue of the wrist or palm improved ischemic mani festations of severe Raynaud phenomenon in case series, although controlled clinical trials have yielded inconsistent results. </w:t>
      </w:r>
      <w:r w:rsidRPr="00F23836">
        <w:rPr>
          <w:rFonts w:ascii="Arial" w:hAnsi="Arial" w:cs="Arial"/>
        </w:rPr>
        <w:t>■</w:t>
      </w:r>
      <w:r w:rsidRPr="00F23836">
        <w:t xml:space="preserve">ACROCYANOSIS In this condition, there is arterial vasoconstriction and secondary dila tion of the capillaries and venules with resulting persistent cyanosis of the hands and, less frequently, the feet. Cyanosis may be intensified by exposure to a cold environment. Acrocyanosis may be categorized as primary or secondary to an underlying condition. In primary acrocya nosis, women are affected much more frequently than men, and the age of onset is usually 80% water or glycerin that moisturizes wounds), foam (an absorbent dressing made with polymers such as polyurethane), and alginate (an absorbent, biodegradable dress ing that is derived from seaweed), but there is little evidence that these are more effective than low-adherent absorbent dressings. The choice of specific dressing depends on the amount of drain age, presence of infection, and integrity of the skin surrounding the ulcer. Ulcers should be debrided of necrotic tissue. Antibiotics are not indicated unless the ulcer is infected. The multilayered com pression bandage or graduated compression garment is then put over the dressing. TABLE 293-1 CEAP (Clinical, Etiologic, Anatomic, Pathophysiologic) Classification Clinical Classification C0 No visible or palpable signs of venous disease C1 Telangiectasias or reticular veins C2 Varicose veins C2r Recurrent varicose veins C3 Edema C4 Changes in skin and subcutaneous secondary to CVD C4a Pigmentation or eczema C4b Lipodermatosclerosis or atrophie blanche C4c Corona phlebectatica C5 Healed venous ulcer C6 Active venous ulcer C6r Recurrent active venous ulcer Etiologic Classification Ep Primary Es Secondary Esi Secondary – intravenous Ese Secondary – extravenous Ec Congenital En No cause identified Anatomic Classification As Superficial Ap Perforator Ad Deep An No venous anatomic location identified </w:t>
      </w:r>
      <w:r w:rsidRPr="00F23836">
        <w:lastRenderedPageBreak/>
        <w:t xml:space="preserve">Pathophysiologic Classification Pr Reflux Po Obstruction Pr,o Reflux and obstruction Pn No pathophysiology identified Abbreviation: CVD, chronic venous disease. Source: Data from F Lurie et al: J Vasc Surg 8:342, 2020. 2182 MEDICAL THERAPIES PART 6 Disorders of the Cardiovascular System There are no drugs approved by the U.S. Food and Drug Adminis tration for the treatment of chronic venous insufficiency. Diuretics may reduce edema, but at the risk of volume depletion and com promise in renal function. Topical steroids may be used for a short period of time to treat inflammation associated with stasis dermati tis. Several herbal supplements, such as horse chestnut seed extract (aescin); ruscus extract; flavonoids, including diosmin, hesperidin, or the two combined as micronized purified flavonoid fraction; and French maritime pine bark extract, are touted to have venoconstric tive and anti-inflammatory properties. Several meta-analyses have suggested that ruscus extract and micronized purified flavonoid fraction reduce pain, leg heaviness, and/or sensation of swell ing, and that micronized purified flavonoid fraction, and perhaps pentoxifylline, in conjunction with compression therapy facilitates venous ulcer healing; however, there remains insufficient evidence to recommend the general use of these substances in patients with chronic venous insufficiency. INTERVENTIONAL AND SURGICAL THERAPIES Ablative procedures, including endovenous thermal and nonther mal ablation, sclerotherapy, and surgery, are used to treat varicose veins in selected patients who have persistent symptoms, great saphenous vein incompetency, and complications of venous insuf ficiency including dermatitis, edema, and ulcers in order to treat symptoms, accelerate healing, and prevent recurrence. Ablative therapy may also be indicated for cosmetic reasons. Endovenous thermal ablation procedures of the saphenous veins include endovenous laser and radiofrequency ablation. To ablate the great saphenous vein, a catheter is placed percutaneously and advanced from the level of the knee to just below the sapheno femoral junction via ultrasound guidance. Thermal energy is then delivered as the catheter is pulled back. The heat injures the endo thelium and media and promotes thrombosis and fibrosis, resulting in venous occlusion. Average 1- and 5-year occlusion rates exceed 90% following endovenous laser therapy and are slightly less after radiofrequency ablation. Deep-vein thrombosis of the common femoral vein adjacent to the saphenofemoral junction is an uncom mon but potential complication of endovenous thermal ablation. Other adverse effects of thermal ablation procedures include pain, paresthesias, bruising, hematoma, and hyperpigmentation. Nonthermal ablation procedures of the saphenous veins include endovenous delivery of a cyanoacrylate tissue adhesive, which causes fibrosis, and mechanochemical ablation, which involves insertion of a rotating wire to injure the endothelium and infusion of a liquid sclerosant. One-year occlusion rates approximate or exceed 90%, respectively. Adverse effects of nonthermal ablation procedures include superficial thrombophlebitis, deep vein throm bosis, ecchymoses, hematomas, and hyperpigmentation. Sclerotherapy involves the injection of a chemical into a vein to cause fibrosis and obstruction. Sclerosing agents approved by the U.S. Food and Drug </w:t>
      </w:r>
      <w:r w:rsidRPr="00F23836">
        <w:lastRenderedPageBreak/>
        <w:t xml:space="preserve">Administration include sodium tetradecyl sulfate, polidocanol, sodium morrhuate, and glycerin. The scleros ing agent is administered as a liquid or mixed with air or CO2 /O2 to create a foam. It may be used to treat the great saphenous vein, but most commonly sclerotherapy is used to treat the affected tributaries of the great saphenous vein or incompetent perforating veins either as a standalone procedure or concomitant or staged with ablative procedures of the truncal superficial veins. Follow ing completion of the procedure, elastic bandages are applied, or 30–40 mmHg compression stockings are worn for 1–2 weeks. Average 1- and 5-year occlusion rates are 81 and 74%, respectively, following sclerotherapy. Complications are uncommon and include deep-vein thrombosis, hematomas, damage to adjacent saphenous or sural nerves, and infection. Anaphylaxis is a very rare but severe complication. Surgical therapy usually involves ligation and stripping of the great and small saphenous veins. The procedure is performed under general anesthesia. Incisions are made at the groin and the upper calf. The great saphenous vein is ligated below the saphenofemoral junction, and a wire is inserted into the great saphenous vein and advanced distally. The proximal part of the great saphenous vein is secured to the wire and retrieved, i.e., stripped, via the calf incision. Stripping of the great saphenous vein below the knee and stripping of the small saphenous vein usually are not performed because of the respective risks of saphenous and sural nerve injury. Complica tions of great saphenous vein ligation and stripping include deep vein thrombosis, bleeding, hematoma, infection, and nerve injury. Recurrent varicose veins occur in up to 50% patients by 5 years, due to technical failures, deep-venous insufficiency, and incompetent perforating veins. Endovenous ablation techniques are generally favored over ligation and stripping. Stab phlebectomy is another surgical treatment for varicose veins. A small incision is made alongside the varicose vein, and it is avulsed by means of a forceps or hook. This procedure may be per formed in conjunction with saphenous vein ligation and stripping or thermal or nonthermal ablation. Subfascial endoscopic perfora tor surgery (SEPS) uses endoscopy to identify and occlude incom petent perforating veins. It has largely been replaced, however, by ablative techniques applied directly to the perforating veins and performed in a staged manner for persistent or recurrent symptoms after treatment for the truncal veins. Endovascular interventions, surgical bypass, and reconstruction of the valves of the deep veins are performed when feasible to treat patients with advanced chronic venous insufficiency who have not responded to other therapies. Catheter-based interventions, usu ally involving placement of endovenous stents, may be considered to treat some patients with chronic occlusion or stenosis of the iliac veins. Technical success rates exceed 85% in most series, and long-term patency is achieved in ~75% of these patients. Iliocaval bypass, femoroiliac venous bypass, and femorofemoral crossover venous bypass are procedures used occasionally to treat iliofemoral vein occlusion; saphenopopliteal vein bypass can be used to treat chronic femoropopliteal vein obstruction. Long-term patency rates for venous bypass procedures generally exceed 60% and are associ ated with improvement in symptoms. Surgical </w:t>
      </w:r>
      <w:r w:rsidRPr="00F23836">
        <w:lastRenderedPageBreak/>
        <w:t xml:space="preserve">reconstruction of the valves of the deep veins and valve transfer procedures rarely are used to treat valvular incompetence. Valvuloplasty involves tightening the valve by commissural apposition. With valve trans fer procedures, a segment of vein with a competent valve, such as a brachial or axillary vein, or adjacent saphenous or deep femoral vein, is inserted as an interposition graft in the incompetent vein. Both valvuloplasty and vein transfer operations may result in ulcer healing in the majority of patients, although they are uncom monly performed and the success rates are somewhat better with valvuloplasty. Lymphedema Lymphedema is a chronic condition caused by impaired transport of lymph and characterized by swelling of one or more limbs and occasionally the trunk and genitalia. Fluid accumu lates in interstitial tissues when there is an imbalance between lymph production and lymph absorption, a process governed in large part by Starling forces. Deficiency, reflux, or obstruction of lymph vessels per turbs the ability of the lymphatic system to reabsorb proteins that had been filtered by blood vessels, and the tissue osmotic load promotes interstitial accumulation of water. Persistent lymphedema leads to inflammatory and immune responses characterized by infiltration of mononuclear cells, fibroblasts, and adipocytes, leading to adipose and collagen deposition in the skin and subcutaneous tissues. Lymphatic Anatomy Lymphatic capillaries are blind-ended tubes formed by a single layer of endothelial cells. The absent or widely fenestrated basement membrane of lymphatic capillaries allows access to interstitial proteins and particles. Lymphatic capillaries merge to form microlymphatic precollector vessels, which contain few smooth muscle cells. The precollector vessels drain into collecting lymphatic vessels, which comprise endothelial cells, a basement membrane, smooth muscle, and bileaflet valves. The collecting lymphatic vessels 2183 in turn merge to form larger lymphatic conduits. Analogous to venous anatomy, there are superficial and deep lymphatic vessels in the legs, which communicate at the popliteal and inguinal lymph nodes. Pelvic lymphatic vessels drain into the thoracic duct, which ascends from the abdomen to the thorax and connects with the left brachiocephalic vein. Superficial and deep lymphatic vessels of the arm communicate with axillary lymph nodes, and the efferent lymphatic vessels join lymphatic vessels from the head to form the right and left subclavian lymphatic trunks, which ultimately enter the right brachiocephalic vein and thoracic duct, respectively. Lymph is propelled centrally by the phasic contractile activity of lymphatic smooth muscle and facilitated by the contractions of contiguous skeletal muscle. The presence of lymphatic valves ensures unidirectional flow. Etiology Lymphedema may be categorized as primary or second ary (Table 293-2). The prevalence of primary lymphedema is ~1.15 TABLE 293-2 Causes of Lymphedema Primary Sporadic (no identified cause) Genetic disorders Milroy’s disease (VEGFR3, VEGF-C) Meige’s disease (gene mutation not established) Lymphedema-distichiasis syndrome (FOXC2) Cholestasis-lymphedema (LSC1) Hennekam’s lymphangiectasia-lymphedema syndrome (LCCBE1) Emberger’s syndrome-lymphedema and predisposition to AML (GATA2) Microcephaly-lymphedema syndrome (KIF11) </w:t>
      </w:r>
      <w:r w:rsidRPr="00F23836">
        <w:lastRenderedPageBreak/>
        <w:t xml:space="preserve">Hypotrichosis-lymphedema-telangiectasia (SOX18) Chromosomal aneuploidies Turner’s syndrome Klinefelter’s syndrome Trisomy 13, 18, or 21 Other disorders associated with primary lymphedema Noonan’s syndrome Klippel-Trénaunay syndrome Parkes-Weber syndrome Yellow nail syndrome Intestinal lymphangiectasia syndrome Lymphangiomyomatosis Neurofibromatosis type 1 Secondary Infection Bacterial lymphangitis (Streptococcus pyogenes, Staphylococcus aureus) Lymphogranuloma venereum (Chlamydia trachomatis) Filariasis (Wucheria bancrofti, Brugia malayi, B. timori) Tuberculosis Neoplastic infiltration of lymph nodes Lymphoma Prostate Others Surgery or irradiation of axillary or inguinal lymph nodes for treatment of cancer Iatrogenic Lymphatic division (during peripheral bypass surgery, varicose vein surgery, or harvesting of saphenous veins) Miscellaneous Chronic venous insufficiency Contact dermatitis Podoconiosis Rheumatoid arthritis Pregnancy Factitious per 100,000 persons 120 million children and adults and causing lymphedema and elephantiasis in 14 million of these affected individ uals (Chap. 240). Recurrent bacterial lymphangitis by Streptococcus may result in chronic lymphedema. Other infectious causes include lymphogranuloma venereum and tuberculosis. A common acquired cause of lymphedema in tropical countries is podoconiosis, which results from barefoot exposure and absorption of silicate particles in soil derived from volcanic rock. In developed countries, the most common secondary cause of lymphedema is surgical excision or irra diation of axillary and inguinal lymph nodes for treatment of cancers, such as breast, cervical, endometrial, and prostate cancer, sarcomas, and malignant melanoma. Lymphedema of the arm occurs in 13% of breast cancer patients after axillary node dissection and in 22% after both surgery and radiotherapy. Lymphedema of the leg affects ~15% of patients with cancer after inguinal lymph node dissection. Tumors, such as prostate cancer and lymphoma, also can infiltrate and obstruct lymphatic vessels. Chronic venous insufficiency is gaining recognition as a cause of lymphedema termed phlebolymphedema. Less common causes include contact dermatitis, rheumatoid arthritis, pregnancy, and self-induced or factitious lymphedema after applica tion of tourniquets. CHAPTER 293 Chronic Venous Disease and Lymphedema Clinical Presentation Lymphedema is generally a painless condi tion, but patients may experience a chronic dull, heavy sensation in the leg, and most often, they are concerned about the appearance of the leg. Lymphedema of the lower extremity initially involves the foot and gradually progresses up the leg so that the entire limb becomes 2184 lymphedema are myxedema and lipedema. Lipedema usually occurs in women and is caused by accumulation of adipose tissue in the leg from the thigh to the ankle with sparing of the feet. PART 6 Disorders of the Cardiovascular System B A FIGURE 293-2 A. Lymphedema characterized by swelling of the leg, nonpitting edema, and squaring of the toes. (Courtesy of Dr. Marie Gerhard-Herman, with permission.) B. Advanced chronic stage of lymphedema illustrating the woody appearance of the leg with acanthosis and verrucous overgrowths. (Courtesy of Dr. Jeffrey Olin, with permission.) edematous (Fig. 293-2). In the early stages, the edema is soft and pits </w:t>
      </w:r>
      <w:r w:rsidRPr="00F23836">
        <w:lastRenderedPageBreak/>
        <w:t xml:space="preserve">easily with pressure. Over time, subcutaneous adipose tissue accumulates, the limb enlarges further and loses its normal contour, and the toes appear square. Thickening of the skin is detected by Stemmer’s sign, which is the inability to tent the skin at the base of the toes. Peau d’orange is a term used to describe dimpling of the skin, resembling that of an orange peel, caused by lymphedema. In the chronic stages, the edema no longer pits and the limb acquires a woody texture as the tissues become indurated and fibrotic. The International Society of Lymphology describes four clinical stages of lymphedema (Table 293-3). Differential Diagnosis Lymphedema should be distinguished from other disorders that cause unilateral leg swelling, such as deep-vein thrombosis and chronic venous insufficiency. In the lat ter condition, the edema is softer, and there is often evidence of a stasis dermatitis, hyperpigmentation, and superficial venous vari cosities, as described earlier. Other causes of leg swelling that resemble TABLE 293-3 Stages of Lymphedema Stage 0 (or Ia) A latent or subclinical condition where swelling is not evident despite impaired lymph transport. It may exist for months or years before overt edema occurs. Stage I Early accumulation of fluid relatively high in protein content that subsides with limb elevation. Pitting may occur. An increase in proliferating cells may also be seen. Stage II Stage III Limb elevation alone rarely reduces tissue swelling, and pitting is manifest. Late in stage II, the limb may or may not pit as excess fat and fibrosis supervene. Lymphostatic elephantiasis where pitting can be absent and trophic skin changes such as acanthosis, further deposition of fat and fibrosis, and warty overgrowths have developed. Source: Adapted from The 2013 Consensus Document of the International Society of Lymphology: Lymphology 46:1, 2013. Diagnostic Testing Physical examination is usually sufficient to establish a diagnosis of lymphedema. The evaluation of patients with lymphedema should include diagnostic studies to clarify the cause. Abdominal and pelvic ultrasound and computed tomography (CT) can be used to detect obstructing lesions such as neoplasms. Magnetic resonance imaging (MRI) of the affected limb may reveal a honeycomb pattern characteristic of lymphedema in the epifascial compartment and identify enlarged lymphatic channels and lymph nodes. MRI also is useful to distinguish lymphedema from lipedema. Lymphoscintigraphy and lymphangiography are rarely indicated, but either can be used to confirm the diagnosis or differentiate pri mary from secondary lymphedema. Lymphoscintigraphy involves the injection of radioactively labeled technetium-containing colloid into the distal subcutaneous tissue of the affected extremity, which is imaged with a scintigraphic camera to visualize lymphatic vessels and lymph nodes. Findings indicative of primary lymphedema include absent or delayed filling of the lymphatic vessels or dermal back flow caused by lymphatic reflux. Findings of secondary lymphedema include dilated lymphatic vessels distal to an area of obstruction. In lymphangiography, iodinated radiocontrast material is injected into a distal lymphatic vessel that has been isolated and cannulated. In primary lymphedema, lymphatic channels are absent, hypoplastic, or ectatic. In secondary lymphedema, lymphatic channels often appear dilated beneath the level of obstruction. The </w:t>
      </w:r>
      <w:r w:rsidRPr="00F23836">
        <w:lastRenderedPageBreak/>
        <w:t xml:space="preserve">complexities of lym phatic cannulation and the risk of lymphangitis associated with the contrast agent limit the utility of lymphangiography. Optical imaging with a near-infrared fluorescence dye enables quantitative imaging of peripheral superficial lymph flow and is useful in the operative setting. TREATMENT Lymphedema Patients with lymphedema of the lower extremities must be instructed to take meticulous care of their feet and legs to prevent cellulitis and lymphangitis. Skin hygiene is important, and emol lients can be used to prevent drying. Prophylactic antibiotics are often helpful, and fungal infection should be treated aggressively. Patients should be encouraged to participate in physical activity, as exercise may minimize symptoms and maintain functionality; fre quent leg elevation can reduce the amount of edema. Psychosocial support is indicated to assist patients cope with anxiety or depres sion related to body image, self-esteem, functional disability, and fear of limb loss. Physical therapy, including massage to facilitate lymphatic drain age, may be helpful. The type of massage, termed manual lymphatic drainage, is part of comprehensive decongestive physiotherapy for lymphedema and involves mild compression of the skin of the affected extremity to dilate the lymphatic channels and enhance lymphatic motility. Multilayered, compressive bandages are applied after each massage session to reduce recurrent edema. After optimal reduction in limb volume by decongestive physiotherapy, patients can be fitted with graduated compression hose or other adjustable compression garments. Sequential intermittent pneumatic com pression devices can also be applied at home to facilitate reduc tion of the edema, improve quality of life, and reduce recurrent cellulitis. Diuretics are contraindicated and may cause depletion of intravascular volume and metabolic abnormalities. Failure to control limb edema may lead to recurrent infections, progressive trophic skin changes, and rarely a highly lethal complication of lymphangiosarcoma. Liposuction in conjunction with decongestive physiotherapy may be considered to treat lymphedema, particularly postmastectomy 294 Pulmonary Hypertension 2185 lymphedema. Other surgical interventions, including lymph node transfer, are rarely used and often not successful in ameliorat ing lymphedema. Microsurgical lymphaticovenous anastomotic procedures have been performed to rechannel lymph flow from obstructed lymphatic vessels into the venous system and may improve lymphatic transport and quality of life in secondary lymphedema. Limb reduction procedures to resect subcutaneous tissue and excessive skin are performed occasionally in severe cases of lymphedema to improve mobility. Modification of surgi cal techniques to minimize impact upon the lymphatic system or enhance drainage with prophylactic lymphatic-venous shunts are being employed during operations that require lymph node dis section to reduce the risk of lymphedema. Therapeutic lymphangiogenesis has intriguing potential as it has been studied in animal models of lymphedema. Overexpres sion of VEGF-C generates new lymphatic vessels and improves lymphedema in a murine model of primary lymphedema. The administration of recombinant VEGF-C or VEGF-D stimulated lymphatic growth in preclinical models of postsurgical lymph edema. There may be additional benefits when administered in </w:t>
      </w:r>
      <w:r w:rsidRPr="00F23836">
        <w:lastRenderedPageBreak/>
        <w:t xml:space="preserve">conjunction with lymph node transfer. However, clinical trials in patients with lymphedema are still required to determine efficacy of gene transfer and cell-based therapies for lymphedema. </w:t>
      </w:r>
      <w:r w:rsidRPr="00F23836">
        <w:rPr>
          <w:rFonts w:ascii="Arial" w:hAnsi="Arial" w:cs="Arial"/>
        </w:rPr>
        <w:t>■</w:t>
      </w:r>
      <w:r w:rsidRPr="00F23836">
        <w:t xml:space="preserve">FURTHER READING Aspelund A et al: Lymphatic system in cardiovascular medicine. Circ Res 118:515, 2016. Brouillard P et al: Genetics of lymphatic anomalies. J Clin Invest 124:898, 2014. Executive Committee: The diagnosis and treatment of peripheral lymphedema: 2020 consensus document of the International Society of Lymphology. Lymphology 53:3, 2020. Gloviczki P et al: The 2022 Society for Vascular Surgery, American Venous Forum, and American Vein and Lymphatic Society clini cal practice guidelines for the management of varicose veins of the lower extremities. Part I. Duplex Scanning and Treatment of Super ficial Truncal Reflux. J Vasc Surg Venous Lymphat Disord 11:231. e6, 2023. Jayaraj A, Gloviczki P: Chronic venous insufficiency, in Vascular Medicine, MA Creager, JA Beckman, J Loscalzo (eds). Philadelphia, Elsevier, 2020, pp 709-727. Kahn SR et al: The postthrombotic syndrome: Evidence-based preven tion, diagnosis, and treatment strategies: A scientific statement from the American Heart Association. Circulation 130:1636, 2014. Lurie F et al: The American Venous Forum, American Vein and Lym phatic Society and the Society for Vascular Medicine expert opinion consensus on lymphedema diagnosis and treatment. Phlebology 37:252, 2022. Masuda E et al: The 2020 appropriate use criteria for chronic lower extremity venous disease of the American Venous Forum, the Society for Vascular Surgery, the American Vein and Lymphatic Society, and the Society of Interventional Radiology. J Vasc Surg Venous Lymphat Disord 8:505.e4, 2020. Rabinovich A, Kahn SR: The postthrombotic syndrome: Current evidence and future challenges. J Thromb Haemost 15:230, 2017. Rockson SG: Diseases of the lymphatic circulation, in Vascular Medicine, MA Creager, JA Beckman, J Loscalzo (eds). Philadelphia, Elsevier, 2020, pp 771-784. Schleimer K et al: Update on diagnosis and treatment strategies in patients with post-thrombotic syndrome due to chronic venous obstruction and role of endovenous recanalization. J Vasc Surg Venous Lymphat Disord 7:592, 2019. Sharma A, Wasan S: Varicose veins, in Vascular Medicine, MA Creager, JA Beckman, J Loscalzo (eds). Philadelphia, Elsevier, 2020, pp 693-708. Bradley A. Maron, Joseph Loscalzo Pulmonary hypertension (PH) is a heterogeneous disease involving pathogenic remodeling of the pulmonary vasculature, which increases pulmonary artery pressure and pulmonary vascular resistance (PVR). The most common causes of PH are left heart or primary lung disease. Additionally, PH is observed in some patients as a later complication of luminal pulmonary embolism and may be observed variably in patients with various hematologic, myeloproliferative, and other systemic dis eases. Pulmonary arterial hypertension (PAH) is an uncommon, but distinct, PH subtype characterized by the interplay between molecular and genetic events that cause an obliterative arteriopathy and symp toms of dyspnea, chest pain, and syncope. If left untreated, PH carries a high mortality rate, largely owing to decompensated right heart failure. There have been significant advances in diagnosis, classification, and treatment of PH patients. For example, the mean pulmonary artery </w:t>
      </w:r>
      <w:r w:rsidRPr="00F23836">
        <w:lastRenderedPageBreak/>
        <w:t xml:space="preserve">pressure (mPAP) used to diagnose PH has been lowered from ≥25 mmHg to &gt;20 mmHg, and the PVR level used to identify patients with PAH and other forms of precapillary PH has been lowered from ≥3 to &gt;2 Wood units (WU). These adjustments emphasize earlier disease detection, as a substantial delay in diagnosis of up to 2 years is common in PAH and has important implications for both quality of life and life span. Clinicians should be able to recognize the signs and symptoms of PH and complete a systematic evaluation in at-risk patients. In this way, prompt diagnosis, appropriate treatment, and optimized patient outcome are achievable. CHAPTER 294 Pulmonary Hypertension </w:t>
      </w:r>
      <w:r w:rsidRPr="00F23836">
        <w:rPr>
          <w:rFonts w:ascii="Arial" w:hAnsi="Arial" w:cs="Arial"/>
        </w:rPr>
        <w:t>■</w:t>
      </w:r>
      <w:r w:rsidRPr="00F23836">
        <w:t xml:space="preserve">PATHOBIOLOGY Apoptosis resistance, cell proliferation, dysregulated metabolism, and increased oxidant stress involving pulmonary vascular cells, pericytes, and adventitial fibroblasts underlie the pathogenesis of PAH. These events lead to hypertrophic, fibrotic, and plexogenic remodeling of distal (small) pulmonary arterioles, which decreases vascular compli ance and promotes in situ thrombosis (Fig. 294-1). The remodeling pattern also includes extracellular matrix expansion, which is rich in integrins, nonfibrillar collagens, fibronectin, and other tensile proteins that stiffen affected blood vessels further. A minority of patients appear to have a vasoconstriction-dominant phenotype, which, if present, requires a unique treatment strategy discussed in greater detail below. There is now greater understanding that in PAH, right ventricular dys function occurs due not only to increased right ventricular afterload but also as a consequence of depressed right ventricular sarcomere function from chronic inflammation or autoimmune mechanisms. Genetic Drivers Several germline variants in genes that regulate fundamental cellular processes such as growth, proliferation, or pheno type switching are associated with incident PAH and follow a familial pattern. A variant in the gene encoding bone morphogenetic protein receptor-2 (BMPR2) is the most common cause of hereditary PAH, although penetrance is variable and may be as low as 20% in some populations. Sporadic mutations involving BMPR2 are also reported in PAH patients. BMPR2 is within the (super)family of transforming growth factor- β (TGF-β) receptors that transduce a wide range of cellular events via stimulation by activins, inhibins, and bone morpho genetic proteins (Fig. 294-2). Indeed, imbalance between proliferative and antiproliferative TGF-β receptor signaling in PAH has emerged as a bona fide therapeutic target based on clinical trials testing the effect of activin signal inhibitor therapy on outcome in PAH (see section on sotatercept). The advance of genome-wide association studies has expanded the range of genetic drivers linked to pathogenic mechanisms underly ing PAH, to include TBX4 and SOX17, which regulate activation of fibroblast growth factor-10 and hepatocyte growth factor, respectively. Genetic predisposition to PH in the setting of left heart disease is unresolved, although single-gene polymorphisms that target actin 2186 PART 6 Disorders of the Cardiovascular System Br A B C D E F FIGURE 294-1 Panels on the left show examples of plexogenic pulmonary arteriopathy. Representative images of a normal lung (A) and examples of pulmonary vascular remodeling in pulmonary arterial hypertension (B–F), including idiopathic pulmonary arterial hypertension (B–E) and pulmonary </w:t>
      </w:r>
      <w:r w:rsidRPr="00F23836">
        <w:lastRenderedPageBreak/>
        <w:t xml:space="preserve">venoocclusive disease (F), are shown. A. Normal pulmonary artery (arrow) adjacent to a terminal bronchiole (Br). B. Marked media and intima thickening of small vessels (arrow), partly surrounded by lymphoid cells, form a cluster reminiscent of a primary follicle (arrowhead). C. Idiopathic pulmonary hypertension lung with a markedly muscularized medium-sized pulmonary artery (arrow), which distally branches into a plexiform lesion (lower arrowhead) and an adjacent plexiform lesion (upper arrowhead). D. Complex vascular lesion (circle) with a combination of telangiectatic-like dilations of the pulmonary artery (arrowheads) and a plexiform lesion (arrow). E. Medium-sized pulmonary artery with complete lumen obliteration with a loose collagen, poorly cellular matrix (arrows). F. Interlobular septal, medium-sized vein (arrowhead) obliterated by loose connective tissue (arrows), likely the result of an organized thrombus, characteristic of venoocclusive disease. (These representative images were provided courtesy of Dr. Rubin Tuder. The samples were obtained through the evaluation of lungs collected by the Pulmonary Hypertension Breakthrough Initiative, with similar pulmonary vascular pathology spectrum as reported in reference E Stacher et al: Modern age pathology of pulmonary arterial hypertension. Am J Respir Crit Care Med 186:261, 2012. Adapted with permission of the American Thoracic Society. Copyright © 2021 American Thoracic Society. All rights reserved. Reproduced with permission from BA Maron et al: Pulmonary Arterial Hypertension: Diagnosis, Treatment, and Novel Advances. Am J Respir Crit Care Med 203:1472, 2021.) binding, basement membrane, and major histocompatibility complex II proteins have been reported in lung tissue of affected patients. A variant in EIF2AK4 is an established genetic risk factor for pulmonary venoocclusive disease with a recessive mode of transmission, although clinical expression among carriers is evident initially across a wide age range (10–60 years). Epigenetics in PH The baseline DNA damage profile is increased in pulmonary artery endothelial cells and circulating blood mononuclear Pulmonary arterial hypertension Antiproliferative BMPs BMPR-II ALK 1/2/3/6 cells from PAH patients. This finding implicates DNA itself as a target of injury and is accompanied by epigenetic disease mechanisms involv ing methylation and demethylation that include translocation methyl cytosine dioxygenase 2 (TET2) and methyltransferase 3B (DNMT3B). The extent to which these events are transmissible across generations remains limited to experimental disease models. Nevertheless, bromo domain-containing 4 and histone deacetylation inhibition, particularly for HDAC-1 and HDAC-5, are promising future PAH therapeutics. Long noncoding RNAs, which regulate epigenetic (among other) Activins and GDFs Proproliferative ALK 4/5/7 pSmad1/5/8 Smad4 pSmad2/3 Gremlin-1 and noggin ActRIIA/B Extracellular FIGURE 294-2 Pulmonary arterial hypertension is associated with dysregulation of the bone morphogenetic protein (BMP) receptor type II (BMPR-II)–Smad1/5/8 pathway in pulmonary vascular smooth muscle and endothelial cells, causing an imbalance between proproliferative and antiproliferative signaling pathways. BMPR-II–Smad1/5/8 pathway downregulation leads to increased production of activin ligands, such as </w:t>
      </w:r>
      <w:r w:rsidRPr="00F23836">
        <w:lastRenderedPageBreak/>
        <w:t xml:space="preserve">activin A, growth differentiation factor 8 (GDF8), and GDF11, which contributes to activin receptor type IIA (ActRIIA)–Smad2/3 pathway upregulation. Increased phosphorylated Smad (pSmad) 2/3 activity promotes expression of the endogenous BMP antagonists gremlin-1 and noggin. Gremlin-1 and noggin further reduce BMP–Smad1/5/8 signaling. The overall result is that antiproliferative signaling is reduced, shifting the balance toward proproliferative activin–Smad2/3 signaling, which leads to pulmonary vascular remodeling. (Adapted from M Humbert et al: N Engl J Med 384:1204, 2021.) 2187 processes that underpin hypertrophic vascular remodeling in PAH, include the tyrosine kinase receptor–inducing long noncoding RNA through its effects on p53/platelet-derived growth factor receptor β in lung pericytes. At present, hypoxia is the most well-studied epigenetic driver linked to PH, but a practical framework to predict disease onset through this mechanism in individual patients is unresolved. Endothelial-Mesenchymal Transition Plexigenic and fibrotic pulmonary arterial remodeling in PAH is linked to cellular phenotype switching, particularly endothelial-mesenchymal transition (End-MT) for which specific markers are identified in ~6% of cells in explanted lungs from patients or at autopsy. Inflammation as well as hypoxia plus vascular endothelial growth factor receptor inhibition have been shown to increase End-MT, which in affected cells is characterized by migration, gain of smooth muscle actin fibers, and loss of cell-cell con tacts. Interestingly, End-MT is related to a loss of BMPR2 expression, tying together a monogenic risk to a key endophenotype that drives PAH pathology. Hypoxia, Metabolism, and Matrix Remodeling Abnormali ties in multiple molecular pathways, genes, and cell types are associated with potentially modifying therapeutics, particularly those that focus on extracellular matrix remodeling (Fig. 294-3). The tyrosine kinase Janus kinase 2 (JAK2) is overactivated in PAH, which is inhibited by ruxolitinib to attenuate cellular proliferation and experimental PH. Hypoxia-inducible factor (HIF) signaling is a potentially modifiable disease-causing pathway, as treatment with the novel HIF-2α inhibitor PT2567 improves hemodynamics and vascular remodeling in PAH. Classical treatment L-Arginine NOS ET-1 Sotatercept 4 Activin Pulmonary artery smooth muscle cells isolated from PAH patients preferentially synthesize lactic acid in the presence of abundant molecular oxygen (Warburg effect). This metabolic change results in a proliferative cellular phenotype and has stimulated intense interest on metabolic modulating therapies. Dichloroacetate, which inhibits pyruvate dehydrogenase kinase to normalize voltage-gated K+ chan nels and promote pulmonary artery smooth muscle cell apoptosis, has been tested clinically with overall mixed results but a signal toward predicting treatment response by SIRT3 and UCP2 genotype. Nonetheless, numerous alternative metabolic targets show therapeutic promise, including SOD2, PPARγ, and NFAT. Finally, there is greater interest in reverse remodeling pathways in PAH. For example, matrix metalloproteinase (MMP)-8 is protective against PAH by stabiliz ing mechanosensitive focal adhesion kinase–yes-associated protein/ transcriptional coactivator with PDZ-binding motif (FAK-YAP/TAZ). This stabilization, in turn, suppresses extracellular matrix expansion and vascular </w:t>
      </w:r>
      <w:r w:rsidRPr="00F23836">
        <w:lastRenderedPageBreak/>
        <w:t xml:space="preserve">fibrosis. </w:t>
      </w:r>
      <w:r w:rsidRPr="00F23836">
        <w:rPr>
          <w:rFonts w:ascii="Arial" w:hAnsi="Arial" w:cs="Arial"/>
        </w:rPr>
        <w:t>■</w:t>
      </w:r>
      <w:r w:rsidRPr="00F23836">
        <w:t xml:space="preserve">PATHOPHYSIOLOGY In PAH, plexogenic and fibrotic remodeling of pulmonary arterioles impairs pulmonary arterial compliance and results in a progressive increase in total PVR. The resting PVR increases through the temporal progression of PAH, corresponding to a rise in mPAP. To preserve cardiac output (CO) in the face of elevated right ventricular afterload, right ventricular work must increase. A sustained (or progressive) increase in right ventricular work causes a shift in the efficiency of right ventricular systolic function by which maintaining pulmonary CHAPTER 294 Pulmonary Hypertension New treatment 4PBA BMPR2 mediated BMP9/10 AA L-citrulline Prostacyclin derivatives NO PGI2 sGC stimulator PDE5 inhibitor Vasodilation åProliferation ETA/ETB2 antagonists Vasoconstriction äProliferation ActRIIA/B ET-1 BMPRII pSmad2/3 pSmad1/5/8 ETA/ETB2 1 Degra dation 5 Tyrosine kinase/ Growth factors GFs/ cytokines 7 Inflammation/ Immune cells:-cDCs-T-cells-JAGGED-1 6-Capmatinib-Crizotinib-Imatinib-Seralutinib Epigenetic/TF:-DNMT3B-HIF-1`/HIF-2`-SOX9-SOX17-TBX4-TET2-TWIST-1-TYKRIL JAK2 2 Ruxolitinib Oxidative stress-MAO-A 3 Clorgyline Oxidative stress NDUT1 SDF1 Fibroblast Immune cell PAEC (S)-Crizotinib PASMC Fibrosis and ECM remodeling:-MMP-8-NEDD9-SPARC Hypoxia/metabolism:-Glutaminolysis-Glucose/Prolin-HIF-2`-NFU1-PINK1-Sirtuin 3 PT2567 Pericyte FIGURE 294-3 Modifiable pathobiological targets in pulmonary arterial hypertension. Current treatment approaches focus on endothelin, nitric oxide, and prostacyclin signaling. Novel treatment targets address (1) epigenetic mechanisms/transcriptional factors; (2) oxidative stress; (3) hypoxia and metabolic signaling; (4) BMPR2 mediated signaling; (5) tyrosine kinase and growth factor signaling; (6) fibrosis and extracellular matrix remodeling; and (7) inflammation and immune cell infiltration. 4PBA, 4-phenylbutyric acid; AA, arachidonic acid; ActRII, activin receptor type II; BMP, bone morphogenetic protein; BMPR2, bone morphogenetic protein receptor type 2; cDC, conventional dendritic cell; DNMT3B, DNA methyltransferase 3 b; ET, endothelin; GDFs, growth and differentiation factors; HIF = hypoxia-inducible factor; JAGGED-1, jagged canonical Notch ligand 1; JAK, Janus kinase; MAO-A, monoaminoxidase A; MMP, matrix metalloproteinase; NUDT1, nudix hydrolase 1; NEDD9, neural precursor cell–expressed developmentally downregulated protein 9; NFU1, NFU1 iron-sulfur cluster scaffold; NO, nitric oxide; NOS, nitric oxide synthase; PAEC, pulmonary artery endothelial cell; PASMC, pulmonary arterial smooth muscle cell; PDE5, phosphodiesterase 5; PGI2, prostacyclin; PINK1, phosphatase and tensin homolog–induced kinase 1; SDF1, stromal cell–derived factor 1; sGC, soluble guanylate cyclase; SOX9, SRY-box transcription factor 9; SOX17, SRY-box transcription factor 17; SPARC, secreted protein acidic and rich in cysteine; TBX4, T-box transcription factor 4; TET2, Tet methylcytosine dioxygenase 2; TWIST1, Twist family BHLH transcription factor 1; TYKRIL, tyrosine kinase receptor–inducing long noncoding RNA. (Reproduced with permission from SJ Johnson et al: Am J Respir Crit Care Med 208:528, 2023.) 2188 RISK STRATIFICATION EARLY AND AGGRESSIVE INTERVENTION PART 6 Intervention Focus Clinical “Stage” Genetic Screen Developmental Screen A Exercise Testing Dual Pharmacotherapy Prescription Exercise </w:t>
      </w:r>
      <w:r w:rsidRPr="00F23836">
        <w:lastRenderedPageBreak/>
        <w:t xml:space="preserve">Treat Systemic Targets FULL INTERVENTION Maximal Medical Therapy Surgical Referral B C Disorders of the Cardiovascular System CO Hemodynamic Histologic Structural Time PAP PVR RAP Pericyte EC Adv. Fibroblast SMC Elastin Proliferation of fibroblasts and SMCs, swelling of ECs, and fragmented elastin Inflamatory Cell Endothelial channel formation Smooth muscle–like cells encroach on lumen inflammation FIGURE 294-4 An integrated overview of pulmonary arterial hypertension (PAH). In PAH, initial changes in the histopathophenotype of distal pulmonary arterioles precede significant changes in hemodynamics or the development of symptoms in most patients (clinical stage A). As vascular remodeling progresses, there is an increase in pulmonary vascular resistance (PVR), pulmonary artery pressure (PAP), and right atrial pressure (RAP). In clinical stage B, symptoms are evident and, when diagnosed, prompt early, aggressive treatment. Effacement of pulmonary arterioles results in severely increased PVR that promotes right heart failure, defined by a decrease in cardiac output (CO) and PAP. Patients in clinical stage C have severe symptoms and require full therapeutic intervention. Identifying clinical stage A patients remains challenging, although genetic risk factors or symptoms with exercise may be informative. EC, endothelial cell; SMC, smooth muscle cell. (Reproduced with permission from Maron BA, Abman SH: Focusing on Developmental Origins and Disease Inception for the Prevention of Pulmonary Hypertension. Am J Respir Crit Care Med 195:292, 2017.) circulatory pressure depletes myocardial energy. These changes occur at the expense of energy normally reserved to maintain optimal blood perfusion through the alveolar-capillary interface for blood oxygenation, a process termed right ventricular–pulmonary arterial uncoupling. In end-stage PAH, the CO declines, leading to a decrease in mPAP (Fig. 294-4), with extrapulmonary vascular manifestations. These include overactivation of neurohumoral signaling, renal failure, abnormal episcleral vessels (seen in patients with hereditary PAH due to BMPR2 mutation), and hyper- or hypothyroidism. Volitional muscle atrophy in PAH is associated with reduced muscle strength, type I fiber switching to fatigable type II fibers, and decreased capillary density. This myopathy affects respiratory function, as well, including impair ment of maximal inspiratory and expiratory pressure. Overall, sarcope nia in PAH with right ventricular heart failure is likely multifactorial, driven by deconditioning and alternative pathophysiological mecha nisms linked to impaired cardiac output (i.e., neurohumoral signaling) and possibly through the ectopic effects of molecular intermediaries such as miR-136 downregulation (Fig. 294-5). </w:t>
      </w:r>
      <w:r w:rsidRPr="00F23836">
        <w:rPr>
          <w:rFonts w:ascii="Arial" w:hAnsi="Arial" w:cs="Arial"/>
        </w:rPr>
        <w:t>■</w:t>
      </w:r>
      <w:r w:rsidRPr="00F23836">
        <w:t xml:space="preserve">DIAGNOSIS The diagnosis of PH can be missed without a reasonable index of sus picion. Indeed, findings from clinical registries suggest that PH is often overlooked, even among patients with numerous risk factors. This shortcoming may be because PH symptoms are nonspecific, insidi ous, and overlap considerably with many common conditions, such as asthma, heart failure with preserved ejection fraction, and decon ditioning. Additionally, there is a misconception that in patients with comorbid cardiopulmonary conditions (e.g., interstitial lung disease, mitral valve disease), PH is merely an extension of the underlying dis ease rather than a specific </w:t>
      </w:r>
      <w:r w:rsidRPr="00F23836">
        <w:lastRenderedPageBreak/>
        <w:t xml:space="preserve">clinical entity. Most patients will present with dyspnea and/or fatigue, whereas edema, chest pain, presyncope, and syncope are less common and associated with more advanced disease. In early phases of PAH, the physical examination is often unrevealing. As the disease progresses, there may be evidence of right ventricular failure with elevated jugular venous pressure, lower extremity edema, and ascites. Additionally, the cardiovascular examination may reveal an accentuated P2 component of the second heart sound, a right-sided S3 or S4 , and a holosystolic tricuspid regurgitant murmur. It is also important to seek signs of the diseases that are commonly concurrent with PH: clubbing may be seen in some chronic lung diseases, sclerodactyly and telangiectasia may signify scleroderma (or the limited cutaneous form, CREST [calci nosis, Raynaud’s phenomenon, esophageal dysmotility, sclerodactyly, and telangiectasia]), and crackles on examination of the lungs and systemic hypertension may be clues to left-sided systolic or diastolic heart failure. Overview of the Diagnostic Clinical Evaluation Once clini cal suspicion is raised, a systematic approach to diagnosis and assessment is essential. In advanced disease, electrocardiography may show right ventricular hypertrophy or strain, and enlargement of pulmonary arteries and obliteration of the retrosternal space are often observed on chest roentgenography (Fig. 294-6). In turn, echocardiography with agitated saline (bubble) study is the most important initial screening test. Elevated estimated pulmonary artery systolic pressure (&gt;35 mmHg), notched waveform on continuous wave Doppler interrogation of the right ventricular outflow tract, or a hypertrophied or dilated right ventricle supports the diagnosis of PH. Important additional information can be gleaned about specific etiologies of PH, such as valvular disease, left ventricular systolic Eyes: Brain: 2189 • Open-angle glaucoma • Retinal detachment • Venous stasis retinopathy • Central retinal vein occlusion Thyroid: • Hypothyroidism • Hyperthyroidism • Cognitive function • Depression • Anxiety • Sleep Autonomic system: • Sympathetic hyperactivity • Increased susceptibility for syncope and arrhythmias • Grave’s disease Liver: • Congestive hepatopathy • Hepatic fibrosis • Cardiac cirrhosis • Ischemic hepatitis Iron homeostasis: • Iron deficiency • Impaired absorption • Anemia Endocrine system: • Metabolic syndrome • Diabetes • Estrogen/testosterone Immune system: • Systemic inflammation • Innate/adaptive immunity • Autoimmunity Skin: • Subacute prurigo simplex • Endothelial dysfuntion Left heart: • Mechanical compression • Underfilling/deconditioning • Functional (systolic/diastolic) • Cardiomyocyte atrophy Kidneys: • Low perfusion renal injury • Congestive nephropathy • Renal fibrosis/sclerosis • “Acute-on-chronic” renal injury Gut/Bowel: • “Leaky bowel syndrome” • Malabsorption • Appetite loss/cachexia • Gut microbiota Skeletal muscle: • Deconditioning • Impaired function of skeletal and respiratory muscles • Reduced aerobic capacity FIGURE 294-5 Systemic manifestations of right heart failure. (Reproduced with permission from S Rosenkranz et al: Systemic consequences of pulmonary hypertension and right-sided heart failure. Circulation 141:67, 2020.) dysfunction, left atrial enlargement, and intracardiac shunt. In addi tion, hypertrophic </w:t>
      </w:r>
      <w:r w:rsidRPr="00F23836">
        <w:lastRenderedPageBreak/>
        <w:t xml:space="preserve">cardiomyopathy (HCM), amyloid cardiomyopathy, and sarcoid cardiomyopathy, which are specific forms of left heart dis ease that predispose to PH, are linked to disease-specific approaches to treatment. A high-quality echocardiogram that is absolutely normal may obvi ate the need for further PH evaluation. However, this is distinct from an echocardiogram in which tricuspid regurgitation is not detected. In this scenario, the information required to estimate pulmonary artery pressure is lacking, and PH is observed in one-third of such patients. Patients with evidence of PH on echocardiography or in whom unex plained dyspnea or hypoxemia is evident despite an unremarkable echocardiogram often require further assessment. Additional tests focusing on functional capacity are useful for quan tifying disease burden, such as a 6-minute walk distance (6-MWD) assessment, which also aids in assessing prognosis. Cardiopulmonary exercise testing (CPET) may differentiate between cardiac and pul monary limitations to exercise thereby providing pathophysiologic insights on the cause of dyspnea. Peak volume of oxygen consumption (pVO2 ), which is an integrated parameter of cardiopulmonary fitness, is prognostic in PH patients when 20 mmHg Identify Hemodynamic Classification Pre-Capillary PH PVR &gt;2.0 WU; PAWP ≤15 mmHg Clinical Group Isolated Post-Capillary PH PVR ≤2.0 WU; PAWP &gt;15 mmHg Clinical Group 1: PAH, PVOD, CHD, others 2: Chronic lung disease and hypoxia 4: CTEPH 5: Multi-factorial PH 3: LHD Combined Pre-/Post-Capillary PH PVR &gt;2.0 WU; PAWP &gt;15 mmHg Clinical Group 3: Chronic LHD 4: CTEPH (rare) 5: Multi-factorial PH FIGURE 294-7 Integrating the cardiopulmonary hemodynamic and clinical profile of patients with pulmonary hypertension (PH). Diagnosing PH is achieved by right heart catheterization and requires a mean pulmonary artery pressure (mPAP) &gt;20 mmHg. Patients are then classified by hemodynamic category, which together with the clinical profile and other supporting data (e.g., chest imaging, serology, genetic testing) is used to determine the PH clinical group. Certain clinical groups are incompatible with hemodynamic classifications; for example, pulmonary arterial hypertension (PAH) cannot be diagnosed in patients with isolated postcapillary or combined pre-/ postcapillary PH hemodynamics. CHD, congenital heart disease; CTEPH, chronic thromboembolic PH; LHD, left heart disease; PAWP, pulmonary artery wedge pressure; PVOD, pulmonary venoocclusive disease; PVR, pulmonary vascular resistance. (Reproduced with permission from BA Maron et al: Cardiopulmonary hemodynamics in pulmonary hypertension and heart failure: JACC Review Topic of the Week. J Am Coll Cardiol 76:2671, 2020.) Pulmonary Hypertension 2191 CHAPTER 294 practice to manage CTEPH especially for staging anatomic throm boembolic burden, which may be ultimately necessary to determine operative candidacy. The definitive diagnostic procedure is digital subtraction pulmonary angiography since contrast enhancement in this study provides detailed information on webbing, stricture, and vascular tapering patterns pathognomonic for CTEPH. SEROLOGY Laboratory data that are important for screening include a human immunodeficiency virus (HIV) test when clinically indicated. In addition, all patients should have antinuclear antibodies, rheuma toid factor, and </w:t>
      </w:r>
      <w:r w:rsidRPr="00F23836">
        <w:lastRenderedPageBreak/>
        <w:t xml:space="preserve">anti-Scl-70 antibodies assessed to screen for the most common rheumatologic diseases associated with PH. Liver function and hepatitis serology tests are important to screen for underlying liver disease. Methamphetamine use is recognized increasingly as a cause of PAH, and screening should be considered in patients from endemic regions or in whom the cause of PAH is not otherwise established. Finally, brain natriuretic peptide (BNP) and the N-terminus of its pro peptide (NT-proBNP) correlate with right ventricular dysfunction, hemodynamic severity, and functional status in PAH. Medical therapy also lowers NT-proBNP levels in PAH, and therefore, this test may be used as a biomarker for assessing treatment response in clinical prac tice once a baseline level is established. INVASIVE CARDIOPULMONARY HEMODYNAMICS The RHC remains the gold standard test to both establish the diagnosis of PH and guide selection of appropriate medical therapy. The hemodynamic criteria for diagnosing PH requires, first, an mPAP &gt;20 mmHg. Precapillary and postcapillary PH are then distinguished by virtue of a pulmo nary artery wedge pressure (PAWP) (or left ventricular end-diastolic pressure [LVEDP]) ≤15 mmHg or &gt;15 mmHg, respectively. Isolated precapillary PH also requires a PVR &gt;2.0 WU, whereas isolated post capillary PH is defined by PVR ≤2.0 WU. Increasingly, combined pre- and postcapillary PH is recognized, defined by elevated mPAP &gt;20 mmHg, PVR &gt;2.0 WU, and PAWP &gt;15 mmHg (Fig. 294-7). These hemodynamic profiles inform PH clinical categorization. For example, isolated precapillary PH is most often due to primary lung disease, PAH, or CTEPH. Isolated postcapillary PH occurs in patients with mitral valvular disease, left ventricular systolic dysfunction, heart failure with preserved ejection faction, HCM, and amyloid cardiomy opathy. The same etiologies for isolated postcapillary PH also underlie combined pre- and postcapillary PH. When present, this indicates that chronic vascular congestion due to left atrial hypertension has resulted in substantial pulmonary vascular remodeling, although the precise mechanisms that transition patients from isolated postcapillary PH to combined pre-/postcapillary PH are not known. Patients with left heart disease risk factors who are diuresed aggressively prior to RHC may appear to have an isolated precapillary PH profile, tempting a diagnosis of PAH. However, these patients require specific consideration given the potential effects of diuresis on masking the true underlying PH hemodynamic classification. Vasoreactivity testing should be reserved for patients with idiopathic or hereditary PAH. Vasodilators with a short duration of action, such as inhaled nitric oxide (NO•) or inhaled epoprostenol, are preferred for testing. A decrease in mPAP by ≥10 mmHg to an absolute level ≤40 mmHg without a decrease in CO is defined as a positive pulmo nary vasodilator response, and such responders are considered for long-term treatment with calcium channel blockers. Less than 5% of patients are deemed vasoreactive, although prognosis among these patients is particularly favorable. </w:t>
      </w:r>
      <w:r w:rsidRPr="00F23836">
        <w:rPr>
          <w:rFonts w:ascii="Arial" w:hAnsi="Arial" w:cs="Arial"/>
        </w:rPr>
        <w:t>■</w:t>
      </w:r>
      <w:r w:rsidRPr="00F23836">
        <w:t xml:space="preserve">PULMONARY HYPERTENSION CLASSIFICATION The current classification system, last revised in 2018 during the Sixth World Symposium on Pulmonary Hypertension (WSPH), recognizes five PH categories listed here sequentially as groups 1–5: PAH; PH due to left </w:t>
      </w:r>
      <w:r w:rsidRPr="00F23836">
        <w:lastRenderedPageBreak/>
        <w:t xml:space="preserve">heart disease; PH due to chronic lung disease or sleep-disordered breathing; CTEPH; and a group of miscellaneous diseases that rarely (or inconsistently) cause PH (Table 294-1). Pulmonary Arterial Hypertension WSPH group 1 PH, or PAH, involves marked pulmonary arterial precapillary remodeling, TABLE 294-1 World Symposium on Pulmonary Hypertension Clinical Classification GROUP 1 Pulmonary arterial hypertension (PAH) 1.1 Idiopathic 1.1.1 Non-responders at vasoreactivity testing 1.1.2 Acute responders at vasoreactivity testing 1.2 Heritablea 1.3 Associated with drugs and toxinsa 1.4 Associated with: 1.4.1 Connective tissue disease 1.4.2 HIV infection 1.4.3 Portal hypertension 1.4.4 Congenital heart disease 1.4.5 Schistosomiasis 1.5 PAH with features of venous/capillary (PVOD/PCH) involvement 1.6 Persistent PH of the newborn GROUP 2 PH associated with left heart disease 2.1 Heart failure: 2.1.1 with preserved ejection fraction 2.1.2 with reduced or mildly reduced ejection fractionb 2.2 Valvular heart disease 2.3 Congenital/acquired cardiovascular conditions leading to post-capillary PH GROUP 3 PH associated with lung diseases and/or hypoxia 3.1 Obstructive lung disease or emphysema 3.2 Restrictive lung disease 3.3 Lung disease with mixed restrictive/obstructive pattern 3.4 Hypoventilation syndromes 3.5 Hypoxia without lung disease (e.g. high altitude) 3.6 Developmental lung disorders GROUP 4 PH associated with pulmonary artery obstructions 4.1 Chronic thrombo-embolic PH 4.2 Other pulmonary artery obstructionsc GROUP 5 PH with unclear and/or multifactorial mechanisms 5.1 Hematological disordersd 5.2 Systemic disorderse 5.3 Metabolic disordersf 5.4 Chronic renal failure with or without hemodialysis 5.5 Pulmonary tumor thrombotic microangiopathy 5.6 Fibrosing mediastinitis Note: Patients with heritable PAH or PAH associated with drugs and toxins might be acute responders. Left ventricular ejection fraction for HF with reduced ejection fraction: ≤40%; for HF with mildly reduced ejection fraction: 41–49%. Other causes of pulmonary artery obstructions include: sarcomas (high or intermediate grade or angiosarcoma), other malignant tumors (e.g., renal carcinoma, uterine carcinoma, germ-cell tumors of the testis), non-malignant tumors (e.g., inherited and acquired chronic hemolytic anemia and chronic myeloproliferative disorders, sarcoidosis, pulmonary Langerhans’s cell histiocytosis, and neurofibromatosis type 1, glycogen storage diseases and Gaucher disease.) Abbreviations: HF, heart failure; HIV, human immunodeficiency virus; PAH, pulmonary arterial hypertension; PCH, pulmonary capillary hemangiomatosis; PH, pulmonary hypertension; PVOD, pulmonary veno-occlusive disease. Source: Reproduced with permission of the © ERS 2024: Eur Resp J 61:2200879, 2023; DOI:10.1183/13993003.00879-2022. including intimal fibrosis, increased medial thickness, pulmonary arteriolar occlusion, and classic plexiform lesions (described in detail above in the Pathobiology section). The hemodynamic criteria for PAH are sustained elevation in resting mPAP &gt;20 mmHg, PVR &gt;2.0 WU, and PAWP or LVEDP of ≤15 mmHg based on RHC. Idiopathic PAH (IPAH) is a progressive disease that leads to right heart failure and early mortality. From the original National Institutes of Health registry on IPAH in 1987, the average age at diagnosis was 36 years, with only 9% of </w:t>
      </w:r>
      <w:r w:rsidRPr="00F23836">
        <w:lastRenderedPageBreak/>
        <w:t xml:space="preserve">patients with IPAH over the age of 60. However, contemporary data now inclusive of numerous international registries suggest a dif ferent clinical profile. The mean age of PAH patients is reported to be 54–68 years old across studies. This reflects, in part, rising awareness 2192 PART 6 Disorders of the Cardiovascular System of this disease in the elderly. The prevalence of IPAH favors women to men by ~3.1-fold; however, the hemodynamics at diagnosis are more severe, and the prognosis is less favorable in men compared to women. Patients with hereditary PAH from a BMPR2 mutation tend to be younger at diagnosis with more severe cardiopulmonary hemodynam ics and are associated with comparatively greater clinical risk compared to IPAH. The rate of conversion to PAH among carriers without clini cal evidence of disease is ~2.3% per year. Diseases Associated with PAH Other forms of PAH that deserve specific consideration are those associated with congenital heart dis ease with intracardiac shunt, connective tissue disease, portal hyper tension, and HIV. CONGENITAL HEART DISEASE PAH in the setting of congenital heart disease is important to recognize since surgical correction may be indi cated and when successful is associated with favorable prognosis. This is particularly salient today, as more congenital heart disease patients live to adulthood and populate general medical practices. Still, refer ral to adult congenital heart disease centers should be considered for patients with suspected PAH, which in this population is subclassified into four groups: Eisenmenger’s syndrome, systemic-to-pulmonary shunts, coincidental or small defects causing shunts, and postoperative/ closed defects causing shunts. Surgical repair of congenital anatomic lesions may be indicated prior to elevation in PVR &gt;3.0 WU to avoid the development of Eisenmenger’s syndrome, a pathophysiologic consequence of progressive pulmonary vascular remodeling due to a large-volume left-to-right shunt that is associated with cyanosis, hyperviscosity, weakness, and shortened life span. Indeed, the effect of changing the PVR threshold to define precapillary PH from 3.0 to 2.0 WU on the timing of shunt repair is an evolving concept. CONNECTIVE TISSUE DISEASE Patients with connective tissue disease associated PAH are encountered relatively commonly in clinical prac tice. Although case series link rheumatoid arthritis and systemic lupus erythematosus with pulmonary vascular disease, the predominant clinical phenotype is systemic sclerosis-associated PAH. It is important to distinguish patients with limited cutaneous scleroderma from those with diffuse scleroderma because PH in the former is likely PAH and PH in the latter often occurs in the setting of interstitial lung disease. Although the average age of scleroderma onset is between 30 and 50 years old, patients who eventually develop scleroderma-associated PAH tend to be older at the time of scleroderma diagnosis. The development of PAH in scleroderma is particularly worrisome prog nostically, although implementation of modern therapies improves outcome. Overlap between pulmonary circulatory and interstitial lung disease is encountered commonly in clinical practice. It is tempting to focus on the hemodynamic derangement of these patients as a focal point of clinical care, although the efficacy of implementing PAH specific treatment to these overlap syndrome </w:t>
      </w:r>
      <w:r w:rsidRPr="00F23836">
        <w:lastRenderedPageBreak/>
        <w:t xml:space="preserve">patients is unproven. PORTOPULMONARY HYPERTENSION Among patients with estab lished portal hypertension, 2–10% develop portopulmonary hyper tension independent of the cause of liver disease. Furthermore, portopulmonary hypertension is observed in patients with nonhepatic etiologies of portal hypertension. A hyperdynamic circulatory state is common, as in most patients with advanced liver disease; however, the same pulmonary vascular remodeling observed in other forms of PAH is seen in the pulmonary vascular bed in portopulmonary hyperten sion. It is important to distinguish this process from hepatopulmonary syndrome, which can also manifest with dyspnea and hypoxemia but is pathophysiologically distinct from portopulmonary hypertension in that abnormal vasodilation of the pulmonary vasculature leads to intrapulmonary shunting. Portopulmonary hypertension is an estab lished marker of adverse outcome in the post–liver transplant period with 100% mortality reported in one study among patients with mPAP ≥50 mmHg. The optimal preoperative PVR threshold used to predict elevated postoperative risk must also consider morbidity linked to pro longed transplant wait time. At present, PVR &gt;3.0 WU is considered a strong predicter of unfavorable outcome after transplant, although PVR &gt;2.0 WU also appears to capture potential risk. HIV-PAH The true prevalence of HIV-PAH is not known; however, this PAH subtype is an important cause of mortality in the HIV infected population, and prognosis in these patients is among the least favorable for all PH subgroups. There is no correlation between the stage of HIV infection and the development of PAH. By contrast, popu lation data from the U.S. Veterans Administration database suggest a positive and inverse correlation, respectively, between CD4+ count and viral load with estimated pulmonary artery systolic pressure (ePASP) on echocardiography. An ePASP &gt;40 mmHg in HIV-infected patients is associated with a 40% increase in all-cause mortality compared to uninfected counterparts. Although delineating patients with PAH from within this cohort and other unselected populations is not possible, there is a pressing need to understand further the role of HIV-PH in prognosis patients, particularly in endemic areas of the world. Pulmonary Hypertension Associated with Left Heart Disease Patients with PH due to left ventricular systolic dysfunc tion, aortic and mitral valve disease, and heart failure with preserved ejection fraction (HFpEF) are classified in WSPH group 2. The hall mark of this PH phenotype is elevated left atrial pressure with resulting pulmonary venous hypertension. In left-sided systolic heart failure or HFpEF, even mildly elevated mPAP is associated with adverse clinical outcome. It should be noted that PH in the setting of mitral stenosis or regurgitation is an indication for surgical (or percutaneous) valve intervention. Recent data suggest that PH is common in obstructive HCM and associated with fibroproliferative remodeling of distal pul monary arterials even when mPAP is only mildly elevated (Fig. 294-8). In amyloid cardiomyopathy, ~75% of patients have elevated mPAP, and combined pre-/postcapillary PH is the most common hemodynamic subgroup. Regardless of the cause of elevated left atrial pressure, left atrial hypertension causes pulmonary venule sclerosis and thickening that leads to PH and, ultimately, pathogenic changes to </w:t>
      </w:r>
      <w:r w:rsidRPr="00F23836">
        <w:lastRenderedPageBreak/>
        <w:t xml:space="preserve">pulmonary arterioles. Pulmonary Hypertension Associated with Lung Disease Intrinsic lung disease is the second most common cause of PH and has been observed in both chronic obstructive pulmonary disease (COPD) and interstitial lung disease. Additionally, PH is also diagnosed in dis eases of mixed obstructive/restrictive pathophysiology: bronchiectasis, cystic fibrosis, mixed obstructive-restrictive disease marked by fibrosis in the lower lung zones, and emphysema predominantly in the upper lung zones. When associated with chronic lung disease, PH is usually modest. For example, 90% of COPD patients have mPAP &gt;20 mmHg, but an mPAP &gt;35 mmHg is observed in only 5% of patients. Nonethe less, the subgroup of patients with primary lung disease and severe PH is challenging clinically, as extensive pulmonary arterial involvement, very low DLCO on pulmonary function testing, and inhibition of nor mal vasoreactivity are observed and are associated with poor outcome. Sleep-disordered syndromes generally result in mild PH. Pulmonary Hypertension Associated with Chronic Throm boembolic Disease The development of PH after chronic throm boembolic obstruction of the pulmonary arteries, termed CTEPH, is well described. The incidence of CTEPH following a single pulmo nary embolic event is difficult to determine accurately, but probably is between 3 and 7% of patients. Importantly, 25% of patients with CTEPH have no history of clinical venous thromboembolism, sug gesting that CTEPH may develop following a subclinical pulmonary embolism or through a diverse range of mechanisms. Obstruction of the proximal pulmonary vasculature due to webbing, stricture, or focal fibrotic occlusion signifies proximal vessel involvement. Distal pulmonary arterioles remodel by luminal narrowing or obliteration. Approximately 10–15% of patients will develop a disease very similar clinically and pathologically to PAH after resection of the proximal thrombus (Fig. 294-9). Chronic thromboembolic disease refers to patients with thrombotic pulmonary arterial remodeling and dimin ished exercise capacity with correlative symptoms in the absence of PH. This subtype is less common than CTEPH but requires consider ation in patients with prior PE and dyspnea even if echocardiography is reassuring. Control Hematoxylin and Eosin Trichrome Elastin 2193 HCM HCM FIGURE 294-8 Pulmonary vascular remodeling in patients with obstructive hypertrophic cardiomyopathy (HCM) and mild pulmonary hypertension. Photomicrographs showing pulmonary arterial histopathophenotype of HCM. Paraffin-embedded tissue sections from control donors without lung disease and example autopsy specimens from patients with symptomatic obstructive HCM were analyzed after hematoxylin and eosin, Masson trichrome, and Verhoeff-Van Gieson staining. (Adapted with permission from BA Maron et al: Chest 163:678, 2023.) </w:t>
      </w:r>
      <w:r w:rsidRPr="00F23836">
        <w:rPr>
          <w:rFonts w:ascii="Arial" w:hAnsi="Arial" w:cs="Arial"/>
        </w:rPr>
        <w:t>■</w:t>
      </w:r>
      <w:r w:rsidRPr="00F23836">
        <w:t xml:space="preserve">OTHER DISORDERS AFFECTING THE PULMONARY VASCULATURE Sarcoidosis Patients with sarcoidosis can develop PH as a result of lung involvement, and those who present with progressive dyspnea and PH require a thorough evaluation. In sarcoidosis, PH develops mainly due to granulomatous inflammation of the pulmonary vessels, although mechanical compression of pulmonary arteries by enlarged lymph nodes is also reported. Sickle Cell Disease Cardiovascular system abnormalities are prominent in the </w:t>
      </w:r>
      <w:r w:rsidRPr="00F23836">
        <w:lastRenderedPageBreak/>
        <w:t xml:space="preserve">clinical spectrum of sickle cell disease (and other hemoglobinopathies), including PH, which occurs in 6–10% of patients. The etiology is multifactorial, including hemolysis, hypoxemia, throm boembolism, chronically high CO, and chronic liver disease. Schistosomiasis Schistosomiasis affects &gt;230 million people worldwide, of whom 5% develop PAH. Thus, this infection is among the most common causes of PAH worldwide. The development of PAH occurs in the setting of hepatosplenic disease and portal hypertension. Indeed, even in the absence of schistosomiasis, splenectomy is a risk factor for PAH, presumably through impaired platelet sequestration and associated microthrombosis of pulmonary arterioles. Studies suggest that inflammation from a schistosomiasis infection induces pulmonary vascular injury through a combination of the following mechanisms: luminal obstruction by worm eggs, pulmonary artery endothelial cell inflammation, or portal hypertension that promotes a portopulmonary hypertension-PH phenotype The diagnosis is con firmed by finding the parasite ova in the urine or stool of patients with symptoms, which can be difficult. The efficacy of therapies directed toward PAH in these patients is unknown. </w:t>
      </w:r>
      <w:r w:rsidRPr="00F23836">
        <w:rPr>
          <w:rFonts w:ascii="Arial" w:hAnsi="Arial" w:cs="Arial"/>
        </w:rPr>
        <w:t>■</w:t>
      </w:r>
      <w:r w:rsidRPr="00F23836">
        <w:t>PHARMACOLOGIC TREATMENT OF PAH There are 14 U.S. Food and Drug Administration (FDA)</w:t>
      </w:r>
      <w:r w:rsidRPr="00F23836">
        <w:rPr>
          <w:rFonts w:ascii="Aptos" w:hAnsi="Aptos" w:cs="Aptos"/>
        </w:rPr>
        <w:t>–</w:t>
      </w:r>
      <w:r w:rsidRPr="00F23836">
        <w:t xml:space="preserve">approved medical therapies for PAH, and standardized treatment strategies have been developed that emphasize early, aggressive pharmaco therapy initiated at a specialty clinical center. Among optimally treated patients, the 1-, 3-, and 5-year survival estimates are 82, 67, and 58%, respectively, but this may overestimate risk since outcome data in the era of routine dual (and in some cases triple) therapy are lacking. All approved medical therapies target the prostacyclin, NO•, or endothelin receptor signaling pathways. Drug delivery methods now include oral, inhaled, subcutaneous (including via surgically implanted devices), and intravenous routes. Prostanoids In PAH, endothelial dysfunction and platelet activation cause an imbalance of arachidonic acid metabolites with reduced prostacyclin levels and increased thromboxane A2 produc tion. Prostacyclin (PGI2 ) activates cyclic adenosine monophosphate A 1cm B C FIGURE 294-9 Chronic thromboembolic pulmonary hypertension (CTEPH) imaging findings and surgical endarterectomy specimen. A. Contrast-enhanced computed tomography of the chest shows an obstructive vascular pattern involving segmental pulmonary arteries (yellow arrows) in a 63-year-old man with exertional dyspnea and remote history of pulmonary embolism. B. Still image of a pulmonary angiography of the right lung (submaximal injection shown) shows pulmonary artery stricture, webbing, and severe dearborization that is classic for CTEPH. C. Fibrotic, chronic clot specimens resected during surgical pulmonary endarterectomy, which is curative in most CTEPH patients. (Panel C is reproduced with permission from IM Lang, M Madani: Update on chronic thromboembolic pulmonary hypertension. Circulation 130:508, 2014.) CHAPTER 294 Pulmonary Hypertension 2194 (cAMP)–dependent pathways that mediate vasodilation. PGI2 also has achieving the composite primary endpoint of PAH-related clinical worsening, which included death or disease progression, was decreased by 45% in the 10-mg dose arm. PART 6 Disorders of the Cardiovascular System antiproliferative </w:t>
      </w:r>
      <w:r w:rsidRPr="00F23836">
        <w:lastRenderedPageBreak/>
        <w:t xml:space="preserve">effects on vascular smooth muscle and inhibits platelet aggregation. Protein levels of prostacyclin synthase are decreased in pulmonary arteries of patients with PAH. This imbalance of media tors is offset therapeutically by the administration of either exogenous prostacyclin (and analogues, termed prostanoids) or a prostacyclin receptor agonist. Epoprostenol was the first prostanoid available for the management of PAH. Epoprostenol delivered as a continuous intravenous infusion improves functional capacity and survival in PAH. The efficacy of epo prostenol in World Health Organization (WHO) Functional Class (FC) III and IV PAH patients was demonstrated in a clinical trial that showed improved quality of life, mPAP, PVR, 6-MWD, and mortality. Trepro stinil has a longer half-life than epoprostenol (~4 h vs ~6 min), which allows for subcutaneous administration. Treprostinil has been shown to improve pulmonary hemodynamics, symptoms, exercise capacity, and survival in PAH. Inhaled prostacyclin provides the beneficial effects of infused prostacyclin therapy without the inconvenience and side effects of infusion catheters (e.g., risk of infection and infusion site reactions). Both inhaled iloprost and treprostinil have been approved for patients with PAH and severe heart failure symptoms. Oral prostacyclin is also efficacious in clinical trials, but the maximal dose is modest and, there fore, generally reserved as a second-line therapy. Selexipag is an oral nonprostanoid diphenylpyrazine derivative that binds the prostaglandin I2 (IP) receptor with high affinity. The active metabolite of selexipag has a prolonged half-life in comparison with prostanoid analogues and permits twice-daily dosing. The efficacy of selexipag was evaluated in patients with PAH in New York Heart Association (NYHA) FC II to III on background therapy with either an endothelin-1 (ET-1) receptor antagonist or sildenafil, or both. This trial represents the largest randomized placebo-controlled trial among patients with PAH ever completed, enrolling 1156 patients treated for a median of 1.4 years. Selexipag reduced the risk of hospitalization and the risk of disease progression by 43% (p &lt; .0001) compared to those who received placebo. There were no significant differences in mortal ity between the two study groups, and the side effect profile was similar to that of prostacyclins. Endothelin Receptor Antagonists Endothelin receptor antago nists (ERAs) inhibit the detrimental effects of ET-1, a potent endog enous vasoconstrictor and vascular smooth muscle mitogen. In PAH, ET-1 associates positively with PVR and mPAP and inversely with CO and 6-MWD. The ET-1 signaling axis is complex and cell type–specific: ET type A (ETA ) and type B (ETB ) receptors expressed in pulmonary artery smooth muscle cells mediate vasoconstriction, whereas human pulmonary artery endothelial cells express ETB receptors that promote ET-1 clearance and vasodilation through endothelial nitric oxide synthase activation and prostacyclin release. The three ERAs approved for use in the United States are the non selective ETA/B receptor antagonists bosentan and macitentan and the selective ETA antagonist ambrisentan. Studies have shown that bosen tan improves hemodynamics and exercise capacity and delays clinical worsening. The randomized, placebo-controlled, phase 3 Bosentan Randomized Trial of Endothelin Antagonist Therapy (BREATHE)-1 trial comparing bosentan to placebo </w:t>
      </w:r>
      <w:r w:rsidRPr="00F23836">
        <w:lastRenderedPageBreak/>
        <w:t xml:space="preserve">demonstrated improved symp toms, 6-MWD, and WHO FC in patients treated with bosentan. The Endothelin Antagonist Trial in Mildly Symptomatic Pulmonary Arterial Hypertension Patients (EARLY) study comparing bosentan to placebo demonstrated improved PVR and 6-MWD in patients with WHO FC II. Several studies, including the phase 3, placebo-controlled Ambris entan in Pulmonary Arterial Hypertension, (ARIES)-1 trial, have demonstrated that ambrisentan improves exercise tolerance, WHO FC, hemodynamics, and quality of life in patients with PAH. More recently, the Study with an Endothelin Receptor Antagonist in Pulmonary Arte rial Hypertension to Improve Clinical Outcome (SERAPHIN) trial randomized 742 PAH patients to receive placebo or macitentan, which is an ETA/B antagonist with optimized receptor binding affinity. The majority of patients were on some form of background PAH therapy. Over an average treatment duration of 85 weeks, the hazard ratio for Nitric Oxide Pathway Effectors The gaseous, lipophilic mol ecule NO• is generated by endothelial nitric oxide synthase in endo thelial cells and activates soluble guanylyl cyclase (sGC) to generate cyclic guanosine monophosphate (cGMP) in vascular smooth muscle cells and platelets. The cyclic nucleotide cGMP is a second messenger that induces vasodilation through relaxation of arterial smooth muscle cells and inhibits platelet activation. Phosphodiesterase type 5 (PDE5) enzymes are highly expressed in lung vascular tissue (and the corpus carvernosum of the penis). The PDE5 inhibitors prevent hydrolysis (inactivation) of cGMP to maximize NO•-dependent vasodilation, serving as the basis for use of this drug class in the treatment of PH (and erectile dysfunction). The two PDE5 inhibitors used for the treat ment of PAH are sildenafil and tadalafil. Both agents have been shown to improve hemodynamics and 6-MWD. Riociguat increases bioactive cGMP by (1) stabilizing the molecular interaction between NO• and sGC, and (2) directly stimulating sGC independent of NO• bioavailability. Riociguat significantly improved exercise capacity, pulmonary hemodynamics, WHO FC, and time to clinical worsening in patients with PAH and is the sole approved pharmacotherapy for CTEPH patients for whom surgical pulmonary endarterectomy is ineffective or contraindicated. Activin Signal Inhibitor Therapy Motivated by basic and trans lational data suggesting that treatment with a TGF-β ligand trap inhib its the proproliferative activity of activin ligands in pulmonary vascular cells, sotatercept was developed as a novel fusion protein of the Fc domain of human IgG and the extracellular domain of activin receptor type II. Sotatercept blocks activin receptor II–ALK 4/5/7 signal trans duction to upregulate BMPR2 bioactivity. The putative effect of this drug’s reaction in PAH is rebalancing of the TGF-β–BMPR2 pathway to restore normal cellular survival and growth patterns. The PULSAR trial was a large, phase 2, placebo-controlled trial demonstrating a dose-dependent decrease in PVR by sotatercept (0.3 and 0.7 mg/kg administered as an injection) at study week 24 compared to baseline of –1.8 WU and 3.0 WU, respectively. The STELLAR trial was a phase 3 placebo-controlled trial that studied the effect of sotatercept 0.3 mg/kg with target dose of 0.7 mg/kg on 6-MWD. The patients in the study had moderate or severe symptom burden despite ongoing pulmonary vasodilator </w:t>
      </w:r>
      <w:r w:rsidRPr="00F23836">
        <w:lastRenderedPageBreak/>
        <w:t xml:space="preserve">treatment. In fact, ~60% of patients were on triple therapy, including 40% who were on treatment with intravenous prostacyclin treatment, typically reserved for high-risk or very-high risk patients (see below). Despite this prior treatment, sotatercept therapy resulted in an average of +40 m improvement in 6-MWD compared to –1.4 m for placebo and was associated with significant improvement in nearly all secondary endpoints including WHO FC improvement, reduction in NT-proBNP level, and shorter time to death or PAH worsening. Telangiectasia development was observed in 10.4% of patients in the sotatercept group, which tracks with the angio proliferative bioactivity reported for TGF-β, although the clinical rel evance of these vascular anomalies is not known. Finally, the long-term open-label study that tracked clinical progress up to 1 year in patients from PULSAR demonstrated a sustained (but not progressive) benefit in PVR reduction by sotatercept without an unexpected change in the proportion of side effects given the duration of the follow-up period. </w:t>
      </w:r>
      <w:r w:rsidRPr="00F23836">
        <w:rPr>
          <w:rFonts w:ascii="Arial" w:hAnsi="Arial" w:cs="Arial"/>
        </w:rPr>
        <w:t>■</w:t>
      </w:r>
      <w:r w:rsidRPr="00F23836">
        <w:t xml:space="preserve">APPROACH TO PAH TREATMENT Treatment aims to achieve a low clinical risk profile, defined as a 1-year mortality risk of 440 m, and cardiac index </w:t>
      </w:r>
      <w:r w:rsidRPr="00F23836">
        <w:rPr>
          <w:rFonts w:ascii="Aptos" w:hAnsi="Aptos" w:cs="Aptos"/>
        </w:rPr>
        <w:t>≥</w:t>
      </w:r>
      <w:r w:rsidRPr="00F23836">
        <w:t xml:space="preserve">2.5 L/min per m2. To accomplish this goal, early referral to an expert center is advised since most patients will ultimately require two or more PAH pharmacotherapies in addition to risk factor modification (such as a low-sodium diet), diuretic use to include mineralocorticoid receptor antagonists if tolerated, supplemental oxygen, and prescrip tion (or supervised) exercise (Fig. 294-10). It is clear that targeting the diverse pathobiologic and pathophysiologic events involved in vascular 2195 Unexplained Dyspnea or Suspected PH General Practitioner-Medical History-Physical Examination-ECG-BNP/NT-pro-BNP Fast Track Referral:-PAH-CTEPH-Warning Signs O2 Saturation Suspected Cause Lung Disease Lung Assessment-PFT-ABG-Chest XR-Chest CT-CPET Causes other than PH Identified? No Mange Accordingly Further Work up Rapid Cross Referral as Needed Low Suspect PAH or CTEPH PH or Cardiac Disease Heart Assessment-Echocardiography-CPET PH probability Intermediate or High Refer to PH Center FIGURE 294-10 Strategy for diagnosing pulmonary hypertension (PH) in clinical practice. Diagnostic algorithm of patients with unexplained dyspnea and/or suspected pulmonary hypertension. ABG, arterial blood gas analysis; BNP, brain natriuretic peptide; CPET, cardiopulmonary exercise testing; CT, computed tomography; CTEPH, chronic thromboembolic pulmonary hypertension; ECG, electrocardiogram; NT-proBNP, N-terminal pro-brain natriuretic peptide; PAH, pulmonary arterial hypertension; PFT, pulmonary function tests; PH, pulmonary hypertension. Warning signs include rapid progression of symptoms, severely reduced exercise capacity, presyncope or syncope on mild exertion, and signs of right heart failure. Lung and heart assessment by specialist as per local practice. CT pulmonary angiography recommended if PH suspected. Includes connective tissue disease (especially systemic sclerosis), portal hypertension, HIV infection, and family history of PAH. (Reproduced with permission of the © ERS 2024: Eur Resp J 61:2200879, 2023; DOI:10.1183/13993003.00879-2022.) remodeling is needed to optimize treatment. The concept of combina tion therapy in PAH is modeled after other complex diseases in </w:t>
      </w:r>
      <w:r w:rsidRPr="00F23836">
        <w:lastRenderedPageBreak/>
        <w:t xml:space="preserve">which a similar approach has been effective, including HIV, cancer, and left heart failure. The approach to therapy in a patient with incident PAH is outlined in Fig. 294-11. The role of early, aggressive therapy with combination oral treatments was addressed in the landmark Initial Use of Ambrisen tan plus Tadalafil in Pulmonary Arterial Hypertension (AMBITION) trial. Treatment-naïve, incident PAH patients (n = 500) were ran domized to a combination of ambrisentan and tadalafil, ambrisentan monotherapy, or tadalafil monotherapy. Up-front combination therapy with ambrisentan and tadalafil was associated with a 50% lower risk of clinical worsening (composite of death, lung transplantation, hospital ization for PAH worsening, and worsening PAH) when compared with the monotherapy groups. This difference was driven primarily by the delay in time to first hospitalization. Importantly, initial combination therapy was not associated with an increase in adverse events. Registry data suggest that patients on dual therapy with a PDE5 inhibitor plus ERA combinations alternative to the drugs studied in AMBITION also have better outcomes compared to patients treated with monotherapy, suggesting that the attendant benefit from combination therapy may not be drug specific. The paradigm shift toward early, aggressive pharmacotherapy in PAH is expanding to up-front triple combination therapy. Clinical studies on up-front triple therapy remain mixed, which is likely driven by challenges surrounding patient selection given the precarious bal ance between cumulative off-target effects occurring when multiple vasoactive drugs are initiated at the same time, frailty and limited hemodynamic reserve associated with advanced PAH, and need for aggressive treatment to mitigate severely abnormal hemodynamics or right ventricular heart failure. Generally, treatment deescalation, esca lation, or class switching for patients with established PAH should be decided in partnership with a PAH clinical center of excellence. Treatment of HFpEF Disease-specific treatments for HFpEF-PH are lacking. The focus of care should be to optimize contemporary treatment of HFpEF, including minimizing excessive salt and fluid intake while advancing SGLT-2 therapy, mineralocorticoid therapy, and diuretics, and encouraging regular exercise to promote weight loss and conditioning. Invasive PA pressure monitoring may be helpful for tracking elevation in LVEDP, detected as PH, to avert hospitalization. Treatment of PH due to Lung Disease Inhaled iloprost improved 6-MWD on average +33 m in a placebo-controlled random ized clinical trial studying patients with interstitial lung disease and PH and moderate-to-severe exercise limitation. Although a promising future strategy for the routine management of patients, additional data are needed to confirm efficacy and clarify the criteria defining optimal patients for treatment since dosing is frequent and a substantial rate CHAPTER 294 Pulmonary Hypertension 2196 Incident PAH Patient PART 6 Disorders of the Cardiovascular System Vasoreactive Without chest pain, syncope, WHO FC IV or other high risk findings1 Initial Therapy Oral Calcium Channel Antagonist Therapy Non-Vasoreactive With chest pain, syncope, WHO FC IV or other high risk findings1 Initial Therapy i.v. or s.c. Prostacyclin + Ambrisentan + Tadalafil Non-Vasoreactive Without chest pain, syncope, WHO FC IV or other high risk findings1 Initial </w:t>
      </w:r>
      <w:r w:rsidRPr="00F23836">
        <w:lastRenderedPageBreak/>
        <w:t xml:space="preserve">Therapy Ambrisentan + Tadalafil or Macitentan + Tadalafil 1pVO2 1100 ng/mL; at least moderate pericardial effusion; cardiac index 12 WU, right heart failure, and NYHA FC IV are viewed as high-risk findings and may be prohibitive in terms of postoperative risk. Patients who are ineligible for pulmonary endarterectomy or do not experience a complete clinical result in the postoperative phase should be considered for treatment with riociguat (sGC stimulator) therapy, balloon pulmonary angioplasty (BPA), or a combination of both. Compared to riociguat, BPA modulates a decrease in mPAP of –9.3 mmHg but requires on average five procedural attempts and is associated with some important potential complications, including hemoptysis and reperfusion pulmonary edema (Fig. 294-12). CTEPH Diagnosis Lifelong Anticoagulation (warfarin preferred) Assessment by Multi-disciplinary CTEPH Expert Team Proximal vs. distal clot Comorbidities PVR &gt;12 WU Right heart failure NYHA FC IV PH Clinician Pulmonary Endarterectomy: Operable Chest Radiologist Thoracic Surgery Pulmonary Endarterectomy Interventional Cardiology Pulmonary Endarterectomy: Non-Operable Riociguat (sildenafil, treprostinil) ± BPA Refractory Symptoms + PH FIGURE 294-12 Algorithm for the management of chronic thromboembolic pulmonary hypertension (CTEPH). BPA, balloon pulmonary angioplasty; NYHA FC, New York Heart Association functional class; PH, pulmonary hypertension; PVR, pulmonary vascular resistance. (Adapted from NH Kim et al: Eur Respir J 53:1801915, 2019.) TABLE 294-2 FDA-Approved Therapies for the Treatment of Pulmonary Arterial Hypertension (PAH) 2197 GENERIC NAME Epoprostenol Iloprost Treprostinil Treprostinil ROUTE OF ADMINISTRATION IV Inhaled IV or SC Inhaled DRUG CLASS Prostacyclin derivative Prostacyclin derivative Prostacyclin derivative Prostacyclin derivative INDICATION Treatment of PAH to improve exercise capacity Treatment of PAH to improve a composite endpoint consisting of exercise tolerance, symptoms (NYHA class), and lack of deterioration Treatment of PAH to diminish symptoms associated with exercise Treatment of PAH to improve exercise ability Treprostinil Selexipag Bosentan Ambrisentan Macitentan Sildenafil Tadalafil Riociguat Oral Oral Oral Oral Oral Oral or IV Oral Oral Prostacyclin derivative Selective IP receptor agonist Endothelin receptor antagonist Endothelin receptor antagonist Endothelin receptor antagonist PDE5 inhibitor PDE5 inhibitor Soluble guanylyl cyclase stimulator Treatment of PAH to improve exercise ability Treatment of PAH to improve a composite endpoint lack of clinical deterioration Treatment of PAH to improve exercise capacity and to decrease clinical worsening Treatment of PAH to improve exercise capacity and delay clinical worsening Treatment of PAH to improve a composite endpoint of delay of clinical worsening Treatment of PAH to improve exercise capacity and delay clinical worsening Treatment of PAH to improve exercise ability Treatment of PAH to improve exercise ability Abbreviations: FDA, U.S. Food and Drug Administration; IV, intravenous; NYHA, New York Heart Association; PAH, pulmonary arterial hypertension; PDE5, phosphodiesterase-5; SC, subcutaneous. </w:t>
      </w:r>
      <w:r w:rsidRPr="00F23836">
        <w:rPr>
          <w:rFonts w:ascii="Arial" w:hAnsi="Arial" w:cs="Arial"/>
        </w:rPr>
        <w:t>■</w:t>
      </w:r>
      <w:r w:rsidRPr="00F23836">
        <w:t xml:space="preserve">UNMET AND FUTURE RESEARCH NEEDS IN PULMONARY HYPERTENSION Delayed diagnosis is a major barrier to improving </w:t>
      </w:r>
      <w:r w:rsidRPr="00F23836">
        <w:lastRenderedPageBreak/>
        <w:t xml:space="preserve">outcome in PAH. Improved awareness among clinicians and patients could lead to more timely diagnosis that will affect the response to therapy and survival. At-risk patients should be referred early to a specialty center that focuses on treatment of patients with pulmonary vascular disease, which will ensure their access to state-of-the-art (multidisciplinary) care. In addition, the role of currently available drugs in early-stage disease is not known and requires further investigation (Table 294-2). The anticipated approval of sotatercept is exciting and paves a path toward the availability of the first novel drug class in PAH in nearly two decades. However, clinical trial data continue to lack information from diverse patient subgroups, suggesting that health inequity in PH remains a critical opportunity for progress. </w:t>
      </w:r>
      <w:r w:rsidRPr="00F23836">
        <w:rPr>
          <w:rFonts w:ascii="Arial" w:hAnsi="Arial" w:cs="Arial"/>
        </w:rPr>
        <w:t>■</w:t>
      </w:r>
      <w:r w:rsidRPr="00F23836">
        <w:t>FURTHER READING Alba GA et al: NEDD9 is a novel and modifiable mediator of platelet endothelial adhesion in the pulmonary circulation. Am J Respir Crit Care Med 203:1533, 2021. Bernardo RJ et al: Health care disparities in pulmonary arterial hypertension. Clin Chest Med 44:543, 2023. Hemnes AR et al: Clinical characteristics and transplant-free survival across the spectrum of pulmonary vascular disease. J Am Coll Car diol 80:697, 2022. Ho JE et al: Exercise pulmonary hypertension predicts clinical out comes in patients with dyspnea on effort. J Am Coll Cardiol 75:17, 2020. Hoeper MM et al: Phase 3 trial of sotatercept for treatment of pulmo nary arterial hypertension. N Engl J Med 388:1478, 2023. Johnson S et al: Pulmonary hypertension: A contemporary review. Am J Respir Crit Care Med 208:528, 2023. Sommer N et al: Current and future treatments of pulmonary arterial hypertension. Br J Pharmacol 178:6, 2021. Walters R et al: SOX17 enhancer variants disrupt transcription factor binding and enhancer inactivity drives pulmonary hypertension. Circulation 147:1606, 2023. Yung LM et al: ACTRIIA-Fc rebalances activin/GDF versus BMP signaling in pulmonary hypertension. Sci Transl Med 12:eaaz5660, 2020. Zeder K et al: Elevated pulmonary vascular resistance predicts mortal ity in COPD patients. Eur Respir J 58:2100944, 2021. CHAPTER 294 Pulmonary Hypertension</w:t>
      </w:r>
      <w:r>
        <w:br/>
      </w:r>
    </w:p>
    <w:p w14:paraId="4A0C9B21" w14:textId="77777777" w:rsidR="00F23836" w:rsidRDefault="00F23836"/>
    <w:p w14:paraId="2CBB0172" w14:textId="77777777" w:rsidR="00F23836" w:rsidRDefault="00F23836"/>
    <w:p w14:paraId="53D8ED18" w14:textId="3EF9D426" w:rsidR="00F23836" w:rsidRDefault="00F23836">
      <w:r>
        <w:t xml:space="preserve">Part-4 </w:t>
      </w:r>
      <w:r w:rsidRPr="00F23836">
        <w:t>Oncology and Hematology</w:t>
      </w:r>
      <w:r>
        <w:br/>
      </w:r>
      <w:r w:rsidR="00A6019F" w:rsidRPr="00A6019F">
        <w:t xml:space="preserve">Oncology and Hematology PART 4 Approach to the Patient with Cancer Dan L. Longo 73 The application of current treatment techniques (surgery, radiation therapy, chemotherapy, and biologic therapy) results in the cure of nearly two of three patients diagnosed with cancer. Nevertheless, patients experience the diagnosis of cancer as one of the most trau matic and revolutionary events that has ever happened to them. Inde pendent of prognosis, the diagnosis brings with it a change in a person’s self-image and in their role in the home and workplace. The prognosis of a person who has just been found to have pancreatic cancer is the same as the prognosis of the person with </w:t>
      </w:r>
      <w:r w:rsidR="00A6019F" w:rsidRPr="00A6019F">
        <w:lastRenderedPageBreak/>
        <w:t xml:space="preserve">aortic stenosis who develops the first symptoms of congestive heart failure (median survival, ~8 months). However, the patient with heart disease may remain functional and maintain a self-image as a fully intact person with just a malfunctioning part, a diseased organ (“a bum ticker”). By contrast, the patient with pancreatic cancer has a completely altered self-image and is viewed differently by family and anyone who knows the diagnosis. The patient is being attacked and invaded by a disease that could be anywhere in the body. Every ache or pain takes on desperate significance. Cancer is an exception to the coordinated interaction among cells and organs. In general, the cells of a multicel lular organism are programmed for collaboration. Many diseases occur because the specialized cells fail to perform their assigned task. Cancer takes this malfunction one step further. Not only is there a failure of the cancer cell to maintain its specialized function, but it also strikes out on its own; the cancer cell competes to survive using natural mutability and natural selection to seek advantage over normal cells in a reca pitulation of evolution. One consequence of the traitorous behavior of cancer cells is that the patient feels betrayed by their body. The cancer patient feels that they, and not just a body part, are diseased. THE MAGNITUDE OF THE PROBLEM No nationwide cancer registry exists; therefore, the incidence of cancer is estimated on the basis of the National Cancer Institute’s Surveillance, Epidemiology, and End Results (SEER) database, which tabulates cancer incidence and death figures from 13 sites, accounting for about 10% of the U.S. population, and from population data from the U.S. Census Bureau. In 2024, 2.001 million new cases of invasive cancer (1,029,080 men and 927,060 women) were diagnosed, and 611,720 per sons (322,800 men and 288,920 women) died from cancer. The percent distribution of new cancer cases and cancer deaths by site for men and women is shown in Table 73-1. Cancer mortality continues to decline; however, 6 of the 10 most common cancers have increased in incidence by 1–3% in recent years, and troubling disparities among different racial/ethnic groups persist. Mortality is twice as high in black people than white people for cancers of the prostate, stomach, and uterine corpus. Cancer is the cause of one in four deaths in the United States. Section 1 Neoplastic Disorders TABLE 73-1 Distribution of Cancer Incidence and Deaths for 2021 MALE FEMALE SITES % NUMBER SITES % NUMBER Cancer Incidence Prostate 29 299,010 Breast 32 310,720 Lung 11 116,310 Lung 12 118,270 Colorectal 8 81,540 Colorectal 7 71,270 Bladder 6 63,070 Endometrial 7 67,880 Melanoma 6 59,170 Melanoma 4 41,470 Kidney 5 52,380 Lymphoma 4 36,030 Lymphoma 4 44,590 Pancreas 3 31,910 Oral cavity 4 41,510 Thyroid 3 31,520 Leukemia 4 36,450 Kidney 3 29,230 Pancreas 3 34,530 Leukemia 3 26,320 All others 19 200,520 All others 21 207,440 All sites 100 1,029,080 All sites 100 972,060 Cancer Deaths Lung 20 65,790 Lung 21 59,280 Prostate 11 35,250 Breast 15 42,250 Colorectal 9 28,700 Pancreas 8 24,480 Pancreas 8 25,270 Colorectal 8 24,310 Liver 6 19,120 Endometrial 5 13.250 Leukemia 4 13,640 Ovary 4 12,740 Esophagus 4 12,880 Liver 3 10,720 Bladder 4 12,290 Leukemia 3 10,030 Lymphoma 4 11,780 Lymphoma 3 8,360 CNS 3 10,690 CNS 3 8,070 All others 27 87,390 All others 26 75,4330 All sites 100 322,800 All sites 100 </w:t>
      </w:r>
      <w:r w:rsidR="00A6019F" w:rsidRPr="00A6019F">
        <w:lastRenderedPageBreak/>
        <w:t xml:space="preserve">288,920 Source: From RL Siegel et al: Cancer statistics, 2024. CA Cancer J Clin 74:12, 2024. Reproduced John Wiley &amp; Sons Ltd. 498 Male Female 250 225 200 175 Rate per 100,000 population PART 4 Oncology and Hematology 150 125 100 75 50 25 0 1975 1980 1985 1990 1995 2000 Year of diagnosis 250 225 Prostate Melanoma of the skin 200 175 150 125 Lung &amp; bronchus Colorectum Urinary bladder 100 75 50 Breast Colorectum Lung &amp; bronchus Uterine corpus 25 Thyroid Livera 2005 2010 2015 2020 0 1975 1980 1985 1990 1995 2000 Year of diagnosis Melanoma of the skin Thyroid Livera 2005 2010 2015 2020 FIGURE 73-1 Trends in cancer incidence for men and women, 1975–2020. Incidence data for 2020 are indicated by color dots separate from the trend lines. (Reproduced with permission from RL Siegel et al: Cancer statistics, 2024. CA Cancer J Clin 74:1, 2024.) The most significant risk factor for cancer overall is age; 58% of all cases were in those aged &gt;65 years, down from 61% in 1995, despite an increase in this age group from 13% to 17% of the population. Cancer incidence increases as the third, fourth, or fifth power of age in differ ent sites. For the interval between birth and age 49 years, 1 in 29 men and 1 in 19 women will develop cancer; for the interval between ages 50 and 59 years, 1 in 15 men and 1 in 17 women will develop cancer; for the interval between ages 60 and 69 years, 1 in 6 men and 1 in 10 women will develop cancer; and for people aged ≥70, 1 in 3 men and 1 in 4 women will develop cancer. Overall, men have a 40.5% risk of developing cancer at some time during their lives; women have a 38.9% lifetime risk. Cancer is the second leading cause of death behind heart disease. Deaths from heart disease have declined 45% in the United States since 1950 and continue to decline. Cancer has overtaken heart disease as the number one cause of death in persons aged 80 Lung Lung Prostate Breast Colorectal Colorectal Bladder Pancreas Pancreas Leukemia Source: From RL Siegel et al: Cancer statistics, 2024. CA Cancer J Clin 74:12, 2024. Approach to the Patient with Cancer 501 CHAPTER 73 for the absence and presence, respectively, of metastases). The various permutations of T, N, and M scores (sometimes including tumor histo logic grade [G]) are then broken into stages, usually designated by the roman numerals I through IV. Tumor burden increases and curability decreases with increasing stage. Other anatomic staging systems are used for some tumors, e.g., the Dukes classification for colorectal can cers, the International Federation of Gynecologists and Obstetricians classification for gynecologic cancers, and the Ann Arbor classification for Hodgkin’s lymphoma. Certain tumors cannot be grouped on the basis of anatomic con siderations. For example, hematopoietic tumors such as leukemia, myeloma, and lymphoma are often disseminated at presentation and do not spread like solid tumors. For these tumors, other prognostic factors have been identified (Chaps. 109–116). In addition to tumor burden, a second major determinant of treatment outcome is the physiologic reserve of the patient. Patients who are bedridden before developing cancer are likely to fare worse, stage for stage, than fully active patients. Physiologic reserve is a determinant of how a patient is likely to cope with the physiologic stresses imposed by the cancer and its treatment. This factor is dif ficult to assess directly. Instead, surrogate markers for </w:t>
      </w:r>
      <w:r w:rsidR="00A6019F" w:rsidRPr="00A6019F">
        <w:lastRenderedPageBreak/>
        <w:t xml:space="preserve">physiologic reserve are used, such as the patient’s age or Karnofsky performance status (Table 73-4) or Eastern Cooperative Oncology Group (ECOG) performance status (Table 73-5). Older patients and those with a Karnofsky performance status 50% of waking hours Able to carry on normal activity; minor signs or symptoms of disease Normal activity with effort; some signs or symptoms of disease Cares for self; unable to carry on normal activity or do active work Requires occasional assistance but is able to care for most needs Requires considerable assistance and frequent medical care ECOG grade 3: Capable of only limited self-care, confined to bed or chair &gt;50% of waking hours Disabled; requires special care and assistance ECOG grade 4: Completely disabled. Cannot carry on any self-care. Totally confined to bed or chair Severely disabled; hospitalization is indicated, although death is not imminent ECOG grade 5: Dead Very sick; hospitalization is necessary; active supportive treatment is necessary TABLE 73-4 Karnofsky Performance Index PERFORMANCE STATUS Moribund, fatal processes progressing rapidly Source: Reproduced with permission from MM Oken et al: Toxicity and response criteria of the Eastern Cooperative Oncology Group. Am J Clin Oncol 5:649, 1982. Dead 100 90 80 70 60 50 40 30 20 10 0 504 New symptoms developing in the course of cancer treatment should always be assumed to be reversible until proven otherwise. The fatal istic attribution of anorexia, weight loss, and jaundice to recurrent or progressive tumor could result in a patient dying from a reversible intercurrent cholecystitis. Intestinal obstruction may be due to revers ible adhesions rather than progressive tumor. Systemic infections, sometimes with unusual pathogens, may be a consequence of the immunosuppression associated with cancer therapy. Some drugs used to treat cancer or its complications (e.g., nausea) may produce central nervous system symptoms that look like metastatic disease or may mimic paraneoplastic syndromes such as the syndrome of inappropri ate antidiuretic hormone. A definitive diagnosis should be pursued and may even require a repeat biopsy. PART 4 Oncology and Hematology A critical component of cancer management is assessing the response to treatment. In addition to a careful physical examination in which all sites of disease are physically measured and recorded in a flow chart by date, response assessment usually requires periodic repeating of imaging tests that were abnormal at the time of staging. If imaging tests have become normal, repeat biopsy of previously involved tissue is performed to document complete response by patho logic criteria. Biopsies are not usually required if there is macroscopic residual disease. A complete response is defined as disappearance of all evidence of disease, and a partial response as &gt;50% reduction in the sum of the products of the perpendicular diameters of all measurable lesions. The determination of partial response may also be based on a 30% decrease in the sums of the longest diameters of lesions (Response Evaluation Criteria in Solid Tumors [RECIST]). Progressive disease is defined as the appearance of any new lesion or an increase of &gt;25% in the sum of the products of the perpendicular diameters of all measur able lesions (or an increase of 20% in the sums of the longest diameters by RECIST). Tumor shrinkage or growth that does not meet any of these criteria is </w:t>
      </w:r>
      <w:r w:rsidR="00A6019F" w:rsidRPr="00A6019F">
        <w:lastRenderedPageBreak/>
        <w:t xml:space="preserve">considered stable disease. Some sites of involvement (e.g., bone) or patterns of involvement (e.g., lymphangitic lung or dif fuse pulmonary infiltrates) are considered unmeasurable. No response is complete without biopsy documentation of their resolution, but partial responses may exclude their assessment unless clear objective progression has occurred. For some hematologic neoplasms, flow cytometric and genetic assays may determine the presence of residual tumor cells that escape micro scopic detection. In general, these techniques can reliably detect as few as 1 tumor cell among 10,000 cells. If such tests do not detect tumor cells, the patient is said to have minimal residual disease negativity, a finding generally associated with more durable remissions. Accumulating data are defining interventions in patients with minimal residual disease positivity that can extend remission duration and survival. Tumor markers may be useful in patient management in certain tumors. Response to therapy may be difficult to gauge with certainty. However, some tumors produce or elicit the production of markers that can be measured in the serum or urine, and in a particular patient, rising and falling levels of the marker are usually associated with increasing or decreasing tumor burden, respectively. Some clinically useful tumor markers are shown in Table 73-6. Tumor markers are not in themselves specific enough to permit a diagnosis of malignancy to be made, but once a malignancy has been diagnosed and shown to be associated with elevated levels of a tumor marker, the marker can be used to assess response to treatment. The recognition and treatment of depression are important compo nents of management. The incidence of depression in cancer patients is ~25% overall and may be greater in patients with greater debility. This diagnosis is likely in a patient with a depressed mood (dysphoria) and/or a loss of interest in pleasure (anhedonia) for at least 2 weeks. In addition, three or more of the following symptoms are usually present: appetite change, sleep problems, psychomotor retardation or agitation, fatigue, feelings of guilt or worthlessness, inability to concentrate, and suicidal ideation. Patients with these symptoms should receive therapy. Medical therapy with a serotonin reuptake inhibitor such as fluoxetine (10–20 mg/d), sertraline (50–150 mg/d), or paroxetine (10–20 mg/d) or a tricyclic antidepressant such as amitriptyline (50–100 mg/d) or desipramine (75–150 mg/d) should be tried, allowing 4–6 weeks TABLE 73-6 Tumor Markers TUMOR MARKERS Hormones Human chorionic gonadotropin Calcitonin Catecholamines CANCER Gestational trophoblastic disease, gonadal germ cell tumor Medullary cancer of the thyroid Pheochromocytoma Oncofetal Antigens α Fetoprotein Carcinoembryonic antigen Enzymes Prostatic acid phosphatase Neuron-specific enolase Lactate dehydrogenase Hepatocellular carcinoma, gonadal germ cell tumor Adenocarcinomas of the colon, pancreas, lung, breast, ovary Prostate cancer Small-cell cancer of the lung, neuroblastoma Lymphoma, Ewing’s sarcoma Tumor-Associated Proteins Prostate-specific antigen Monoclonal immunoglobulin CA-125 Prostate cancer Myeloma NONNEOPLASTIC CONDITIONS Pregnancy Cirrhosis, hepatitis Pancreatitis, hepatitis, inflammatory bowel disease, smoking Prostatitis, prostatic hypertrophy Hepatitis, hemolytic anemia, many others </w:t>
      </w:r>
      <w:r w:rsidR="00A6019F" w:rsidRPr="00A6019F">
        <w:lastRenderedPageBreak/>
        <w:t xml:space="preserve">Prostatitis, prostatic hypertrophy Infection, MGUS Ovarian cancer, some lymphomas Menstruation, peritonitis, pregnancy CA 19-9 CD30 CD25 Colon, pancreatic, breast cancer Hodgkin’s disease, anaplastic large-cell lymphoma Hairy cell leukemia, adult T-cell leukemia/lymphoma Pancreatitis, ulcerative colitis — Hemophagocytic lymphohistiocytosis Abbreviation: MGUS, monoclonal gammopathy of uncertain significance. for response. Effective therapy should be continued at least 6 months after resolution of symptoms. If therapy is unsuccessful, other classes of antidepressants may be used. In addition to medication, psychoso cial interventions such as support groups, psychotherapy, and guided imagery may be of benefit. Many patients opt for unproven or unsound approaches to treat ment when it appears that conventional medicine is unlikely to be curative. Those seeking such alternatives are often well educated and may be early in the course of their disease. Unsound approaches are usually hawked on the basis of unsubstantiated anecdotes and not only cannot help the patient but may be harmful. Physicians should strive to keep communications open and nonjudgmental, so that patients are more likely to discuss with the physician what they are actually doing. The appearance of unexpected toxicity may be an indication that a supplemental therapy is being taken.2 LONG-TERM FOLLOW-UP/LATE COMPLICATIONS At the completion of treatment, sites originally involved with tumor are reassessed, usually by radiography or imaging techniques, and any persistent abnormality is biopsied. If disease persists, the multidis ciplinary team discusses a new salvage treatment plan. If the patient has been rendered disease-free by the original treatment, the patient 2 Information about unsound methods may be obtained from the National Council Against Health Fraud, Box 1276, Loma Linda, CA 92354, or from the Center for Medical Consumers and Health Care Information, 237 Thompson Street, New York, NY 10012. 505 is followed regularly for disease recurrence. The optimal guidelines for follow-up care are not known. For many years, a routine practice has been to follow the patient monthly for 6–12 months, then every other month for a year, every 3 months for a year, every 4 months for a year, every 6 months for a year, and then annually. At each visit, a battery of laboratory and radiographic and imaging tests was obtained on the assumption that it is best to detect recurrent disease before it becomes symptomatic. However, where follow-up procedures have been examined, this assumption has been found to be untrue. Studies of breast cancer, melanoma, lung cancer, colon cancer, and lymphoma have all failed to support the notion that asymptomatic relapses are more readily cured by salvage therapy than symptomatic relapses. In view of the enormous cost of a full battery of diagnostic tests and their manifest lack of impact on survival, new guidelines are emerging for less frequent follow-up visits, during which the history and physical examination are the major investigations performed. As time passes, the likelihood of recurrence of the primary cancer diminishes. For many types of cancer, survival for 5 years without recurrence is tantamount to cure. However, important medical prob lems can occur in patients treated for cancer and must be examined (Chap. 100). Some problems emerge as a consequence of the disease and some as a </w:t>
      </w:r>
      <w:r w:rsidR="00A6019F" w:rsidRPr="00A6019F">
        <w:lastRenderedPageBreak/>
        <w:t xml:space="preserve">consequence of the treatment. An understanding of these disease- and treatment-related problems may help in their detec tion and management. Despite these concerns, most patients who are cured of cancer return to normal lives. </w:t>
      </w:r>
      <w:r w:rsidR="00A6019F" w:rsidRPr="00A6019F">
        <w:rPr>
          <w:rFonts w:ascii="Arial" w:hAnsi="Arial" w:cs="Arial"/>
        </w:rPr>
        <w:t>■</w:t>
      </w:r>
      <w:r w:rsidR="00A6019F" w:rsidRPr="00A6019F">
        <w:t xml:space="preserve">SUPPORTIVE CARE In many ways, the success of cancer therapy depends on the success of the supportive care. Failure to control the symptoms of cancer and its treatment may lead patients to abandon curative therapy. Of equal importance, supportive care is a major determinant of quality of life. Even when life cannot be prolonged, the physician must strive to pre serve its quality. Quality-of-life measurements have become common endpoints of clinical research studies. Furthermore, palliative care has been shown to be cost-effective when approached in an organized fashion. A credo for oncology could be to cure sometimes, to extend life often, and to comfort always. Management strategies for cancer pain, nausea, and other common side effects of cancer and its treatment are outlined in Chap. 74. An approach to end-of-life care is provided in Chap. 13. Psychosocial Support The psychosocial needs of patients vary with their situation. Patients undergoing treatment experience fear, anxiety, and depression. Self-image is often seriously compromised by deforming surgery and loss of hair. Women who receive cosmetic advice that enables them to look better also feel better. Loss of control over how one spends time can contribute to the sense of vulnerability. Juggling the demands of work and family with the demands of treat ment may create enormous stresses. Sexual dysfunction is highly prevalent and needs to be discussed openly with the patient. An empa thetic health care team is sensitive to the individual patient’s needs and permits negotiation where such flexibility will not adversely affect the course of treatment. Cancer survivors have other sets of difficulties. Patients may have fears associated with the termination of a treatment they associate with their continued survival. Adjustments are required to physical losses and handicaps, real and perceived. Patients may be preoccupied with minor physical problems. They perceive a decline in their job mobility and view themselves as less desirable workers. They may be victims of job and/or insurance discrimination. Patients may experience dif ficulty reentering their normal past life. They may feel guilty for hav ing survived and may carry a sense of vulnerability to colds and other illnesses. Perhaps the most pervasive and threatening concern is the ever-present fear of relapse (the Damocles syndrome). Patients in whom therapy has been unsuccessful have other prob lems related to the end of life. Death and Dying The most common causes of death in patients with cancer are infection (leading to circulatory failure), respiratory failure, hepatic failure, and renal failure. Intestinal blockage may lead to inanition and starvation. Central nervous system disease may lead to seizures, coma, and central hypoventilation. About 70% of patients develop dyspnea preterminally. However, many months usually pass between the diagnosis of cancer and the occurrence of these compli cations, and during this period, the patient is severely affected by the possibility of death. The path of unsuccessful cancer treatment usually occurs in three phases. First, there is optimism at the hope of cure; when the tumor recurs, there is the acknowledgment of an incurable disease, and </w:t>
      </w:r>
      <w:r w:rsidR="00A6019F" w:rsidRPr="00A6019F">
        <w:lastRenderedPageBreak/>
        <w:t xml:space="preserve">the goal of palliative therapy is embraced in the hope of being able to live with disease; finally, at the disclosure of imminent death, another adjustment in outlook takes place. The patient imagines the worst in preparation for the end of life and may go through stages of adjustment to the diagnosis. These stages include denial, isola tion, anger, bargaining, depression, acceptance, and hope. Of course, patients do not all progress through all the stages or proceed through them in the same order or at the same rate. Nevertheless, developing an understanding of how the patient has been affected by the diagnosis and is coping with it is an important goal of patient management. It is best to speak frankly with the patient and the family regarding the likely course of disease. These discussions can be difficult for the physician as well as for the patient and family. The critical features of the interaction are to reassure the patient and family that everything that can be done to provide comfort will be done. They will not be abandoned. Many patients prefer to be cared for in their homes or in a hospice setting rather than a hospital. The American College of Physi cians has published a book called Home Care Guide for Cancer: How to Care for Family and Friends at Home that teaches an approach to successful problem-solving in home care. With appropriate planning, it should be possible to provide the patient with the necessary medical care as well as the psychological and spiritual support that will prevent the isolation and depersonalization that can attend in-hospital death. The care of dying patients may take a toll on the physician. A “burn out” syndrome has been described that is characterized by fatigue, dis engagement from patients and colleagues, and a loss of self-fulfillment. Efforts at stress reduction, maintenance of a balanced life, and setting realistic goals may combat this disorder. End-of-Life Decisions Unfortunately, a smooth transition in treatment goals from curative to palliative may not be possible in all cases because of the occurrence of serious treatment-related compli cations or rapid disease progression. Vigorous and invasive medical support for a reversible disease or treatment complication is assumed to be justified. However, if the reversibility of the condition is in doubt, the patient’s wishes determine the level of medical care. These wishes should be elicited before the terminal phase of illness and reviewed periodically. Information about advance directives can be obtained from the American Association of Retired Persons, 601 E Street, NW, Washington, DC 20049, 202-434-2277, or Choice in Dying, 250 West 57th Street, New York, NY 10107, 212-366-5540. Some states allow physicians to assist patients who choose to end their lives. This subject is challenging from an ethical and a medical point of view. Discussions of end-of-life decisions should be candid and involve clear informed consent, waiting periods, second opinions, and documentation. A full discussion of end-of-life management is provided in Chap. 13. CHAPTER 73 Approach to the Patient with Cancer </w:t>
      </w:r>
      <w:r w:rsidR="00A6019F" w:rsidRPr="00A6019F">
        <w:rPr>
          <w:rFonts w:ascii="Arial" w:hAnsi="Arial" w:cs="Arial"/>
        </w:rPr>
        <w:t>■</w:t>
      </w:r>
      <w:r w:rsidR="00A6019F" w:rsidRPr="00A6019F">
        <w:t xml:space="preserve">FURTHER READING Bray F et al: Global cancer statistics 2022: GLOBOCAN estimates of incidence and mortality worldwide for 36 cancers in 185 countries. CA Cancer J Clin 74:229, 2024. Hesketh PJ et al: Antiemetics: ASCO guideline update. J Clin Oncol 38:2782, 2020. Kelley AS, Morrison RS: Palliative care for the seriously ill. N Engl J Med 373:747, 2015. Martini RS et al: </w:t>
      </w:r>
      <w:r w:rsidR="00A6019F" w:rsidRPr="00A6019F">
        <w:lastRenderedPageBreak/>
        <w:t xml:space="preserve">Integrative approaches for cancer pain management. Curr Oncol Rep 26:691, 2024. Samala RV et al: Frequently asked questions about managing cancer pain: An update. Cleve Clin Med J 88:183, 2021. Siegel RL et al: Cancer statistics, 2024. CA Cancer J Clin 74:12, 2024. 506 74 Symptom Control in Patients with Cancer Charles L. Loprinzi, Thomas J. Smith THE FIRST STEP: IMPORTANCE OF PROPER SYMPTOM ASSESSMENT AND RESOLUTION PART 4 Oncology and Hematology Several randomized trials have now shown that for metastatic cancer patients, prompt symptom assessment and resolution lead to substan tially increased survival. Basch and colleagues at Memorial Sloan Ket tering Cancer Center randomized 766 metastatic solid tumor patients to usual care or once-a-week monitoring of 12 common symptoms (the patient-reported outcomes [PRO] group); these patients checked in once a week by computer or smartphone. Nurses monitored the symptom for “spikes” such as in pain and contacted the patient or brought them in for evaluation. Quality of life was significantly better in the PRO group. Surprisingly, median overall survival (OS) was 31.2 months in the PRO group and 26 months in the usual care group (p = .03). There was an absolute difference in OS of 6 per 100 patients at 5 years in the PRO group compared to the control group. In a similar trial of 121 stage III and IV lung cancer patients randomized to usual care or once-weekly PRO reporting, the median OS was 22.5 months versus 13.5 months. The absolute OS difference at 2 years was 10–12 of every 100 patients. In a cluster randomized trial of 52 oncology practices and 1191 patients, PROs completed each week led to statistically significant improvements in quality of life outcomes at 3 months; the primary outcome, OS, has not been reported. This extra attention to symptom assessment and manage ment may be part of the reason that patients randomized to concurrent palliative care in addition to their cancer care live longer. A general principle from the above trials is that the health care pro vider should use some form of PRO-related scale to assess symptoms. Homsi et al. evaluated 200 patients referred to the Cleveland Clinic using a 48-item symptom checklist versus what the patients volun teered. The median number of volunteered symptoms was one; the median number using a checklist was 10. Fifty-two percent of these symptoms were rated moderate or severe, 48% mild, and 53% distress ing. Fatigue and pain were the most common symptoms reported in both groups. Not everyone has access to an electronic computer-based PRO system or the ability to integrate this into the electronic medical record (EMR). Readily available and free scales such as the Edmonton Symptom Assessment System–Revised can be done on paper or elec tronic tablets and pasted into the EMR. The most recent scale includes questions on spirituality and financial distress and is available in many languages (Fig. 74-1). Even with a nurse assisting the patient, the aver age completion time was only 117 s, so time should not be a barrier. Using pain as the most common example of cancer symptoms, many clinicians have been conditioned to use pain as the fifth vital sign and almost immediately ask for a number from 0–10. First, try to establish the generators of the symptom and classify it into a treatable subtype (Table 74-1). It may be helpful to </w:t>
      </w:r>
      <w:r w:rsidR="00A6019F" w:rsidRPr="00A6019F">
        <w:lastRenderedPageBreak/>
        <w:t xml:space="preserve">categorize how much each symptom actually bothers the patient; for instance, anorexia may bother the family but not the patient. Next, clinicians can attempt to manage the cancer symptom. We have listed the most common cancer symptoms in Table 74-1 and will review each in turn, including some uncommon ones, and provide current therapeutic modalities. INDIVIDUAL SYMPTOMS </w:t>
      </w:r>
      <w:r w:rsidR="00A6019F" w:rsidRPr="00A6019F">
        <w:rPr>
          <w:rFonts w:ascii="Arial" w:hAnsi="Arial" w:cs="Arial"/>
        </w:rPr>
        <w:t>■</w:t>
      </w:r>
      <w:r w:rsidR="00A6019F" w:rsidRPr="00A6019F">
        <w:t xml:space="preserve">FATIGUE Frequency Fatigue is the most commonly reported symptom by patients, with often an 80% or higher prevalence. Etiology Fatigue can be due to the cancer, electrolyte abnormalities especially hypercalcemia, anemia, hypothyroidism, chemotherapy, and immunotherapy such as pembrolizumab, nivolumab, and ipilimumab. Besides general fatigue due to checkpoint inhibitors, 5–22% (average 6%) of patients will develop hypothyroidism and another 1–2% de novo hypophysitis. Assessment Check for hypothyroidism, anemia, hypercalcemia and other electrolyte abnormalities, and renal failure, also screen for depression and/or demoralization. It is important to remember that while most cases of hypothyroidism manifest in 6–8 weeks, it can appear months after the patient has stopped the immunotherapy. Treatment The simplest treatments consist of correcting anemia, hypothyroidism, and/or electrolyte abnormalities (hypercalcemia). There are few other modalities that work quickly or reliably. Paradoxi cally, structured exercise (e.g., 45 min of walking daily) has been shown to be preventative and therapeutic. Rather than prescribe a new exer cise regimen, ask the patient what they have done before and urge them to resume it. One can consider a trial of methylphenidate 5 mg at 7 and 11 a.m. for 48 h, with continuation if some benefit, or modafinil or congeners. Bupropion helps; in a systematic review, six of seven studies reported significant reductions in fatigue with minimal side effects. In a recent randomized trial, 40 patients were randomized to bupropion sustained release or placebo. The bupropion group had significant improvements in fatigue and quality of life but no improvements in depression. Steroids (e.g., dexamethasone 8 mg in the morning) can benefit some patients, usually toward the end of life. Long-term use has not been studied, and patients should be observed for hyperglycemia. </w:t>
      </w:r>
      <w:r w:rsidR="00A6019F" w:rsidRPr="00A6019F">
        <w:rPr>
          <w:rFonts w:ascii="Arial" w:hAnsi="Arial" w:cs="Arial"/>
        </w:rPr>
        <w:t>■</w:t>
      </w:r>
      <w:r w:rsidR="00A6019F" w:rsidRPr="00A6019F">
        <w:t>PAIN Frequency At least 80% of cancer patients will experience pain during their lifetime. While secondary to fatigue in prevalence, it is the most feared symptom. Etiology Try to characterize the type of pain (Table 74-2). Assessment Ask for a 0–10 rating for best, worst, and average pain and what an acceptable pain score would be. List what the person has tried before, including acupuncture, massage, other alternative/ complementary treatments, and medications. Ascertain if the patient is on anticoagulants given the widespread use of novel oral anticoagu lants (NOACs). Treatment •</w:t>
      </w:r>
      <w:r w:rsidR="00A6019F" w:rsidRPr="00A6019F">
        <w:t> </w:t>
      </w:r>
      <w:r w:rsidR="00A6019F" w:rsidRPr="00A6019F">
        <w:t xml:space="preserve">NOCICEPTIVE PAIN For nociceptive pain, start with acetaminophen, then nonsteroidal anti-inflammatory agents, and then opioids, which should always be used with constipation preventing measures. Recent studies have shown that the addition of acetaminophen to high doses of opioids has no additional effect. Ste roids did slightly improve pain compared to placebo in cancer patients and improved fatigue, nausea, and well-being; a Cochrane systematic review found a reduction in pain of 0.84 on a 0-10 point scale at 1 week. VISCERAL PAIN </w:t>
      </w:r>
      <w:r w:rsidR="00A6019F" w:rsidRPr="00A6019F">
        <w:lastRenderedPageBreak/>
        <w:t xml:space="preserve">Visceral pain is among the hardest to treat of all pains. Nonsteroidal anti-inflammatory agents or neuropathic pain medica tions such as gabapentin or pregabalin, combined with opioids, may be required. Octreotide in combination with opioids reduces visceral hyperalgesia and may be helpful if nothing else works for malignant bowel obstruction. NEUROPATHIC PAIN Several different classes of drugs are useful, but the number needed to treat ranges from 3 to 7 or even 10 for all of them. This necessitates 3- to 4-week trials of alternate drugs alone or in combination. Contrary to common teaching, randomized trials show that opioids do help neuropathic pain with as much benefit as gabapentin or nortriptyline; the combination is even more effective. A variety of neuropathic pain drugs are used: gabapentin, pregabalin, duloxetine, nortriptyline, amitriptyline, carbamazepine, lamotrigine, and many others. One systematic review reported that a reduction in cancer pain intensity of &gt;1 point was unlikely with any of these drugs. Pain relief occurred in 4–8 days, if it occurred, so trials do not need to be &gt;2–3 weeks. Chemotherapy-induced peripheral neuropathy (CIPN) is a promi nent clinical problem that is applicable to the vast majority of patients Symptom Control in Patients with Cancer 507 CHAPTER 74 No Pain Edmonton Symptom Assessment Scale (ESAS–FS) Please circle the number that best describes your symptoms: Worst Pain 0 1 2 3 4 5 6 7 8 9 10 0 1 2 3 4 5 6 7 8 9 10 0 1 2 3 4 5 6 7 8 9 10 0 1 2 3 4 5 6 7 8 9 10 0 1 2 3 4 5 6 7 8 9 10 0 1 2 3 4 5 6 7 8 9 10 0 1 2 3 4 5 6 7 8 9 10 0 1 2 3 4 5 6 7 8 9 10 0 1 2 3 4 5 6 7 8 9 10 No Fatigue Worst Fatigue No Nausea Worst Nausea No Depression Worst Depression No Anxiety Worst Anxiety No Drowsiness Worst Drowsiness No Shortness of Breath Worst Shortness of Breath Best Appetite Worst Appetite Best Feeling of Well-being Worst Feeling of Well-being Best Sleep Worst Sleep No Financial Distress (Distress/suffering experienced secondary to financial issues) Worst Financial Distress No Spiritual Pain (Pain deep in your soul/being that is not physical) Worst Spiritual Pain 0 1 2 3 4 5 6 7 8 9 10 0 1 2 3 4 5 6 7 8 9 10 0 1 2 3 4 5 6 7 8 9 10 FIGURE 74-1 Edmonton Symptom Assessment System–Revised. TABLE 74-1 Common Cancer Symptoms and Their Association SYMPTOM PREVALENCE COMMONLY FOUND CAUSES/EXAMPLES Fatigue 70–80% Chemotherapy Immunotherapy Pain, all 40–70% overall Nociceptive Pancreatic cancer pain Visceral Intestinal obstruction Neuropathic Chemotherapy-induced neuropathy Incident (movement) Bone metastases Oral and gastrointestinal toxicity Dependent on agents used; estimates from 30 to 40% Standard chemotherapy such as doxorubicin Molecularly targeted agents such as palbociclib, infigratinib, everolimus, lenvatinib Radiation therapy Nausea due to chemotherapy Dependent on emetogenic potential of drugs administered; 10–90% Particularly common with cisplatin and doxorubicin Nausea not due to chemotherapy Limited information on incidence but common Due to small-bowel obstruction, opioids Anorexia/cachexia 20–80% due to cancer Most common in lung and pancreas cancers Dyspnea 10–80% during a lifetime, more common near end of life Most common in lung cancer patients or those with effusions, multiple pulmonary metastases Hot flashes Two-thirds of breast cancer and three-quarters of prostate cancer patients with androgen deprivation </w:t>
      </w:r>
      <w:r w:rsidR="00A6019F" w:rsidRPr="00A6019F">
        <w:lastRenderedPageBreak/>
        <w:t xml:space="preserve">Very common but often not reported by either men or women Nasal vestibulitis Up to 75% of patients Those receiving taxanes, bevacizumab, etc. 508 TABLE 74-2 Types of Commonly Encountered Cancer Pain TYPE OF PAIN Nociceptive Visceral Neuropathic Incident or movement pain PART 4 Oncology and Hematology CAUSE Pressure on nerves Distention of a hollow viscus Direct damage to the nerves from cancer, treatment, or both Chemotherapy-induced neuropathic pain; direct damage to the longest nerves with damaged receptors and even loss of nerve fiber density Pathologic fractures, bone damage from cancer, residual damage left after cancer CHARACTERISTICS Deep, dull, aching, constant and worsening with time Cramping, bloating pain, intermittent Local pain, sharp shooting, burning, stabbing, often with allodynia (painful sensation with normal touch) or hyperalgesia Numbness, tingling, pain, which may be mixed together; longest nerves affected most, giving a stocking-glove neuropathy Minimal pain at rest, but excruciating pain with movement “bone on bone” EXAMPLES Pancreatic cancer pain, deep boring, and epigastric Intestinal obstruction, renal colic Increasingly common and dose limiting; 40–70% of people getting modern treatments. Duloxetine only proven medication, which is only moderately effective. Very difficult to control denuded, and the intestine cannot reabsorb the 25 L of intestinal fluid made daily, producing high-output diarrhea. Most mucositis happens 7–10 days after treatment. Assessment If the time course is right and the patient has received a drug known to cause mucositis, suspicion should be high. Other considerations for oral mucositis include thrush, aphthous stomatitis, herpes, or other infections. Exam may show denuded raw areas that are very painful. receiving chemotherapy. Some chemotherapeutic agents are much more prone to cause neuropathy than are others. Among the biggest offenders are taxanes, platinums, epothilones, eribulin, vinca alka loids, bortezomib, and lenalidomide. At the time that this chapter was written, there were no clearly established means for preventing CIPN from any agent, other than decreasing the dose or stopping the offend ing drug. The most promising approach at the time this chapter was penned involved attempts to decrease the concentration of paclitaxel in the peripheral extremities using cryotherapy, compression therapy, or both. Multiple preliminary trials have suggested that these approaches are helpful. In 2024, a randomized clinical trial is ongoing to com pare compression therapy versus cryo-compression therapy versus a control arm (minimal compression that is not thought to be enough to decrease paclitaxel delivery to the distal extremities). At present, American Society of Clinical Oncology (ASCO) guidelines suggest that in patients who develop substantial CIPN in the midst of a treatment course, the attending clinicians should consider stopping the offending chemotherapy drug(s) or attenuating their dose. In terms of treating established CIPN in patients who have com pleted all planned neurotoxic chemotherapy, there is evidence from more than one clinical trial that supports that duloxetine can attenuate established neuropathy symptoms to a small degree (0.6–1.0 on a 0–10 scale). Currently, there are no other proven treatments for treating established CIPN. INCIDENT (MOVEMENT) PAIN </w:t>
      </w:r>
      <w:r w:rsidR="00A6019F" w:rsidRPr="00A6019F">
        <w:lastRenderedPageBreak/>
        <w:t xml:space="preserve">DUE TO BONE METASTASES There is minimal evidence for any one modality to treat this type of pain. In one convenience trial, six of six patients with bone metastasis– incident pain had complete or near-complete responses to low doses of gabapentin (100–200 mg three times a day) added to opioids, but this has not been repeated (trial in the works). There is one case report of complete pain remission for weeks until death after four treatments with Scrambler Therapy, a form of cutaneous nerve stimulation, and one report of “burst” ketamine with morphine. </w:t>
      </w:r>
      <w:r w:rsidR="00A6019F" w:rsidRPr="00A6019F">
        <w:rPr>
          <w:rFonts w:ascii="Arial" w:hAnsi="Arial" w:cs="Arial"/>
        </w:rPr>
        <w:t>■</w:t>
      </w:r>
      <w:r w:rsidR="00A6019F" w:rsidRPr="00A6019F">
        <w:t>GASTROINTESTINAL AND ORAL MUCOSITIS RELATED TO TREATMENT Frequency Oral mucositis varies by drug but is reported in 30</w:t>
      </w:r>
      <w:r w:rsidR="00A6019F" w:rsidRPr="00A6019F">
        <w:rPr>
          <w:rFonts w:ascii="Aptos" w:hAnsi="Aptos" w:cs="Aptos"/>
        </w:rPr>
        <w:t>–</w:t>
      </w:r>
      <w:r w:rsidR="00A6019F" w:rsidRPr="00A6019F">
        <w:t xml:space="preserve">40% of people receiving molecularly targeted agents such as regorafenib, sorafenib, or erdafitinib, or the breast cancer drug palbociclib. The worst offending chemotherapy drug for oral mucositis, fluorouracil, is not used frequently anymore. The most common cause of oral mucosi tis among commonly used chemotherapy drugs is doxorubicin. Gastrointestinal (GI) mucositis can involve the entire GI tract, and estimates range from 50–80% of cancer patients experiencing some level of chemotherapy-induced diarrhea. Etiology The most common cause is interference by the tyrosine kinase inhibitors with endothelial growth factor receptors (GFRs) or vascular GFRs. Drugs used for both chemotherapy and immune sup pression, such as everolimus, cause both inflammation and the usual disruption of endothelial cells. At its worst, the entire GI tract can be GI mucositis is usually manifest by diarrhea, often accompanied by cramps and pain. The diarrhea can be copious, resulting in liters per day. If the time course is not right (very soon or weeks after cancer therapy initiation), other causes such as infections or too many laxa tives should be sought. Treatment For patients receiving bolus fluorouracil, sucking on ice chips during infusion (oral cryotherapy) reduces the incidence and severity by ~50%. There is conflicting evidence on the use of oral dexa methasone or other steroid rinses to prevent oral mucositis from drugs such as everolimus and palbociclib. Most studies show improvement after treatment with glucocorticoid rinses, regardless of the steroid. Viscous lidocaine 2% is commonly recommended for pain. For ulcer ations, topical high-potency steroids are indicated, and a short course of high-dose steroids may be necessary. For GI mucositis manifested as diarrhea, loperamide is the first choice, up to 24 mg a day. Octreotide up to 300 mg a day is reserved for refractory cases. Glucocorticoids are also commonly employed. </w:t>
      </w:r>
      <w:r w:rsidR="00A6019F" w:rsidRPr="00A6019F">
        <w:rPr>
          <w:rFonts w:ascii="Arial" w:hAnsi="Arial" w:cs="Arial"/>
        </w:rPr>
        <w:t>■</w:t>
      </w:r>
      <w:r w:rsidR="00A6019F" w:rsidRPr="00A6019F">
        <w:t xml:space="preserve">NAUSEA AND VOMITING RELATED TO CHEMOTHERAPY Frequency and Etiology It is well established that chemotherapy can cause substantial nausea and/or vomiting, noting that this problem is strongly associated with individual chemotherapy agents. Some agents, such as cisplatin and doxorubicin, cause substantial nausea and vomiting, whereas other agents, such as fluorouracil, do not cause any substantial nausea and vomiting. Assessment Clinical determination of whether a patient developed nausea or vomiting from chemotherapy is obtained by talking to the patient and/or their family and asking questions regarding these symp toms. This is often done when the patient comes back for another cycle of therapy. Clinical trials use established PRO data that could also be used in clinical </w:t>
      </w:r>
      <w:r w:rsidR="00A6019F" w:rsidRPr="00A6019F">
        <w:lastRenderedPageBreak/>
        <w:t xml:space="preserve">practice. In clinical trials, data are usually obtained before chemotherapy and then daily for a few days after each chemo therapy dose. Treatment With highly emetogenic chemotherapy regimens, anti emetic drugs are started with initiation of chemotherapy and com monly given for a few days thereafter. Dexamethasone was established as a helpful agent in the 1970s. In the 1990s, 5-HT3 receptor antagonists became established agents. In the 2000s, NK1 receptor antagonists were established as helpful agents for decreasing nausea and vomiting 509 in the days following highly emetogenic chemotherapy. These agents did not decrease nausea and vomiting in the first 24 h, as did the 5-HT3 receptor antagonists; thus, NK1 receptor antagonists were added to the antiemetic cocktail as opposed to replacing 5-HT3 receptor antagonists. In the 2010s, olanzapine was demonstrated to decrease nausea and vomiting when added to the three drug classes discussed above. Olan zapine appears to be the most effective of all of the drugs mentioned in this section, potentially paving the way for decreasing use of other agents in the four-drug antiemetic cocktail described above. Decreas ing dexamethasone doses and/or durations might decrease long-term dexamethasone-associated toxicity. </w:t>
      </w:r>
      <w:r w:rsidR="00A6019F" w:rsidRPr="00A6019F">
        <w:rPr>
          <w:rFonts w:ascii="Arial" w:hAnsi="Arial" w:cs="Arial"/>
        </w:rPr>
        <w:t>■</w:t>
      </w:r>
      <w:r w:rsidR="00A6019F" w:rsidRPr="00A6019F">
        <w:t xml:space="preserve">NAUSEA AND VOMITING UNRELATED TO CHEMOTHERAPY Frequency No recent data are available, but it is estimated that this problem affects up to 40–70% of patients. Etiology Nausea and vomiting in patients with cancer, not associ ated with chemotherapy, can be associated with multiple other etiolo gies, such as radiation therapy, bowel obstruction, other medications, electrolyte abnormalities, post-anesthesia, and cerebral metastases. Assessment Clinical determination of whether a patient has nausea or vomiting is obtained from talking to the patient and/or their family and asking questions regarding these symptoms. In clinical trials, data are generally obtained daily, including the day prior to the planned intervention and then for a few days following a proposed intervention. Treatment A variety of drugs have been studied for treating nausea and vomiting in this situation, but none of them are very effective; these include diphenhydramine, metoclopramide, prochlorperazine, haloperi dol, methotrimeprazine, dexamethasone, ondansetron, and dronabinol. In 2020, a double-blind, placebo-controlled clinical trial demon strated that a relatively low dose of olanzapine (5 mg/d) was very effective for decreasing nausea and vomiting in patients with advanced cancer who had not received chemotherapy or radiation therapy for at least 2 weeks prior to study entry. In this trial involving a total of 30 patients, nausea scores decreased from 9/10 to 2/10 on the day after olanzapine was started, in comparison to the placebo group whose nausea scores were 9/10 on both the day before and the day after the first dose of the placebo (p 1300 patients, some with a history of breast cancer (which amounted to ~75% of the subjects) and some without a history of breast cancer (the other 25% of patients), hot flash outcomes were similar. Additionally, this article revealed that hot flash reductions were similar whether or not a patient was receiving tamoxifen. MALES Pilot trials of venlafaxine and paroxetine supported that they were useful for alleviating hot flashes in men with prostate cancer. However, a randomized trial was not able to demonstrate significant benefit from </w:t>
      </w:r>
      <w:r w:rsidR="00A6019F" w:rsidRPr="00A6019F">
        <w:lastRenderedPageBreak/>
        <w:t xml:space="preserve">venlafaxine for controlling hot flashes in men. A prospec tive, randomized, placebo-controlled trial demonstrated that 900 mg/d of gabapentin works well for treating hot flashes in men, similarly to how it works in women. Progesterone analogues also decrease hot flashes in men, similarly to how they do so in women. Case reports support that oxybutynin is helpful in men with hot flashes; a recently completed randomized, double-blind, placebo controlled clinical trial demonstrated that this drug nicely decreased hot flashes in this population, too. </w:t>
      </w:r>
      <w:r w:rsidR="00A6019F" w:rsidRPr="00A6019F">
        <w:rPr>
          <w:rFonts w:ascii="Arial" w:hAnsi="Arial" w:cs="Arial"/>
        </w:rPr>
        <w:t>■</w:t>
      </w:r>
      <w:r w:rsidR="00A6019F" w:rsidRPr="00A6019F">
        <w:t xml:space="preserve">NASAL VESTIBULITIS Frequency Nasal vestibulitis refers to an unpleasant inflamma tion of the vestibule of the nose. An observational interview study of patients who had received at least 6 weeks of chemotherapy noted that &gt;70% of those receiving taxanes and &gt;80% of those receiving bevaci zumab experienced untoward nasal symptoms, such as pain, bleeding, and/or scabbing. A prospective study of patients receiving a variety of different chemotherapy regimens illustrated that &gt;75% of patients who received paclitaxel, nab-paclitaxel, or bevacizumab developed bother some nasal symptoms in the following weeks to months. Etiology Chemotherapy can damage the epithelial cells in the nose, leading to dryness, cracking, and secondary infection. Like mucositis, it generally heals in 7–10 days but is a potential source for infection. Assessment Asking about symptoms of dryness, bleeding, crust ing, or pain and an exam should confirm local tissue irritation. Treatment Nasal sprays of saline and of rose geranium in sesame oil have been used to treat this clinical problem, with data supporting that the latter is more beneficial. This will have to be compounded; the recipe is available from the authors or the Mayo Clinic. </w:t>
      </w:r>
      <w:r w:rsidR="00A6019F" w:rsidRPr="00A6019F">
        <w:rPr>
          <w:rFonts w:ascii="Arial" w:hAnsi="Arial" w:cs="Arial"/>
        </w:rPr>
        <w:t>■</w:t>
      </w:r>
      <w:r w:rsidR="00A6019F" w:rsidRPr="00A6019F">
        <w:t xml:space="preserve">FURTHER READING Basch E et al: Overall survival results of a trial assessing patient reported outcomes for symptom monitoring during routine cancer treatment. JAMA 318:197, 2017. Correa-Morales JE et al: Cancer and non-cancer fatigue treated with bupropion: A systematic review. J Pain Symptom Manage 65:e21, 2023. Finnerup NB et al: Neuropathic pain: From mechanisms to treatment. Physiol Rev 101:259, 2021. Groarke JD et al: Ponsegromab for the Treatment of Cancer Cachexia. N Engl J Med 391:2291, 2024. Homsi J et al: Symptom evaluation in palliative medicine: Patient report vs systematic assessment. Support Care Cancer 14:444, 2006. Hui D, Bruera E: The Edmonton Symptom Assessment System 25 years later: Past, present, and future developments. J Pain Symptom Man age 53:630, 2017. Loprinzi CL et al: Prevention and management of chemotherapy induced peripheral neuropathy in survivors of adult cancers: ASCO guideline update. J Clin Oncol 38:3325, 2020. Mannix KA: Palliation of nausea and vomiting, in Oxford Textbook of Palliative Medicine, 2nd ed. Doyle D et al (eds). Oxford, UK, Oxford University Press, 1998, p. 48. Molinares D et al: Chemotherapy-induced peripheral neuropathy: Diagnosis, agents, general clinical presentation, and treatments. Curr Oncol Rep 25:1227, 2023. Navari RM et al: Olanzapine for the treatment of advanced cancer related chronic nausea and/or vomiting: A randomized pilot trial. JAMA Oncol 6:895, 2020. Roeland EJ et al: Cancer Cachexia Expert Panel. Cancer cachexia: ASCO guideline rapid recommendation update. J Clin Oncol 41:4178, 2023. Smith TJ, Saiki CB: Cancer pain management. Mayo </w:t>
      </w:r>
      <w:r w:rsidR="00A6019F" w:rsidRPr="00A6019F">
        <w:lastRenderedPageBreak/>
        <w:t xml:space="preserve">Clin Proc 90:1428, 2015. 75 511 Prevention and Early Detection of Cancer Jennifer M. Croswell, Otis W. Brawley, Barnett S. Kramer Improved understanding of carcinogenesis has allowed cancer preven tion and early detection to expand beyond identification and avoid ance of carcinogens. Specific interventions to reduce cancer mortality by preventing cancer in those at risk and effective screening for early detection of cancer are the goals. Carcinogenesis is a process that usually extends over years, a con tinuum of discrete tissue and cellular changes over time resulting in aberrant physiologic processes. Prevention concerns the identification and manipulation of the biologic, environmental, social, and genetic factors in the causal pathway of cancer. Examination of national epide miologic patterns can provide indicators of the relative contributions of advances in prevention, screening, and therapy in progress against cancer, but randomized trials provide the best evidence to guide prac tice, especially in the healthy general population. EDUCATION AND HEALTHFUL HABITS Public education on the avoidance of identified risk factors for cancer and encouraging healthy habits contributes to cancer prevention. The clinician is a powerful messenger in this process. The patient-provider encounter provides an opportunity to teach patients about the hazards of smoking, influence of a healthy lifestyle and other exposures, and use of proven cancer screening methods. </w:t>
      </w:r>
      <w:r w:rsidR="00A6019F" w:rsidRPr="00A6019F">
        <w:rPr>
          <w:rFonts w:ascii="Arial" w:hAnsi="Arial" w:cs="Arial"/>
        </w:rPr>
        <w:t>■</w:t>
      </w:r>
      <w:r w:rsidR="00A6019F" w:rsidRPr="00A6019F">
        <w:t xml:space="preserve">SMOKING CESSATION Tobacco smoking is a strong, modifiable risk factor for cardiovascu lar disease, pulmonary disease, and cancer. Smokers have an </w:t>
      </w:r>
      <w:r w:rsidR="00A6019F" w:rsidRPr="00A6019F">
        <w:rPr>
          <w:rFonts w:ascii="Cambria Math" w:hAnsi="Cambria Math" w:cs="Cambria Math"/>
        </w:rPr>
        <w:t>∼</w:t>
      </w:r>
      <w:r w:rsidR="00A6019F" w:rsidRPr="00A6019F">
        <w:t xml:space="preserve">1 in 3 lifetime risk of dying prematurely from a tobacco-related cancer, car diovascular, or pulmonary disease, and cigarette smoking shortens life expectancy, on average, by a decade. Tobacco use causes more deaths from cardiovascular disease than from cancer. Lung cancer and cancers of the larynx, oropharynx, esophagus, kidney, bladder, colon, pancreas, stomach, and uterine cervix are all tobacco related. The number of cigarettes smoked per day and the level of inhalation of cigarette smoke are correlated with risk of lung cancer mortality. Light- and low-tar cigarettes are not safer because smokers tend to inhale them more frequently and deeply. Those who stop smoking have a 30–50% lower 10-year lung cancer mortality rate compared to those who continue smoking, despite the fact that some carcinogen-induced gene mutations persist for years after smoking cessation. Smoking cessation and avoidance would save more lives from cancer than any other public health activity. The risk of tobacco smoke is not limited to the smoker. Environ mental tobacco smoke, known as secondhand or passive smoke, is carcinogenic and associated with a variety of respiratory illnesses in exposed children. Tobacco use prevention is a pediatric issue. More than 80% of adult American smokers began smoking before the age of 18 years. Tradi tional cigarette smoking has declined substantially in recent years: for example, for high school seniors between 2012 and 2019, prevalence of past 30-day cigarette smoking dropped from 19% to 7% for boys and 7% to 2% for girls. Electronic cigarettes, on the other hand, are rapidly increasing in use: in 2020, approximately 20% of high school students reported being current electronic cigarette users. Counseling of ado lescents and young adults is critical to </w:t>
      </w:r>
      <w:r w:rsidR="00A6019F" w:rsidRPr="00A6019F">
        <w:lastRenderedPageBreak/>
        <w:t xml:space="preserve">prevent all forms of tobacco use. A clinician’s simple advice can be of benefit. Providers should query patients on tobacco use and offer smokers assistance in quitting or referrals to cessation programs. Current approaches to smoking cessation recognize nicotine in tobacco as addicting (Chap. 465). The smoker who is quitting goes through identifiable stages, including contemplation of quitting, an action phase in which the smoker quits, and a maintenance phase. Smokers who quit completely are more likely to be successful than those who gradually reduce the number of cigarettes smoked or change to lower-tar or lower-nicotine cigarettes. Organized cessation programs may help individual efforts. Heavy smokers may need an intensive broad-based cessation program that includes counseling, behavioral strategies, and pharmacologic adjuncts, such as nicotine replacement (gum, patches, sprays, lozenges, and inhalers), bupropion, and/or varenicline. Electronic cigarettes have been advocated as a tool to achieve smoking cessation or as a harm reduction strategy in adults, but the net effects of electronic cigarettes on health are poorly studied. Absence of strict manufacturing controls of vaping material has pro duced serious injury. The health risks of cigars are similar to those of cigarettes. Smok ing one or two cigars daily doubles the risk for oral and esophageal cancers; smoking three or four cigars daily increases the risk of oral cancers more than eightfold and esophageal cancer fourfold. The risks of occasional use are unknown. Smokeless tobacco also represents a substantial health risk. Chewing tobacco is linked to dental caries, gingivitis, oral leukoplakia, and oral cancer. The systemic effects of smokeless tobacco (including snuff) may increase risks for other cancers. Esophageal cancer is linked to carcinogens in tobacco dissolved in saliva and swallowed. </w:t>
      </w:r>
      <w:r w:rsidR="00A6019F" w:rsidRPr="00A6019F">
        <w:rPr>
          <w:rFonts w:ascii="Arial" w:hAnsi="Arial" w:cs="Arial"/>
        </w:rPr>
        <w:t>■</w:t>
      </w:r>
      <w:r w:rsidR="00A6019F" w:rsidRPr="00A6019F">
        <w:t xml:space="preserve">PHYSICAL ACTIVITY Physical activity is associated with a decreased risk of colon and breast cancer. A variety of mechanisms have been proposed. However, such studies are prone to confounding factors such as recall bias, association of exercise with other health-related practices, and effects of preclinical cancers on exercise habits (reverse causality). </w:t>
      </w:r>
      <w:r w:rsidR="00A6019F" w:rsidRPr="00A6019F">
        <w:rPr>
          <w:rFonts w:ascii="Arial" w:hAnsi="Arial" w:cs="Arial"/>
        </w:rPr>
        <w:t>■</w:t>
      </w:r>
      <w:r w:rsidR="00A6019F" w:rsidRPr="00A6019F">
        <w:t xml:space="preserve">DIET MODIFICATION International ecologic studies suggest that diets high in fat are associ ated with increased risk for cancers of the breast, colon, prostate, and endometrium. Despite correlations, dietary fat has not been proven to cause cancer. Case-control and cohort epidemiologic studies give conflicting results. Diet is a highly complex exposure to many nutrients and chemicals. Low-fat diets are associated with many dietary changes beyond simple subtraction of fat. Other lifestyle factors are also associ ated with adherence to a low-fat diet. In some observational studies, dietary fiber has been associated with a reduced risk of colonic polyps and invasive cancer of the colon. Two large prospective cohort studies of &gt;100,000 health professionals showed no association between fruit and vegetable intake and risk of cancer, however. Cancer-protective effects of increasing fiber and lowering dietary fat have not been shown in the context of a prospec tive clinical trial. The Polyp Prevention Trial randomly assigned 2000 elderly persons, who had polyps removed, to a low-fat, high-fiber diet versus routine diet for 4 years. No differences were noted in polyp formation. CHAPTER 75 Prevention and Early Detection </w:t>
      </w:r>
      <w:r w:rsidR="00A6019F" w:rsidRPr="00A6019F">
        <w:lastRenderedPageBreak/>
        <w:t xml:space="preserve">of Cancer The U.S. National Institutes of Health Women’s Health Initiative, launched in 1994, was a long-term clinical trial enrolling &gt;100,000 women age 45–69 years. It placed women into 22 intervention groups. Participants received calcium/vitamin D supplementation; hormone replacement therapy; and counseling to increase exercise, eat a low fat diet with increased consumption of fruits, vegetables, and fiber, and cease smoking. The study showed that although dietary fat intake was lower in the diet intervention group, invasive breast cancers were not reduced over an 8-year follow-up period compared to the control group. Additionally, no reduction was seen in the incidence of colorec tal cancer in the dietary intervention arm. In the aggregate, cohort studies and randomized trials suggest that reduction of red meat or processed meat consumption has a small (if any) effect on cancer incidence and mortality, although the overall evidence base is weak. Evidence does not currently establish the anticarcinogenic value of vitamin, mineral, or nutritional supplements in amounts greater than those provided by a balanced diet. 512 </w:t>
      </w:r>
      <w:r w:rsidR="00A6019F" w:rsidRPr="00A6019F">
        <w:rPr>
          <w:rFonts w:ascii="Arial" w:hAnsi="Arial" w:cs="Arial"/>
        </w:rPr>
        <w:t>■</w:t>
      </w:r>
      <w:r w:rsidR="00A6019F" w:rsidRPr="00A6019F">
        <w:t>ENERGY BALANCE TABLE 75-1 Suspected Carcinogens Risk of certain cancers appears to increase modestly (relative risks gen erally in the 1.0</w:t>
      </w:r>
      <w:r w:rsidR="00A6019F" w:rsidRPr="00A6019F">
        <w:rPr>
          <w:rFonts w:ascii="Aptos" w:hAnsi="Aptos" w:cs="Aptos"/>
        </w:rPr>
        <w:t>–</w:t>
      </w:r>
      <w:r w:rsidR="00A6019F" w:rsidRPr="00A6019F">
        <w:t xml:space="preserve">2.0 range) as body mass index (BMI) increases beyond 25 kg/m2. A cohort study of &gt;5 million adults included in the U.K. Clinical Practice Research Datalink (a primary care database) found that each 5 kg/m2 increase in BMI was linearly associated with cancers of the uterus, gallbladder, kidney, cervix, thyroid, and leukemia. High BMI appears to have an inverse association with prostate and premeno pausal breast cancer. </w:t>
      </w:r>
      <w:r w:rsidR="00A6019F" w:rsidRPr="00A6019F">
        <w:rPr>
          <w:rFonts w:ascii="Arial" w:hAnsi="Arial" w:cs="Arial"/>
        </w:rPr>
        <w:t>■</w:t>
      </w:r>
      <w:r w:rsidR="00A6019F" w:rsidRPr="00A6019F">
        <w:t xml:space="preserve">SUN AVOIDANCE PART 4 Oncology and Hematology Nonmelanoma skin cancers (basal cell and squamous cell) are induced by cumulative exposure to ultraviolet (UV) radiation. Evidence for a direct association between cumulative UV exposure and melanoma is weaker. Reduction of sun exposure through use of protective clothing and changing patterns of outdoor activities can reduce skin cancer risk. Sunscreens decrease the risk of actinic keratoses, the precursor to squamous cell skin cancer, but melanoma risk may not be reduced. Sunscreens prevent burning, but they may encourage more prolonged exposure to the sun and may not filter out wavelengths of energy that cause melanoma. Appearance-focused behavioral interventions in young women can decrease indoor tanning use and other UV exposures and may be more effective than messages about long-term cancer risks. Those who recognize themselves as being at risk tend to be more compliant with sun-avoidance recommendations. Risk factors for melanoma include a propensity to sunburn, a large number of benign melanocytic nevi, and atypical nevi. However, about 70–80% of melanomas arise de novo, rather than from existing benign nevi. CANCER CHEMOPREVENTION Chemoprevention involves the use of specific natural or synthetic chemical agents to reverse, suppress, or prevent carcinogenesis before the development of invasive malignancy. Cancer develops through an accumulation of tissue abnormalities associated with genetic and epigenetic changes, and growth regulatory pathways that are potential points of intervention to prevent cancer. The initial changes are termed initiation. The alteration can be inher ited or acquired through </w:t>
      </w:r>
      <w:r w:rsidR="00A6019F" w:rsidRPr="00A6019F">
        <w:lastRenderedPageBreak/>
        <w:t xml:space="preserve">the action of physical, infectious, or chemical carcinogens. Like most human diseases, cancer arises from an interaction between genetics and environmental exposures (Table 75-1). Influences that cause the initiated cell and its surrounding tissue microenviron ment to progress through the carcinogenic process and change phe notypically are termed promoters. Promoters include hormones such as androgens, linked to prostate cancer, and estrogen, linked to breast and endometrial cancer. The difference between an initiator and pro moter is indistinct; some components of cigarette smoke are “complete carcinogens,” acting as both initiators and promoters. Cancer can be prevented or controlled through avoidance of the factors that cause cancer initiation, promotion, or progression. Compounds of interest in chemoprevention may have antimutagenic, hormone modulation, anti-inflammatory, antiproliferative, or proapoptotic activity (or a combination). </w:t>
      </w:r>
      <w:r w:rsidR="00A6019F" w:rsidRPr="00A6019F">
        <w:rPr>
          <w:rFonts w:ascii="Arial" w:hAnsi="Arial" w:cs="Arial"/>
        </w:rPr>
        <w:t>■</w:t>
      </w:r>
      <w:r w:rsidR="00A6019F" w:rsidRPr="00A6019F">
        <w:t xml:space="preserve">CHEMOPREVENTION OF CANCERS OF THE UPPER AERODIGESTIVE TRACT Smoking causes diffuse epithelial injury in the oral cavity, esophagus, and lung. Patients cured of squamous cell cancers of the lung, esopha gus, and oral cavity are at risk (as high as 5% per year) of developing second cancers of the upper aerodigestive tract. Cessation of cigarette smoking does not markedly decrease the cured cancer patient’s risk of second malignancy, even though it does lower the cancer risk in those who have never developed a malignancy. Persistent oral human papillomavirus (HPV) infection, particularly HPV-16, increases the risk for cancers of the oropharynx. This associa tion exists even in the absence of other risk factors such as smoking or alcohol use (although the magnitude of increased risk appears greater than additive when HPV infection and smoking are both present). Oral HPV infection is believed to be largely sexually acquired. The use of CARCINOGENSa Alkylating agents Androgens Aromatic amines (dyes) Arsenic Asbestos Benzene Chromium Diethylstilbestrol (prenatal) Epstein-Barr virus Estrogens Ethyl alcohol Helicobacter pylori Hepatitis B or C virus ASSOCIATED CANCER OR NEOPLASM Acute myeloid leukemia, bladder cancer Prostate cancer Bladder cancer Cancer of the lung, skin Cancer of the lung, pleura, peritoneum Acute myelocytic leukemia Lung cancer Vaginal cancer (clear cell) Burkitt’s lymphoma, nasal T-cell lymphoma Cancer of the endometrium, liver, breast Cancer of the breast, liver, esophagus, head and neck Gastric cancer, gastric mucosa-associate lymphoid tissue (MALT) lymphoma Liver cancer Human immunodeficiency virus Non-Hodgkin’s lymphoma, Kaposi’s sarcoma, squamous cell carcinomas (especially of the urogenital tract) Human papillomavirus Cancers of the cervix, anus, oropharynx Human T-cell lymphotropic virus type 1 (HTLV-1) Immunosuppressive agents (azathioprine, cyclosporine, glucocorticoids) Ionizing radiation (therapeutic or diagnostic) Nitrogen mustard gas Nickel dust Diesel exhaust Phenacetin Polycyclic hydrocarbons Radon gas Schistosomiasis Sunlight (ultraviolet) Tobacco (including smokeless) Vinyl chloride Adult T-cell leukemia/lymphoma Non-Hodgkin’s lymphoma Breast, bladder, thyroid, soft tissue, bone, hematopoietic, and many more Cancer of the lung, head and neck, nasal sinuses Cancer of the lung, nasal sinuses Lung cancer (miners) Cancer of the renal pelvis and bladder Cancer of the lung, </w:t>
      </w:r>
      <w:r w:rsidR="00A6019F" w:rsidRPr="00A6019F">
        <w:lastRenderedPageBreak/>
        <w:t xml:space="preserve">skin (especially squamous cell carcinoma of scrotal skin) Lung cancer Bladder cancer (squamous cell) Skin cancer (squamous cell and likely melanoma) Cancer of the upper aerodigestive tract, bladder, kidney Liver cancer (angiosarcoma) aAgents that are thought to act as cancer initiators and/or promoters. the HPV vaccine is associated with a reduction in prevalence of oro pharyngeal infection rates and may eventually reduce oropharyngeal cancer rates. Oral leukoplakia, a premalignant lesion commonly found in smok ers, has been used as an intermediate marker of chemopreventive activity in smaller shorter-duration, randomized, placebo-controlled trials. Although therapy with high, relatively toxic doses of isotretinoin (13-cis-retinoic acid) causes regression of oral leukoplakia, more toler able doses of isotretinoin have not shown benefit in the prevention of head and neck cancer. Several large-scale trials have assessed agents in the chemopreven tion of lung cancer in patients at high risk. In the α-tocopherol/β carotene (ATBC) Lung Cancer Prevention Trial, participants were male smokers with an average 30-plus pack-year history, age 50–69 years at entry. After median follow-up of 6 years, lung cancer incidence and mortality were statistically significantly increased in those receiving β-carotene. α-Tocopherol had no effect on lung cancer mortality, but patients receiving it had a higher incidence of hemorrhagic stroke. The β-Carotene and Retinol Efficacy Trial (CARET) involved 17,000 American smokers and workers with asbestos exposure. This trial also 513 demonstrated harm from β-carotene: a lung cancer rate of 5 per 1000 subjects per year for those taking placebo versus 6 per 1000 subjects per year for those taking β-carotene. The ATBC and CARET results demonstrate the importance of testing chemoprevention hypotheses in randomized trials before widespread implementation because the results contradict a number of observational studies. </w:t>
      </w:r>
      <w:r w:rsidR="00A6019F" w:rsidRPr="00A6019F">
        <w:rPr>
          <w:rFonts w:ascii="Arial" w:hAnsi="Arial" w:cs="Arial"/>
        </w:rPr>
        <w:t>■</w:t>
      </w:r>
      <w:r w:rsidR="00A6019F" w:rsidRPr="00A6019F">
        <w:t xml:space="preserve">CHEMOPREVENTION OF COLON CANCER No agent with sufficient evidence exists at present for the prevention of colon cancer in the general population. A meta-analysis of four randomized controlled trials primarily designed to examine aspirin’s effects on cardiovascular events found no association between low-dose aspirin use and colorectal cancer inci dence at up to 10 years of follow-up. The same review reported highly variable results for colorectal cancer mortality and aspirin use and noted that, overall, studies have not been adequately powered to assess aspirin’s effects on colorectal cancer deaths. As such, the evidence is insufficient that nonsteroidal anti-inflammatory drugs (NSAIDs) reduce colorectal cancer incidence or mortality. However, there is clear evidence that regular NSAID use is associated with important bleeding harms, such as major gastrointestinal and intra- and extracranial bleed ing, particularly with increasing dosage and age. Cyclooxygenase-2 (COX-2) inhibitors have been considered for colorectal cancer and polyp prevention. Trials with COX-2 inhibitors were initiated, but an increased risk of cardiovascular events in those taking the COX-2 inhibitors was noted, so these agents are not suitable for chemoprevention in the general population. The Women’s Health Initiative demonstrated that postmenopausal women taking estrogen plus progestin have a 44% lower relative risk of colorectal cancer compared to women taking placebo. Of &gt;16,600 </w:t>
      </w:r>
      <w:r w:rsidR="00A6019F" w:rsidRPr="00A6019F">
        <w:lastRenderedPageBreak/>
        <w:t xml:space="preserve">women randomized and followed for a median of 5.6 years, 43 inva sive colorectal cancers occurred in the hormone group and 72 in the placebo group. The positive effect on colon cancer is mitigated by the modest increase in cardiovascular and breast cancer risks associated with combined estrogen plus progestin therapy, and guidelines do not recommend hormonal therapy as a standard preventive agent for colorectal cancer incidence or mortality. Most case-control and cohort studies have not confirmed early reports of an association between regular statin use and a reduced risk of colorectal cancer. No randomized controlled trials have addressed this hypothesis. A meta-analysis of statin use showed no protective effect of statins on overall cancer incidence or death. </w:t>
      </w:r>
      <w:r w:rsidR="00A6019F" w:rsidRPr="00A6019F">
        <w:rPr>
          <w:rFonts w:ascii="Arial" w:hAnsi="Arial" w:cs="Arial"/>
        </w:rPr>
        <w:t>■</w:t>
      </w:r>
      <w:r w:rsidR="00A6019F" w:rsidRPr="00A6019F">
        <w:t xml:space="preserve">CHEMOPREVENTION OF BREAST CANCER Tamoxifen is an antiestrogen with partial estrogen agonistic activity in some tissues, such as endometrium and bone. One of its actions is to upregulate transforming growth factor β, which decreases breast cell proliferation. In a randomized placebo-controlled prevention trial involving &gt;13,000 pre- and postmenopausal women at high risk, tamoxifen decreased the risk of developing breast cancer by 49% (from 43.4 to 22 per 1000 women) after a median follow-up of nearly 6 years. Tamoxifen also reduced bone fractures; a small increase in risk of endo metrial cancer, stroke, pulmonary emboli, and deep vein thrombosis was noted. The International Breast Cancer Intervention Study (IBIS-I) and the Italian Randomized Tamoxifen Prevention Trial also demon strated reductions in breast cancer incidence with tamoxifen use. A trial comparing tamoxifen with another selective estrogen receptor modulator, raloxifene, performed in postmenopausal women showed that raloxifene is comparable to tamoxifen in cancer prevention but without the risk of endometrial cancer. Raloxifene was associated with a smaller reduction in invasive breast cancers and a trend toward more noninvasive breast cancers, but fewer thromboembolic events than tamoxifen; the drugs are similar in risks of other cancers, fractures, ischemic heart disease, and stroke. Both tamoxifen and raloxifene (the latter for postmenopausal women only) have been approved by the U.S. Food and Drug Administration (FDA) for reduction of breast cancer in women at high risk for the disease (1.66% risk at 5 years based on the Gail risk model: http://www.cancer.gov/bcrisktool/). Because the aromatase inhibitors (anastrozole, exemestane, and letrozole) are even more effective than tamoxifen in adjuvant breast cancer treatment, it has been hypothesized that they would be more effective in breast cancer prevention. A randomized, placebo controlled trial of exemestane reported a 65% relative reduction (from 5.5 to 1.9 per 1000 women) in the incidence of invasive breast cancer in women at elevated risk after a median follow-up of about 3 years. Common adverse effects included arthralgias, hot flashes, fatigue, and insomnia. No trial has directly compared aromatase inhibitors with selective estrogen receptor modulators for breast cancer chemoprevention. </w:t>
      </w:r>
      <w:r w:rsidR="00A6019F" w:rsidRPr="00A6019F">
        <w:rPr>
          <w:rFonts w:ascii="Arial" w:hAnsi="Arial" w:cs="Arial"/>
        </w:rPr>
        <w:t>■</w:t>
      </w:r>
      <w:r w:rsidR="00A6019F" w:rsidRPr="00A6019F">
        <w:t>CHEMOPREVENTION OF PROSTATE CANCER Finasteride and dutasteride are 5-</w:t>
      </w:r>
      <w:r w:rsidR="00A6019F" w:rsidRPr="00A6019F">
        <w:rPr>
          <w:rFonts w:ascii="Aptos" w:hAnsi="Aptos" w:cs="Aptos"/>
        </w:rPr>
        <w:t>α</w:t>
      </w:r>
      <w:r w:rsidR="00A6019F" w:rsidRPr="00A6019F">
        <w:t xml:space="preserve">-reductase inhibitors. They inhibit conversion of testosterone to dihydrotestosterone (DHT), a potent stimulator of prostate cell proliferation. The Prostate Cancer Preven tion Trial (PCPT) randomly </w:t>
      </w:r>
      <w:r w:rsidR="00A6019F" w:rsidRPr="00A6019F">
        <w:lastRenderedPageBreak/>
        <w:t xml:space="preserve">assigned men age 55 years or older at average risk of prostate cancer to finasteride or placebo. All men in the trial were being regularly screened with prostate-specific antigen (PSA) levels and digital rectal examination. After 7 years of therapy, the overall incidence of prostate cancer was 18.4% in the finasteride arm, compared with 24.4% in the placebo arm, a statistically signifi cant reduction. However, the finasteride group had more patients with tumors of Gleason score 7 and higher compared with the placebo arm (6.4 vs 5.1%). Long-term (10–15 years) follow-up did not reveal any statistically significant differences in overall or prostate cancer–specific mortality between all men in the finasteride and placebo arms or in men diagnosed with prostate cancer, but the power to detect a differ ence was limited. Dutasteride has also been evaluated as a preventive agent for pros tate cancer. The Reduction by Dutasteride of Prostate Cancer Events (REDUCE) trial was a randomized double-blind trial in which </w:t>
      </w:r>
      <w:r w:rsidR="00A6019F" w:rsidRPr="00A6019F">
        <w:rPr>
          <w:rFonts w:ascii="Cambria Math" w:hAnsi="Cambria Math" w:cs="Cambria Math"/>
        </w:rPr>
        <w:t>∼</w:t>
      </w:r>
      <w:r w:rsidR="00A6019F" w:rsidRPr="00A6019F">
        <w:t>8200 men with an elevated PSA (2.5</w:t>
      </w:r>
      <w:r w:rsidR="00A6019F" w:rsidRPr="00A6019F">
        <w:rPr>
          <w:rFonts w:ascii="Aptos" w:hAnsi="Aptos" w:cs="Aptos"/>
        </w:rPr>
        <w:t>–</w:t>
      </w:r>
      <w:r w:rsidR="00A6019F" w:rsidRPr="00A6019F">
        <w:t>10 ng/mL for men age 50</w:t>
      </w:r>
      <w:r w:rsidR="00A6019F" w:rsidRPr="00A6019F">
        <w:rPr>
          <w:rFonts w:ascii="Aptos" w:hAnsi="Aptos" w:cs="Aptos"/>
        </w:rPr>
        <w:t>–</w:t>
      </w:r>
      <w:r w:rsidR="00A6019F" w:rsidRPr="00A6019F">
        <w:t>60 years and 3</w:t>
      </w:r>
      <w:r w:rsidR="00A6019F" w:rsidRPr="00A6019F">
        <w:rPr>
          <w:rFonts w:ascii="Aptos" w:hAnsi="Aptos" w:cs="Aptos"/>
        </w:rPr>
        <w:t>–</w:t>
      </w:r>
      <w:r w:rsidR="00A6019F" w:rsidRPr="00A6019F">
        <w:t xml:space="preserve">10 ng/mL for men age 60 years or older) and negative prostate biopsy on enrollment received daily 0.5 mg of dutasteride or placebo. The trial found a statistically significant 23% relative risk reduction in the incidence of biopsy-detected prostate cancer in the dutasteride arm at 4 years of treatment (659 cases vs 858 cases, respectively). Overall, across years 1 through 4, no difference was seen between the arms in the number of tumors with a Gleason score of 7 to 10; however, during years 3 and 4, there was a statistically significant difference in tumors with Gleason score of 8 to 10 in the dutasteride arm (12 tumors vs 1 tumor, respectively). The finding of an apparent increased incidence of higher-grade tumors likely represents an increased sensitivity of PSA and digital rectal exam for high-grade tumors in men receiving 5-α-reductase inhibitors due to a decrease in prostatic volume. Although detection bias may have accounted for the finding, a causative role cannot be conclusively dismissed. These agents are therefore not FDA-approved for prostate cancer prevention. CHAPTER 75 Prevention and Early Detection of Cancer Because all men in both the PCPT and REDUCE trials were being screened and because screening approximately doubles the rate of prostate cancer, it is not known if finasteride or dutasteride decreases the risk of prostate cancer in men who are not being screened or simply reduces the risk of non-life-threatening cancers detectable by screening. Several favorable laboratory and observational studies led to the formal evaluation of selenium and α-tocopherol (vitamin E) as poten tial prostate cancer preventives. The Selenium and Vitamin E Cancer Prevention Trial (SELECT), after a median follow-up of 7 years, found a trend toward an increased risk of developing prostate cancer for men taking vitamin E alone as compared to placebo (hazard ratio 1.17; 95% confidence interval, 1.004–1.36). </w:t>
      </w:r>
      <w:r w:rsidR="00A6019F" w:rsidRPr="00A6019F">
        <w:rPr>
          <w:rFonts w:ascii="Arial" w:hAnsi="Arial" w:cs="Arial"/>
        </w:rPr>
        <w:t>■</w:t>
      </w:r>
      <w:r w:rsidR="00A6019F" w:rsidRPr="00A6019F">
        <w:t xml:space="preserve">VACCINES AND CANCER PREVENTION A number of infectious agents cause cancer. Hepatitis B and C viruses are linked to liver cancer; some HPV strains are linked to cervical, anal, and oropharyngeal cancer; and Helicobacter pylori is associated with 514 </w:t>
      </w:r>
      <w:r w:rsidR="00A6019F" w:rsidRPr="00A6019F">
        <w:rPr>
          <w:rFonts w:ascii="Arial" w:hAnsi="Arial" w:cs="Arial"/>
        </w:rPr>
        <w:t>■</w:t>
      </w:r>
      <w:r w:rsidR="00A6019F" w:rsidRPr="00A6019F">
        <w:t xml:space="preserve">CANCER SCREENING gastric adenocarcinoma and gastric lymphoma. Vaccines to protect against these agents may therefore reduce the risk of their associated </w:t>
      </w:r>
      <w:r w:rsidR="00A6019F" w:rsidRPr="00A6019F">
        <w:lastRenderedPageBreak/>
        <w:t xml:space="preserve">cancers. The hepatitis B vaccine is effective in preventing hepatitis and hepa tomas due to chronic hepatitis B infection. A nonavalent HPV vaccine (covering strains 6, 11, 16, 18, 31, 33, 45, 52, and 58) is available for use in the United States. HPV types 6 and 11 cause genital papillomas. The remaining HPV types cause cervical and anal cancer; reduction in HPV types 16 and 18 alone could theoreti cally prevent &gt;70% of cervical cancers worldwide. For individuals not previously infected with these HPV strains, the vaccine demonstrates high efficacy in preventing persistent strain-specific HPV infections. Studies also confirm the vaccine’s ability to prevent preneoplastic lesions (cervical or anal intraepithelial neoplasia [CIN/AIN] I, II, and III). The vaccine does not appear to impact preexisting infections. A two-dose schedule is currently recommended in the United States for females and males age 9–14 years; teens and young adults who start the series between 15 and 26 years are recommended to receive three doses of the vaccine. However, observational studies suggest similar efficacy with a single dose in young girls, and a large randomized trial is cur rently comparing one to two doses. PART 4 Oncology and Hematology SURGICAL PREVENTION OF CANCER Some organs in some individuals are at such high risk of developing cancer that surgical removal of the organ at risk may be considered. Women with severe cervical dysplasia are treated with laser or loop electrosurgical excision or conization. Colectomy may be used to prevent colon cancer in patients with familial polyposis or ulcerative colitis. Prophylactic bilateral mastectomy may be chosen for breast can cer prevention among women with high-risk genetic predisposition to breast cancer. In a prospective series of 139 women with BRCA1 and BRCA2 mutations, at 3 years, no cases of breast cancer had been diagnosed in those opting for surgery (n = 76), but eight of 63 patients in the surveillance group had developed breast cancer. A larger retro spective cohort study reported three patients developed breast cancer after prophylactic mastectomy compared with an expected incidence of 30–53 cases. Postmastectomy breast cancer–related deaths were 81–94% lower in high-risk women compared with sister controls and 100% lower in moderate-risk women when compared with expected rates. Prophylactic salpingo-oophorectomy may also be employed for the prevention of ovarian and breast cancers among high-risk women. A prospective cohort study evaluating the outcomes of BRCA mutation carriers demonstrated a statistically significant association between prophylactic salpingo-oophorectomy and a reduced incidence of ovar ian or primary peritoneal cancer (36% relative risk reduction, or a 4.5% absolute difference). Studies of prophylactic oophorectomy for prevention of breast cancer in women with genetic mutations have shown relative risks of approximately 0.50; the risk reduction may be greatest for women hav ing the procedure at younger (i.e., 20% lifetime risk of breast cancer: Screen with MRI plus mammography annually    Women with 15–20% lifetime risk of breast cancer: Discuss option of MRI plus mammography annually    Women with 65 years, with adequate, normal prior Pap screenings: “D” Women after total hysterectomy for noncancerous causes: “D” Women 65 years: No screening following adequate negative prior screening Women after total </w:t>
      </w:r>
      <w:r w:rsidR="00A6019F" w:rsidRPr="00A6019F">
        <w:lastRenderedPageBreak/>
        <w:t xml:space="preserve">hysterectomy for noncancerous causes: Do not screen  HPV test Women 65 years, with adequate, normal prior Pap screenings: “D” Women after total hysterectomy for noncancerous causes: “D” Women 65 years: No screening following adequate negative prior screening Women after total hysterectomy for noncancerous causes: Do not screen Colorectal Overall Adults 50–75 years: “A” Screen for colorectal cancer Adults 45–50 years: “B” Screen for colorectal cancer Adults 76–85 years: “C” Selectively offer screening for colorectal cancer; consider the patient’s overall health, prior screening history, and preferences Adults ≥45–75 years: Screen for colorectal cancer with either a high-sensitivity stool-based test or a structural (visual) examination (≥45 years, qualified recommendation; ≥50 years, strong recommendation). Adults 76–85 years: Individualize screening based on patient preferences, life expectancy, health status, and prior screening history (qualified recommendation). Adults &gt;85 years: Discourage screening (qualified recommendation). Every 5 years  Sigmoidoscopy Every 5 years; modeling suggests improved benefit if performed every 10 years in combination with annual FIT Adults ≥45 years: Every 5 years  Fecal occult blood testing (FOBT) Every year Adults ≥45 years: Every year  Colonoscopy Every 10 years Adults ≥45 years: Every 10 years  Fecal DNA testing At least every 3 years Adults ≥45 years: Every 3 years  Fecal immunochemical testing (FIT) Every year Adults ≥45 years: Every year  Computed tomography (CT) colonography Every 5 years Adults ≥45 years: Every 5 years Lung Low-dose CT scan Adults 50–80 years, with a ≥20 pack-year smoking history, still smoking or have quit within past 15 years, annually: “B” Discontinue once a person has not smoked for 15 years or develops a health problem that substantially limits life expectancy or the ability to have curative lung surgery Men and women, 50–80 years, with ≥20 pack-year smoking history, current or former smoker, annually: Discuss benefits, limitations, and harms of screening; offer smoking cessation counseling and connection to resources where relevant. Individuals with comorbid conditions that substantially limit life expectancy should not be screened. (Continued) 517 TABLE 75-3 Screening Recommendations for Asymptomatic Subjects Not Known to Be at Increased Risk for the Target Conditiona CANCER TYPE TEST OR PROCEDURE Ovarian CA-125 Transvaginal ultrasound USPSTF Women, all ages: “D” Women with a high-risk hereditary cancer syndrome: No recommendation ACS (Continued) Currently, there are no reliable screening tests for the early detection of ovarian cancer. For women at high risk of ovarian cancer, it has not been proven that using transvaginal ultrasound or serum CA-125 lowers their chances of dying from ovarian cancer. Prostate Skin Prostate-specific antigen (PSA) Digital rectal examination (DRE) Complete skin examination by clinician or patient Men 55–69 years: The decision to undergo periodic PSA based screening should be an individual one. Men should have an opportunity to discuss the potential benefits and harms of screening with their clinician. Clinicians should not screen men who do not express a preference for screening (“C”) Men ≥70 years: “D” No individual recommendation Adults, all ages: “I” Starting at age 50, men at average risk and with a life expectancy of ≥10 years should talk to a doctor about the </w:t>
      </w:r>
      <w:r w:rsidR="00A6019F" w:rsidRPr="00A6019F">
        <w:lastRenderedPageBreak/>
        <w:t xml:space="preserve">uncertainties, risks, and potential benefits of screening. If African American or have a father or brother who had prostate cancer before age 65, men should have this talk starting at age 45. For men with more than one first degree relative with prostate cancer diagnosed before age 65, have this talk starting at age 40. How often they are screened will depend on their PSA level. As for PSA; if men decide to be tested, they should have the PSA blood test with or without a rectal exam. No guidelines aSummary of the screening procedures recommended for the general population by the USPSTF and the ACS. These recommendations refer to asymptomatic persons who are not known to have risk factors, other than age or gender, for the targeted condition. bUSPSTF lettered recommendations are defined as follows: “A”: The USPSTF recommends the service because there is high certainty that the net benefit is substantial; “B”: The USPSTF recommends the service because there is high certainty that the net benefit is moderate or moderate certainty that the net benefit is moderate to substantial; “C”: The USPSTF recommends selectively offering or providing this service to individual patients based on professional judgment and patient preferences; there is at least moderate certainty that the net benefit is small; “D”: The USPSTF recommends against the service because there is moderate or high certainty that the service has no net benefit or that the harms outweigh the benefits; “I”: The USPSTF concludes that the current evidence is insufficient to assess the balance of benefits and harms of the service. Table only includes final, not draft, recommendations, from the USPSTF. Abbreviations: ACS, American Cancer Society; USPSTF, U.S. Preventive Services Task Force. BRCA2 mutations, possibly because such cancers occur in younger women, in whom mammography is known to be less sensitive. MRI screening may be more sensitive than mammography in women at high risk due to genetic predisposition or in women with very dense breast tissue, but specificity may be lower. An increase in overdiagnosis may accompany the higher sensitivity. The impact of MRI on breast cancer mortality with or without concomitant use of mammography has not been evaluated in a randomized controlled trial. CERVICAL CANCER The cervical cancer mortality rate has fallen substantially since the widespread use of the Pap smear. Screening guidelines recommend regular Pap testing for all women who have reached the age of 21 (before this age, even in individuals that have begun sexual activity, screening may cause more harm than benefit). The recommended interval for Pap screening is 3 years. In all cases, screening more frequently adds little benefit but leads to important harms, including unnecessary procedures and overtreatment of tran sient lesions. With the onset of sexual activity comes the risk of sexual transmission of HPV, the fundamental etiologic factor for cervical can cer. Beginning at age 30, guidelines also include HPV testing with or without Pap smear. The screening interval for women who test normal using this approach may be lengthened to 5 years. An upper age limit at which screening ceases to be effective is not known, but women age 65 years with no abnormal results in the previ ous 10 years may choose to stop screening. Screening should be dis continued in women who have undergone a hysterectomy with cervical excision for noncancerous </w:t>
      </w:r>
      <w:r w:rsidR="00A6019F" w:rsidRPr="00A6019F">
        <w:lastRenderedPageBreak/>
        <w:t xml:space="preserve">reasons. Although the efficacy of the Pap smear in reducing cervical cancer mortality has never been directly confirmed in a randomized, con trolled setting, a clustered randomized trial in India evaluated the impact of one-time cervical visual inspection and immediate colpos copy, biopsy, and/or cryotherapy (where indicated) versus counseling on cervical cancer deaths in women age 30–59 years. After 7 years of follow-up, the age-standardized rate of death due to cervical cancer was 39.6 per 100,000 person-years in the intervention group versus 56.7 per 100,000 person-years in controls. COLORECTAL CANCER Digital rectal examination (DRE), stool-based testing (fecal occult blood testing [FOBT], fecal immunochemical tests [FITs], multitargeted stool DNA tests), blood-based testing (SEPT9), and optical testing (rigid and flexible sigmoidoscopy, colonoscopy, computed tomography [CT] colonography) have been considered for colorectal cancer screening. DRE is not an effective colorectal cancer screening test and is not recommended by any medical organization. Stool-Based Testing A meta-analysis of five randomized controlled trials demonstrated a 22% relative reduction in colorectal cancer mortality after two to nine rounds of biennial FOBT at 30 years of follow-up; annual screening was shown to result in a greater mortality reduction in a single trial (a 32% relative reduction). However, only 2–10% of those with occult blood in the stool actually have cancer. The high false-positive rate of FOBT therefore leads to a large number of diagnostic follow-up colonoscopies. FITs have higher sensitivity for colorectal cancer than FOBT tests and have largely replaced FOBT in clinical practice. Limited evidence suggests FITs may not detect proximal colonic tumors at the same rate as distal ones. Multitargeted stool DNA testing (e.g., Cologuard) combines FIT with testing for altered DNA biomarkers that are shed into the stool. Although limited evidence demonstrates that it can have a higher single-test sensitivity for colorectal cancer than FIT alone, its specificity is lower, resulting in a higher number of false-positive tests and follow-up colonoscopies. No studies have yet evaluated its effects on colorectal cancer incidence, morbidity, or mortality. Blood-Based Testing A blood test for the methylated SEPT9 gene associ ated with colorectal cancer is available. Case-control studies suggest that it has a lower sensitivity and specificity than the FIT stool test. It also is more costly, and it is not recommended as a first-line screening test. Optical Testing Two meta-analyses of five randomized controlled trials of sigmoidoscopy found an 18% relative reduction in colorectal cancer incidence and a 28% relative reduction in colorectal cancer mortality. Participant ages ranged from 50 to 74 years, with follow-up ranging from 6 to 13 years. Diagnosis of adenomatous polyps by sigmoidoscopy should lead to evaluation of the entire colon with colonoscopy. The most efficient interval for screening sigmoidoscopy is unknown, but an interval of 5 years is often recommended. Case-control studies suggest that intervals of up to 15 years may confer benefit; a randomized trial in the U.K. demonstrated colorectal cancer mortality reduction with one-time screening. CHAPTER 75 Prevention and Early Detection of Cancer 518 One-time colonoscopy detects </w:t>
      </w:r>
      <w:r w:rsidR="00A6019F" w:rsidRPr="00A6019F">
        <w:rPr>
          <w:rFonts w:ascii="Cambria Math" w:hAnsi="Cambria Math" w:cs="Cambria Math"/>
        </w:rPr>
        <w:t>∼</w:t>
      </w:r>
      <w:r w:rsidR="00A6019F" w:rsidRPr="00A6019F">
        <w:t xml:space="preserve">25% more advanced lesions (pol yps &gt;10 mm, villous adenomas, adenomatous polyps with </w:t>
      </w:r>
      <w:r w:rsidR="00A6019F" w:rsidRPr="00A6019F">
        <w:lastRenderedPageBreak/>
        <w:t>high-grade dysplasia, invasive cancer) than one-time FOBT with sigmoidoscopy; comparative programmatic performance of the two modalities over time is not known. Perforation rates are about 4/10,000 for colonos copy and 1/10,000 for sigmoidoscopy. Debate continues on whether colonoscopy is too expensive and invasive and whether sufficient provider capacity exists to be recommended as the preferred screening tool in standard-risk populations. Some observational studies suggest that efficacy of colonoscopy to decrease colorectal cancer mortality is higher on the left side of the colon than the right. CT colonography, if done at expert centers, appears to have a sen sitivity for polyps ≥6 mm, comparable to colonoscopy. However, the rate of extracolonic findings of abnormalities of uncertain significance that must nevertheless be worked up is high (</w:t>
      </w:r>
      <w:r w:rsidR="00A6019F" w:rsidRPr="00A6019F">
        <w:rPr>
          <w:rFonts w:ascii="Cambria Math" w:hAnsi="Cambria Math" w:cs="Cambria Math"/>
        </w:rPr>
        <w:t>∼</w:t>
      </w:r>
      <w:r w:rsidR="00A6019F" w:rsidRPr="00A6019F">
        <w:t>5</w:t>
      </w:r>
      <w:r w:rsidR="00A6019F" w:rsidRPr="00A6019F">
        <w:rPr>
          <w:rFonts w:ascii="Aptos" w:hAnsi="Aptos" w:cs="Aptos"/>
        </w:rPr>
        <w:t>–</w:t>
      </w:r>
      <w:r w:rsidR="00A6019F" w:rsidRPr="00A6019F">
        <w:t xml:space="preserve">37%); the long-term cumulative radiation risk of repeated colonography screenings is also a concern. PART 4 Oncology and Hematology LUNG CANCER Chest x-ray and sputum cytology have been evaluated in several randomized lung cancer screening trials. The most recent and largest (n = 154,901) of these, a component of the Prostate, Lung, Colorectal, and Ovarian (PLCO) cancer screening trial, found that, compared with usual care, annual chest x-ray did not reduce the risk of dying from lung cancer (relative risk 0.99; 95% confidence interval, 0.87–1.22) after 13 years. However, it showed evidence of overdiagno sis associated with chest x-ray. Low-dose CT has also been evaluated in several randomized trials. The largest and longest of these, the National Lung Screening Trial (NLST), was a randomized controlled trial of screening for lung cancer in </w:t>
      </w:r>
      <w:r w:rsidR="00A6019F" w:rsidRPr="00A6019F">
        <w:rPr>
          <w:rFonts w:ascii="Cambria Math" w:hAnsi="Cambria Math" w:cs="Cambria Math"/>
        </w:rPr>
        <w:t>∼</w:t>
      </w:r>
      <w:r w:rsidR="00A6019F" w:rsidRPr="00A6019F">
        <w:t>53,000 persons age 55</w:t>
      </w:r>
      <w:r w:rsidR="00A6019F" w:rsidRPr="00A6019F">
        <w:rPr>
          <w:rFonts w:ascii="Aptos" w:hAnsi="Aptos" w:cs="Aptos"/>
        </w:rPr>
        <w:t>–</w:t>
      </w:r>
      <w:r w:rsidR="00A6019F" w:rsidRPr="00A6019F">
        <w:t xml:space="preserve">74 years with a 30+ pack-year smoking history. It demonstrated a statistically significant reduction of about 3 fewer deaths per 1000 people screened with CT compared to chest x-ray after 12 years. Harms include the potential radiation risks associated with multiple scans, the discovery of incidental findings of unclear significance, and a high rate of false positive test results. Both incidental findings and false-positive tests can lead to invasive diagnostic procedures associated with anxiety, complications, and expense. The NLST was performed at experienced screening centers, and the balance of benefits and harms may differ in the community setting at less experienced centers. OVARIAN CANCER Adnexal palpation, transvaginal ultrasound (TVUS), and serum CA-125 assay have been considered for ovarian cancer screening. A large randomized, controlled trial has shown that an annual screening program of TVUS and CA-125 in average-risk women does not reduce deaths from ovarian cancer (relative risk 1.21; 95% confidence interval, 0.99–1.48). Adnexal palpation was dropped early in the study because it did not detect any ovarian cancers that were not detected by either TVUS or CA-125. A second large, random ized trial used a two-stage screening approach incorporating a risk of ovarian cancer algorithm that determined whether additional testing with CA-125 or TVUS was required. At 14 years of follow-up, there was no statistically significant reduction in ovarian cancer deaths. The risks and costs associated with the high number of false-positive results are impediments to routine use of these modalities for screening. In the PLCO trial, 10% of participants had a false-positive result from TVUS or CA-125, and one-third of these </w:t>
      </w:r>
      <w:r w:rsidR="00A6019F" w:rsidRPr="00A6019F">
        <w:lastRenderedPageBreak/>
        <w:t xml:space="preserve">women underwent a major surgical procedure; the ratio of surgeries to screen-detected ovarian cancer was approximately 20:1. In September 2016, the FDA issued a safety com munication recommending against using any ovarian cancer screening test, including the algorithm for risk of the cancer. PROSTATE CANCER The most common prostate cancer screening modalities are digital rectal exam (DRE) and serum PSA assay. An emphasis on PSA screening has made prostate cancer the most com mon nonskin cancer diagnosed in American males. This disease is prone to lead-time bias, length bias, and overdiagnosis, and substantial debate continues among experts as to whether screening should be offered unless the patient specifically asks to be screened. Virtually all organizations stress the importance of informing men about the uncer tainty regarding screening efficacy and the associated harms. Prostate cancer screening clearly detects many asymptomatic cancers, but men older than age 50 years have a high prevalence of clinically insignificant prostate cancers (about 30–50% of men, increasing further as men age). The ability to distinguish tumors that are lethal but still curable from those that pose little or no threat to health is limited, although evidence suggests multiparametric MRI may aid decision-making. Randomized trials indicate that the effect of PSA screening on pros tate cancer mortality across a population is, at best, small. Two major trials have been published. The PLCO Cancer Screening Trial was a multicenter U.S. trial that randomized almost 77,000 men age 55–74 years to receive either annual PSA testing for 6 years or usual care. At 13 years of follow-up, no statistically significant difference in the num ber of prostate cancer deaths was noted between the arms (rate ratio 1.09; 95% confidence interval, 0.87–1.36). More than half of men in the control arm received at least one PSA test during the trial, which may have diluted a small effect. The European Randomized Study of Screening for Prostate Cancer (ERSPC) was a multinational study that randomized </w:t>
      </w:r>
      <w:r w:rsidR="00A6019F" w:rsidRPr="00A6019F">
        <w:rPr>
          <w:rFonts w:ascii="Cambria Math" w:hAnsi="Cambria Math" w:cs="Cambria Math"/>
        </w:rPr>
        <w:t>∼</w:t>
      </w:r>
      <w:r w:rsidR="00A6019F" w:rsidRPr="00A6019F">
        <w:t xml:space="preserve">182,000 men between age 50 and 74 years (with a predefined </w:t>
      </w:r>
      <w:r w:rsidR="00A6019F" w:rsidRPr="00A6019F">
        <w:rPr>
          <w:rFonts w:ascii="Aptos" w:hAnsi="Aptos" w:cs="Aptos"/>
        </w:rPr>
        <w:t>“</w:t>
      </w:r>
      <w:r w:rsidR="00A6019F" w:rsidRPr="00A6019F">
        <w:t>core</w:t>
      </w:r>
      <w:r w:rsidR="00A6019F" w:rsidRPr="00A6019F">
        <w:rPr>
          <w:rFonts w:ascii="Aptos" w:hAnsi="Aptos" w:cs="Aptos"/>
        </w:rPr>
        <w:t>”</w:t>
      </w:r>
      <w:r w:rsidR="00A6019F" w:rsidRPr="00A6019F">
        <w:t xml:space="preserve"> screening group of men age 55</w:t>
      </w:r>
      <w:r w:rsidR="00A6019F" w:rsidRPr="00A6019F">
        <w:rPr>
          <w:rFonts w:ascii="Aptos" w:hAnsi="Aptos" w:cs="Aptos"/>
        </w:rPr>
        <w:t>–</w:t>
      </w:r>
      <w:r w:rsidR="00A6019F" w:rsidRPr="00A6019F">
        <w:t xml:space="preserve">69 years) to receive PSA testing or no screen ing. Recruitment and randomization procedures, as well as actual frequency of PSA testing, varied by country. After a median follow-up of 15.5 years, a 20% relative reduction in the risk of prostate cancer death in the screened arm was noted in the “core” screening group. The trial found that 570 men (95% confidence interval, 380–1137 men) would need to be invited to screening, and 18 cases of prostate cancer detected, to avert 1 death from prostate cancer. There was an unexplained imbalance in treatment between the two study arms, with a higher proportion of men with clinically localized cancer receiving radical prostatectomy in the screening arm and receiving it at experi enced referral centers. Screening must be linked to effective therapy to have any benefit. Two trials conducted after the initiation of widespread PSA testing did not find a substantial decrease in prostate cancer deaths in control arms of “watchful waiting” or monitoring (i.e., no curative treatment) compared to radical prostatectomy or radiation therapy. Prostate cancer–specific survival was very good (about 99%) and nearly identi cal at a median follow-up of 10 years. Treatments for low-stage prostate cancer, such as surgery </w:t>
      </w:r>
      <w:r w:rsidR="00A6019F" w:rsidRPr="00A6019F">
        <w:lastRenderedPageBreak/>
        <w:t xml:space="preserve">and radiation therapy, can cause substantial morbidity, including impotence and urinary incontinence. SKIN CANCER Visual examination of all skin surfaces by the patient or by a health care provider is used in screening for basal and squamous cell cancers and melanoma. No prospective randomized study has been performed to look for a mortality decrease. Unfortunately, screening is associated with a substantial rate of overdiagnosis. MULTICANCER EARLY DETECTION TESTS Multicancer early detection (MCED) tests look for multiple biomarkers in blood that are either directly released or induced by cancer cells. One potential purpose of these tests could be to screen for multiple cancers at the same time in asymptomatic people. However, most of the evidence at present for these tests comes from people who have already been diagnosed with cancer (a fundamentally different population); additionally, no data are available on health outcomes associated with using MCED tests for cancer screening. </w:t>
      </w:r>
      <w:r w:rsidR="00A6019F" w:rsidRPr="00A6019F">
        <w:rPr>
          <w:rFonts w:ascii="Arial" w:hAnsi="Arial" w:cs="Arial"/>
        </w:rPr>
        <w:t>■</w:t>
      </w:r>
      <w:r w:rsidR="00A6019F" w:rsidRPr="00A6019F">
        <w:t xml:space="preserve">FURTHER READING Fenton JJ et al: Prostate-specific antigen-based screening for prostate cancer: Evidence report and systematic review for the U.S. Preventive Services Task Force. JAMA 319:1914, 2018. Jonas DE et al: Screening for lung cancer with low-dose computed tomography: Updated Evidence report and systematic review for the US Preventive Services Task Force. JAMA 325:971, 2021. Kramer BS, Croswell JM: Cancer screening: The clash of science and intuition. Annu Rev Med 60:125, 2009. Lin JS et al: Screening for colorectal cancer: Updated evidence report and systematic review for the US Preventive Services Task Force. JAMA 325:1978, 2021. THE CLONAL ORIGIN AND MULTISTEP 519 Manson JE et al: Vitamin D supplements and prevention of cancer and cardiovascular disease. N Engl J Med 380:33, 2019. Mcneil JJ et al: Effect of aspirin on all-cause mortality in the healthy elderly. N Engl J Med 379:1519, 2018. Melnikow J et al: Screening for cervical cancer with high-risk human papillomavirus testing: Updated evidence report and systematic review for the US Preventive Services Task Force. JAMA 320:687, 2018. Welch HG et al: Epidemiologic signatures in cancer. N Engl J Med 384:14, 2019. Woloshin S et al: Breast-cancer mortality trends in four countries with varied screening practices. N Engl J Med 389:1061, 2023. Zeraatkar D et al: Effect of lower versus high red meat intake on cardiometabolic and cancer outcomes: A systematic review of ran domized trials. Ann Intern Med 171:721, 2019. 76 Cancer Genetics Fred Bunz, Bert Vogelstein CANCER IS A GENETIC DISEASE Cancer arises through a series of somatic alterations in DNA that result in unrestrained cellular proliferation. Most of these alterations involve subtle sequence changes in DNA (i.e., mutations). The somatic mutations may originate as a consequence of random replication errors or exposure to carcinogens (e.g., radiation) and can be exacerbated by faulty DNA repair processes. While most cancers arise sporadically, clustering of can cers occurs in families that carry a germline mutation in a cancer gene. HISTORICAL PERSPECTIVE The idea that cancer progression is driven by sequential somatic muta tions in specific genes has only gained general acceptance in the past 30 years. Before the advent of the microscope, cancer was believed to be composed of aggregates of mucus or other noncellular matter. By the middle of the nineteenth century, it became </w:t>
      </w:r>
      <w:r w:rsidR="00A6019F" w:rsidRPr="00A6019F">
        <w:lastRenderedPageBreak/>
        <w:t xml:space="preserve">clear that tumors were masses of cells and that these cells arose from the normal cells of the tissue from which the cancer originated. The molecular basis for the uncontrolled proliferation of cancer cells was to remain a mystery for another century. During that time, a number of theories for the origin of cancer were postulated. The great biochemist Otto Warburg proposed the combustion theory of cancer, which stipulated that cancer was due to abnormal oxygen metabolism. Others believed that all cancers were caused by viruses and that cancer was in fact a contagious disease. In the end, observations of cancer occurring in chimney sweeps, studies of x-rays, and the overwhelming data demonstrating cigarette smoke as a causative agent in lung cancer, together with Ames’s work on chemical mutagenesis, were consistent with the idea that cancer originated through changes in DNA. However, it was not until the somatic mutations responsible for cancer were identified at the molec ular level that the genetic basis of cancer was definitively established. Although the viral theory of cancer did not prove to be generally accurate (with exceptions such as human papillomaviruses, which can cause cervical and other cancers), the study of retroviruses led to the discovery of the first human oncogenes in the late 1970s. Oncogenes are one of the two major classes of cancer driver genes. The study of families with genetic predisposition to cancer was instrumental to the discovery of the other major class of cancer driver genes, called tumor suppressor genes. Current technologies permit the sequence analysis of entire cancer genomes and provide a comprehensive view of the genetic changes that cause tumors to arise and become malignant. The field that studies the various types of mutations, as well as the consequences of these mutations in tumor cells, is now known as cancer genetics. NATURE OF CANCER Nearly all cancers originate from a single cell; this clonal origin is a critical discriminating feature between neoplasia and hyperplasia. Multiple cumulative mutational events are invariably required for the progression of a tumor from normal to fully malignant phenotype. The process can be seen as Darwinian microevolution in which, at each successive step, the mutated cells gain a growth advantage resulting in the expansion of a neoplastic clone (Fig. 76-1). Based on observa tions of cancer frequency increases during aging, the epidemiologists Armitage and Doll and Nordling independently proposed that cancer is a result of three discrete cellular changes. Remarkably, this early model has been validated by extensive sequencing of cancer genomes. These studies revealed that just three causal mutations are required for the development of several of the most common cancers. Overall, it is currently believed that most common solid tumors require a minimum of three mutated cancer driver genes (either oncogenes or tumor suppressor genes) for their development. One or two mutations are sufficient for benign tumorigenesis, but not for the invasive capacity that distinguishes cancers from benign tumors. Less common tumors, such as liquid tumors (leukemias or lymphomas), sarcomas, and childhood tumors, appear to require only two driver gene alterations for malignancy. Note that a cancer driver gene is best defined as one containing a mutation that increases the selective growth advantage of the cell containing it. Normally, cell </w:t>
      </w:r>
      <w:r w:rsidR="00A6019F" w:rsidRPr="00A6019F">
        <w:lastRenderedPageBreak/>
        <w:t xml:space="preserve">birth and cell death are in perfect equilibrium; every time a cell is born, another in the same lineage dies. Cancer driver gene mutations alter this equilibrium, so that more cells are born than die. The imbalance is often slight, so that the difference between cell birth and cell death can be less than 1%. This explains, in combination with the low rate of mutation, why tumorigenesis—the journey from a normal cell to a typical malignant, solid tumor—often takes decades. We now know the precise nature of the genetic alterations respon sible for nearly all malignancies and are beginning to understand how these alterations promote the distinct stages of tumor growth. The prototypical example is colon cancer, in which analyses of genomes from the entire spectrum of neoplastic growths—from normal colon CHAPTER 76 Cancer Genetics Initiation Expansion Invasion FIGURE 76-1 Multistep clonal development of malignancy. In this diagram, a series of three cumulative mutations, each with a modest growth advantage acting alone, eventually results in a malignant tumor. Note that not all such alterations result in progression. The actual number of cumulative mutations necessary to transform from the normal to the malignant state has been estimated to be three for several of the most common types of cancer. (Adapted and modified from PC Nowell: The clonal evolution of tumor cell populations. Science 194:23, 1976.) 520 Microsatellite Instability (MIN) or Chromosomal Instability (CIN) APC inactivation or b-catenin activation KRAS or BRAF activation SMAD4 or TGFb II inactivation TP53 inactivation Normal epithelium Early adenoma Late adenoma Carcinoma Metastasis Initiation Expansion Invasion FIGURE 76-2 Progressive somatic mutational steps in the development of colon carcinoma. The accumulation of alterations in a number of different genes results in the progression from normal epithelium through adenoma to full-blown carcinoma. Genetic instability (microsatellite or chromosomal) accelerates the progression by increasing the likelihood of mutation at each step. Patients with familial polyposis are already one step into this pathway because they inherit a germline alteration of the APC gene. TGF, transforming growth factor. PART 4 Oncology and Hematology epithelium through adenoma to carcinoma—have identified mutations that are highly characteristic of each type of lesion (Fig. 76-2). TWO TYPES OF CANCER GENES: ONCOGENES AND TUMOR-SUPPRESSOR GENES Oncogenes and tumor-suppressor genes exert their effects on tumor growth through their ability to determine cell fates, influence cell sur vival, and contribute to genome maintenance. The underlying molecu lar mechanisms can be extremely complex. While tightly regulated in normal cells, oncogenes acquire mutations that typically relieve this control and lead to increased activity of the gene products. This activat ing mutational event occurs in a single allele. In contrast, the normal function of tumor-suppressor genes is usually to restrain cell growth, and this function is lost in cancer. Because of the diploid nature of mammalian cells, both alleles must be inactivated for a cell to com pletely lose the function of a tumor-suppressor gene. Thus, two genetic events are required to inactivate a tumor-suppressor gene, while only one genetic event is required to activate an oncogene. A subset of tumor-suppressor genes controls the ability of the cell to </w:t>
      </w:r>
      <w:r w:rsidR="00A6019F" w:rsidRPr="00A6019F">
        <w:lastRenderedPageBreak/>
        <w:t xml:space="preserve">maintain the integrity of its genome. Cells with a deficiency in these genes acquire an increased number of mutations throughout their genomes, including those in oncogenes and tumor-suppressor genes. This “mutator” phenotype was first hypothesized by Loeb to explain how the multiple rare mutational events required for tumorigenesis can occur in the lifetime of an individual. A mutator phenotype under lies several forms of cancer, such as those associated with deficiencies in DNA mis match repair. The great majority of cancers do not harbor repair deficiencies, and their rate of mutation is similar to that observed in normal cells. Many of these cancers, however, appear to harbor a different kind of genetic instability, affecting the loss or gains of whole chromosomes or large parts thereof (as explained in more detail below). promote tumor formation. The agent responsible for the transmission of the cancer was a retrovirus (Rous sarcoma virus [RSV]), and the oncogene responsible was identified 75 years later as V-SRC. Other oncogenes were also discovered through their presence in the genomes of retroviruses that are capable of causing cancers in chickens, mice, and rats. The nonmutated cellular homologues of these viral genes are called proto-oncogenes and are often targets of mutation or aberrant regula tion in human cancer. Whereas many oncogenes were discovered on the basis of their presence in retroviruses, other oncogenes, particularly those involved in translocations characteristic of par ticular leukemias and lymphomas, were identi fied through genomic approaches. Investigators cloned the sequences surrounding the chromo somal translocations observed cytogenetically and identified the genes activated at the breakpoints (see below). Some of these were oncogenes previ ously found in retroviruses (like ABL, involved in chronic myeloid leukemia [CML]), whereas others were new (like BCL2, involved in B-cell lymphoma). In the normal cel lular environment, proto-oncogenes have crucial roles in cell prolifera tion and differentiation. Table 76-1 is a partial list of oncogenes known to be involved in human cancer. The normal growth and differentiation of cells is controlled by growth factors that bind to receptors on the surface of the cell. The signals generated by the membrane receptors are transmitted inside the cells through signaling cascades involving kinases, G proteins, and other regulatory proteins. Ultimately, these signals affect the activity of transcription factors in the nucleus, which regulate the expression of genes crucial in cell proliferation, cell differentiation, and cell death. Oncogene products function at critical steps in these signaling path ways (Chap. 77). Inappropriate activation of these pathways can lead to tumorigenesis. MECHANISMS OF ONCOGENE ACTIVATION </w:t>
      </w:r>
      <w:r w:rsidR="00A6019F" w:rsidRPr="00A6019F">
        <w:rPr>
          <w:rFonts w:ascii="Arial" w:hAnsi="Arial" w:cs="Arial"/>
        </w:rPr>
        <w:t>■</w:t>
      </w:r>
      <w:r w:rsidR="00A6019F" w:rsidRPr="00A6019F">
        <w:t xml:space="preserve">POINT MUTATION Point mutation (alternatively known as single nucleotide substitution) is a common mechanism of oncogene activation. For example, point mutations in KRAS are present in &gt;95% of pancreatic cancers and 40% of colon cancers. Activating KRAS mutations are less common in other cancer types, although they can occur at significant frequencies in leukemia, lung, and thyroid cancers. Remarkably—and in contrast TABLE 76-1 Oncogenes Commonly Altered in Human Cancers ONCOGENE AKT1 BRAF CCND1 CTNNB1 EGFR FLT3 IDH1 MDM2 MDM4 MYC ONCOGENES IN HUMAN CANCER Work </w:t>
      </w:r>
      <w:r w:rsidR="00A6019F" w:rsidRPr="00A6019F">
        <w:lastRenderedPageBreak/>
        <w:t xml:space="preserve">by Peyton Rous in the early 1900s revealed that a chicken sarcoma could be transmitted from animal to animal in cell free extracts, suggesting that cancer could be induced by an agent acting positively to MYCL1 MYCN PIK3CA KRAS NRAS FUNCTION Serine/threonine kinase Serine/threonine kinase Cell cycle progression Signal transduction Signal transduction Signal transduction Chromatin modification Inhibitor of p53 Inhibitor of p53 Transcription factor Transcription factor ALTERATION IN CANCER Point mutation Point mutation Amplification Point mutation Point mutation Point mutation Point mutation NEOPLASM Skin Melanoma, thyroid, colorectal Esophageal, head and neck Colon, liver, uterine, melanoma Lung AML Glioma Amplification Amplification Amplification Amplification Transcription factor Phosphoinositol-3-kinase GTPase GTPase Abbreviation: AML, acute myeloid leukemia. Amplification Point mutation Point mutation Point mutation Sarcoma, glioma Breast Prostate, ovarian, breast, liver, pancreatic Ovarian, bladder Neuroblastoma Multiple cancers Pancreatic, colorectal, lung Melanoma 521 to the diversity of mutations found in tumor-suppressor genes—most of the activated KRAS alleles contain point mutations in codons 12, 13, or 61. These mutations lead to constitutive activation of the mutant RAS protein. The restricted pattern of mutations observed in onco genes compared to that of tumor-suppressor genes reflects the fact that gain-of-function mutations must occur at specific sites, while a broad variety of mutations can lead to loss of activity. Indeed, inactivation of a gene can in theory be accomplished through the introduction of a stop codon anywhere in the coding sequence, whereas activations require precise substitutions at residues that can somehow lead to an increase in the activity of the encoded protein under particular circumstances within the cell. </w:t>
      </w:r>
      <w:r w:rsidR="00A6019F" w:rsidRPr="00A6019F">
        <w:rPr>
          <w:rFonts w:ascii="Arial" w:hAnsi="Arial" w:cs="Arial"/>
        </w:rPr>
        <w:t>■</w:t>
      </w:r>
      <w:r w:rsidR="00A6019F" w:rsidRPr="00A6019F">
        <w:t xml:space="preserve">DNA AMPLIFICATION The second mechanism for activation of oncogenes is DNA sequence amplification, leading to overexpression of the gene product. This increase in DNA copy number may cause cytologically recognizable chromosome alterations referred to as homogeneous staining regions (HSRs) if integrated within chromosomes, or double minutes (dmins) if extrachromosomal. Numerous genes have been reported to be amplified in cancer. Several of these genes, including NMYC and LMYC, were identified through their presence within the amplified DNA sequences of a tumor and their homology to known oncogenes. Because amplified regions often include hundreds of thousands of base pairs, multiple oncogenes may be amplified in a single amplicon in some cancers. For example, MDM2, GLI1, CDK4, and TPSPAN31 at chromosomal location 12q13 15 have been shown to be co-amplified in several types of sarcomas and other tumors; which of these genes play the causal role in the neoplastic process is still an active area of research. Amplification of a cellular gene is often a predictor of poor prognosis; for example, ERBB2/HER2 and NMYC are often amplified in aggressive breast cancers and neuro blastoma, respectively. </w:t>
      </w:r>
      <w:r w:rsidR="00A6019F" w:rsidRPr="00A6019F">
        <w:rPr>
          <w:rFonts w:ascii="Arial" w:hAnsi="Arial" w:cs="Arial"/>
        </w:rPr>
        <w:t>■</w:t>
      </w:r>
      <w:r w:rsidR="00A6019F" w:rsidRPr="00A6019F">
        <w:t xml:space="preserve">CHROMOSOMAL REARRANGEMENT Chromosomal alterations provide important clues to the genetic changes in cancer. The chromosomal alterations in human solid tumors such as carcinomas are heterogeneous and complex and occur as a result of the frequent chromosomal instability observed in these tumors </w:t>
      </w:r>
      <w:r w:rsidR="00A6019F" w:rsidRPr="00A6019F">
        <w:lastRenderedPageBreak/>
        <w:t xml:space="preserve">(see below). In contrast, the chromosome alterations in myeloid and lymphoid tumors are often simple translocations, that is, reciprocal transfers of chromosome arms from one chromosome to another. The breakpoints of recurring chromosome abnormalities usually occur at the site of cellular oncogenes. Table 76-2 lists representative examples of recurring chromosome alterations in malignancy and the associated gene(s) rearranged or deregulated by the chromosomal rearrangement. Translocations are often observed in liquid tumors in general and are particularly common in lymphoid tumors, probably because these cell TABLE 76-2 Representative Oncogenes at Chromosomal Translocations GENE (CHROMOSOME) BCR-ABL BCL1 (11q13.3)–IgH (14q32) BCL2 (18q21.3)–IgH (14q32) FLI-EWSR1 LCK-TCRB PAX3-FOXO1 PAX8-PPARG IL21R-BCL6 TAL1-TCTA TRANSLOCATION (9;22)(q34;q11) (11;14)(q13;q32) (14;18)(q32;q21) (11;22)(q24;q12) (1;7)(p34;q35) MALIGNANCY Chronic myeloid leukemia Mantle cell lymphoma Follicular lymphoma Ewing’s sarcoma T-cell acute lymphocytic leukemia (2;13)(q35;q14) (2;3)(q13;p25) (3;16)(q27;p11) (1;3)(p34;p21) TMPRSS2-ERG Rearrangement on Chr21q22 Rhabdomyosarcoma Thyroid Non-Hodgkin’s lymphoma Acute T-cell leukemia Prostate types have the capability to rearrange their DNA to generate antigen receptors. Indeed, antigen receptor genes are commonly involved in the translocations, implying that an imperfect regulation of receptor gene rearrangement may be involved in their pathogenesis. In addition to transcription factors and signal transduction molecules, translocation may result in the overexpression of cell cycle regulatory proteins or proteins such as cyclins and of proteins that regulate cell death. Recur rent translocations have more recently been identified in solid tumors such as prostate cancers. For example, fusions between TMPRSS2 and ERG, which are normally located in tandem on chromosome 21, con tribute to more than one-third of all prostate cancers. The first reproducible chromosome abnormality detected in human malignancy was the Philadelphia chromosome detected in CML. This cytogenetic abnormality is generated by reciprocal translocation involving the ABL oncogene on chromosome 9, encoding a tyrosine kinase, being placed in proximity to the breakpoint cluster region (BCR) gene on chromosome 22. Figure 76-3 illustrates the genera tion of the translocation and its protein product. The consequence of expression of the BCR-ABL gene product is the activation of signal transduction pathways leading to cell growth independent of normal external signals. Imatinib, a drug that specifically blocks the activity of Abl tyrosine kinase, has shown remarkable efficacy with little tox icity in patients with CML. The successful targeting of BCR-ABL by imatinib is the paradigm for molecularly targeted anticancer therapies. CHROMOSOMAL INSTABILITY IN SOLID TUMORS Solid tumors generally contain an abnormal number of chromosomes, a state known as aneuploidy. Chromosomes from aneuploid tumors also exhibit structural alterations such as translocations, deletions, and amplifications. These abnormalities reflect an underlying defect in cancer cells known as chromosomal instability. While aneuploidy is a striking cellular phenotype, chromosomal instability is manifest as only a small increase in the </w:t>
      </w:r>
      <w:r w:rsidR="00A6019F" w:rsidRPr="00A6019F">
        <w:lastRenderedPageBreak/>
        <w:t xml:space="preserve">tendency of cells to gain, lose, or rearrange chromosomes during any given cell cycle. This intrinsically low rate of chromosome aberration implies that cancer cells become aneuploid only after many generations of clonal expansion. The molecular basis of aneuploidy remains incompletely understood. It is widely believed that defects in checkpoints, the quality-control mechanisms that halt the cell cycle if chromosomes are damaged or misaligned, contribute to chromosomal instability. This hypothesis emerged from experimental observations that the tumor suppressor p53 controls checkpoints that regulate the initiation of DNA replication and the onset of mitosis. These processes are therefore defective in many cancer cells. The mitotic spindle checkpoint, which ensures proper chromosome attach ment to the mitotic spindle before allowing the sister chromatids to separate, is also altered in some cancers, irrespective of p53 status. The precise relationship between checkpoint deficiency, p53, and chromosomal instability remains unclear, but it is believed that even a subtle perturbation of the highly orchestrated process of cell divi sion can impact the ability of a cell to faithfully replicate and segregate its complement of chromosomes. From a therapeutic standpoint, the checkpoint defects that are prevalent in cancers have been proposed as vulnerabilities that may be exploited by novel agents and combinatorial strategies. In contrast to the genome-wide cytogenetic changes that are typical indications of an underlying chromosomal instability, more focal pat terns of chromosomal rearrangement have been recurrently detected in many cancer types. A curious phenomenon known as chromothripsis causes dozens of distinct breakpoints that are localized on one or sev eral chromosomes. These striking structural alterations are thought to reflect a single event in which a chromosome is fragmented and then imprecisely reassembled. In some cancer types, chromothripsis contributes to oncogene amplification and tumor suppressor gene inactivation in a substantial proportion of tumors. While the exact pro cess that underlies chromothripsis remains obscure, a transient period of extreme instability stands in contrast to the gradual loss, gain, and rearrangement of chromosomes that are typically observed in serially cultured cancer cells. CHAPTER 76 Cancer Genetics 522 Chr 9 Changed Chr 9 Chr 22 ABL PART 4 Ph Chr BCR Chromosome translocation 9q34 22q11 Chimeric gene BCR ABL BCR ABL BCR-ABL fusion protein FIGURE 76-3 Specific translocation seen in chronic myeloid leukemia (CML). The Philadelphia chromosome (Ph) is derived from a reciprocal translocation between chromosomes 9 and 22 with the breakpoint joining the sequences of the ABL oncogene with the BCR gene. The fusion of these DNA sequences allows the generation of an entirely novel fusion protein with modified function. Oncology and Hematology TUMOR-SUPPRESSOR GENE INACTIVATION IN CANCER The normal role of tumor-suppressor genes is to restrain cell growth, and the function of these genes is inactivated in cancer. The three major types of somatic lesions observed in tumor-suppressor genes during tumor development are point mutations, small insertions and/or deletions known as indels, and large deletions. Point mutations or indels in the coding region of tumor-suppressor genes will frequently lead to truncated </w:t>
      </w:r>
      <w:r w:rsidR="00A6019F" w:rsidRPr="00A6019F">
        <w:lastRenderedPageBreak/>
        <w:t xml:space="preserve">protein products or allele-specific loss of RNA expression by the process of nonsense-mediated decay. Unlike the highly recurrent point mutations that are found in critical positions of activated onco genes, known as mutational hotspots, the point mutations that cause tumor-suppressor gene inactivation tend to be distributed throughout the open reading frame. Large deletions lead to the loss of a functional product and sometimes encompass the entire gene or even the entire chromosome arm, leading to loss of heterozygosity (LOH) in the tumor DNA compared to the corresponding normal tissue DNA (Fig. 76-4). Mapping regions of LOH was a useful approach in the positional clon ing of many tumor-suppressor genes. The rate of LOH is increased in the presence of chromosomal instability, a relationship that would explain the selective forces leading to the high prevalence of aneuploidy in late-stage cancers. Gene silencing, an epigenetic change that leads to the loss of gene expression, occurs in conjunction with hypermethylation of the promoter and histone deacetylation, and is another mechanism of tumor-suppressor gene inactivation. An epigenetic modification refers to a covalent modification of chromatin, heritable by cell progeny that may involve DNA but does not involve a change in the DNA sequence. FAMILIAL CANCER SYNDROMES A small fraction of cancers occurs in patients with a genetic predispo sition. Based on studies of inherited and sporadic forms of retinoblas toma, Knudson and others formulated a hypothesis that explains the differences between sporadic and inherited forms of the same tumor type. In inherited forms of cancer, called cancer predisposition syn dromes, one allele of a particular tumor-suppressor gene is inherited in mutant form. This germline mutation is not sufficient to initiate a tumor, however; the other allele, inherited from the unaffected parent, must become somatically inactivated in a normal stem cell for tumori genesis to be initiated. In sporadic (noninherited) forms of the same disease, all cells in the body start out with two normal copies of the tumor-suppressor gene. A single cell must then sequentially acquire mutations in both alleles of the tumor-suppressor gene to initiate a tumor. Thus, biallelic mutations of the same tumor-suppressor gene are required for both inherited and noninherited forms of the disease; the only difference is that individuals with the inherited form have a “head start”: they already have one allele mutated, from conception, and only need one additional mutation to initiate the process (Fig. 76-4). This distinction explains why those with inherited forms of the dis ease develop more cancers, at an earlier age, than the general popula tion. It also explains why, even though every cell in an individual with a cancer predisposition syndrome has a mutant gene, only a relatively small number of tumors arise during their lifetime. The reason is that the vast majority of cells within such individuals are functionally normal because one of the two alleles of the tumor-suppressor gene is normal. Mutations are uncommon events, and only the rare cells that develop a mutation in the remaining normal allele will exhibit uncontrolled proliferation. The same principle applies to virtually all types of cancer predisposition syndromes, though the particular genes differ. For example, inherited mutations in RB1, WT1, VHL, APC, and BRCA1 lead to predispositions to retinoblastomas, Wilms’ tumors, </w:t>
      </w:r>
      <w:r w:rsidR="00A6019F" w:rsidRPr="00A6019F">
        <w:lastRenderedPageBreak/>
        <w:t xml:space="preserve">renal cell carcinomas, colorectal carcinomas, and breast carcinomas, respectively (Table 76-3). Also note that the biallelic inactivation of any of these genes is not sufficient to develop cancer; it requires other, additional somatic alterations in other genes for the initiating cells to evolve to malignancy, as noted above. Roughly 100 familial cancer syndromes have been reported; the great majority are very rare. Most of these syndromes exhibit an autosomal dominant pattern of inheritance, although some of those associated with DNA repair abnormalities (xeroderma pigmentosum, Fanconi’s anemia, ataxia telangiectasia) are inherited in an autosomal recessive fashion. Table 76-3 shows a number of cancer predisposition syndromes and the responsible genes. Familial adenomatous polyposis (FAP) is a dominantly inherited colon cancer syndrome caused by germline mutations in the adeno matous polyposis coli (APC) tumor-suppressor gene on chromosome 5. Affected individuals develop hundreds to thousands of adenomas in the colon. In each of these adenomas, the APC allele inherited from the nonaffected parent has been inactivated by virtue of a somatic mutation (Fig. 76-2). This inactivation usually occurs through a gross chromosomal event resulting in loss of all or a large part of the long arm of chromosome 5, where APC resides. In other cases, the remain ing allele is inactivated by a subtle intragenic mutation of APC, which is typically a single base substitution resulting in a nonsense codon. 523 Chromosome arrangement in the tumor Loss of normal chr 13 Markers A and B A2 A1 + + B1 B2 Loss and reduplication A3 A1 + Rb B2 B3 Tumor formation A3 Rb B3 Mitotic crossing over A3 A1 + Rb B1 Independent mutation or small deletion B3 A1 Rb B1 A1 Rb B3 A3 Rb B3 A3 Rb B3 A3 Rb B3 A3 Rb B3 FIGURE 76-4 Diagram of possible mechanisms for tumor formation in an individual with hereditary (familial) retinoblastoma. On the left is shown the pedigree of an affected individual who has inherited the abnormal (Rb) allele from her affected mother. The normal allele is shown as a (+). The four chromosomes of her two parents are drawn to indicate their origin. Flanking the retinoblastoma locus are genetic markers (A and B) also analyzed in this family. Markers A3 and B3 are on the chromosome carrying the retinoblastoma disease gene. Tumor formation results when the normal allele, which this patient inherited from her father, is inactivated. On the right are shown four possible ways in which this could occur. In each case, the resulting chromosome 13 arrangement is shown. Note that in the first three situations, the normal allele (B1) has been lost in the tumor tissue, which is referred to as loss of heterozygosity (LOH) at this locus. Gross chromosomal losses occur more commonly than point muta tions in normal cells, explaining why chromosomal loss rather than point mutation is the predominant mechanism underlying the inacti vation of the normal allele of APC. The same is true for other cancer predisposition syndromes caused by other inherited tumor suppressor gene mutations; gross chromosomal events are generally responsible for inactivation of the tumor-suppressor gene allele inherited from the nonaffected parent. Several thousand adenomas form in FAP patients, and a small subset of the millions of cells within an adenoma will acquire a second mutation, leading to tumor progression, that is, a larger </w:t>
      </w:r>
      <w:r w:rsidR="00A6019F" w:rsidRPr="00A6019F">
        <w:lastRenderedPageBreak/>
        <w:t xml:space="preserve">adenoma. A third mutation in such a larger adenoma may convert it to a carcinoma. If untreated (by colectomy), at least one of the adenomas will progress to cancer by the time patients are in their mid-40s. APC is a gatekeeper for colon tumorigenesis in the sense that in the absence of mutation in APC (or a gene acting within the same pathway), a colorectal tumor simply cannot be initiated. Figure 76-5 shows the germline and somatic mutations found in the APC gene. A negative regulator of a signaling pathway that determines cell fate during development, the APC protein provides differentiation and apoptotic cues to colonic epithelial cells as they migrate up the crypt. Defects in this process can lead to abnormal accumulation of cells that would otherwise differentiate and eventually undergo apoptosis. In contrast to patients with FAP, patients with hereditary nonpol yposis colon cancer (HNPCC, or Lynch syndrome) do not develop polyposis, but instead develop only one or a small number of adenomas that rapidly progress to cancer. HNPCC is due to inherited mutations in one of four DNA mismatch repair genes (Table 76-3) that are com ponents of a repair system responsible for correcting errors in newly replicated DNA. Germline mutations in MSH2 and MLH1 together account for more than 90% of HNPCC cases, and mutations in MSH6 and PMS2 account for the remainder. When a somatic mutation inac tivates the remaining wild-type allele of a mismatch repair gene, the cell develops a hypermutable phenotype characterized by profound genomic instability that is most readily apparent in short repeated sequences called microsatellites and is sometimes called microsatellite instability (MSI). The high rate of mutation in such cells impacts all genes, including oncogenes and tumor-suppressor genes, and thereby accelerates the activation of the former and the inactivation of the latter (Fig. 76-2). HNPCC can be considered a disease of tumor progression; once tumors are initiated (by an inactivating mutation of APC or by some other gene in the APC pathway), tumors rapidly progress because of the accelerated mutation rate. Progression from a tiny adenoma to carcinoma takes only a few years in HNPCC patients instead of the two or three decades this progression takes in patients with FAP (or in patients with sporadic colorectal tumors). Approximately half of HNPCC patients develop colorectal cancers by the time they are in their mid-40s—similar to that of FAP patients. This coincidence in age of onset emphasizes that both tumor initiation (abnormal in FAP patients) and tumor progression (abnormal in HNPCC patients) are the two pillars of cancer development and are equally important for cancer development. Another general principle is apparent from the comparison between FAP and HNPCC patients. The tumors in FAP patients, like those in patients without hereditary predisposition to cancers, exhibit chro mosomal instability rather than MSI. Indeed, MSI and chromosomal instability tend to be mutually exclusive in colon cancers, suggest ing that they represent alternative mechanisms for the generation of genomic instability (Fig. 76-2). Other cancer types rarely exhibit MSI. Chromosomal instability is far more prevalent than MSI among all cancer types, perhaps explaining why nearly all cancers are aneuploid. Although most autosomal dominant inherited cancer syndromes are due to mutations in tumor-suppressor genes (Table 76-3), there </w:t>
      </w:r>
      <w:r w:rsidR="00A6019F" w:rsidRPr="00A6019F">
        <w:lastRenderedPageBreak/>
        <w:t xml:space="preserve">are a few interesting exceptions. Multiple endocrine neoplasia type 2, a dominant disorder characterized by pituitary adenomas, medullary CHAPTER 76 Cancer Genetics 524 PART 4 Oncology and Hematology Germline APC MCR O ARM 15 aa 20 aa Basic E/D Number of mutations Number of mutations Somatic 60 50 40 30 20 10 0 140 120 100 80 60 40 20 0 0 200 400 600 800 1000 1200 1400 1309 1309 1061 1450 Amino acid number 1600 1800 2000 2200 2400 2600 2800 FIGURE 76-5 Germline and somatic mutations in the tumor-suppressor gene adenomatous polyposis coli (APC). APC encodes a 2843-amino-acid protein with six major domains: an oligomerization region (O), armadillo repeats (ARM), 15-amino-acid repeats (15 aa), 20-amino-acid repeats (20 aa), a basic region, and a domain involved in binding EB1 and the Drosophila discs large homologue (E/D). Shown are 650 somatic and 826 germline mutations representative of the mutations that occur within the APC gene (from the APC database at www.umd.be/APC). All known pathogenic mutations of APC result in the truncation of the APC protein. Germline mutations are found to be relatively evenly distributed up to codon 1600 except for two mutation hotspots surrounding amino acids 1061 and 1309, which together account for one-third of the mutations found in familial adenomatous polyposis (FAP) families. TABLE 76-3 Cancer Predisposition Syndromes and Associated Genes SYNDROME GENE CHROMOSOME INHERITANCE TUMORS Ataxia telangiectasia ATM 11q22-q23 AR Breast Autoimmune lymphoproliferative syndrome FAS FASL 10q24 1q23 AD Lymphomas Birt-Hogg-Dubé syndrome FLCN 17p11.2 AD Kidney (hybrid oncocytic, chromophobe) Bloom syndrome BLM 15q26.1 AR Various Cowden syndrome PTEN 10q23 AD Breast, thyroid Familial adenomatous polyposis APC MUTYH 5q21 1p34.1 AD AR Colorectal (early onset) Familial melanoma CDKN2A 9p21 AD Melanoma, pancreatic Familial Wilms’ tumor WT1 11p13 AD Kidney (pediatric) Hereditary breast/ovarian cancer BRCA1 BRCA2 17q21 13q12.3 AD Breast, ovarian, prostate Hereditary diffuse gastric cancer CDH1 16q22 AD Stomach Hereditary multiple exostoses EXT1 EXT2 8q24 11p11-12 AD Exostoses, chondrosarcoma Hereditary retinoblastoma RB1 13q14.2 AD Retinoblastoma, osteosarcoma Hereditary nonpolyposis colon cancer (HNPCC) MSH2 MLH1 MSH6 PMS2 2p16 3p21.3 2p16 7p22 AD Colon, endometrial, ovarian, stomach, small bowel, ureter carcinoma Hereditary papillary renal carcinoma MET 7q31 AD Papillary kidney Juvenile polyposis syndrome SMAD4 BMPR1A 18q21 AD Gastrointestinal, pancreatic Li-Fraumeni syndrome TP53 17p13.1 AD Sarcoma, breast Multiple endocrine neoplasia type 1 MEN1 11q13 AD Parathyroid, endocrine, pancreas, and pituitary Multiple endocrine neoplasia type 2a RET 10q11.2 AD Medullary thyroid carcinoma, pheochromocytoma Neurofibromatosis type 1 NF1 17q11.2 AD Neurofibroma, neurofibrosarcoma, brain Neurofibromatosis type 2 NF2 22q12.2 AD Vestibular schwannoma, meningioma, spine Nevoid basal cell carcinoma syndrome (Gorlin’s syndrome) PTCH1 9q22.3 AD Basal cell carcinoma, medulloblastoma, jaw cysts Peutz-Jeghers syndrome STK11/LKB1 19p13.3 AD Gastrointestinal, breast Tuberous sclerosis TSC1 TSC2 9q34 16p13.3 AD Angiofibroma, renal angiomyolipoma von Hippel–Lindau disease VHL 3p25-26 AD Kidney, cerebellum, </w:t>
      </w:r>
      <w:r w:rsidR="00A6019F" w:rsidRPr="00A6019F">
        <w:lastRenderedPageBreak/>
        <w:t xml:space="preserve">pheochromocytoma Abbreviations: AD, autosomal dominant; AR, autosomal recessive. 525 carcinoma of the thyroid, and (in some pedigrees) pheochromocy toma, is due to gain-of-function mutations in the proto-oncogene RET on chromosome 10. Similarly, gain-of-function mutations in the tyrosine kinase domain of the MET oncogene lead to hereditary papil lary renal carcinoma. Interestingly, loss-of-function mutations in the RET gene cause a completely different disease, Hirschsprung’s disease (aganglionic megacolon [Chaps. 339 and 400]). Although the heritable forms of cancer have taught us much about the mechanisms of growth control, most forms of cancer do not follow simple Mendelian patterns of inheritance. The majority of human can cers arise in a sporadic fashion, solely as a result of somatic mutation, and in the absence of any mutations in cancer-predisposing genes in their germlines. GENETIC TESTING FOR FAMILIAL CANCER The discovery of cancer susceptibility genes raises the possibility of DNA testing to predict the risk of cancer in individuals of affected families. An algorithm for cancer risk assessment and decision making in high-risk families using genetic testing is shown in Fig. 76-6. Once a mutation is discovered in a family, subsequent testing of asymptomatic family members is crucial. A negative gene test in these individuals can prevent years of anxiety, providing comfort in the knowledge that their cancer risk is no higher than that of the general population. On the other hand, a positive test may lead to alteration of clinical man agement, such as increased frequency of cancer screening and, when feasible and appropriate, prophylactic surgery. Potential negative con sequences of a positive test result include psychological distress (anxi ety, depression) and discrimination, although the Genetic Information Patients (1) from family with a known cancer syndrome, (2) from a family with a history of cancer, (3) with early onset cancer Pretest counseling Review of family history to confirm/identify possible cancer syndromes and candidate genes Informed consent Testing of cancer patient Identification of disease-causing mutation Screening of asymptomatic family members Negative test: family member has no increased risk of cancer Negative test: no disease-causing mutations identified FIGURE 76-6 Algorithm for genetic testing in a family with cancer predisposition. The key step is the identification of a disease mutation in a cancer patient, which is an indication for the testing of asymptomatic family members. Asymptomatic family members who test positive may require increased screening or surgery, whereas those who test negative are at no greater risk for cancer than the general population. It should be emphasized that no molecular assay used for this sort of testing is 100% sensitive; negative results must be interpreted with this caveat in mind. Nondiscrimination Act (GINA) makes it illegal for predictive genetic information to be used to discriminate in health insurance or employ ment. Testing should therefore not be conducted without counseling before testing is administered and during and after disclosure of the test result. It is now feasible to obtain high-quality sequence of all of the protein coding DNA sequences, and even of the entire genome, in any given individual. In such studies, numerous variants in DNA sequences will inevitably be identified in every subject, but the </w:t>
      </w:r>
      <w:r w:rsidR="00A6019F" w:rsidRPr="00A6019F">
        <w:lastRenderedPageBreak/>
        <w:t xml:space="preserve">significance of the vast majority of these DNA sequence findings will be unclear. Even muta tions in tumor-suppressor genes can be difficult to interpret unless there is an obvious functional implication, such as the truncation of the open reading frame, or that particular mutation has previously been correlated with cancer in other individuals. Germline mutations associated with cancer predisposition are uncommon in individuals without a family history of cancer, though they do occur. Much more common are variants of unknown significance (VUS). VUS that are found during genetic testing cannot be used to evaluate the relative risk of cancer but may nonetheless cause anxiety because they represent a deviation from the reference allele that is established as “normal.” Because of the low yield of informative mutations that modify cancer risk and the frequent identification of VUS, it is generally not appropri ate to use DNA sequencing to assess cancer risk in individuals without a family history of cancer. However, there are exceptions. Testing may be appropriate in some subpopulations with a known increased risk, even without a personal family history. For example, two mutations in the breast cancer susceptibility gene BRCA1, 185delAG and 5382insC, exhibit a sufficiently high frequency in the Ashkenazi Jewish popula tion that genetic testing based on ethnicity alone may be warranted. It is important that genetic test results be communicated to families by trained genetic counselors. To ensure that the families clearly under stand its advantages and disadvantages and the impact it may have on disease management and psyche, genetic testing should never be done before counseling. Significant expertise is needed to communicate the results of genetic testing to families. VIRUSES IN HUMAN CANCER CHAPTER 76 Cancer Genetics Several human malignancies are associated with viruses. Examples include Burkitt’s lymphoma (Epstein-Barr virus; Chap. 199), hepato cellular carcinoma (hepatitis viruses), cervical cancer (human papil lomavirus [HPV]; Chap. 203), and T-cell leukemia (retroviruses; Chap. 207). There are several types of HPV, including the high-risk types 16 and 18 that are strongly associated with the development of cervical, vulvar, vaginal, penile, anal, and oropharyngeal cancer. The mechanisms of action of all these viruses involve inactivation of tumor suppressor genes. For example, HPV proteins E6 and E7 bind to and inactivate cellular tumor suppressors p53 and pRB, respectively. This is the reason that HPV is such a potent initiator of cancer: infection with a virus is tantamount to having two of the three mutant driver genes required for cancer, that is, one viral oncogene inactivates p53 and the other inactivates Rb. Once these two inactivated gene products initiate tumorigenesis, only one additional mutant gene is required for these tumors to progress to malignancy. </w:t>
      </w:r>
      <w:r w:rsidR="00A6019F" w:rsidRPr="00A6019F">
        <w:rPr>
          <w:rFonts w:ascii="Arial" w:hAnsi="Arial" w:cs="Arial"/>
        </w:rPr>
        <w:t>■</w:t>
      </w:r>
      <w:r w:rsidR="00A6019F" w:rsidRPr="00A6019F">
        <w:t xml:space="preserve">CANCER GENOMES The advent of relatively inexpensive technologies for rapid and high-throughput DNA sequencing has facilitated the comprehensive analysis of numerous genomes from many types of tumors. This unprecedented view into the genetic nature of cancer has provided remarkable insights. Most cancers do not arise in the context of a mutator phenotype, and accordingly, the number of mutations in even the most advanced cancers is relatively modest. Common solid tumors harbor 30–70 subtle mutations that are nonsynonymous (i.e., result in an </w:t>
      </w:r>
      <w:r w:rsidR="00A6019F" w:rsidRPr="00A6019F">
        <w:lastRenderedPageBreak/>
        <w:t xml:space="preserve">amino acid change in the encoded protein). Liquid tumors such as leukemias, as well as pediatric tumors, typically have fewer than 20 mutations. The vast majority of the mutations detected in tumors are not functionally significant; they simply arose by chance in a single cell that gave rise to an expanding clone. Such mutations, which pro vide no selective advantage to the cell in which they occur, are known 526 as passenger mutations. As noted above, only a small number of the mutations confer a selective growth advantage and thereby promote tumorigenesis. These functional mutations are known as driver muta tions, and the genes in which they occur are called driver genes. PART 4 Oncology and Hematology The frequency and distribution of driver mutations within a single tumor type can be represented as a topographical landscape. The picture that emerges from cancer genome studies reveals that most genes that are mutated in tumors are actually mutated at relatively low frequencies, as would be expected of passenger genes, whereas a small number of genes (the driver genes) are mutated in a large proportion of tumors. Only ~200 driver genes contribute to the development of solid tumors of all kinds. Driver genes that play a role in ever smaller fractions of cancers are still being discovered. The majority of the muta tions in driver genes provide a direct selective growth advantage by altering the signaling pathways that mediate cell survival or the deter mination of cell fate. The remaining driver gene mutations indirectly provide a selective growth advantage by accelerating the mutation rate of proto-oncogenes and tumor-suppressor genes. That the same driver genes play a role in multiple cancer types was unexpected before their discovery and has important implications for the development of new “tumor-agnostic” therapeutic and diagnostic approaches. Moreover, the functions of all these driver genes can be organized into a small number of signaling pathways, as shown in Table 76-4. As a consequence of the mutations they harbor, cancer cells invari ably express mutant proteins that are only rarely found in normal cells. Some of these mutant proteins are processed and displayed on the cell surface in the context of major histocompatibility complexes, a process that would normally facilitate their recognition by the adaptive immune system. Thus, all cancers have the theoretical potential to be recognized as foreign, or “nonself,” via the display of these tumor-spe cific antigens, known as mutation-associated neoantigens (MANAs). In fact, established tumors invariably prevent the activation of local T cells by inducing an intercellular suppressive mechanism known as an immune checkpoint. Therapeutic approaches to exploit this potential vulnerability by blocking immune checkpoints have elicited striking responses in patients with several types of cancer. It was hypothesized that the potential immunogenicity of a tumor would be related to the total number of distinctive neoantigens it can express, which in turn is directly determined by the total number of mutations in the cancer genome. This does seem to be the case. Colorectal cancers that develop as a result of mismatch repair defi ciency and smoking-related lung cancers, both of which characteristi cally harbor large numbers of mutations, exhibit more robust responses to therapeutic immune checkpoint blockade than most other </w:t>
      </w:r>
      <w:r w:rsidR="00A6019F" w:rsidRPr="00A6019F">
        <w:lastRenderedPageBreak/>
        <w:t xml:space="preserve">tumor types. Notably, driver mutations as well as passenger mutations that result in the expression of mutant proteins can both contribute to the display of immunogenic neoantigens. Thus, the total number of coding TABLE 76-4 Signaling Pathways Altered in Cancer PROCESS Cell survival Cell fate PATHWAY Cell cycle regulation/ apoptosis RAS PIK3CA JAK/STAT MAPK TGF-β Notch REPRESENTATIVE DRIVER GENES RB1, BCL2 KRAS, BRAF PTEN, PIK3CA JAK2, FLT3 MAP3K, ERK BMPR1A, SMAD4 NOTCH1, FBWX7 Hedgehog WNT/APC Chromatin modification Transcriptional regulation Genome maintenance DNA damage signaling and repair PTCH1, SMO APC, CTNNB1 DNMT1, IDH1 AR, KLF4 ATM, BRCA1 mutations, a metric known as mutational load, is one of the determi nants of potential immunogenicity. The ability of cancer cells to evade immune-mediated cell death is an intrinsic property that is essential for their continued growth. While tumor suppressor genes and oncogenes have been intensively studied with respect to their effects on the intracellular signaling pathways that regulate cell proliferation and cell death, little is known about how these genetic alterations affect the interactions between cancer cells and neighboring immune cells. In particular, neoplastic cells contain ing certain mutations may be culled by the immune system because the mutations create neoantigens that can be recognized by T cells. </w:t>
      </w:r>
      <w:r w:rsidR="00A6019F" w:rsidRPr="00A6019F">
        <w:rPr>
          <w:rFonts w:ascii="Arial" w:hAnsi="Arial" w:cs="Arial"/>
        </w:rPr>
        <w:t>■</w:t>
      </w:r>
      <w:r w:rsidR="00A6019F" w:rsidRPr="00A6019F">
        <w:t xml:space="preserve">TUMOR HETEROGENEITY The mutant cells that compose a single tumor are not genetically identical. Rather, cells obtained from different sites on a tumor will harbor common mutations as well as mutations that are unique to each sample. Genetic heterogeneity results from the ongoing acquisition of mutations during tumor growth. Each time a genome is replicated, there is a small but quantifiable probability that a mutation will spon taneously arise as a result of a replication error and be passed on to the cellular progeny. This is true in normal cells or in tumor cells. Any ran domly chosen cell from the skin of one individual will harbor hundreds of genetic alterations that distinguish it from a different randomly chosen skin cell, and the same is true for all organs of self-renewing tissues. Tumors are actually less genetically heterogeneous than normal tissues; any two randomly chosen cells from a tumor of an individual will have fewer differences than any two randomly chosen cells from that individual’s normal tissues. The reason for this decrease in hetero geneity is clonal expansion, the fundamental feature of tumorigenesis. Every time a clonal expansion occurs, a genetic bottleneck wipes out heterogeneity among the cells that did not expand; these unexpanded cells either die or form only a minute proportion of the total cells in the expanding tumor. The mutations that vary between cells of a given tumor are invari ably passenger mutations that arose since the last evolutionary bottle neck, that is, those mutations that arose during the expansion of the founder cell that gave rise to the final clonal expansion. In contrast, the passenger mutations that were present in the founder cell will be uniformly present in every cell in the tumor. In that respect, these pas senger mutations are not heterogeneously distributed and are in fact uniformly present in virtually all cancer cells. These “clonal” mutations, i.e., present in all cells of the cancers, are the main source of MANAs that can be exploited through immune checkpoint inhibitors. </w:t>
      </w:r>
      <w:r w:rsidR="00A6019F" w:rsidRPr="00A6019F">
        <w:lastRenderedPageBreak/>
        <w:t xml:space="preserve">The total number of mutations and their distribution within tumor cells repre sent a complex interplay between the age of the patient (the older the patient, the more passenger mutations will have accumulated in the founding cell of the first clonal expansion) and the evolutionary history of the cancer (its age and number of clonal expansions it experienced). Tumor heterogeneity has been recognized for decades at the cyto genetic, biochemical, and histopathologic levels. However, it is only recently, with the advent of a deep understanding of cancer genetics, that genetic heterogeneity can be interpreted in a medically relevant fashion. The first important point to recognize about tumor hetero geneity is that it is only the variation in driver gene alterations that is important; the cellular distribution of passenger gene mutations is irrelevant except for immune-related phenomena. In this discussion of heterogeneity, we can expand the definition of “driver genes” to include those that provide a selective growth advantage in the face of therapy in addition to those that provide a selective growth advantage during tumor evolution, prior to treatment. Type I heterogeneity refers to that among tumors of the same type from different patients (Fig. 76-7). Though adenocarcinomas of the lung generally harbor mutations in three or more driver genes, the genes dif fer among the patients, and the precise mutations within the same gene can vary considerably. Type I heterogeneity is the basis for precision medicine, where the goal is to treat patients with drugs that target the proteins encoded by genetic alterations within their specific tumors. Type II heterogeneity refers to the genetic heterogeneity among differ ent cells from the same primary tumor. Tumors continue to evolve as Clone 1 Clone 2 Intratumoral heterogeneity Intermetastatic heterogeneity 527 within a primary tumor A Founder cells Founder cells Clone 4 Clone 3 Liver Intrametastatic heterogeneity within metastatic lesions C Pancreas Primary tumor between two metastases B Metastasis 1 Metastasis 2 Interpatient heterogeneity D Patient 1 Patient 2 FIGURE 76-7 Four types of tumor heterogeneity. Tumor heterogeneity is the inevitable result of cell proliferation, as new mutations are introduced during clonal expansion. In a typical tumor (upper left), founder cells that harbor a large fraction of the total mutations give rise to subclones, which continue to evolve independently. The tumors of the founding populations are shown in the middle of each circle; the distinct subclones are shown around the periphery. A. Heterogeneity among the cells of a primary tumor is known as intratumoral heterogeneity. B. Heterogeneity among the founding cells of distinct metastatic lesions (marked as 1 and 2) that arise in the same patient is known as intermetastatic heterogeneity. C. Heterogeneity among the cells of each metastatic tumor is known as intrametastatic heterogeneity. D. Interpatient heterogeneity. The mutations in the tumors of two patients are almost completely distinct. (Reproduced with permission from B Vogelstein et al: Cancer genome landscapes. Science 339(6127):1546, 2013.) they grow, and different cells of the same cancer, in its original site (e.g., the pancreas), may acquire other driver gene mutations that are not shared among the other cells of the tumor. Such a mutation can result in a small clonal expansion that may or may not be important biologi cally. In cases in which the primary tumor can be surgically </w:t>
      </w:r>
      <w:r w:rsidR="00A6019F" w:rsidRPr="00A6019F">
        <w:lastRenderedPageBreak/>
        <w:t xml:space="preserve">excised, such mutations are unimportant unless they give rise to type III heterogeneity (described below). The reason they are unimportant is because all primary tumor cells, whether homogeneous or not, are removed by the surgical procedure. In primary tumors that cannot be completely excised (such as most advanced brain tumors and many pancreatic ductal adenocarcinomas), heterogeneity is biomedically important because it can give rise to drug resistance, analogously to that described for type IV heterogeneity (see below). Type III hetero geneity refers to the genetic differences among the founder cells of the metastatic lesions from the same patient. For example, a patient with melanoma may have 100 different metastases distributed throughout various organs. Only if a mutant BRAF is present in every founder cell of every metastasis, then the patient has a chance at a complete response to a BRAF inhibitor. There have been several recent detailed studies of the metastases from various tumor types. Fortunately, these studies suggest there is very little, if any, type III heterogeneity among driver genes, a necessary prerequisite for the successful implementa tion of current and future targeted therapies. Finally, type IV hetero geneity refers to that among cells of individual metastatic lesions. As the founder cell of each metastasis expands to become detectable, it acquires mutations, a small number of which can act as “drivers” when the patient is exposed to therapeutics. This type of heterogeneity is of major clinical importance, as it has been shown to be responsible for the development of resistance in virtually all targeted therapies. The development of such resistance is a fait accompli based simply on known mutation rates and genetic resistance mechanisms. The only way to circumvent acquired resistance is to treat metastatic tumors earlier (i.e., in adjuvant setting, before much tumor expansion has occurred) or to treat with combinations of drugs for which cross resistance is genetically impossible. PERSONALIZED CANCER DETECTION AND TREATMENT High-throughput DNA sequencing has led to an unprecedented under standing of cancer at the molecular level. A comprehensive mutation profile provides a molecular history of a given tumor and insights into how it arose. Because tumor cells and tumor DNA are shed into the blood and other bodily fluids, common driver mutations can be used as highly specific biomarkers for early detection. For diagnosed tumors, tumor-specific mutations can be used to estimate tumor burden, assess treatment responses, and detect recurrence. In some cases, information regarding specific genes and pathways that are altered provides patients and physicians with options for personalized therapy. This general approach is sometimes referred to as precision medicine. Because tumor behavior is highly variable, even within a tumor type, personalized information-based medicine can supplement and perhaps eventually supplant histology-based tumor assessment, especially in the case of tumors that are resistant to con ventional therapeutic approaches. Conversely, molecular nosology has revealed similarities in tumors of diverse histotype. The success of the precision medicine approach in any given patient depends on the pres ence of tumor-associated genetic alterations that are actionable (i.e., can be targeted with a specific drug). Examples of currently actionable changes </w:t>
      </w:r>
      <w:r w:rsidR="00A6019F" w:rsidRPr="00A6019F">
        <w:lastRenderedPageBreak/>
        <w:t xml:space="preserve">include mutations in BRAF (targeted by the drug vemu rafenib), RET (targeted by sunitinib and sorafenib), ALK rearrange ments (targeted by crizotinib), and mismatch repair genes (targetable by immune checkpoint inhibitors). The development of new targeted agents is at present hindered by the fact that most such agents can only target activated oncogenes, while the great majority of genetic alterations in common solid tumors are those that inactivate tumor-suppressor genes. Because all drugs, whether for use in oncology or any other purpose, can only inhibit protein actions, drugs cannot be used to directly target the proteins encoded by inactivated tumor-suppressor genes; these proteins are already inactive. More information about the pathways through which tumor-suppressor genes act may provide a way around this CHAPTER 76 Cancer Genetics 528 obstacle. For example, when a tumor-suppressor gene is inactivated, some downstream component of the pathway is likely to be activated, thereby presenting a realistic target. Alternatively, the mutational inac tivation of a DNA repair pathway might create a unique dependence on the repair pathways that remain intact. An example of this is pro vided by PARP-1 inhibitors, which have been successfully used to treat patients whose tumors have inactivating mutations of genes involved in DNA repair processes, such as BRCA1. Patterns of global gene expres sion can be used to help unravel such pathways and are already being used to predict drug sensitivities and provide prognostic information in addition to that provided by DNA sequence analysis. Evaluation of proteomic and metabolomic patterns may also prove useful for this purpose. </w:t>
      </w:r>
      <w:r w:rsidR="00A6019F" w:rsidRPr="00A6019F">
        <w:rPr>
          <w:rFonts w:ascii="Arial" w:hAnsi="Arial" w:cs="Arial"/>
        </w:rPr>
        <w:t>■</w:t>
      </w:r>
      <w:r w:rsidR="00A6019F" w:rsidRPr="00A6019F">
        <w:t xml:space="preserve">THE FUTURE PART 4 Oncology and Hematology A revolution in cancer genetics has occurred in the past 30 years. Most types of cancer are now understood at the DNA sequence level, and this accomplishment has led to an increasingly refined understanding of tumorigenesis. Cancer gene mutations have proven to be reliable biomarkers for cancer detection and monitoring as well as for inform ing therapeutics through precision medicine approaches. Gene-based tests are already standard of care for patients with certain tumor types, such as colorectal and lung cancers, and the utility of these tests will undoubtedly be expanded in the coming years as new therapies and ways of predicting responses to therapies are developed. While effec tive treatment of advanced cancers remains difficult, the early promise shown by immune-based therapies notwithstanding, it is expected that breakthroughs in these areas will continue to emerge and be applicable to an ever-increasing number of cancers. Moreover, with the hoped-for advances in diagnostics, particularly in the earlier detection of cancers, the new and old therapies for cancer can be expected to have a much greater impact on reducing cancer deaths. Acknowledgments The authors gratefully acknowledge the past contributions of Pat J. Morin, Jeff Trent, and Francis Collins to earlier versions of this chapter. </w:t>
      </w:r>
      <w:r w:rsidR="00A6019F" w:rsidRPr="00A6019F">
        <w:rPr>
          <w:rFonts w:ascii="Arial" w:hAnsi="Arial" w:cs="Arial"/>
        </w:rPr>
        <w:t>■</w:t>
      </w:r>
      <w:r w:rsidR="00A6019F" w:rsidRPr="00A6019F">
        <w:t>FURTHER READING Bunz F: Principles of Cancer Genetics, 3rd ed. Dordrecht, Springer, 2022. Le DT et al: PD-1 Blockade in tumors with mismatch-repair deficiency. N Engl J Med 372:2509, 2015. Vogelstein B, Kinzler KW: The path to cancer</w:t>
      </w:r>
      <w:r w:rsidR="00A6019F" w:rsidRPr="00A6019F">
        <w:rPr>
          <w:rFonts w:ascii="Aptos" w:hAnsi="Aptos" w:cs="Aptos"/>
        </w:rPr>
        <w:t>—</w:t>
      </w:r>
      <w:r w:rsidR="00A6019F" w:rsidRPr="00A6019F">
        <w:t>three strikes and you</w:t>
      </w:r>
      <w:r w:rsidR="00A6019F" w:rsidRPr="00A6019F">
        <w:rPr>
          <w:rFonts w:ascii="Aptos" w:hAnsi="Aptos" w:cs="Aptos"/>
        </w:rPr>
        <w:t>’</w:t>
      </w:r>
      <w:r w:rsidR="00A6019F" w:rsidRPr="00A6019F">
        <w:t xml:space="preserve">re out. N Engl J Med 373:1895, 2015. Vogelstein B et al: Cancer genome landscapes. Science 339:1546, 2013. 77 </w:t>
      </w:r>
      <w:r w:rsidR="00A6019F" w:rsidRPr="00A6019F">
        <w:lastRenderedPageBreak/>
        <w:t xml:space="preserve">Cancer Cell Biology Jeffrey W. Clark, Dan L. Longo </w:t>
      </w:r>
      <w:r w:rsidR="00A6019F" w:rsidRPr="00A6019F">
        <w:rPr>
          <w:rFonts w:ascii="Arial" w:hAnsi="Arial" w:cs="Arial"/>
        </w:rPr>
        <w:t>■</w:t>
      </w:r>
      <w:r w:rsidR="00A6019F" w:rsidRPr="00A6019F">
        <w:t xml:space="preserve">CANCER CELL BIOLOGY Cancers are characterized by unregulated cell division, avoidance of cell death, tissue invasion, and the ability to spread to other areas of the body (metastasize). A neoplasm is benign when it grows in an unregu lated fashion without tissue invasion or metastasizing. The presence of unregulated growth, tissue invasion, and the ability to metastasize is characteristic of malignant neoplasms. Cancers are named based on their tissue of origin: those derived from epithelial tissue are called car cinomas, those derived from mesenchymal tissues are sarcomas, and those derived from hematopoietic tissue are leukemias, lymphomas, and plasma cell dyscrasias (including multiple myeloma). Cancers arise as a consequence of genetic alterations, the vast majority of which begin in a single cell and therefore are monoclonal in origin. However, because a wide variety of genetic and epigenetic changes can occur in different cells within malignant tumors over time, as well as varied responses with their microenvironments and the biology of the patient, most cancers are characterized by plasticity and marked heterogeneity in the populations of cells and their composite behavior. In addition, extrinsic factors in the cancer environment (e.g., the stroma, infiltrating cells, various cell-to-cell interactions, spatial orientation, secreted factors, and availability of oxygen and nutrients) vary in different areas within the tumor or different metastases, com pounding this heterogeneity. This heterogeneity significantly compli cates the treatment of most cancers because it is likely that there are subsets of cells that will be resistant to therapy for a variety of reasons and will therefore survive and proliferate even if the majority of cells are killed. A few cancers appear to, at least initially, be primarily driven by an alteration in a dominant gene that produces uncontrolled cell prolif eration. Examples include chronic myeloid leukemia (abl), about half of melanomas (braf), Burkitt’s lymphoma (c-myc), and subsets of lung adenocarcinomas (egfr, alk, ros1, met, ret, braf, and ntrk). Genes that can promote cell growth when altered are often called oncogenes. They were first identified as critical elements of viruses that cause animal tumors; it was subsequently found that the viral genes had normal counterparts with important functions in the cell and had been cap tured and mutated by viruses as they passed from host to host. However, most human cancers are characterized by a multiple-step process involving many genetic abnormalities, each of which contrib utes to the loss of control of cell proliferation and differentiation and the acquisition of capabilities, such as tissue invasion, the ability to metastasize, angiogenesis (development of new blood vessels required for tumor growth), and alteration of the extracellular environment. These properties are not found in the normal adult cell from which the tumor is derived. Indeed, normal cells have a large number of safeguards against DNA damage (including multiple DNA repair and extensive DNA damage response mechanisms), uncontrolled prolif eration, and invasion. Many cancers go through recognizable steps of progressively more abnormal phenotypes: hyperplasia, to adenoma, to dysplasia, to carcinoma in situ, to invasive cancer with the ability to metastasize (Table 77-1). For most cancers, these changes occur over a prolonged </w:t>
      </w:r>
      <w:r w:rsidR="00A6019F" w:rsidRPr="00A6019F">
        <w:lastRenderedPageBreak/>
        <w:t xml:space="preserve">period of time, usually many years. In most organs, only primitive undifferentiated cells are capable of proliferating and cells lose the capacity to proliferate as they differenti ate and acquire functional capabilities. The expansion of the primitive cells (stem cells) is linked to some functional need in the host, such as normal turnover of tissues or regeneration after acute injury, through receptors that receive signals from cells and other factors in the local tissue microenvironment or through hormonal and other influences delivered by the vascular supply. In the absence of such signals, the cells are at rest or quiescent (out of the cell cycle but capable of being activated to reenter the cell cycle). The signals that induce quiescence in primitive cells as well as those that keep the cells at rest are com plex, including the process for quiescent entry, maintenance, and exit. Although much has been learned, including the importance of notch signaling, the STING pathway, other quiescent factors, and transcrip tional, posttranscriptional, and epigenetic regulation in quiescent entry and maintenance, overall control of the process within the body remains incompletely understood. These signals must be, at least in part, environmental, based on the observations that a regenerating liver stops growing when it has replaced the portion that has been surgically removed after partial hepatectomy and regenerating bone marrow stops growing when the peripheral blood counts return to normal. Cancer cells clearly have lost responsiveness to such controls and do not recognize when they have overgrown the niche normally occupied by the organ from which they are derived. A better understanding of these mechanisms of growth regulation in the context of organ homeo stasis continues to evolve. Cancer Cell Biology 529 CHAPTER 77 TABLE 77-1 Phenotypic Characteristics of Malignant Cells Deregulated cell proliferation: Loss of function of negative growth regulators (tumor suppressor genes, i.e., Rb, p53) and increased action of positive growth regulators (oncogenes, i.e., Ras, Myc). Leads to aberrant cell cycle control and includes loss of normal checkpoint responses. Failure to differentiate: Arrest at a stage before terminal differentiation. May retain stem cell properties. (Frequently observed in leukemias due to transcriptional repression of developmental programs by the gene products of chromosomal translocations.) Loss of normal apoptosis pathways: Inactivation of p53, increases in Bcl-2 (antiapoptotic) family members. This defect enhances the survival of cells with oncogenic mutations and genetic instability and allows clonal expansion and diversification within the tumor without activation of physiologic cell death pathways. Genetic instability: Defects in DNA repair pathways leading to either single nucleotide or oligonucleotide mutations (as in microsatellite instability, MIN) or, more commonly, chromosomal instability (CIN) leading to aneuploidy (abnormal number of chromosomes in a cell). Caused by loss of function of a number of proteins including p53, BRCA1/2, mismatch repair genes, DNA repair enzymes, and the spindle checkpoint. Leads to accumulation of a variety of mutations in different cells within the tumor and heterogeneity. Loss of replicative senescence: Normal cells stop dividing in vitro after 25–50 population doublings. Arrest is mediated by the Rb, p16INK4a, and p53 pathways. While most cells remain arrested, </w:t>
      </w:r>
      <w:r w:rsidR="00A6019F" w:rsidRPr="00A6019F">
        <w:lastRenderedPageBreak/>
        <w:t xml:space="preserve">genetic and epigenetic changes in a subset of cells allow further replication, leading to telomere loss, with crisis leading to death of many cells. Cells that survive often harbor gross chromosomal abnormalities and the ability to continue to proliferate. These cells express telomerase, which maintains telomeres and is important for ongoing growth of these cells. Relevance to human in vivo cancer remains uncertain. Many human cancers express telomerase. Nonresponsiveness to external growth-inhibiting signals: Cancer cells have lost responsiveness to signals normally present to stop proliferating when they have overgrown the niche normally occupied by the organ from which they are derived. Our understanding about this mechanism of growth regulation remains limited. Increased angiogenesis: Due to increased gene expression of proangiogenic factors (VEGF, FGF, IL-8, angiopoietin) by tumor or stromal cells, or loss of negative regulators (endostatin, tumstatin, thrombospondin). Invasion: Cell mobility and ability to move through extracellular matrix and into other tissues or organs. Loss of cell-cell contacts (gap junctions, cadherins) and increased production of matrix metalloproteinases (MMPs). Can take the form of epithelial-to-mesenchymal transition (EMT), with anchored epithelial cells becoming more like motile fibroblasts. Metastasis: Spread of tumor cells to lymph nodes or distant tissue sites. Limited by the ability of tumor cells to migrate out of initial site and to survive in a foreign environment, including evading the immune system (see below). Evasion of the immune system: Downregulation of MHC class I and II molecules; induction of T-cell tolerance; inhibition of normal dendritic cell and/or T-cell function; antigenic loss variants and clonal heterogeneity; increase in regulatory T cells. Shift in cell metabolism: Complex changes including alterations due to tumor stress such as hypoxia and energy generation shifts from oxidative phosphorylation to aerobic glycolysis generate building blocks for malignant cell production and proliferation. Complex interactions with the extracellular environment around the cancer cells: Induction of changes as well as complex interactions with the extracellular environment around cancer cells, including modifications to the extracellular matrix, vasculature, chemokines, mesenchymal stromal cells, fibroblasts, immune cells, other hematopoietic cells, platelets, nerves, and potentially infectious agents impacting many of the above processes. Abbreviations: FGF, fibroblast growth factor; IL, interleukin; MHC, major histocompatibility complex; VEGF, vascular endothelial growth factor. acute lymphocytic leukemia [ALL] or lymphomas) or ectodermal (e.g., neuronal including brain and spinal) tissues. They generally have fewer genetic changes and lower mutational burdens than adult cancers. Likely due to a number of factors including the nature of the cancers (e.g., less genetic complexity than adult cancers) and the ability of children to tolerate more intense chemotherapy regimens, childhood cancers generally tend to be much more responsive to chemotherapy than adult cancers with significantly higher rates of cure. </w:t>
      </w:r>
      <w:r w:rsidR="00A6019F" w:rsidRPr="00A6019F">
        <w:rPr>
          <w:rFonts w:ascii="Arial" w:hAnsi="Arial" w:cs="Arial"/>
        </w:rPr>
        <w:t>■</w:t>
      </w:r>
      <w:r w:rsidR="00A6019F" w:rsidRPr="00A6019F">
        <w:t xml:space="preserve">CANCER AS AN ORGAN THAT IGNORES ITS NICHE The fundamental cellular defects that create a malignant neoplasm act at the cellular level, and some of these are cell autonomous. However, that is not the entire story. Cancers </w:t>
      </w:r>
      <w:r w:rsidR="00A6019F" w:rsidRPr="00A6019F">
        <w:lastRenderedPageBreak/>
        <w:t xml:space="preserve">consist of both malignant cells as well as other cells, blood vessels, extracellular matrix, and signaling and other molecules in the cancer microenvironment. They behave as organs that have lost their specialized function and stopped respond ing to signals that would limit their growth in tightly regulated normal tissue homeostasis. Most human cancers usually become clinically detectable when a primary mass is approximately 1 cm in diameter— such a mass consists of about 109 cells. Often, patients present with tumors that are approximately 1010 cells. Although it varies by type of cancer and where the primary tumor and metastases are located, a lethal tumor burden is usually about 1012–1013 cells. If all malignant cells were dividing without any cell death at the time of diagnosis, most patients would reach a lethal tumor burden in a very short time. How ever, human tumors grow by Gompertzian kinetics—this means that not every daughter cell produced by a cell division is actively dividing. In addition, the overall growth rate of a tumor depends on differences between growth rates of different cells within the tumor and rate of cell loss. The growth fraction of a tumor declines with time, largely due to factors in the microenvironment and accumulation of genetic damage over time. The growth fraction of the first malignant cell is 100%, and by the time a patient presents for medical care, the growth fraction is estimated to be 80% survival rate at 10 years, and antibodies to HER2 have increased survival for breast cancer patients in combina tion with chemotherapy. The reasons for the failure of targeted agents to cure are not completely defined, although resistance to the treat ment ultimately develops in most patients. In some tumors, resistance to kinase inhibitors is related to proliferation of cells with a mutation in the target kinase that inhibits drug binding. Many of these kinase inhibitors act as competitive inhibitors of the ATP-binding pocket. ATP is the phosphate donor in these phosphorylation reactions. For example, mutation in the critical BCR-ABL kinase in the ATP-binding pocket (such as the threonine to isoleucine change at codon 315 [T315I]) can prevent imatinib binding. Other resistance mechanisms include alterations in other signal transduction pathways to bypass the inhibited pathway. As resistance mechanisms continue to be bet ter defined, rational strategies to overcome resistance are emerging. In addition, many kinase inhibitors are less specific for an oncogenic target than was hoped, and toxicities related to off-target inhibition of kinases limit the use of the agent at a dose that would optimally inhibit the cancer-relevant kinase. Antibodies against protein targets more highly expressed on malig nant than normal cells can also be used to deliver highly toxic com pounds relatively specifically to cancer cells. Examples of protein targets for currently approved antibody-drug conjugates include CD30 for Hodgkin’s and anaplastic lymphomas; HER2 on breast cancer; CD33 on acute myeloid leukemias; CD22 on B-cell acute lymphocytic and hairy cell leukemias; and CD79b on diffuse large B-cell lymphomas. Another strategy to enhance the antitumor effects of targeted agents is to use them in rational combinations with each other as well as with chemotherapy or immunotherapy agents that kill cells in ways dis tinct from agents targeting specific mutant or overexpressed proteins. Combinations of trastuzumab (a monoclonal </w:t>
      </w:r>
      <w:r w:rsidR="00A6019F" w:rsidRPr="00A6019F">
        <w:lastRenderedPageBreak/>
        <w:t xml:space="preserve">antibody that targets the HER2 receptor [member of the EGFR family]) with chemotherapy have significant activity against breast, gastric, and esophageal cancers that have high levels of expression of the HER2 protein. The activity of trastuzumab and chemotherapy can be enhanced further by combina tions with another targeted monoclonal antibody (pertuzumab), which prevents dimerization of the HER2 receptor with other HER family members including HER3, or in some cases with immunotherapy, such as combinations of chemotherapy, trastuzumab, and the immu notherapeutic agent pembrolizumab against HER2-positive gastric and esophageal cancers. Although targeted therapies have not yet resulted in cures when used alone, their use in the adjuvant setting and when combined with other effective treatments has substantially increased the fraction of patients cured. For example, the addition of rituximab, an anti-CD20 antibody, to combination chemotherapy in patients with diffuse large B-cell lymphoma improves cure rates by ~15%. The addition of trastuzumab, an antibody to HER2, to combination chemotherapy in the adjuvant treatment of HER2-positive breast cancer significantly improves overall survival. A major effort continues to develop targeted therapies for mutations in the ras family of genes, which play a critical role in transmitting signals through a number of downstream signaling pathways includ ing the MAP (mitogen-activated protein) kinase and PI3K pathways. Mutations in ras are the most common mutations in oncogenes in cancers (especially kras) but have proved to be very difficult targets for a number of reasons related to the structure of RAS proteins as well as mechanisms of activation and inactivation (active when bound to guanosine triphosphate [GTP] and inactive when bound to guanosine diphosphate [GDP]). RAS proteins are not kinases but bind directly to the BRAF serine/threonine kinase with preferential binding when RAS is in the active GTP bound state. Agents that target one of the mutant forms of KRAS (12C), which is the most common RAS muta tion in lung cancer and is also found in a subset of other cancers, have sufficient antitumor activity to now be approved for the treatment of these lung cancers. They are under active study (often in combina tion with other agents) for the treatment of other cancers that have the KRAS12C mutation. Agents targeting other mutations in the RAS genes (especially other KRAS-mutant proteins) are also being evalu ated in clinical trials. One strategy for new drug development is to take advantage of so called oncogene addiction. This situation (Fig. 77-3) is created when a tumor cell develops an activating mutation in an oncogene that becomes a dominant pathway for survival and growth with reduced contributions from other pathways, even when there may be abnor malities in those pathways. This dependency on a single pathway creates a cell that is vulnerable to inhibitors of that oncogene pathway. For example, cells harboring mutations in BRAF are sensitive to MEK inhibitors that inhibit signaling via the BRAF pathway. Proteins critical for transcription of other proteins essential for malignant cell survival or proliferation provide another potential target for treating cancers. The transcription factor nuclear factor (NF)-κB is a heterodimer composed of p65 and p50 subunits that associate with an inhibitor, IκB, in the cell cytoplasm. In response to growth factor or cytokine </w:t>
      </w:r>
      <w:r w:rsidR="00A6019F" w:rsidRPr="00A6019F">
        <w:lastRenderedPageBreak/>
        <w:t xml:space="preserve">signaling, a multisubunit kinase called IKK (IκB-kinase) phosphorylates IκB and directs its degradation by the ubiquitin/ proteasome system. NF-κB, free of its inhibitor, translocates to the nucleus and activates target genes, many of which promote the survival of tumor cells. One of the mechanisms by which novel drugs called proteasome inhibitors are thought to produce an anticancer effect is by blocking the proteolysis of IκB, thereby preventing NF-κB activation. For reasons that have not been fully elucidated, this has a differential toxicity effect on tumor, as compared to normal cells. Although this mechanism appears to be an important aspect of the antitumor effects of proteasome inhibitors, other effects involving the inhibition of the degradation of multiple cellular proteins important in malignant cell survival or proliferation also play a role. Proteasome inhibitors (e.g., bortezomib, carfilzomib, ixazomib) have activity in patients with multiple myeloma, including partial and complete remissions. Inhibitors of IKK are also in development, with the hope of more selectively blocking the degradation of IκB, thus “locking” NF-κB in an inhibitory complex and rendering the cancer cell more susceptible to apoptosis-inducing agents. Many other transcription factors are activated by phosphorylation, which can be prevented by tyrosine or serine/threonine kinase inhibitors, a number of which are currently in clinical trials. Estrogen receptors (ERs) and androgen receptors (ARs), members of the steroid hormone family of nuclear receptors, are targets of inhi bition by drugs used to treat breast and prostate cancers, respectively. Selective estrogen receptor modulators (SERMs) have been developed as a treatment approach for ER-positive breast cancer. Tamoxifen, a partial agonist and antagonist of ER function, is frequently used in breast cancer, can mediate tumor regression in metastatic breast cancer, and can prevent disease recurrence in the adjuvant setting. Tamoxifen binds to the ER and modulates its transcriptional activity, inhibiting activity in the breast but promoting activity in bone but unfortunately also in uterine epithelium, leading to a small increased risk of uterine cancer. Attempts have been made to develop SERMs that would have antiestrogenic effects in both breast and uterus while maintaining protective effects on bone. However, none of these to date has been an improvement over tamoxifen. Aromatase inhibitors, which block the conversion of androgens to estrogens in breast and subcutaneous fat tissues, have demonstrated improved clinical efficacy compared with tamoxifen in postmenopausal women and are often used as first-line therapy in postmenopausal patients with ER-positive disease. They are occasionally used in premenopausal patients with ER-positive disease Normal cell PARP + PARP inhibition 537 BRCA1, 2 nonmutated BRCA1, 2 mutated Base excision repair Tumor cell PARP Homologous double strand break repair Normal cell Tumor cell PARP Base excision repair PARP Homologous double strand break repair PARP PARP PARP PARP No cell killing Selective tumor cell killing FIGURE 77-3 Synthetic lethality. Genes are said to have a synthetic lethal relationship when mutation of either gene alone is tolerated by the cell, but mutation of both genes leads to lethality, as originally noted by Bridges and later named by Dobzhansky. Thus, mutant gene a and gene b have a synthetic lethal </w:t>
      </w:r>
      <w:r w:rsidR="00A6019F" w:rsidRPr="00A6019F">
        <w:lastRenderedPageBreak/>
        <w:t xml:space="preserve">relationship, implying that the loss of one gene makes the cell dependent on the function of the other gene. In cancer cells, loss of function of a DNA repair gene like BRCA1, which repairs double-strand breaks, makes the cell dependent on base excision repair mediated in part by PARP. If the PARP gene product is inhibited, the cell attempts to repair the break using the error-prone nonhomologous end-joining method, which results in tumor cell death. High-throughput screens can now be performed using isogenic cell line pairs in which one cell line has a defined defect in a DNA repair pathway. Compounds can be identified that selectively kill the mutant cell line; targets of these compounds have a synthetic lethal relationship to the repair pathway and are potentially important targets for future therapeutics. in combination with ovarian suppression approaches such as lutein izing hormone–releasing hormone (LHRH) agonists. A number of approaches have been developed for blocking andro gen stimulation of prostate cancer, including decreasing production by the testicles (e.g., orchiectomy, LHRH agonists or antagonists), directly blocking actions of androgen (a number of agents have been developed to do this), or blocking production by inhibiting the enzyme CYP17, which is central in production of androgens from cholesterol. </w:t>
      </w:r>
      <w:r w:rsidR="00A6019F" w:rsidRPr="00A6019F">
        <w:rPr>
          <w:rFonts w:ascii="Arial" w:hAnsi="Arial" w:cs="Arial"/>
        </w:rPr>
        <w:t>■</w:t>
      </w:r>
      <w:r w:rsidR="00A6019F" w:rsidRPr="00A6019F">
        <w:t xml:space="preserve">CANCER-SPECIFIC GENETIC CHANGES AND SYNTHETIC LETHALITY The concepts of oncogene addiction and synthetic lethality have spurred new drug development targeting oncogene- and tumor suppressor pathways. As discussed earlier in this chapter and outlined in Fig. 77-3, cancer cells can become dependent upon signaling pathways containing activated oncogenes; this can effect proliferation (i.e., mutated KRAS, BRAF, overexpressed MYC, or activated tyrosine kinases). Additional genetic changes in malignant cells or unique features of tumors including defects in DNA repair (e.g., loss of BRCA1 or BRCA2 gene function), modifications in cell cycle control (e.g., changes in protein levels or mutations in cyclins and CDKs), enhanced survival mechanisms (overexpression of Bcl-2 or NF-κB), altered cell metabolism (such as occurs when mutant KRAS enhances glucose uptake and aerobic glycolysis), tumor-stromal interactions, and angiogenesis (e.g., production of vascular endothelial growth fac tor [VEGF] in response to HIF-2α in RCC) can also be successfully exploited to relatively specifically target cancers. However, resistance to inhibition of specific oncogenic pathways almost always eventually develops. In addition, targeting defects in tumor-suppressor genes has been much more difficult, both because the target of mutation is often deleted and because it is much more difficult to restore normal function than to inhibit abnormal function of a protein. Synthetic lethality occurs when loss of function in either of two or more genes individually has limited effects on cell survival but loss of function in both (or more) genes leads to cell death. In the case of oncogene addicted pathways, identifying genes that have a synthetic lethal rela tionship with the activated pathway may allow enhanced cell killing and decreased resistance by targeting those genes or their proteins. In the case of mutant tumor-suppressor genes, identifying genes that have a synthetic lethal relationship to those mutated pathways may allow targeting by inhibiting proteins required uniquely by those </w:t>
      </w:r>
      <w:r w:rsidR="00A6019F" w:rsidRPr="00A6019F">
        <w:lastRenderedPageBreak/>
        <w:t xml:space="preserve">cells for survival or proliferation (Fig. 77-3). This is a much more tractable approach than attempting to repair normal function of the mutant suppressor gene itself. Examples of synthetic lethality with clinical impact have been identified. For instance, cells with mutations in the BRCA1 or BRCA2 tumor-suppressor genes (e.g., a subset of breast and ovarian cancers) are unable to repair DNA damage by homologous recombination. Poly-ADP ribose polymerase (PARP) is a family of proteins important for single-strand break (SSB) DNA repair. PARP inhibition results in selective killing of cancer cells that have lost BRCA1 or BRCA2 function. A number of PARP inhibitors have been approved for treatment of ovarian, breast, and pancreatic cancers with BRCA mutations and are likely to have activity in other tumors with defective DNA repair mechanisms. The concept of synthetic lethality provides a framework for genetic screens to identify other synthetic lethal combinations involving known tumor-suppressor genes and development of novel therapeutic agents to target dependent path ways. Other unique aspects of malignant tumors, including those outlined elsewhere in the chapter, may also be vulnerable to synthetic lethal interactions. CHAPTER 77 Cancer Cell Biology 538 </w:t>
      </w:r>
      <w:r w:rsidR="00A6019F" w:rsidRPr="00A6019F">
        <w:rPr>
          <w:rFonts w:ascii="Arial" w:hAnsi="Arial" w:cs="Arial"/>
        </w:rPr>
        <w:t>■</w:t>
      </w:r>
      <w:r w:rsidR="00A6019F" w:rsidRPr="00A6019F">
        <w:t xml:space="preserve">EPIGENETIC INFLUENCES ON CANCER GENE TRANSCRIPTION PART 4 Oncology and Hematology Chromatin structure regulates the hierarchical order of sequential gene transcription that governs differentiation and tissue homeostasis. Disruption of chromatin remodeling (the process of modifying chro matin structure to control exposure of specific genes to transcriptional proteins, thereby controlling the expression of those genes) leads to aberrant gene expression that can significantly alter the biology of cells including inducing proliferation or migration of cells. Epigenetic changes are those that alter the pattern of gene expression that persist across at least one cell division but are not caused by changes in the DNA code. These include alterations of chromatin structure mediated by methylation of cytosine residues of DNA (primarily in context of CpG dinucleotides in somatic cells), modification of histones by alter ing acetylation or methylation, or changes in higher-order chromo some structure (Fig. 77-4). Appropriate control of DNA methylation is essential for normal cell function and development, and both altered methylation and hypomethylation of histones occur in cancers. Hyper methylation of DNA promoter regions is a common mechanism by which tumor-suppressor loci are epigenetically silenced in cancer cells. Thus, one allele of a tumor-suppressor gene may be inactivated by mutation or deletion, while expression of the other allele is epigeneti cally silenced, usually by methylation, leading to loss of gene function. Aberrant hypomethylation is also frequently found in a number of cancers consistent with the dysregulated pattern of gene transcription that is a hallmark of cancer cells, with some genes being inappropri ately turned off while others are inappropriately turned on. Specific changes in DNA methylation in cancer cells provide a potentially more sensitive and specific approach to utilizing circulating tumor DNA to identify the presence of cancer than utilizing only DNA mutational analysis. Acetylation of the amino terminus of the core histones H3 and H4 induces an open chromatin conformation that promotes transcription HDAC MeCP initiation. Histone </w:t>
      </w:r>
      <w:r w:rsidR="00A6019F" w:rsidRPr="00A6019F">
        <w:lastRenderedPageBreak/>
        <w:t xml:space="preserve">acetylases are components of coactivator complexes recruited to promoter/enhancer regions by sequence-specific transcrip tion factors during the activation of genes (Fig. 77-4). Histone deacety lases (HDACs; multiple HDACs are encoded in the human genome) are recruited to genes by transcriptional repressors and prevent the initia tion of gene transcription. Methylated cytosine residues in promoter regions become associated with methyl cytosine–binding proteins that recruit protein complexes with HDAC activity. The balance between permissive and inhibitory chromatin structure is therefore largely determined by the activity of transcription factors in modulating the “histone code” and the methylation status of the genetic regulatory elements of genes. The pattern of gene transcription is aberrant in all human cancers, and in many cases, epigenetic events are responsible. Epigenetic events play a critical role in carcinogenesis (e.g., long-lasting changes in methylation induced by smoking) and are found in prema lignant lesions. Unlike genetic events that alter DNA primary structure (e.g., deletions), epigenetic changes are potentially reversible and appear amenable to therapeutic intervention. In certain human can cers, including a subset of pancreatic cancers and multiple myeloma, the p16Ink4a promoter is inactivated by methylation, thus permitting the unchecked activity of CDK4/cyclin D and rendering pRb nonfunc tional. In sporadic forms of renal, breast, and colon cancer, the von Hippel–Lindau (VHL), breast cancer 1 (BRCA1), and serine/threonine kinase 11 (STK11) genes, respectively, can be epigenetically silenced. Other targeted genes include the p15Ink4b CDK inhibitor, glutathione S-transferase (which detoxifies reactive oxygen species [ROS]), and the E-cadherin molecule (important for junction formation between epithelial cells). Epigenetic silencing can affect genes involved in DNA repair, thus predisposing to further genetic damage. Examples include MLH1 (mutL homologue in sporadic colon cancers that have micro satellite instability) and MSH2 in a subset of hereditary nonpolyposis colon cancer patients who have a mutation in the 3′ end of epithelial cell adhesion molecule (EPCAM). These are critical genes involved in DNMT HDAC MeCP Nucleosomes HAT: histone acetyl transferase HDAC: histone deacetylase :unmethylated CpG :methylated CpG DNMT: DNA methyltransferase MeCP: methylcytosine binding protein CpG Island in promoter region No transcription Differentiation arrested Deregulated proliferation Nucleosomes Treatment: 5-aza-2'-deoxycytidine HDAC inhibitors HAT H Co-activator complex AT RNA Tc factor Tc factor Tc factor Nucleosomes polymerase II and general transcription machinery “Open” chromatin configuration permits binding of multiple sequence-specific transcription factors that cooperatively promote gene expression. Active transcription of tumor suppressor genes Nucleosomes FIGURE 77-4 Epigenetic regulation of gene expression in cancer cells. Tumor-suppressor genes are often epigenetically silenced in cancer cells. In the upper portion, a CpG island within the promoter and enhancer regions of the gene has been methylated, resulting in the recruitment of methyl-cytosine binding proteins (MeCP) and complexes with histone deacetylase (HDAC) activity. Chromatin is in a condensed, nonpermissive conformation that inhibits transcription. Clinical trials </w:t>
      </w:r>
      <w:r w:rsidR="00A6019F" w:rsidRPr="00A6019F">
        <w:lastRenderedPageBreak/>
        <w:t xml:space="preserve">are under way utilizing the combination of demethylating agents such as 5-aza-2′-deoxycytidine plus HDAC inhibitors, which together confer an open, permissive chromatin structure (lower portion). Transcription factors bind to specific DNA sequences in promoter regions and, through protein-protein interactions, recruit coactivator complexes containing histone acetyl transferase (HAT) activity. This enhances transcription initiation by RNA polymerase II and associated general transcription factors. The expression of the tumor-suppressor gene commences, with phenotypic changes that may include growth arrest, differentiation, or apoptosis. 539 repair of mismatched bases that occur during DNA synthesis, and their silencing can lead to mutations in the DNA. Human leukemias often have chromosomal translocations that code for novel fusion proteins with activities that alter chromatin structure by interacting with HDACs or histone acetyl transferases (HATs). For example, the promyelocytic leukemia–retinoic acid receptor α (PML-RARα) fusion protein, generated by the t(15;17) translocation observed in most cases of acute promyelocytic leukemia (APL), binds to promoters containing retinoic acid response elements and recruits HDACs to these promoters, effectively inhibiting gene expression. This arrests differentiation at the promyelocyte stage and promotes tumor cell proliferation and survival. Treatment with pharmacologic doses of all-trans retinoic acid (ATRA), the ligand for RARα, results in the release of HDAC activity and the recruitment of coactivators, which overcome the differentiation block. This induced differentiation of APL cells has improved treatment of these patients but also has led to a novel treatment toxicity when newly differentiated tumor cells infiltrate the lungs. ATRA represents a treatment paradigm for the reversal of epigenetic changes in cancer. Other leukemia-associated fusion proteins, such as Tel-acute myeloid leukemia (AML1), AML1 eight-twenty-one (ETO), and the MLL fusion proteins seen in acute myeloid leukemia (AML) and acute lymphocytic leukemia, also lead to repression through the HDAC complex. Therefore, efforts are ongoing to determine the structural basis for interactions between transloca tion fusion proteins and chromatin-remodeling proteins and to use this information to rationally design small molecules that will disrupt specific protein-protein associations, although this has proven to be technically difficult. Several drugs that block the enzymatic activity of HDACs (HDAC inhibitors [HDACis]) are approved for cancer treatment, and others are being tested. HDACis have demonstrated sufficient antitumor activity against cutaneous T-cell lymphoma (vori nostat, romidepsin), peripheral T-cell lymphoma (romidepsin, belino stat), and multiple myeloma (panobinostat) to be approved by the U.S. Food and Drug Administration (FDA). HDACis have also demonstrated antitumor activity in clinical stud ies against some solid tumors, and additional studies are ongoing. HDACis may target cancer cells via a number of mechanisms including both epigenetic modulation via histone acetylation and effects on other proteins that are acetylated. The pleiotropic effects of some HDACis include enhancement of apoptosis by upregulation of a number of pro teins that enhance apoptosis including death receptors (DR4/5, FAS, and their ligands) and </w:t>
      </w:r>
      <w:r w:rsidR="00A6019F" w:rsidRPr="00A6019F">
        <w:lastRenderedPageBreak/>
        <w:t xml:space="preserve">downregulation of proteins that inhibit apopto sis (e.g., X-linked inhibitor of apoptosis [XIAP]); upregulation of pro teins that inhibit cell cycle progression (e.g., p21Cip1/Waf1); inhibition of DNA repair and generation of ROS leading to increased DNA dam age; and disruption of the chaperone protein HSP90. Efforts are also under way to modulate other epigenetic processes such as reversing the hypermethylation of CpG islands that characterizes many malignan cies. Drugs that induce DNA demethylation, such as 5-aza-2-deoxy cytidine, can lead to reexpression of silenced genes in cancer cells with restoration of function, and 5-aza-2-deoxycytidine is approved for use in myelodysplastic syndrome. However, 5-aza-2-deoxycytidine has limited aqueous solubility and is myelosuppressive, limiting its usefulness. Other inhibitors of DNA methyltransferases are in devel opment. In ongoing clinical trials, inhibitors of DNA methylation are being combined with HDACis, with the idea that reversing coexisting epigenetic changes will reverse the deregulated patterns of gene tran scription in cancer cells. Epigenetic gene regulation can also occur via microRNAs or long noncoding RNAs (lncRNA). MicroRNAs (miRNA) are short (average 22 nucleotides in length) single strand RNA molecules that regulate gene expression after transcription by specifically binding to and inhibiting the translation or promoting the degradation of mRNA transcripts. It is estimated that &gt;1000 miRNAs are encoded in the human genome. Each tissue has a distinctive repertoire of miRNA expression, and this pattern is altered in specific ways in cancers. miRNA’s are involved in controlling multiple aspects of cell biology through modulating protein expression (primarily by down regula tion) and thus are also involved in multiple aspects of cancer biology. Specific correlations between expression of different miRNA molecules and tumor biology and clinical behavior are continuing to emerge. Therapies targeting miRNAs are not currently at hand but represent an ongoing area of treatment development. LncRNAs are longer than 200 nucleotides and comprise the largest group of noncoding RNAs. Some of them have been shown to play important roles in gene regulation. The potential for altering these RNAs for therapeutic benefit is an area of active investigation. In addition to epigenetic changes, mutations in genes (such as enhancer and promoter regions) involved in controlling expression of other genes important in cancer cell biology can also lead to enhanced or decreased expression of the protein products of these genes. APOPTOSIS AND OTHER MECHANISMS OF CELL DEATH Tissue homeostasis requires a balance between the death of aged, terminally differentiated cells or severely damaged cells and their renewal by proliferation of committed progenitors. Genetic damage to growth-regulating genes of stem cells could lead to catastrophic results for the host as a whole. Thus, in normal cells, the genetic events caus ing activation of oncogenes or loss of tumor suppressors, which would be predicted to lead to unregulated cell proliferation unless corrected, also usually activate signal transduction pathways that block aberrant cell proliferation. These pathways can lead to forms of programmed cell death including apoptosis or autophagy (degradation of proteins and organelles by lysosomal proteases) or irreversible growth arrest (senescence). A number of other </w:t>
      </w:r>
      <w:r w:rsidR="00A6019F" w:rsidRPr="00A6019F">
        <w:lastRenderedPageBreak/>
        <w:t xml:space="preserve">regulated cell death processes have been identified, including: pyroptosis, a caspase-1-dependent process leading to cleavage of gasdermins with subsequent formation of pores in the plasma membrane; ferroptosis (iron and reactive oxygen species dependent); and necroptosis (caspase-independent regulated cell death involving breakdown of cellular components and cell rupture, leading to inflammation and damage to surrounding tissues), which also play roles in tissue homeostasis and cell death. However, the exact roles they play in the fate of cancer cells and tissues are still being elucidated. Much as a panoply of intra- and extracellular signals impinge upon the core cell cycle machinery to regulate cell division, so too these signals are transmitted to a core enzymatic machinery that regulates cell death and survival. Cancer cells have developed mechanisms that either inhibit these processes to prevent cell death or utilize them to enhance survival. CHAPTER 77 Cancer Cell Biology Apoptosis is a tightly regulated process induced by two main path ways (Fig. 77-5). The extrinsic pathway of apoptosis is activated by cross-linking members of the tumor necrosis factor (TNF) receptor superfamily, such as CD95 (Fas) and death receptors DR4 and DR5, by their ligands, Fas ligand or TRAIL (TNF-related apoptosis-inducing ligand), respectively. This induces the association of FADD (Fas- associated death domain) and procaspase-8 to death domain motifs of the receptors. Caspase-8 is activated and then cleaves and activates effector caspases-3 and -7, which then target cellular constituents (including caspase-activated DNase, cytoskeletal proteins, and a num ber of regulatory proteins), inducing the morphologic appearance characteristic of apoptosis, which pathologists term karyorrhexis (liter ally “nucleus bursting”). The intrinsic pathway of apoptosis is initiated by the release of cytochrome c and SMAC (second mitochondrial activator of cas pases) from the mitochondrial intermembrane space in response to a variety of noxious stimuli, including DNA damage, loss of adherence to the extracellular matrix (ECM), oncogene-induced proliferation, and growth factor deprivation. Upon release into the cytoplasm, cytochrome c associates with dATP, procaspase-9, and the adaptor protein APAF-1, leading to the sequential activation of caspase-9 and effector caspases. SMAC binds to and blocks the function of inhibitor of apoptosis proteins (IAP), negative regulators of caspase activation. The release of apoptosis-inducing proteins from the mitochondria is regulated by pro- and antiapoptotic members of the Bcl-2 family. Antiapoptotic members (e.g., Bcl-2, Bcl-XL, and Mcl-1) associate with the mitochondrial outer membrane via their carboxyl termini, expos ing to the cytoplasm a hydrophobic binding pocket composed of Bcl-2 540 PART 4 Oncology and Hematology APAF-1 dATP Pro-caspase 9 Cyt c Bak BcI2 Bax SMAC IAP BH3-only proteins Matrix Intermembrane space p65 p50 Proteasome NF-κB genes activated Cytoskeletal disruption Substrate cleavage Effector caspases PI3K Mdm2 BAD Caspase 9 FKHR AKT IKK DNA degradation Chromatin condensation Lamin cleavage IκB Nucleus Outer membrane Mitochondrion Trail DR4 or DR5 FADD Caspase 8 Cytokine receptor RTK GF Death-inducing signals • DNA damage • Oncogene-induced proliferation • Loss of attachment to ECM • Chemotherapy, radiation therapy 5 1 6 5 8 2 7 4 3 3 FIGURE 77-5 </w:t>
      </w:r>
      <w:r w:rsidR="00A6019F" w:rsidRPr="00A6019F">
        <w:lastRenderedPageBreak/>
        <w:t xml:space="preserve">Therapeutic strategies to overcome aberrant survival pathways in cancer cells. 1. The extrinsic pathway of apoptosis can be selectively induced in cancer cells by TRAIL (the ligand for death receptors 4 and 5) or by agonistic monoclonal antibodies. 2. Inhibition of antiapoptotic Bcl-2 family members with antisense oligonucleotides or inhibitors of the BH3-binding pocket will promote formation of Bak- or Bax-induced pores in the mitochondrial outer membrane. 3. Epigenetic silencing of APAF-1, caspase-8, and other proteins can be overcome using demethylating agents and inhibitors of histone deacetylases. 4. Inhibitor of apoptosis proteins (IAP) blocks activation of caspases; small-molecule inhibitors of IAP function (mimicking SMAC action) should lower the threshold for apoptosis. 5. Signal transduction pathways originating with activation of receptor tyrosine kinase receptors (RTKs) or cytokine receptors promote survival of cancer cells by a number of mechanisms. Inhibiting receptor function with monoclonal antibodies, such as trastuzumab or cetuximab, or inhibiting kinase activity with small-molecule inhibitors can block the pathway. 6. The Akt kinase phosphorylates many regulators of apoptosis to promote cell survival; inhibitors of Akt may render tumor cells more sensitive to apoptosis-inducing signals; however, the possibility of toxicity to normal cells may limit the therapeutic value of these agents. 7 and 8. Activation of the transcription factor NF-κB (composed of p65 and p50 subunits) occurs when its inhibitor, IκB, is phosphorylated by IκB-kinase (IKK), with subsequent degradation of IκB by the proteasome. Inhibition of IKK activity should selectively block the activation of NF-κB target genes, many of which promote cell survival. Inhibitors of proteasome function are U.S. Food and Drug Administration approved and may work in part by preventing destruction of IκB, thus blocking NF-κB nuclear localization. NF-κB is unlikely to be the only target for proteasome inhibitors. homology (BH) domains 1, 2, and 3 that is crucial for their activity. Perturbations of normal physiologic processes in specific cellular compartments lead to the activation of BH3-only proapoptotic family members (e.g., Bad, Bim, Bid, Puma, Noxa, and others) that can alter the conformation of the outer-membrane proteins Bax and Bak, which then oligomerize to form pores in the mitochondrial outer membrane resulting in cytochrome c release. If proteins composed only by BH3 domains are sequestered by Bcl-2, Bcl-XL, or Mcl-1, pores do not form and apoptosis-inducing proteins are not released from the mito chondria. The ratio of levels of antiapoptotic Bcl-2 family members and the levels of proapoptotic BH3-only proteins at the mitochondrial membrane determines the activation state of the intrinsic pathway. The mitochondrion must therefore be recognized not only as an organelle with vital roles in intermediary metabolism and oxidative phosphory lation but also as a central regulatory structure of the apoptotic process. The evolution of tumor cells to a more malignant phenotype requires the acquisition of genetic changes that subvert apoptosis pathways and promote cancer cell survival and resistance to anticancer therapies. However, this means that cancer cells may be more vulnerable than normal cells to therapeutic interventions that target the apoptosis pathways that cancer cells depend upon. For instance, overexpression of Bcl-2 as a result of the </w:t>
      </w:r>
      <w:r w:rsidR="00A6019F" w:rsidRPr="00A6019F">
        <w:lastRenderedPageBreak/>
        <w:t xml:space="preserve">t(14;18) translocation contributes to follicular lymphoma, and it is highly expressed in many lymphoid malignancies including chronic lymphocytic leukemia (CLL). Upregulation of Bcl-2 expression is also observed in other cancers including prostate, breast and lung cancers, and melanoma. Targeting of antiapoptotic Bcl-2 family members has been accomplished by the identification of several low-molecular-weight compounds that bind to the hydrophobic pock ets of either Bcl-2 or Bcl-XL and block their ability to associate with death-inducing BH3-only proteins. An oral BH3 mimetic inhibitor of BCL-2, venetoclax, is approved for use in patients with refractory CLL with 17p deletion, and is active in AML. Preclinical studies targeting death receptors DR4 and -5 have demonstrated that recombinant, soluble, human TRAIL or humanized monoclonal antibodies with agonist activity against DR4 or -5 can induce apoptosis of tumor cells while sparing normal cells. The mechanisms for this selectivity may 541 include expression of decoy receptors or elevated levels of intracellular inhibitors (such as FLIP, which competes with caspase-8 for FADD) by normal cells but not tumor cells. Synergy has been shown between TRAIL-induced apoptosis and chemotherapeutic agents in some pre clinical studies. However, studies have not yet shown significant clini cal activity of approaches targeting the TRAIL pathway. Many of the signal transduction pathways perturbed in cancer pro mote tumor cell survival (Fig. 77-5). These include activation of the PI3K/Akt pathway, increased levels of the NF-κB transcription factor, and epigenetic silencing of genes such as APAF-1 (apoptosis protease activating factor-1 involved in activating caspase-9 and essential for apoptosis) and caspase-8. Each of these pathways is a target for thera peutic agents that, in addition to affecting cancer cell proliferation or gene expression, may render cancer cells more susceptible to apoptosis, thus promoting synergy when combined with other chemotherapeutic agents. Some tumor cells resist drug-induced apoptosis indirectly by elimi nating the noxious stimulus-inducing apoptosis through expression of one or more members of the ABC (ATP-binding cassette proteins) family of ATP-dependent efflux pumps that mediate the multidrug resistance (MDR) phenotype. The prototype member of this family, P-glycoprotein (PGP), spans the plasma membrane 12 times and has two ATP-binding sites. Hydrophobic drugs (e.g., anthracyclines and vinca alkaloids) are recognized by PGP as they enter the cell and are pumped out. Numerous clinical studies have failed to demonstrate that drug resistance can be overcome using inhibitors of PGP. However, ABC transporters have different substrate specificities, and inhibition of a single family member may not be sufficient to overcome the MDR phenotype. Efforts to reverse PGP-mediated drug resistance continue. In addition to its role in cell death, autophagy can also serve as a homeostatic mechanism to promote cell survival by recycling cellular components to provide necessary energy. The mechanisms that control the balance between enhancing survival versus leading to cell death are still not fully understood. Autophagy appears to play conflicting roles in the development and survival of cancer. Early in the carcinogenic process, it can act as a tumor suppressor by preventing the cell from accumulating abnormal proteins and </w:t>
      </w:r>
      <w:r w:rsidR="00A6019F" w:rsidRPr="00A6019F">
        <w:lastRenderedPageBreak/>
        <w:t xml:space="preserve">organelles. However, in estab lished tumors, it may serve as a mechanism of survival for cancer cells when they are stressed by damage such as from chemotherapy. Preclin ical studies have indicated that inhibition of this process can enhance the sensitivity of cancer cells to chemotherapy or radiation therapy, and ongoing trials are evaluating inhibitors of autophagy in combination with chemotherapy and/or radiation therapy. Better understanding of the factors that control the survival-promoting versus death-inducing aspects of autophagy is required in order to know how to best manipu late it for therapeutic benefit. </w:t>
      </w:r>
      <w:r w:rsidR="00A6019F" w:rsidRPr="00A6019F">
        <w:rPr>
          <w:rFonts w:ascii="Arial" w:hAnsi="Arial" w:cs="Arial"/>
        </w:rPr>
        <w:t>■</w:t>
      </w:r>
      <w:r w:rsidR="00A6019F" w:rsidRPr="00A6019F">
        <w:t xml:space="preserve">METASTASIS The metastatic process accounts for the vast majority of deaths from solid tumors, and therefore, an understanding of this process is critical for improvements in survival from cancer. The biology of metastasis is complex and requires multiple steps. The initial step involves cell migration and invasion through the ECM. The three major features of tissue invasion are cell adhesion to the basement membrane, local proteolysis of the membrane, and movement of the cell through the rent in the membrane and the ECM. Cells that lose contact with the ECM normally undergo programmed cell death (anoikis-apoptosis induced by the loss of contact), and this process has to be suppressed in cells that metastasize. Another process important for many, but not necessarily all, metastasizing epithelial cancer cells is epithelial mes enchymal transition (EMT). This is a process by which cells lose their epithelial properties and gain mesenchymal properties. This normally occurs during the developmental process in embryos, allowing cells to migrate to their appropriate destinations in the embryo. It also occurs in wound healing, tissue regeneration, and fibrotic reactions, but in all of these processes, cells stop proliferating when the process is complete. Malignant cells that metastasize often undergo EMT as an important step in that process but retain the capacity for unregulated prolifera tion. However, there is evidence that not all metastasizing cancer cells require EMT, and the exact role of EMT in different metastasizing cancer cells continues to be elucidated. Malignant cells that gain access to the circulation must then repeat those steps at a remote site, find a hospitable niche in a foreign tissue, avoid detection and elimination by host defenses including the immune system, and induce the growth of new blood vessels. Some metastatic cells occur as oligoclonal clusters, which appear to be more potent in establishing metastasis than single cells, perhaps, in part, through differential and cooperative effects in evading host defenses. The rate-limiting step for metastasis is the ability for tumor cells to survive and expand in the novel microenvi ronment of the metastatic site, and multiple host-tumor interactions determine the ultimate outcome (Fig. 77-6). As is true for cells in primary cancers, there is significant hetero geneity as well as plasticity in metastatic cancer cells. In addition to actively dividing cells, a population of quiescent cells are present that can evade the immune system as well as chemotherapy targeting divid ing cells. The processes that keep metastatic cancer cells quiescent as well as lead them to divide are complex, as discussed in the introduc tory section. Efforts to inhibit growth of metastatic cells by modulating these pathways are being explored. Few drugs have been developed to attempt to directly target the </w:t>
      </w:r>
      <w:r w:rsidR="00A6019F" w:rsidRPr="00A6019F">
        <w:lastRenderedPageBreak/>
        <w:t xml:space="preserve">process of metastasis, in part because the specifics of the critical steps in the process that would be potentially good targets for drugs are still being identified. However, a number of potential targets are known. HER2 can enhance the metastatic potential of breast cancer cells, and as discussed above, the monoclonal antibody trastuzumab, which targets HER2, improves survival in the adjuvant setting for HER2-positive breast cancer patients. A number of other potential targets that increase metastatic potential of cells in preclinical studies include HIF-1 and -2, transcription factors induced by hypoxia within tumors, growth factors (e.g., cMET and VEGFR), oncogenes (e.g., SRC), adhesion molecules (e.g., focal adhesion kinase [FAK]), ECM proteins (e.g., matrix metalloproteinases 1 and 2), and inflammatory molecules (e.g., COX-2). The metastatic phenotype is likely restricted to a fraction of tumor cells (Fig. 77-6). A number of genetic and epigenetic changes are required for tumor cells to be able to metastasize, including activation of metastatic-promoting genes and inhibition of genes that suppress the metastatic ability. Given the role of microRNAs in controlling gene expression (see epigenetic section) including those critical to the meta static process, efforts are under way to modulate these to try to inhibit metastasis. Cells with metastatic capability frequently express chemo kine receptors that are likely important in the metastatic process. A number of candidate metastasis-suppressor genes have been identified, including genes coding for proteins that enhance apoptosis, suppress cell division, are involved in the interactions of cells with each other or the ECM, or suppress cell migration. The loss of function of these genes enhances metastasis. Gene expression profiling is being used to study the metastatic process and other properties of tumor cells that may predict susceptibilities. CHAPTER 77 Cancer Cell Biology An example of the ability of malignant cells to survive and grow in a novel microenvironment is bone metastases. Bone metastases can be extremely painful, cause fractures of weight-bearing bones, can lead to hypercalcemia, and are a major cause of morbidity for cancer patients. Osteoclasts and their monocyte-derived precursors express the sur face receptor RANK (receptor activator of NF-κB), which is required for terminal differentiation and activation of osteoclasts. Osteoblasts and other stromal cells express RANK ligand (RANKL), as both a membrane-bound and soluble cytokine. Osteoprotegerin (OPG), a soluble receptor for RANKL produced by stromal cells, acts as a decoy receptor to inhibit RANK activation. The relative balance of RANKL and OPG determines the activation state of RANK on osteoclasts. Bone modulation and resorption by osteoclasts is an important component of the establishment and progression of metastases in bone. Many tumors increase osteoclast activity by secretion of substances such as parathyroid hormone (PTH), PTH-related peptide, interleukin (IL) 1, or Mip1 that perturb the homeostatic balance of bone remodeling by increasing RANK signaling. One example is multiple myeloma, where tumor cell–stromal cell interactions activate osteoclasts and inhibit osteoblasts, leading to the development of multiple lytic bone lesions. 542 Basement membrane Normal epithelial cells Adherens junction Cytokeratin E-cadherin Tumor cell N-Cadherin PART 4 New </w:t>
      </w:r>
      <w:r w:rsidR="00A6019F" w:rsidRPr="00A6019F">
        <w:lastRenderedPageBreak/>
        <w:t xml:space="preserve">integrin expression TGF-β receptor Snail Twist N-Cadherin C-Met Oncology and Hematology HGF TGF-β Invasion VEGF-A Lamina propria Tumor-associated fibroblast New lymph vessel Tumor-associated macrophage MMP Cytokines growth factors New blood vessel HOST STROMAL CELLS FIGURE 77-6 Oncogene signaling pathways are activated during tumor progression and promote metastatic potential. This figure shows a cancer cell that has undergone epithelial to mesenchymal transition (EMT) under the influence of several environmental signals. Critical components include activated transforming growth factor beta (TGF-β) and the hepatocyte growth factor (HGF)/c-Met pathways, as well as changes in the expression of adhesion molecules that mediate cell-cell and cell–extracellular matrix interactions. Important changes in gene expression are mediated by the Snail and Twist family of transcriptional repressors (whose expression is induced by the oncogenic pathways), leading to reduced expression of E-cadherin, a key component of adherens junctions between epithelial cells. This, in conjunction with upregulation of N-cadherin, a change in the pattern of expression of integrins (which mediate cell–extracellular matrix associations that are important for cell motility), and a switch in intermediate filament expression from cytokeratin to vimentin, results in the phenotypic change from adherent highly organized epithelial cells to motile and invasive cells with a fibroblast or mesenchymal morphology. EMT is thought to be an important step leading to metastasis in some human cancers. Host stromal cells, including tumor associated fibroblasts and macrophages, play an important role in modulating tumor cell behavior through secretion of growth factors and proangiogenic cytokines, and matrix metalloproteinases that degrade the basement membrane. VEGF-A, -C, and -D are produced by tumor cells and stromal cells in response to hypoxemia or oncogenic signals and induce production of new blood vessels and lymphatic channels through which tumor cells metastasize to lymph nodes or tissues. Inhibition of RANKL by an antibody (denosumab) can prevent fur ther bone destruction. Bisphosphonates are also effective inhibitors of osteoclast function that are used in the treatment of cancer patients with bone metastases. </w:t>
      </w:r>
      <w:r w:rsidR="00A6019F" w:rsidRPr="00A6019F">
        <w:rPr>
          <w:rFonts w:ascii="Arial" w:hAnsi="Arial" w:cs="Arial"/>
        </w:rPr>
        <w:t>■</w:t>
      </w:r>
      <w:r w:rsidR="00A6019F" w:rsidRPr="00A6019F">
        <w:t xml:space="preserve">CANCER STEM CELLS Normal tissues have stem cells capable of self-renewal and repairing damaged tissue, whereas the majority of cells in normal tissues do not have this capacity. Similarly, only a small proportion of the cells within a tumor are capable of initiating colonies in vitro or forming tumors at high efficiency when injected into immunocompromised NOD/ SCID mice. For example, AML and CML have a small population of cells (estimated to be 1 MeV) has very low lateral scatter; this produces a skin-sparing effect, more homogeneous distribution of the radiation energy, and greater deposit of the energy in the tumor, or target volume. The transit volume includes the tissues through which the beam passes to the target volume. Computational approaches and delivery of many beams to converge on a target volume are the basis for “gamma knife” and related approaches to deliver high doses to tumor, sparing normal tissue. Therapeutic radiation is delivered in three ways: (1) teletherapy, with focused beams of radiation generated at a distance and aimed at the tumor within the </w:t>
      </w:r>
      <w:r w:rsidR="00A6019F" w:rsidRPr="00A6019F">
        <w:lastRenderedPageBreak/>
        <w:t xml:space="preserve">patient; (2) brachytherapy, with encapsulated sources of radiation implanted directly into or adjacent to tumor tissues; and (3) systemic therapy, with radionuclides administered, for example, intravenously but perhaps targeted by some means to a tumor site. For example, systemically administered isotopes of iodide have an impor tant role in the treatment of thyroid neoplasms, owing to the selective upregulation of the iodide transporter in the tumor cell compartment. Likewise, isotopes of samarium and radium have been found useful in the palliation of bony metastases of prostate cancer owing to their selective deposition at the tumor-bone matrix interface. Teletherapy with x-ray or gamma-ray photons is the most commonly used form of radiation therapy and also delivers particulate forms of radiation such as proton beams. The difference between photons and protons relates to volume with greatest delivery of energy: protons have a narrow range of energy deposition. Electron beams are a particulate form of radiation that, in contrast to photons and protons, have a very low tissue penetrance and are used to treat cutaneous tumors. Certain drugs used in cancer treatment may also act as radiation sensitizers. For example, compounds that incorporate into DNA (e.g., halogenated pyrimidines, cisplatin) augment radiation effects at local sites and are important adjuncts to radiation of certain tumors (e.g., squamous head and neck, uterine cervix, and rectal cancers). Toxicity of Radiation Therapy Although radiation therapy is most often administered to a local region, systemic effects, including fatigue, anorexia, nausea, and vomiting, may develop that are related in part to the volume of tissue irradiated, dose fractionation, radiation fields, and individual susceptibility. Radiation-injured tissues release cytokines that act systemically to produce these effects. Bone is among the most radio-resistant organs, with radiation effects being manifested mainly in children through premature fusion of the epiphyseal growth plate. By contrast, the male testis, female ovary, and bone marrow are the most sensitive organs. Any bone marrow in a radiation field will be eradicated by therapeutic irradiation. Organs with less need for cell renewal, such as heart, skeletal muscle, and nerves, are more resistant to immediate radiation effects. In radiation-resistant organs, the vas cular endothelium is the most sensitive component. Acute toxicities include mucositis, skin erythema (ulceration in severe cases), and bone marrow toxicity. Often these can be alleviated by periodic interruption of treatment. Chronic toxicities are more serious. Radiation of the head and neck region produces thyroid failure; cataracts and retinal damage can lead to blindness; salivary glands stop making saliva, which leads to dental caries and poor dentition. Mediastinal irradiation increases myocardial vascular disease. Other late vascular effects include chronic constric tive pericarditis, lung fibrosis, viscus stricture, spinal cord transection, and radiation cystitis or enteritis. A serious late toxicity is the development of hematologic tumors or second solid tumors in or adjacent to the radiation fields. Such tumors can develop in any organ or tissue and occur at a rate of ~1% per year beginning in the second decade after treatment. </w:t>
      </w:r>
      <w:r w:rsidR="00A6019F" w:rsidRPr="00A6019F">
        <w:rPr>
          <w:rFonts w:ascii="Arial" w:hAnsi="Arial" w:cs="Arial"/>
        </w:rPr>
        <w:t>■</w:t>
      </w:r>
      <w:r w:rsidR="00A6019F" w:rsidRPr="00A6019F">
        <w:t xml:space="preserve">OTHER LOCALIZED CANCER TREATMENTS </w:t>
      </w:r>
      <w:r w:rsidR="00A6019F" w:rsidRPr="00A6019F">
        <w:rPr>
          <w:rFonts w:ascii="Arial" w:hAnsi="Arial" w:cs="Arial"/>
        </w:rPr>
        <w:t>■</w:t>
      </w:r>
      <w:r w:rsidR="00A6019F" w:rsidRPr="00A6019F">
        <w:t xml:space="preserve">SYSTEMIC CANCER THERAPY OVERVIEW 555 Endoscopy allows placement of stents </w:t>
      </w:r>
      <w:r w:rsidR="00A6019F" w:rsidRPr="00A6019F">
        <w:lastRenderedPageBreak/>
        <w:t xml:space="preserve">to unblock viscera, palliating, for example, gastrointestinal or biliary obstructions. Radiofrequency ablation (RFA) refers to microwave nonionizing radiation to induce thermal injury within a volume of tissue. RFA can be useful in the con trol of metastatic lesions, particularly in liver, that may threaten biliary drainage. Cryosurgery uses extreme cold to sterilize lesions in certain sites, such as prostate and kidney, at a very early stage, eliminating the need for modalities with more side effects such as surgery. Some chemicals (porphyrins, phthalocyanines) are preferentially taken up by cancer cells. When intense light, delivered by a laser, is shone on cells containing these compounds, free radicals are gener ated and the cells die. Such phototherapy is used to treat skin cancer; ovarian cancer; and cancers of the lung, colon, rectum, and esophagus. Palliation of recurrent locally advanced disease can sometimes be dra matic and last many months. Infusion of chemotherapeutic or biologic agents or radiation bearing delivery devices such as isotope-coated glass spheres into local sites through catheters have been used to treat disease limited to that site; in selected cases, prolonged control of truly localized disease has been possible. SYSTEMIC CANCER TREATMENTS The concept that systemically administered chemicals might have a useful effect on cancers was historically derived from three sets of observations. Paul Ehrlich in the nineteenth century observed that different dyes reacted with different cell and tissue components. He hypothesized the existence of “magic bullets” that might bind to tumors, owing to the affinity of the agent for the tumor. Observation of the toxic effects of certain mustard gas derivatives on the bone mar row during World War I suggested that smaller doses of these agents might be used to treat tumors of marrow-derived cells. Finally, the fact that tumors from hormone-responsive tissues, e.g., breast tumors, could shrink after oophorectomy led to the idea that endogenous or exogenous substances might modulate tumor growth by altering its regulatory biology. Chemicals achieving each of these goals are cur rently used as cancer chemotherapy agents. Anecdotal reports of tumor regression following intratumoral injection of bacterial extracts raised the possibility of immune system mediated tumor regression. Serotherapy of infectious disease in the preantibiotic era encouraged analogous efforts to develop vaccine- and antibody-based treatments for cancer. Administration of autologous immune cells obtained by pheresis procedures from a patient or puri fied from a patient’s removed tumor, activated by cytokines ex vivo, achieved durable disease control in a small fraction of patients with certain tumors, particularly renal cell cancers or melanoma. These observations provided the rationale for more modern efforts to treat tumors using cell-mediated immunity. Systemic cancer treatments are of three broad types. Cytotoxic chemotherapy agents are “small molecules” (generally with molecular mass 25% from baseline or best response or development of new lesions; stable disease fits into none of the above categories. CHAPTER 78 Principles of Cancer Treatment In a phase 3 trial, evidence of improved overall survival or improve ment in the time to progression of disease on the part of the new drug is sought in comparison to an appropriate control population. Data from the entire process are the </w:t>
      </w:r>
      <w:r w:rsidR="00A6019F" w:rsidRPr="00A6019F">
        <w:lastRenderedPageBreak/>
        <w:t xml:space="preserve">basis for application to a regulatory agency to approve the new agent for commercial marketing. Cancer drug clinical trials conventionally use a toxicity grading scale where grade 1 toxicities do not require treatment, grade 2 toxici ties may require symptomatic treatment but are not life-threatening, grade 3 toxicities are potentially life-threatening if untreated, grade 4 toxicities are actually life-threatening, and grade 5 toxicities result in the patient’s death. Active efforts to quantitate effects of anticancer agents on quality of life also frequently occur in early development of oncology drugs. Development of targeted agents may proceed differently. While phase 1–3 trials are still conducted, focus on a particular tumor type even in phase 1 may be enabled by molecular analysis to define target expression in a patient’s tumor necessary for or relevant to the drug’s action. Ideally, pharmacodynamic studies would also assess whether the drug’s target has been affected. The failure of a targeted therapy can 556 Preclinical Model (e.g., mouse or rat) Tumor size PART 4 Oncology and Hematology Unique patient number Rx Cytostatic Cytotoxic Time Phase II Time on Rx Phase II Untreated Growth delay 20 % change tumor 30 % alive (overall survival) or % relapse free Unique patient number Phase III Treatment A Treatment B or no Rx Time FIGURE 78-2 Steps in cancer drug discovery and development. Preclinical activity (top left) in animal models of cancers may be used as evidence to support the entry of the drug candidate into phase 1 trials in humans to define a correct dose and observe any clinical antitumor effect. The drug may then be advanced to phase 2 trials directed against specific cancer types, with rigorous quantitation of antitumor effects. Waterfall plots are a standard representation of how patients’ tumor sizes change in relation to treatment, with predefined cutoffs defining progression of disease (20% increase in size) or partial response (30% decrease in size) serving as benchmarks of potential valuable effect (top right). Swimmer plots (bottom left) allow the delineation of patients with especially long (or short) times on treatment even without response, another basis in the former case for potential perceived clinical benefit of the treatment. Kaplan-Meier plots (bottom right) of survival indices in phase 3 comparative trials may allow definition of superiority, inferiority, or no difference of treatment effect compared to standard or no treatment. be either because the drug missed the target or it hit the target but the target was not central to the tumor’s growth and survival. Within the past decade, agents have been approved for clinical use not in relation to an originating organ site of disease but across all organ types pos sessing certain molecular or biologic features. Useful cancer drug treatment strategies using conventional chemo therapy agents, targeted agents, hormonal treatments, or biologicals all have one of two valuable outcomes. They can induce cancer cell death, resulting in tumor shrinkage with corresponding clinical ben efit evidenced by improvement in patient survival, or increase in time until the disease progresses. Another potential outcome is induction of cancer cell differentiation or dormancy with loss of tumor cell replica tive potential and reacquisition of phenotypic properties resembling normal cells. Interaction of a chemotherapeutic drug with its target induces a “cascade” of further signaling steps. These signals ultimately lead to </w:t>
      </w:r>
      <w:r w:rsidR="00A6019F" w:rsidRPr="00A6019F">
        <w:lastRenderedPageBreak/>
        <w:t xml:space="preserve">cell death by triggering proteases, nucleases, and endogenous regulators of the cell death pathway (Fig. 78-3) or differentiation by alteration of cancer genome function. Targeted agents differ from chemotherapy agents in that they do not indiscriminately cause macromolecular lesions but regulate the action of specific driver molecules regulating processes considered “hallmarks” of cancer, including unregulated proliferation, physiologic cell death, gene expression, angiogenesis, and escape from immune mechanisms retarding tumor development. Strategies in Systemic Cancer Management The past 35 years have witnessed a marked evolution in the systemic treatment of cancer not amenable to cure by locally applied treatments. Nonspecific cyto toxic agents of limited efficacy for most patients but highly active and curative in a minority disease types have been joined by targeted and biologic therapies. Table 78-3, A lists those tumors considered curable by conventionally available chemotherapeutic agents even when dis seminated or metastatic. If a tumor is truly localized to a single site, consideration of surgery or primary radiation therapy should be given as well. Chemotherapy may be used as part of multimodality approaches to offer primary treatment to a clinically localized tumor (Table 78-3, B), interdigitated with radiation and surgery. Chemother apy can be administered as an adjuvant, i.e., in addition to surgery or radiation (Table 78-3, C), even after all clinically apparent disease has been removed. This use of chemotherapy has curative potential in, for example, lung, breast, and colorectal neoplasms, as it eliminates micro metastatic clinically unapparent tumor. Neoadjuvant chemotherapy refers to administration of chemotherapy before any surgery or radia tion to a local tumor in an effort to enhance the effect of subsequent local treatment. Chemotherapy is routinely used in doses that produce reversible acute side effects, primarily consisting of transient myelosuppression with or without gastrointestinal toxicity (usually nausea). “High-dose” chemotherapy regimens can produce markedly increased therapeutic effect, although at the cost of potentially life-threatening complica tions that require intensive support, usually in the form of hemato poietic stem cell support from the patient (autologous) or from donors matched for histocompatibility loci (allogeneic), or pharmacologic “res cue” strategies to block the effect of the high-dose chemotherapy on normal tissues. High-dose regimens have curative potential in defined clinical settings (Table 78-3, D). If cure is not possible, chemotherapy may be undertaken with the goal of palliating the tumor’s effect on the host (Table 78-3, E). In this usage, value is perceived by the demonstration of improved symptom relief, progression-free survival, or overall survival. The best data to support these different therapeutic approaches result from clinical research protocols. In the case of a new drug, these trials might be the 557 Tumor cell death pathways Tumor cell growth pathways CHAPTER 78 Principles of Cancer Treatment + + DNA damage or Apoptosis modulators Membrane damage BC12 Ceramide p53 Proapoptotic Gene Expression BAX PUMA NOXA PIGs, etc. Mitochondrial damage Death signal receptor Receptor-linked tyrosine kinase inhibitor TNF-R SMase GTP RAS GDP RAS Caspase 8 Effector caspases RAF P RAF/MEK inhibitors + + + Cytochrome C APAF Caspase 9 </w:t>
      </w:r>
      <w:r w:rsidR="00A6019F" w:rsidRPr="00A6019F">
        <w:lastRenderedPageBreak/>
        <w:t xml:space="preserve">Disordered chromosome structure or Caspase 3 Cell targets Nuclease activation Golgi Cell targets Folded proteins Protein production DNA digestion Misfolded proteins Autophagy Proteasome Proteosome inhibitors Peptides Amino acids Non receptor linked tyrosine kinase inhibitor MEK P + P13K P AKT + Metabolism modulators MTOR Multi kinase inhibitors Nutrients, O2 MAP Nuclear export inhibitors Protein synthesis Nucleus RNA HR HR Immune cells Transcription factor inhibitors Cell division Gene products CDK inhibitor Chromatin epigenetic modulators Hormone anatgonists Blood vessels in tumor stroma Table 73-4) or by the Eastern Cooperative Oncology Group (ECOG) (see Table 73-5). ECOG performance status (PS) 0 patients are without symptoms; PS1 patients are ambulatory but restricted in strenuous physical activity; PS2 patients are ambulatory and active 50% or more of the time but unable to work; PS3 patients are capable of limited self-care but are active ULN Mitoxantrone TOPOII; Ves, blue urine, nails, and sclerae Interacts with heparin; DA-H, alopecia, N, V, radiation recall Topotecan TOPOI; My, mucositis, N, V, alopecia DA-R, rare ILD Indirectly DNA-Interacting Agents Pyrimidine analogues   Capecitabine My, D, PPED, cardiac adverse events, R, Der Oral prodrug of 5-FU Cytarabine (cytosine arabinoside [ara-C]) My, mucositis, CNS (high dose), conjunctivitis (high dose; use steroid eyedrops until 72 h after last dose), noncardiogenic pulmonary edema Metabolized in tissues by deamination but renal excretion prominent at doses &gt;500 mg; therefore, DA-R in “high-dose” regimens 5-Fluorouracil (5-FU) My, D, mucositis, CNS, Der, cardiac adverse events, PPED Toxicity enhanced by leucovorin by increasing “ternary complex” with thymidylate synthase; metabolism in tissue; dihydropyrimidine dehydrogenase deficiency increases toxicity; enhances warfarin effect Gemcitabine My, N, V, ↑LFT, fever/”flu syndrome” Rare ARDS; rare HUS, rare PRES, radiosensitization with long infusion Trifluridine/tipiracil My, mucositis, N, V, unusual PPED Trifluridine directly inhibits thymidylate synthase and is incorporated into DNA; tipiracil inhibits thymidine phosphorylase, which degrades trifluridine Purine analogues   Fludarabine phosphate My, mucositis, CNS, Der Converted to F-ara ATP in cells by deoxycytidine kinase; DA-R 6-Mercaptopurine (6-MP), 6-thioguanine (6-TG) Mv, N, ↑LFT 6-MP metabolized by xanthine oxidase, decrease dose with allopurinol; 6-MP and 6-TG increased toxicity with thiopurine methyltransferase deficiency Antifolates   Methotrexate My, ↑LFT with fibrosis with chronic use, Plm, R, mucositis Toxicity lessened by leucovorin, bypassing block of dihydrofolate reductase, excreted in urine; DA-R or hold; NSAIDs increase renal toxicity; sequestered in third space fluids Pemetrexed My Supplement folate/B12 , omit for CrCl 550 mg/m2 are associated with a 10% incidence of chronic cardiomyopathy. The incidence of cardiomyopathy appears to be related to peak serum concentration, with low-dose, frequent treatment or continuous infusions better toler ated than intermittent higher-dose exposures. Cardiotoxicity has been related to iron-catalyzed oxidation and reduction of doxorubicin in the heart. Dexrazoxane is an intracellular chelating agent that can act as a cardio-protectant. Doxorubicin’s cardiotoxicity is increased when given together with trastuzumab, the anti-HER2/neu antibody. Radia </w:t>
      </w:r>
      <w:r w:rsidR="00A6019F" w:rsidRPr="00A6019F">
        <w:lastRenderedPageBreak/>
        <w:t xml:space="preserve">tion recall or interaction with concomitantly administered radiation to cause local site complications is frequent. The drug is a powerful vesicant, with necrosis of tissue apparent 4–7 days after an extravasa tion; therefore, it should be administered into a rapidly flowing intra venous line. Dexrazoxane also can mitigate doxorubicin extravasation. Doxorubicin is metabolized by the liver, so doses must be reduced by 50–75% in the presence of liver dysfunction. Daunorubicin is closely related to doxorubicin and is preferable to doxorubicin owing to less mucositis and colonic damage with frequent high doses used in the curative treatment of leukemia. Idarubicin is also used in leukemia treatment and may have somewhat less cardiotoxicity. Encapsulation of daunorubicin into a liposomal formulation has attenuated cardiac toxicity with antitumor activity in Kaposi’s sarcoma, other sarcomas, multiple myeloma, and ovarian cancer. Mitoxantrone is a synthetic topoisomerase II–directed agent with a mechanism similar to the anthracyclines, with less but not absent cardiotoxicity, comparing the ratio of cardiotoxic to effective doses; it is still associated with a 10% incidence of cardiotoxicity at cumulative doses of &gt;150 mg/m2. Etoposide binds directly to topoisomerase II and DNA in a reversible ternary complex. It stabilizes the covalent inter mediate in the enzyme’s action where the enzyme is covalently linked to DNA. Prominent clinical effects include myelosuppression, nausea, and transient hypotension related to the speed of administration of the agent. Etoposide is a mild vesicant but is relatively free from other large-organ toxicities. Camptothecins target topoisomerase I. Topotecan is a camptoth ecin derivative approved for use in gynecologic tumors and small-cell lung cancer. Toxicity is limited to myelosuppression and mucositis. Irinotecan is a camptothecin with evidence of activity in colorectal carcinoma. Irinotecan is a prodrug, metabolized in the liver to SN-38, its active metabolite. Levels of SN-38 are particularly high in the set ting of Gilbert’s disease, characterized by defective uridine diphosphate glucuronosyl transferase (UGT) 1A1 and indirect hyperbilirubinemia, a condition that affects ~10% of the white population in the United States. In addition, irinotecan’s myelosuppression is clearly influenced by the patient’s genotype for UGT1As. Irinotecan causes a delayed (48–72 h) secretory diarrhea related to the toxicity of SN-38. The diar rhea can be treated effectively with loperamide or octreotide; immedi ate diarrhea when it occurs is responsive to atropine. Bleomycin remains an important component of curative regimens for Hodgkin’s lymphoma and germ cell neoplasms. It forms complexes with Fe2+ while also bound to DNA. Oxidation of Fe2+ gives rise to superoxide and hydroxyl radicals, causing DNA damage. The drug causes little, if any, myelosuppression. Bleomycin is cleared rapidly, but augmented skin and pulmonary toxicity in the presence of renal failure necessitates dose reduction in renal failure. Bleomycin is not a vesicant and can be administered intravenously, intramuscularly, or subcutane ously. Common side effects include fever and chills, facial flush, and Raynaud’s phenomenon. The most feared complication of bleomycin treatment is pulmonary fibrosis, which increases in incidence at &gt;300 cumulative units administered and is minimally responsive to treat ment (e.g., </w:t>
      </w:r>
      <w:r w:rsidR="00A6019F" w:rsidRPr="00A6019F">
        <w:lastRenderedPageBreak/>
        <w:t xml:space="preserve">glucocorticoids). The earliest indicator of an adverse effect is usually a decline in the carbon monoxide diffusing capacity (DLCO) or coughing, although cessation of drug immediately upon docu mentation of a decrease in DLCO may not prevent further decline in pulmonary function. Bleomycin is inactivated by a bleomycin hydro lase, which is poorly expressed in skin and lung. Because bleomycin dependent electron transport is dependent on O2 , bleomycin toxicity may become apparent after exposure to transient very high fraction of inspired oxygen (FIO2 ) even late after treatment. Thus, during surgi cal procedures, patients with prior exposure to bleomycin should be maintained on the lowest FIO2 consistent with maintaining adequate tissue oxygenation. Dactinomycin interacts directly with DNA to inhibit RNA tran scription. It is important in the curative treatment of pediatric neoplasms, some of which also occur in young adults. Prominent myelosuppression, mucositis, alopecia, radiation recall, and nausea require management. Antimetabolites A broad definition of antimetabolites would include compounds that interfere with purine or pyrimidine synthesis. Some antimetabolites also cause DNA damage indirectly, through misincorporation into DNA. They tend to convey greatest toxicity to cells in S-phase, and the degree of toxicity increases with duration of exposure. Common toxic manifestations include stomatitis, diarrhea, and myelosuppression. Methotrexate inhibits dihydrofolate reductase, which regenerates reduced folates from the oxidized folates produced when thymi dine monophosphate is formed from deoxyuridine monophosphate. Without reduced folates, cells die a “thymine-less” death. N5-Tet rahydrofolate or N5-formyltetrahydrofolate (leucovorin) can bypass this block and rescue cells from methotrexate, which is retained in cells by polyglutamylation. Methotrexate is transported into cells by a membrane carrier, and high concentrations of drug can bypass this carrier and allow diffusion of drug directly into cells. These properties have suggested the design of “high-dose” methotrexate regimens with leucovorin rescue of normal marrow and mucosa as part of curative approaches to osteosarcoma in the adjuvant setting and hematopoi etic neoplasms of children and adults. Methotrexate is cleared by the kidney via both glomerular filtration and tubular secretion, and toxic ity is augmented by renal dysfunction and drugs such as salicylates, probenecid, and nonsteroidal anti-inflammatory agents that undergo tubular secretion. With normal renal function, 15 mg/m2 leucovorin will rescue 10−8–10−6 M methotrexate in 3–4 doses. However, with decreased creatinine clearance, doses of 50–100 mg/m2 are continued until methotrexate levels are 5 years). Progestational agents—including medroxyprogesterone acetate, androgens including fluoxymesterone (Halotestin), and paradoxically, estrogens—have approximately the same degree of activity in primary hormonal treatment of breast can cers that have elevated expression of ER protein. Estrogen itself is not used often due to prominent cardiovascular and uterotropic activity. Aromatase refers to a family of enzymes that catalyze the forma tion of estrogen in various tissues, including ovary, peripheral adipose tissue, and some tumor cells. Aromatase inhibitors are of two types: irreversible steroid analogues such as </w:t>
      </w:r>
      <w:r w:rsidR="00A6019F" w:rsidRPr="00A6019F">
        <w:lastRenderedPageBreak/>
        <w:t xml:space="preserve">exemestane and the reversible inhibitors such as anastrozole and letrozole. Anastrozole is superior to tamoxifen in the adjuvant treatment of breast cancer in postmeno pausal patients with ER-positive tumors. Letrozole treatment affords benefit following tamoxifen treatment. Adverse effects of aromatase inhibitors may include an increased risk of osteoporosis, fatigue, and altered serum lipids. ESR1 mutations of various types are detected at increased frequency after resistance to aromatase inhibitors occurs. Fulvestrant is the prototype of a selective ER degrader. As a result of its binding, the ER is degraded and ER-dependent proliferation may diminish. Metastatic prostate cancer is treated primarily by androgen depriva tion. Orchiectomy causes responses in 80% of patients. If not accepted by the patient, testicular androgen suppression can also be induced by luteinizing hormone–releasing hormone (LHRH) agonists such as leuprolide and goserelin. These agents cause tonic stimulation of the LHRH receptor, with loss of normal pulsatile activation resulting in net decreased output of luteinizing hormone (LH) by the anterior pituitary. Therefore, as primary hormonal manipulation in prostate cancer, one can choose orchiectomy or an LHRH agonist, but not both. This path way can also be blocked by relugolix, an oral gonadotropin-releasing hormone antagonist. The addition of androgen receptor blockers, including flutamide or bicalutamide, is of uncertain additional benefit in extending overall response duration, although pretreatment with these agents before LHRH agonists is important to avoid a surge in testosterone after initial LH release. Enzalutamide also binds to the androgen receptor and antagonizes androgen action in a mechanistically distinct way. Somewhat analogous to inhibitors of aromatase, agents have been derived that inhibit testosterone and other androgen synthesis in the testis, adrenal gland, and prostate tissue. Abiraterone inhibits 17 α-hydroxylase/C17,20 lyase (CYP17A1) and has been shown to be active in prostate cancer patients experiencing disease progression despite androgen blockade. Tumors that respond to a primary hormonal manipulation may fre quently respond to second and third hormonal manipulations. Thus, breast tumors that had previously responded to tamoxifen have, on relapse, notable response rates to withdrawal of tamoxifen itself or to subsequent addition of an aromatase inhibitor or progestin. Likewise, initial treatment of prostate cancers with leuprolide plus flutamide may be followed after disease progression by response to withdrawal of flutamide. These responses may result from the removal of antagonists from mutant steroid hormone receptors that have come to depend on the presence of the antagonist as a growth-promoting influence. Non-Receptor-Linked Tyrosine Kinase Antagonists Table 78-7 lists currently approved non–hormone receptor pathway-directed molecularly targeted chemotherapy agents, with features of their use of import to the generalist, particularly in recognizing potential drug induced morbidities and interactions with other classes of drugs. The basis for discovery of drugs of this type was the prior knowledge of oncogene-directed pathways driving tumor growth (Fig. 78-3). In most cases, non-receptor tyrosine kinases ultimately activate signal ing through the RAF/MEK/MAP kinase cascade, in common with the receptor-linked tyrosine kinases. </w:t>
      </w:r>
      <w:r w:rsidR="00A6019F" w:rsidRPr="00A6019F">
        <w:lastRenderedPageBreak/>
        <w:t xml:space="preserve">Diagnostic demonstration of an active non-receptor tyrosine kinase may guide selection of an agent. A repeated preclinical and clinical observation in a variety of tumor types is that mutational activation of the tyrosine kinase target induces a state of “oncogene addiction” on the part of the tumor. This then is the basis for a “synthetic lethal” effect of the kinase inhibitor with respect to tumor viability. In hematologic tumors, the prototypic agent of this type is imatinib, which targets the ATP binding site of the p210bcr-abl protein tyrosine kinase that is formed as the result of the chromosome 9;22 translo cation producing the Philadelphia chromosome in chronic myeloid leukemia (CML). Subsequent studies have shown value of imatinib in gastrointestinal stromal tumor (GIST) and certain myeloprolifera tive disorders, driven by certain mutants of cKIT and platelet-derived growth factor receptor (PDGFR). Imatinib has lesser activity in the blast phase of CML, where the cells may have acquired additional muta tions in p210bcr-abl itself or other genetic lesions. Imatinib’s side effects are relatively limited in most patients and include hepatic dysfunction, diarrhea, and fluid retention. Rarely, patients receiving imatinib have decreased cardiac function, which may persist after discontinuation of the drug. The quality of response to imatinib enters into the decision about when to refer patients with CML for consideration of stem cell transplant approaches. Nilotinib is a tyrosine protein kinase inhibitor with activity against p210bcr-abl but with increased potency and perhaps better tolerance by certain patients. Dasatinib, another inhibitor of the p210bcr-abl oncoproteins, also has activity against certain mutant variants of p210bcr-abl that are refractory to imatinib and arise during therapy or are present de novo. Dasatinib also has inhibitory action against kinases belonging to the src tyrosine protein kinase family; this activity may contribute to its effects. The T315I mutant of p210bcr-abl is resistant to imatinib, nilotinib, bosutinib, and dasatinib; ponatinib has activity in patients with this T315Ip210bcr-abl, but ponatinib has noteworthy associated thromboembolic toxicity. Use of this class of targeted agents is thus critically guided not only by the presence of the p210bcr-abl tyro sine kinase, but also by the presence of specific mutations in the ATP binding site. Asciminib is a first-in-class non-ATP site p210bcr-abl inhibi tor that also has activity in BRC/ABL T315I mutant CML. CHAPTER 78 Principles of Cancer Treatment Janus kinases (JAK) 1 and 2 are mutated in certain myeloprolifera tive states; cytopenias and infrequent arrhythmias infrequently com plicate the use of ruxolitinib, the prototypic JAK inhibitor. Bruton’s tyrosine kinase (BTK) is an intrinsic component of B-cell antigen receptor signaling activated in many types of proliferating B cells and B-cell neoplasms. Irreversible inhibitors of BTK, including ibrutinib, acalabrutinib, and zanubrutinib, have noteworthy activity in certain lymphomas. Cytopenias and cardiac arrhythmias can occur, along with propensity to infection (indeed, the BTK was discovered as deficient in congenital hypogammaglobulinemia, presenting with repeated infec tions in childhood). Initial use of the BTK inhibitors requires consid eration of prophylaxis against tumor lysis syndrome in case of a robust lympholytic effect of the agent. If and when resistance to irreversible BTK inhibitors develops (often associated with a C481S </w:t>
      </w:r>
      <w:r w:rsidR="00A6019F" w:rsidRPr="00A6019F">
        <w:lastRenderedPageBreak/>
        <w:t xml:space="preserve">mutation), the noncovalent inhibitor pirtobrutinib may have activity. Receptor-Linked Tyrosine Kinase Antagonists Mutated EGFR drives a significant fraction of non-small-cell lung cancers (NSCLCs). Erlotinib and gefitinib are the prototypic EGFR antagonists that, in early clinical trials, showed evidence of responses in a small 568 PART 4 Oncology and Hematology TABLE 78-7 Molecularly Targeted Agents DRUG TARGET/INDICATION ADVERSE EVENTS NOTES Non-Receptor Tyrosine Kinase Antagonists Acalabrutinib BTK/certain B-cell malignancies My, atrial fibrillation/flutter, infection CYP3A4; avoid PPIs and stagger doses with H2 blockers; irreversible BTK inhibitor Asciminib BCR/ABL/CML chronic phase after 2 TKIs or with BCR/ABL T315I My, ↑lipase, ↑amylase, HBP, hypersensitivity, cardiac events CYP3A4, CYP2C9, Pgp; not an ATP site inhibitor but inhibit by allosteric mechanism binding to myristoyl pocket in BCR/ABL Bosutinib BCR/ABL wild-type, some mutants/CML My, ↑LFT, cardiac, R, fluid retention CYP3A4, PPI (use short-acting antacids or H2 blocker staggered with dose) Dasatinib BCR/ABL/Ph+ CML, Ph+ ALL My, pulmonary hypertension, fluid retention, ↓LVEF, ↑LFT, Der CYP3A4, avoid PPIs and stagger doses with H2 blockers; caution with agents with ↑QT Ibrutinib As with acalabrutinib My, stomatitis, HBP, arrhythmia, TLS CY3A4, second primary malignancy Imatinib ABL, BCR/ABL wild-type, cKIT PDGFR/ CML, some ALL, certain GISTs, eosinophil, mast cell, myelodysplastic syndromes My, edema, fluid retention, ↓LVEF, ↑LFT rare liver failure, GI perforation, Der, TLS, ↓CrCl DA-H, DA-R, CYP3A4, CYP2D6; hemorrhage at tumor site in GIST, cardiogenic shock with high eosinophil levels; monitor TFTs with thyroid replacement Nilotinib BCR/ABL wild-type/CML CHF, ↑LFT, ↑QT, fluid retention, ↑lipase, TLS CYP3A4, CYP2C8, CYP2C9, CYP2D6, CYP2B6; no food 2 h before, 1 h after dose; monitor electrolytes, TFTs Pirtobrutinib As with acalabrutinib My, arrhythmia, infection, hemorrhage DA-R, CYP3A4; CYP2C8, 2C19, Pgp, BCRP substrates; reversible BTK inhibitor, second primary malignancy Ponatinib T315I mutant BCR/ABL CML Clotting, ↑LFT, TLS, ↓LVEF, pancreatitis, Neu, arrhythmia CYP3A4, PRES possible Ruxolitinib JAK1,2/myeloproliferative disorders My, dizziness, headache DA-R, DA-H, CYP3A4 or with fluconazole &gt;200 mg doses except with GVHD Zanubrutinib As with acalabrutinib My, hemorrhage, cardiac arrhythmias CYP3A4 Receptor-Linked Tyrosine Kinase Antagonists Afatinib Nonresistant ATP site mutated EGFR/ NSCLC D, Der, Cor, ILD; ↑LFT DA-R, DA-Pgp inhibitors, no food 2 h before, 1 h after dose Alectinib ALK rearranged/NSCLC ↑LFT, ILD, R, bradycardia, ↑CPK Administer with food; can have muscle pain, tenderness, weakness Avapritinib PDGFR mutants/GIST, mastocytosis N, edema, CNS, sleep, mood change, hallucinations CYP3A4, monitor for intracranial hemorrhage Capmatinib MET + exon 14 skip/NSCLC ILD, ↑LFT, photosensitivity, pancreatitis, hypersensitivity   Ceritinib ALK rearranged/NSCLC GI, ↑LFT, ↑glucose, ↑QT, bradycardia, pancreatitis CYP3A4, CYP2C9; if ILD, permanently discontinue Crizotinib ALK rearranged/NSCLC; inflammatory myofibroblastic tumor, anaplastic large cell lymphoma ILD, ↑LFT, ↑QT, bradycardia, ↓vision CY3A4 Dacomitinib EGFR exon 19 deletion or exon 21 L858R/ NSCLC D, Der: hold and/or dose reduce; ILD (permanently </w:t>
      </w:r>
      <w:r w:rsidR="00A6019F" w:rsidRPr="00A6019F">
        <w:lastRenderedPageBreak/>
        <w:t xml:space="preserve">discontinue) CYP2D6; avoid PPIs, use local antacids or give 6 h before or 10 h after H2 blockers Erdafitinib FGFR2/3 altered/urothelial cancer after Pt regimen Der, D, stomatitis, retina (ophthalmologic exam before/during) CYP2C9, CYP3A4, also organic cation transporter 2 and Pgp substrates, give 6 h before/after Pgp substrates; ↑PO4 due to effect on FGFR2/3/Klotho Erlotinib As with afatinib; also wild-type EGFR/ NSCLC 2nd line or pancreatic 1st line with gemcitabine Der, D, R, ILD, ↑LFT, rare microangiopathic anemia CYP3A4, give 1 h before/2 h after meals, avoid PPIs, stagger with H2 blockers; alter warfarin effect Fruquintinib Target VEGFR1,2,3/CRC HBP, hemorrhage, arterial thromboses, infection, GI perforation, ↑LFT, proteinuria, ↓wound healing, allergic bronchospasm CYP3A4; unusual, PPED, PRES Futibatinib FGFR2 gene fusions/ cholangiocarcinoma Retina (ophthalmologic exam before/during) CYP3A4, Pgp substrates; ↑PO4 due to effect on FGFR2/3/ Klotho, tissue and vascular calcification Gefitinib As with afatinib Der, D, ILD, ocular keratitis, GI perforation CYP3A4; avoid with PPIs; monitor warfarin effect Gilteritinib FLT3 mutated/AML ↑LFT, ↑QT, myalgia/arthralgia, N, V, GI, Der, edema, dyspnea Monitor for PRES, pancreatitis, ↑Cr, eye disorders Infigratinib FGFR2 variants/cholangiocarcinoma Retina (ophthalmologic exam before/during) CYP3A4, avoid gastric acid reduction or stagger with H2 blockers or locally acting agents, ↑PO4 due to effect on FGFR2/3/Klotho, soft tissue including myocardial mineralization Lapatinib HER2/HER2+ breast cancer ↓LVEF, ↑LFT, N, V, D, PPED CYP3A4, CYP2C8, Pgp substrate; interaction, ILD, ↑QT Larotrectinib NTRK gene fusion without a resistance mutation/any solid tumor CNS with potential cognitive impairment; ↑LFT CYP3A4 Lorlatinib ALK rearranged/NSCLC Hyperlipidemia, AV block, CNS including seizures, mental status changes CYP3A4 with severe ↑LFT with CYP3A interactors; monitor for ILD and discontinue if occur Neratinib As with lapatinib N, V, D, abdominal pain, ↑LFT CYP3A4, aggressive D prophylaxis with loperamide; avoid PPIs and stagger H2 blocker doses (Continued) Principles of Cancer Treatment 569 CHAPTER 78 TABLE 78-7 Molecularly Targeted Agents DRUG TARGET/INDICATION ADVERSE EVENTS NOTES Osimertinib EGFR exon 19 altered or exon 21L858R or T790M mutations/NSCLC ILD, ↑QT, ↓LVEF, Cor CYP3A4 Pemigatinib FGFR2 fusion or other rearrangement/ cholangiocarcinoma FGFR1 rearranged myeloid/lymphoid neoplasms N, D, stomatitis, ↑PO4 due to effect on FGFR2/3/Klotho CYP3A4, retinal detachment: ophthalmologic exam with ocular tomography before and every 2–3 months during treatment Pralsetinib RET mutant or fusion/NSCLC, thyroid carcinomas ILD, HBP, hemorrhage, ↑LFT, TLS, ↓wound healing CYP3A4, Pgp Quizartinib FLT3 mutated/AML ↑QT with risk of cardiac arrest CYP3A4 Repotrectinib Target ROS1 rearranged/NSCLC CNS, ILD, ↑LFT, myalgia, ↑CPK CYP3A4, Pgp, OCs; also target TRKA,B,C Selpercatinib RET mutant or fusion/NSCLC, thyroid carcinomas ↑LFT, ↑QT, HBP, bleeding, ↓wound healing; hold 1 week prior and 2 weeks after surgery Avoid with antacids, but take if not avoidable with food if PPI or stagger with other antacid, CYP3A, CYP2C8 Tepotinib MET with exon 14 skipping mutations/ NSCLC ILD, ↑LFT CYP3A4, Pgp; DA-H Tucatinib As with lapatinib ↑LFT, D CYP3A4, CYP2C8 KRAS-G12C/RAF/MEK Antagonists Adagrasib </w:t>
      </w:r>
      <w:r w:rsidR="00A6019F" w:rsidRPr="00A6019F">
        <w:lastRenderedPageBreak/>
        <w:t xml:space="preserve">KRAS G12C mutation/NSCLC N, V, D, ↑LFT, ↑QT, ILD CYP3A4, CYP2C9, CYP2D6, agents that ↑QT Binimetinib Targets MEK/BRAF V600E or V600K mutated melanoma combined with encorafenib ↓LVEF, venous thrombosis; ocular, ILD, ↑LFT, rhabdomyolysis DA-H Cobimetinib Targets MEK/BRAF V600E or V600K melanoma combined with vemurafenib; alone in BRAF V600E or V600K histiocytic neoplasms Hemorrhage, retinal ↓LVEF, Der, photosensitivity, rhabdomyolysis, ↑LFT CYP3A4, new malignancies, cutaneous and noncutaneous Dabrafenib Targets BRAF in BRAF V600E or V600K mutated tumors (not CRC) with trametinib Hemorrhage, uveitis ↓LVEF, Der, ↑glucose, hemolysis if G6PD deficient, pyrexia CYP3A4, CYP2C8, CYP2C9, CYP2C19, CYP2B6, new malignancies, cutaneous and noncutaneous Encorafenib Targets BRAF in BRAF V600E or V600K mutated tumors combined with binimetinib (melanoma) or CRC with cetuximab Hemorrhage, uveitis, ↑QT CYP3A4, organic anion transporter 1B1, BCRP interactions, new malignancies, cutaneous and noncutaneous Sotorasib KRAS G12C mutation/NSCLC ↑LFT, ILD, N, V, D Avoid with PPIs and H2 receptor antagonists; if necessary, administer 4 h before or 10 h after a local antacid, avoid CYP3A4, Pgp substrates Trametinib Targets MEK/BRAF V600E or V600K mutated tumors (not colorectal) combined with dabrafenib Hemorrhage, venous thromboembolism, ↓LVEF, ILD, pyrexia, Der, ↑glucose Colitis with GI perforation, ocular including retinal vein occlusion, new malignancies, cutaneous and noncutaneous Vemurafenib Targets BRAF in BRAF V600E or V600K mutated melanoma and Erdheim Chester disease Der including Stevens-Johnson, anaphylaxis and allergic hypersensitivity, ↑QT, ↑LFT, photosensitivity, radiation recall Dupuytren’s contracture and plantar fascial fibromatosis has occurred; usually combined with cobimetinib in melanoma; CYP3A4, CYP1A2, CYP2D6, new primary cutaneous and noncutaneous neoplasms Multikinase Antagonists Axitinib VEGFR, PDGFR, KIT/RCC HBP, hemorrhage, thrombotic events; D, other GI including GI perforation, PPED, hypothyroidism, PRES, proteinuria, ↑LFT DA-H, CYP3A4/5 Brigatinib ALK, EGFR/NSCLC ILD, bradycardia, HBP, visual disturbances, ↑glucose, ↑CPK CYP3A4, decreased hormonal contraceptive effectiveness Cabozantinib VEGFR2, MET, AXL, RET/RCC, HCC, certain thyroid carcinoma HBP, hemorrhage, thrombotic events, D, other GI including fistula, perforation, wound healing, PRES, PPED, proteinuria, ONJ CYP3A4 Capivasertib Target PIK3CA/AKT1/PTEN- axis; BC-HR(+) with mutation in pathway Hypersensitivity reactions, Der, ↑glucose, pneumonitis, ILD, D CYP3A4, CYP2C9, BCRP substrates Entrectinib NRTK gene fusion/any solid tumor; ROS1 gene alteration/NSCLC ILD, ↑LFT, photosensitivity, ↓LVEF, CNS effect, skeletal fractures; hyperuricemia, ↑QT, CYP3A4, ophthalmologic exam if vision change Fedratinib JAK2, FLT3, RET/myeloproliferative diseases My, N, V, D, ↑LFT pancreatitis, encephalopathy: check thiamine levels prior, replete if deficient CYP3A4, CYP2C19 Lenvatinib VEGFR1/2/3, FGFR1/2/3/4, PDGFRα, KIT, RET/thyroid, RC, HCC, endometrial cancer HBP, ↓LVEF, bleeding, arterial/venous clots, RF, ONJ, proteinuria, ↑LFT, GI including D, fistula/perforation, ↓wound healing, ↑QT, ↓Ca2+, PRES, ↓TFT DA-H, DA-R Midostaurin FLT3 mutated/AML newly diagnosed, mast cell neoplasms ILD; N, </w:t>
      </w:r>
      <w:r w:rsidR="00A6019F" w:rsidRPr="00A6019F">
        <w:lastRenderedPageBreak/>
        <w:t xml:space="preserve">D CYP3A4; many other protein kinase targets in addition to FLT3 (Continued) (Continued) 570 PART 4 Oncology and Hematology TABLE 78-7 Molecularly Targeted Agents DRUG TARGET/INDICATION ADVERSE EVENTS NOTES Pazopanib VEGFR 1/2/3, KIT, PDGFR, and FGFR/ RCC soft tissue sarcoma (not GIST or adipocytic) D, HBP; arterial and venous thrombosis ± embolism, ↑QT, hemorrhage, ↑LFT potentially severe/fatal; GI perforation or fistula; proteinuria, ↓TFT, ↓LVEF, PRES, ILD, thrombotic microangiopathy CYP3A4, CYP22D6, CYP2C8 interaction; use with simvastatin increases the risk of ALT elevations and should be undertaken with caution; avoid with PPIs or H2 blocker, stagger with other antacid doses Regorafenib VEGFR1/2/3, KIT, RET, PDGFR-α/β, FGFR1/2, TIE2, DDR2, Trk2A, Eph2A, RAF1, BRAF, BRAF V600E, SAPK2, PTK5, and ABL/CRC, GIST ↑LFT potentially severe/fatal; hemorrhage, thromboses, PPED, Der, HBP, ↓LVEF, ↑QT, GI perforation CYP3A4, impaired TSH suppression in thyroid cancer Sorafenib VEGFR2, VEGFR3, PDGFRβ, Flt3, KIT, RAF1, BRAF/RCC, HCC, differentiated thyroid carcinoma D, ↑LFT potentially severe/fatal; hemorrhage, PPED, Der, HBP, ↓LVEF, ↑QT, GI perforation As with regorafenib Sunitinib VEGFRs; PDGFR, RET, KIT; other protein kinases/RCC, pancreatic neuroendocrine, GIST HBP, ↑LFT potentially severe/fatal; hemorrhage, GI perforation, CHF, altered TFTs, ONJ, ↓wound healing, proteinuria, R CYP3A4, rare ↑QT, rare TLS in RCC and GIST with high tumor burden Vandetanib VEGFR, RET, EGFR/medullary thyroid cancer D, Der, HBP, ↑QT, thromboses, ↓LVEF, fistulas, ILD, ONJ, proteinuria, PRES CYP3A4 Cyclin-Dependent Kinase (CDK) Inhibitors Abemaciclib CDK4/6/HR+ BC D, My, ↑LFT, venous thromboembolism, ILD CYP3A4, avoid concomitant use of ketoconazole Palbociclib CDK4/6/HR+ BC D, My, stomatitis, ILD, D CYP3A4 Ribociclib CDK4/6/HR+ BC Der, ILD, ↑QT, ↑LFT, My CYP3A4, agents known to ↑QT Protein Homeostasis Modulators Bortezomib Proteasome inhibitor/multiple myeloma, mantle cell lymphoma Neu, N, V, D, C, ↓BP, My, ILD, ↑LFT worsening cardiac disease Rare TLS, PRES Carfilzomib Proteasome inhibitor/multiple myeloma ↓LVEF, myocardial ischemia, R, TLS, pulmonary including ARDS, ILD, HBP, IR*, thrombosis, hemorrhage, PRES, thrombocytopenia, thrombotic microangiopathy, ↑LFT potentially severe Administer after a hemodialysis procedure Ixazomib Proteasome inhibitor/multiple myeloma relapsed, not as maintenance Thrombocytopenia, N, V, D, C, Neu, edema, Der, thrombotic microangiopathy, ↑LFT DA-R, DA-H, CYP3A4 Nuclear Export Inhibitor Selinexor Targets exportin 1/multiple myeloma, certain DLBCLs My, N, V, D, anorexia, ↓Na+, CNS, cataract development or progression Advise against driving or dangerous equipment operation if CNS altered Chromatin-Modifying Epigenetic Modulators DNA Hypomethylating Agents Azacytidine Target DNA methyltransferase/ myelodysplastic syndromes, AML My, ↑LFT, TL, CNS Monitor if renal impairment, more N, V, D if SC administration Decitabine As with azacytidine My Combined with cedazuridine (a cytidine deaminase inhibitor) in an oral regimen Histone Deacetylase Inhibitors Belinostat Peripheral T-cell lymphoma, relapsed or refractory My, ↑LFT, TLS, N, V  Panobinostat Multiple myeloma, relapsed or refractory My, hemorrhage, ↑LFT, ↓Na+, ↓K+, ↓PO4 , ↑Cr CYP3A4, CYP2D6, avoid agents that ↑QT Romidepsin CTCL after </w:t>
      </w:r>
      <w:r w:rsidR="00A6019F" w:rsidRPr="00A6019F">
        <w:lastRenderedPageBreak/>
        <w:t xml:space="preserve">one systemic therapy My, ↑QT CYP3A4, alter warfarin effect, may ↓ effectiveness of oral contraceptives Vorinostat CTCL after two systemic therapies My, N, V, D, venous thrombosis, ↑glucose Monitor with mild or moderate liver disease Histone Methyltransferase Inhibitors Tazemetostat Target EZH2 mutant or nonmutant/ epithelioid sarcoma, certain follicular lymphomas N, V, C, abdominal pain CYP3A4, increased risk of secondary malignancies (MDS, AML, lymphomas) Transcription Factor Modulation Arsenic trioxide Target PML-RARα and redox homeostasis/t(15;17) acute promyelocytic leukemia ↑QT, hypersensitivity APL differentiation syndrome: with pulmonary dysfunction/infiltrate, pleural/pericardial effusion, fever, treat with dexamethasone ± hydroxyurea Belzutifan Target HIF2α/von Hippel-Lindau (VHL) disease–associated RCC, CNS hemangioblastomas, GI neuroendocrine tumors, non-VHL RCC after PD-1, VEGFR inhibitor Anemia, hypoxia, N, ↑Cr, ↑glucose CYP2C19, UGTB17 Glasdegib Targets smoothened receptor in hedgehog pathway/AML ↑QT CYP3A4, transmission to potentially pregnant partner through semen or to blood product recipient (Continued) (Continued) Principles of Cancer Treatment 571 CHAPTER 78 TABLE 78-7 Molecularly Targeted Agents DRUG TARGET/INDICATION ADVERSE EVENTS NOTES Nirogacestat Targets γ-secretase to inhibit Notch signaling/desmoid tumor D (can be severe), ovarian dysfunction, ↑LFTs, PO4 and K+ abnormalities CYP3A4; avoid PPIs and stagger doses with H2 blockers; nonmelanoma skin cancers; Der: monitor before and during treatment Sonidegib Targets smoothened receptor in hedgehog pathway/basal cell carcinoma locally advanced or metastatic Musculoskeletal adverse events with ↑CPK, potential R, N, V, D As with glasdegib Tretinoin Target PML-RARα/t(15;17) acute promyelocytic leukemia Der including cheilitis, skin dryness; ↑ intracranial pressure; ↑lipids, ↑LFT, usually resolve As with arsenic trioxide; also headache, visual changes may indicate ↑intracranial pressure; check for papilledema Vismodegib As with sonidegib Musculoskeletal adverse events, N, V, D, C Transmission to potentially pregnant partner through semen or to blood product recipient Apoptosis Modulation Venetoclax Targets BCL2/CLL, SLL; AML + azacytidine, decitabine, or low-dose cytarabine My, D, TLS CYP3A4, stagger with Pgp substrates, no live attenuated vaccines prior to, during, or after venetoclax treatment Metabolism Modulation: mTOR Inhibitors/PI Kinase/IDH Inhibitors Alpelisib PIK3CA mutated/HR+HER2– BC Der, hypersensitivity, ↑glucose, ILD, D CYP3A, CYP2C9, BCRP substrates Copanlisib PI3Kα,δ/FL My, HBP, noninfectious pneumonitis, ↑glucose, Der CYP3A4 Duvelisib PI3Kδ,γ/CLL, SLL, FL My, infection, D, colitis, Der, pneumonitis, ↑LFTs CYP3A4 Enasidenib IDH2 mutated/AML N, V, D, ↑LFTs AML differentiation syndrome with pulmonary dysfunction/infiltrate, pleural/pericardial effusion, fever treat with dexamethasone ± hydroxyurea Everolimus mTOR/RCC, tuberous sclerosis associated neoplasms, HR+ BC, neuroendocrine, pancreatic, lung, GI NOT functional carcinoid My, noninfectious pneumonitis, infections, hypersensitivity reactions, R, impaired wound healing, ↑glucose, ↑lipids, stomatitis CYP3A4, Pgp substrates, angioedema with concomitant ACE inhibitors, consider alcohol-free mouthwash when starting treatment; </w:t>
      </w:r>
      <w:r w:rsidR="00A6019F" w:rsidRPr="00A6019F">
        <w:lastRenderedPageBreak/>
        <w:t xml:space="preserve">risk of reduced efficacy of vaccination Ivosidenib IDH1 mutated/AML, cholangiocarcinoma, MDS ↑QT, Guillain-Barré syndrome CYP3A4, QT-prolonging agents; AML differentiation syndrome requiring corticosteroid treatment Idelalisib PI3Kδ/non-first-line CLL, SLL, FL Fatal or serious ↑LFTs, D, colitis with GI perforation, pneumonitis, infection, Der, hypersensitivity CYP3A4, not with bendamustine or rituximab Olutasidenib IDH1/AML ↑LFTs CYP3A4, differentiation syndrome requiring corticosteroid ± hydroxyurea treatment Sirolimus protein bound particles mTOR/perivascular epithelioid cell tumor (PEComa) My, stomatitis, infection, ↓K+, IR, ↑glucose, ILD, hemorrhage, male infertility CYP3A4, avoid live vaccines Temsirolimus mTOR/RCC Hypersensitivity, ↑LFTs, infection, ILD, stomatitis, thrombocytopenia, N, ↑glucose, ↑lipids, ↓wound healing, GI perforation, R ± proteinuria DA-H, CYP3A4 Poly-ADP Ribose Polymerase (PARP) Inhibitors Niraparib Ovarian, fallopian tube, or primary peritoneal cancer with good response to Pt My, N, V, D, HBP, PRES MDS Olaparib Ovarian: as with niraparib also with various BRCA or HRR mutations; BC mutant BRCA, HER2–; pancreatic mutant BRCA with good response to Pt; prostate with BRCA or HRR mutations My, N, stomatitis, DVT ± PE, rare ILD MDS, CY3A4 Rucaparib As with niraparib; prostate BRCA mutated after hormone and after taxane My, stomatitis, N, V, D, ↑LFTs MDS Talazoparib BC BRCA mutated HER2–; prostate cancer, castrate-resistant HRR mutation(+), with enzalutamide My, N, V, D, ↑LFTs MDS Miscellaneous 177Lu-dotatate Target somatostatin receptor (SSR)/ gastroenterohepatic neuroendocrine tumors (SSR)+ My, R, ↑LFTs, IR, Neuroendocrine hormonal crisis including flushing, diarrhea, hypotension, bronchoconstriction; secondary MDS, risks from radiation exposure 177Lu-vipivotide tetraxetan Target prostate-specific membrane antigen (PSMA)/refractory prostate cancer My, R Temporary or permanent infertility, risks from radiation exposure (Continued) (Continued) 572 TABLE 78-7 Molecularly Targeted Agents DRUG TARGET/INDICATION (Continued) ADVERSE EVENTS Tagraxofusp-erzs Targets CD123 (IL-3 receptor)/blastic plasmacytoid dendritic cell neoplasm Ziv-aflibercept PART 4 Targets VEGF by solubilized VEGFR/CRC with chemotherapy after an oxaliplatin regimen IR*, ↑LFTs, VLS ↓Wound healing with fistula, GI perforation, hemorrhage, HBP, DVT, arterial thromboembolism, proteinuria, PRES NOTES Delivers a fragment of diphtheria toxin Administer over 1 h, not as push or bolus Note: Data abstracted in part from publicly available U.S. Food and Drug Administration label. All agents in this class have the potential for prominent embryofetal toxicity; use without contraception by female patients of childbearing potential is not recommended. Effective contraception for female partners who are of childbearing potential of patients undergoing treatment should also be considered; use during lactation is also not recommended. Gene products are in capital letters; genes are italicized in capitals. Indications and events of prominent general medical importance include the following: ACE, angiotensin-converting enzyme; ALK, anaplastic lymphoma kinase; ALL, acute lymphoblastic leukemia; AML, acute myeloid leukemia; APL, acute promyelocytic leukemia; ARDS, acute respiratory distress syndrome; AV, atrioventricular; BC, breast </w:t>
      </w:r>
      <w:r w:rsidR="00A6019F" w:rsidRPr="00A6019F">
        <w:lastRenderedPageBreak/>
        <w:t xml:space="preserve">cancer; BCRP, breast cancer resistance protein; BP, blood pressure; BRCA, breast cancer gene; BTK, Bruton’s tyrosine kinase; C, constipation; CHF, congestive heart failure; CLL, chronic lymphocytic leukemia; CML, chronic myelogenous leukemia; CNS, can include altered sensorium, cortical and cerebellar signs, dysarthria, altered seizure threshold; Cor, corneal keratopathy, consider pretreatment ophthalmologic exam with prophylactic lubricating eyedrops ± ocular steroids; CRC, colorectal cancer; CrCl, creatinine clearance; CTCL, cutaneous T-cell lymphoma; CYP___, interaction with drugs metabolized by the indicated cytochrome(s) P450; D, diarrhea; DA-H, dose adjust for hepatic dysfunction; DA-R, dose adjust for renal dysfunction; Der, dermatologic toxicity; DLBCL, diffuse large B-cell lymphoma; DVT, deep vein thrombosis; EGFR, epidermal growth factor receptor; FGFR, fibroblast growth factor receptor; FL, follicular lymphoma; GIST, gastrointestinal stromal tumor; GVHD, graft-versus-host disease; H2, histamine receptor antagonist; HBP, high blood pressure; HCC, hepatocellular carcinoma; HER2, human epidermal growth factor receptor 2; HRR, homologous recombination repair; HR, hormone receptor; HUS, hemolytic-uremic syndrome; IDH, isocitrate dehydrogenase; ILD, interstitial lung disease; IR, infusion reaction; IR*, infusion reaction prophylaxis specifically recommended; LFT, liver function tests; LVEF, left ventricular ejection fraction monitor echocardiogram; MDS, myelodysplastic syndrome; MET, hepatocyte growth factor; My, anemia, decrease in white blood cells, platelets, with risk of neutropenic fever, hemorrhage, therefore dose reduce or hold dose for decreased neutrophil or platelet counts unless marrow infiltrated by drug-responsive tumor; N, nausea; Neu, peripheral neuropathy; NSCLC, non-small cell lung cancer; OC, oral contraceptive; ONJ, osteonecrosis of the jaw; PDGFR, platelet-derived growth factor receptor; PE, pulmonary embolism; Pgp, P-glycoprotein drug resistance protein; Ph, Philadelphia chromosome; Plm, pulmonary; PML, progressive multifocal leukoencephalopathy risk; PPED, palmar-plantar erythrodysesthesia (i.e., hand-foot syndrome); PPI, proton pump inhibitor; PRES, posterior reversible leukoencephalopathy syndrome; Pt, platinating agent; PT, prothrombin time; PTT, partial thromboplastin time; ↑QT, increase of QT interval needs pre- and intratreatment electrocardiogram monitoring and normalizing K+, Mg2+, ionized Ca2+; R, renal injury possible; RCC, renal cell carcinoma; ROS1, receptor tyrosine kinase 1; SLL, small lymphocytic lymphoma; TFT, thyroid function test; TKI, tyrosine kinase inhibitor; TLS, risk of tumor lysis syndrome if brisk response; TOPO___, agent targets the indicated topoisomerase; TSH, thyroid-stimulating hormone; UGT___, drug metabolism by UDP glucuronosyltransferase of the indicated genotype; V, vomiting; VEGFR, vascular endothelial growth factor receptor; Ves, extravasation injury possible; VLS, vascular leak syndrome; VOD, veno-occlusive liver disease. Oncology and Hematology fraction of patients with NSCLC. Subsequent studies by clinical oncol ogists in an effort to understand the basis of these excellent responses found that the probability of response to the agents was markedly increased in patients with an activating EGFR mutation, and current practice now routinely profiles patients with NSCLC for the </w:t>
      </w:r>
      <w:r w:rsidR="00A6019F" w:rsidRPr="00A6019F">
        <w:lastRenderedPageBreak/>
        <w:t xml:space="preserve">presence of sensitizing mutations of EGFR. Side effects were generally accept able, consisting mostly of acneiform rash (treated with glucocorticoid creams and clindamycin gel) and diarrhea. Patients with activating mutations who initially responded to gefitinib or erlotinib but who then had progression of the disease then acquired additional mutations in the enzyme, analogous to the mutational variants responsible for imatinib resistance in CML. Subsequent generations of EGFR antago nists have activity against more uncommon mutants (osimertinib) or a biochemically irreversible mechanism (dacomitinib). Mutated anaplastic lymphoma kinase (ALK) and activated RET oncogene likewise drive distinct fractions of NSCLCs. Alectinib, ceri tinib, crizotinib, and lorlatinib target ALK, but have prominent adverse cardiac, metabolic, and, in the case of lorlatinib, pulmonary events. Selpercatinib targets RET in NSCLCs (and thyroid cancers) but also with the chance of cardiac and liver toxicity. Repotrectinib is active in ROS1 mutant NSCLC. HER2-driven breast cancers may be usefully treated with lapatinib; diarrhea and cardiac dysfunction can occur. Neratinib or tucatinib may also be useful in HER2-positive breast cancers after trastuzumab has ceased to be of value; diarrhea and liver toxicity also require monitor ing and management. Alteration of fibroblast growth factor (FGF) signaling can contrib ute to the growth of urothelial carcinomas and cholangiocarcinomas. Erdafitinib and pemigatinib, respectively, may be of utility with care ful attention to ocular toxicity and hyperphosphatemia; the latter is an “on-target” toxicity of disrupting FGF receptor signaling in the kidney. Likewise, gilteritinib is active against the FMS-like tyrosine kinase-3 (FLT3) mutated in a fraction of poor-prognosis (treated by conventional chemotherapy) acute myeloid leukemias (AMLs). Car diac, hepatic, gastrointestinal, and neurologic adverse events can occur, along with “differentiation” of the AML cells with cytokine elaboration and pulmonary side effects, requiring management with steroids and potentially hydroxyurea. The neurotropic tyrosine kinase receptor (NRTK) undergoes trans location with fusion to a variety of different partner genes to produce a family of chimeric proteins in a small fraction of a variety of solid tumors. Larotrectinib and entrectinib may be quite useful in manag ing these tumors; indeed, these agents are exemplary of “histology agnostic” agents, where the utility of the drug is not tied to a particular histologic diagnosis, but to the possession of a specific NRTK gene alteration. Neurotoxicity, a long half-life of the agents, and hepatotoxic adverse events are of concern. Neuroregulin 1 (produced by the NRG1 gene) undergoes gene fusions to produce activators of HER family heterodimer signaling, including HER3 and HER4; afatinib covalently binds to all HER family members and has activity in patients with NRG1 gene fusions. RAF/MEK Pathway Antagonists The RAS proto-oncogene family members (including HRAS, KRAS, and NRAS) act as “switches” to bind GTP in response to activation of receptor tyrosine kinases; RAS-GTP activates the RAF proto-oncogene–derived serine-threonine kinase. RAS mutations of various types result in persistent activation of RAS isoforms, resulting in hyperactivation of RAF and “downstream” kinases, including MEK and MAPK. Sotorasib is a first-in-class inhibi tor of KRAS G12C </w:t>
      </w:r>
      <w:r w:rsidR="00A6019F" w:rsidRPr="00A6019F">
        <w:lastRenderedPageBreak/>
        <w:t xml:space="preserve">signaling that in early clinical reports has evidence of effecting stable disease in patients with a variety of neoplasm his tologies bearing that mutation, with fewer actual responses. Adagrasib also targets KRAS-G12C with a distinct pharmaceutical profile. Neither sotorasib nor adagrasib has activity against wild-type or other RAS mutants, but their discovery marked a milestone, encouraging continu ing efforts to produce RAS-directed therapeutics. The BRAF V600E mutation drives a substantial fraction of mela nomas and certain NSCLCs and has been detected in certain thyroid tumors, colorectal tumors, hairy cell leukemias, and unusual gliomas. BRAF inhibitors such as dabrafenib, vemurafenib, and encorafenib have activity as single agents in many such tumors but are usually most active when co-administered as “doublets” with the MEK inhibitors trametinib, cobimetinib, and binimetinib, respectively, to promote “shutdown” of RAF/MEK signaling at more than pathway member. Cutaneous adverse events including generally indolent cutaneous second neoplasms, and thromboembolic, cardiac, and ocular toxicity can occur. Multikinase Inhibitors Agents in this class also target specific macromolecules promoting the viability of tumor cells. They are “small-molecule” ATP site-directed antagonists that inhibit more than 573 one protein kinase and may have value in the treatment of several solid tumors. Drugs of this type with prominent activity against the VEGFR tyrosine kinase have activity in renal cell carcinoma. Sorafenib is a VEGFR antagonist also with activity against the RAF serine-threonine protein kinase, and regorafenib is a closely related drug with value in relapsed advanced colon cancer. Pazopanib also prominently targets VEGFR and has activity in renal carcinoma and soft tissue sarcomas. Sunitinib has anti-VEGFR, anti-PDGFR, and anti-KIT activity. It causes prominent responses and stabilization of disease in renal cell cancers and GISTs. Side effects for agents with anti-VEGFR activity, similar to those of the anti-VEGF antibody bevacizumab, prominently include hypertension, proteinuria, and, more rarely, bleeding and clot ting disorders, perforation of scarred gastrointestinal lesions, and pos terior leukoencephalopathy, probably reflecting CNS vascular damage. Also encountered are fatigue, diarrhea, and hand-foot syndrome, with erythema and desquamation of the distal extremities, in some cases requiring dose modification, particularly with sorafenib. Other agents in this class include agents such as brigatinib (clinical activity in ALK-dependent NSCLC, but also with anti-EGFR action), entrectinib (clinical activity in NTRK fusion protein diseases, but also in ROS-mutated NSCLC), and fedratinib (clinical activity in myelo proliferative neoplasms, but with RET activity in addition to JAK2 and FLT3 antagonism). Agents with anti-RET activity are useful in certain differentiated thyroid cancers and RET-fusion NSCLC. Cyclin-Dependent Kinase Inhibitors Cyclin-dependent kinases (CDKs) are activated as the result of oncogene pathway activ ity, and CDK4 and CDK6 phosphorylate the retinoblastoma (RB) tumor-suppressor gene to allow entry into S-phase. Palbociclib, abe maciclib, and ribociclib, selective inhibitors of CDK4 and CDK6, have noteworthy activity in advanced breast cancers also expressing the ER, usually in conjunction with continued efforts to suppress ER signaling, and frequently in conjunction with mammalian target of rapamycin (mTOR) inhibitors. </w:t>
      </w:r>
      <w:r w:rsidR="00A6019F" w:rsidRPr="00A6019F">
        <w:lastRenderedPageBreak/>
        <w:t xml:space="preserve">Further clinical investigations in other RB intact tumors may broaden their role. Protein Homeostasis Modulators The proteasome is a mac romolecular complex that degrades misfolded proteins tagged for removal by ubiquitin ligases. Proteasome inhibitors were originally designed as potential anti-inflammatory agents owing to proteasome activity to produce inflammatory cytokines but had unexpected anti proliferative activity in a variety of cell types. Proteasome inhibitors have clinical utility in myeloma and lymphoma, where unbalanced synthesis of immunoglobulin components can accumulate after pro teasome inhibitor treatment and induce apoptosis or starve cells for amino acids, inducing autophagy. Boronic acid proteasome inhibi tors, including bortezomib and ixazomib, cause thrombocytopenia, gastrointestinal dysfunction, and neuropathy. Carfilzomib is a distinct chemotype with attenuated neuropathy but increased incidence of infusion reactions and cytokine release, with attendant risk of cardio pulmonary adverse events. Exportin 1 is a nuclear membrane transport protein that is responsi ble for normal exit and entry of a variety of nuclear proteins. Selinexor is an inhibitor of exportin action, resulting in abnormal nuclear accu mulation of, for example, tumor-suppressor gene products or needed export of other products, such as oncogene products. Useful clinical activity has been seen in myeloma and diffuse large B-cell lymphomas including those arising from previously treated indolent lymphomas. Cytopenias, gastrointestinal distress, and hyponatremia are features of its clinical use. Chromatin-Modifying Agents Gene function is altered not only by mutation of DNA structure but also by “epigenetic” mechanisms that alter the capacity of DNA to be transcribed or interact with regu latory proteins in the nucleus including transcription factors. Initial epigenetic approaches to modulate gene expression extended from the observation that 5′azacytidine and decitabine are misincorporated into DNA and then scavenge DNA methyl transferase to disable DNA methylation of cytosine near gene promoter regions and thus alter their transcription. This “hypomethylation” causes differentiation of AML cells with notably less host toxicity than higher concentrations of these agents or indeed cytosine arabinoside, which does not have prominent hypomethylation activity. Histone deacetylase inhibitors alter the histone protein “packing” density of chromatin and induce global changes in expression of cell cycle regulatory proteins. Vorinostat, belinostat, and romidepsin are useful in cutaneous and peripheral T-cell lymphomas; panobinostat has activity in multiple myeloma. The agents are generally well toler ated but with the potential for cytopenias. The histone methyltrans ferase inhibitor tazemetostat is a first-in-class inhibitor of histone methyltransferase with unique activity in epithelioid sarcoma owing to its modulation of transcriptional mechanisms unique to that tumor and, recently, in certain follicular lymphomas. Transcription Factor Modulation Distinct from hormone receptor agonists and antagonists, which as previously described mod ulate transcription factor activity by affecting the binding of endog enously produced ligands, such as androgens and estrogens, tretinoin (all-trans-retinoic acid) binds to the fusion protein PML-RARα pro duced as a result of the t(15,17) chromosomal translocation that under lies the </w:t>
      </w:r>
      <w:r w:rsidR="00A6019F" w:rsidRPr="00A6019F">
        <w:lastRenderedPageBreak/>
        <w:t xml:space="preserve">pathogenesis of most cases of acute promyelocytic leukemia (APL). PML-RARα functions as transcriptional co-repressor of normal granulocyte maturation; inhibiting the repressor leads to clinical value in the curative treatment of APL. Adverse events include typical symp toms of hypervitaminosis A, including skin dryness, cheilitis, increased intracranial pressure, and the development of a “leukemia differentia tion syndrome” marked by fever and lung and other organ infiltration by newly differentiated leukocytes, which usually responds to gluco corticoids and hydroxyurea but can be life-threatening. Significantly, the coagulopathy of APL is attenuated. Arsenic trioxide nonspecifically affects PML-RARα and other targets by a redox mechanism, contrib uting to APL treatment with tretinoin regimens, but with a narrow therapeutic index particularly related to increase of the QT interval, which must be monitored during treatment, while also being carefully attentive to K+, Mg2+, ionized Ca2+, and other drugs that can alter QT. Belzutifan is a novel agent that antagonizes directly the action of hypoxia-inducible factor 2 (HIF2) α, activated in von Hippel-Lindau (VHL) disease–related neoplasms and many sporadic clear cell renal carcinomas through loss of the VHL ubiquitin ligase tumor-suppressor gene. It is safe, but anemia and hypoxemia may occur. The sonic hedgehog factor pathway is regulated by the WNT ligands acting on smoothened receptors, named in reference to Drosophila mutants in which the pathway was originally revealed. In humans, the pathway acts during embryonic and fetal life and in certain neoplasms, and mediates effects on transcription through Gli proteins. Hedgehog pathway inhibitors sonidegib and vismodegib are useful in nonsurgi cally treatable cutaneous basal cell carcinomas, and glasdegib is active in certain AMLs where the pathway is active (see Table 78-7). The notch pathway was likewise first noted in Drosophila and acts in metazoans to signal cell position and motion. Notch receptors respond to their ligands by undergoing endocytosis and processing by a γ-secretase, followed by translocation to the nucleus, and function as specific gene transcription factors. The notch pathway has long been known to be active in hematopoietic tumors, but observation has shown confirmed activity in desmoid tumors, inflammatory mesenchymal tumors with poor evidence of control by conventional cytotoxic agents, by nirogace stat, the first γ-secretase inhibitor to enter clinical practice. CHAPTER 78 Principles of Cancer Treatment Cancer Cell Metabolism Modulators Oncogenic transforma tion causes a “rewiring” of cellular metabolism away from oxidative phosphorylation to glycolysis (historically defined as the “Warburg effect” of aerobic glycolysis in animal and human tumors) with atten dant tolerance of hypoxia and production of metabolites important for sustaining cell proliferation. Recent clinical studies have defined clinical value from inhibitors of the cell lipid membrane localized phos phoinositide-3 (PI3) kinase, mTOR, and extra-mitochondrial isocitrate dehydrogenase isoforms 1 and 2. mTOR is a kinase whose inhibition was originally discovered as the basis for activity by the immunosuppressant rapamycin, isolated from a soil bacterium (originally obtained from Rapa Nui), which had 574 evidence of antitumor activity in animals as well as decreased T-cell proliferation. Sirolimus as a </w:t>
      </w:r>
      <w:r w:rsidR="00A6019F" w:rsidRPr="00A6019F">
        <w:lastRenderedPageBreak/>
        <w:t>protein-bound formulation is used for certain soft tissue tumors. Temsirolimus and everolimus are mTOR inhibitors with activity in renal cancers. They produce stomatitis and fatigue; some hyperlipidemia (10%) and myelosuppression (10%); and rare lung toxicity and immunosuppression in regimens used clinically. Everolimus is also useful in patients with hormone receptor–positive breast cancers displaying resistance to hormonal inhibition and in certain neuroendocrine and brain tumors, the latter arising in patients with sporadic or inherited mutations in the pathway activating mTOR. PI3 kinase is activated by numerous oncogenic tyrosine kinases to ultimately cause a cascade of metabolic alterations including increased glucose uptake and activation of mTOR isoforms, which selectively increase translation efficiency of key regulators of cell cycle progression and protein synthetic capacity. PART 4 Oncology and Hematology Isoform-specific PI3 kinase inhibitors are of increasing importance in breast cancers with mutated PI3Kα (alpelisib; hyperglycemia and cutaneous eruptions can occur) or owing to selective use of PI3Kδ by lymphoid tissues in lymphomas (idelalisib, copanlisib, and duvelisib). Isocitrate dehydrogenase (IDH) inhibitors (ivosidenib specific for IDH1 and enasidenib specific for IDH2) have activity in tumors with IDH mutants (AML, cholangiocarcinomas) that generate the “onco metabolite” 2-hydroxyglutarate, which alters DNA and histone meth yltransferase activity. The drugs thus function indirectly as epigenetic chromatin modulating agents through effects on cellular metabolism. Vorasidenib, an IDH1/2 inhibitor with very favorable distribution across the blood-brain barrier, is in very advanced stages of develop ment for certain brain tumors with IDH mutations. DNA Repair Pathway Modulators DNA repair systems act physiologically to lessen the impact of environmental genomic damag ing agents and influence the susceptibility to certain chemotherapy agents. DNA repair enzyme mutations underlie inherited cancer sus ceptibility syndromes such as mutated BRCA tumor-suppressor gene associated breast and ovarian cancers, among others. Laboratory investigations revealed that poly-ADP ribose poly merase (PARP) acts as a synthetic lethal gene with mutations in the homologous recombination repair pathway, including the BRCA gene. PARP responds to detection of DNA lesions by creating chains of poly-ADP, which serve as scaffolds for the localization of DNA repair proteins still active even with mutated BRCA isoforms. However, with out PARP activity, the scaffolds cannot form, and the DNA damage becomes lethal. This observation immediately suggested the potential utility of PARP inhibitors (e.g., olaparib) as treatments potentially useful for BRCA-induced tumors. Recently, PARP inhibitor utility has been extended to tumors that do not harbor BRCA mutations but have given evidence of responding to platinum drugs, as a way of extending the useful effect of the chemotherapy treatment. This finding under scores the likelihood that sensitivity to DNA-directed cytotoxic drugs on the part of a tumor is at least in part related to the drugs’ ability to take advantage of a sensitizing effect of a tumor’s endogenous DNA repair capacity. Miscellaneous Targeted Therapies High-affinity binding to receptors on tumor cells can target toxic agents besides drugs to tumor cells, exemplified by the IL-</w:t>
      </w:r>
      <w:r w:rsidR="00A6019F" w:rsidRPr="00A6019F">
        <w:lastRenderedPageBreak/>
        <w:t>3–diphtheria toxin fusion protein tagraxofusp-erzs, targeting the IL-3 receptor (CD123) and useful in blastic plasmacytoid dendritic cell neoplasms (Table 78-7). Capillary leak syndrome induced due to adventitious “off-target” delivery of the toxin component requires careful monitoring of fluid balance to avoid pulmonary dysfunction in particular. The somatostatin receptor conjugated to a chelate of 177-lutetium can deliver targeted radiation to gastroenterohepatic endocrine neoplasms expressing that receptor. Acutely, release of vasoactive and locally acting hormonal components from dying tumor cells and myelosuppression can occur. Renal dam age and the risk of second hematopoietic tumors can complicate con tinuing use of the agent. Likewise, 177-lutetium can be delivered via conjugation to a ligand of prostate-specific membrane antigen (PSMA) in the treatment of hormone-resistant prostate cancer. Ziv-aflibercept is not an antibody, but a solubilized VEGF receptor VEGF binding domain, and therefore may have a distinct mechanism of action from bevacizumab but with similar side effects. RESISTANCE TO CANCER TREATMENTS Resistance mechanisms to the conventional cytotoxic agents were initially characterized in the late twentieth century as defects in drug uptake, metabolism, or export by tumor cells. The multidrug resistance (MDR) gene, encoding P-glycoprotein (Pgp), is prototypic of trans port proteins that efficiently excrete many drugs from tumor cells; no clinically useful modulator of this process has yet emerged. Drug- metabolizing enzymes such as cytidine deaminase are upregulated in resistant tumor cells, and this is the basis for so-called “high-dose cytarabine” regimens in the treatment of leukemia. Another resistance mechanism defined during this era involved increased expression of a drug’s target, exemplified by amplification of the dihydrofolate reduc tase gene, in patients who had lost responsiveness to methotrexate, or mutation of topoisomerase II in tumors that relapsed after topoisom erase II modulator treatment. A second class of resistance mechanisms involves loss of the cellular apoptotic mechanism activated after the engagement of a drug’s target by the drug. This occurs in a way that is heavily influenced by the biol ogy of the particular tumor type. For example, decreased alkylguanine alkyltransferase expression defines a subset of glioblastoma patients with the prospect of enhanced benefit from treatment with temozolo mide but has no value in predicting benefit from temozolomide in epithelial neoplasms. Likewise, ovarian cancers resistant to platinating agents have decreased expression of the proapoptotic gene BAX. A related class of resistance mechanisms emerged from sequencing of the targets of agents directed at oncogenic kinases, revealing mutated targets, as described previously (e.g., p210bcr-ablT315I). This reflects the phenomenon of tumor heterogeneity with distinct populations of sub clones that arise in a tumor during the process of carcinogenesis. These subclones share to variable degrees mutations that may promote the growth of some subclones but that are absent or are no longer relevant to the growth of other subclones. This general mechanism of resis tance is emerging as a basis for limited value of clinical responses to sotorasib, where sequencing of tumor DNA after clinical resistance has documented “treatment-</w:t>
      </w:r>
      <w:r w:rsidR="00A6019F" w:rsidRPr="00A6019F">
        <w:lastRenderedPageBreak/>
        <w:t xml:space="preserve">emergent” mutations in KRAS itself as well as alterations in other proto-oncogenes and their targets. Really useful targeted therapies address a “driver mutation” present in all subclones. Finally, other mechanisms of resistance to targeted agents include the upregulation of alternate means of activating the pathway targeted by the agent. Thus, melanomas initially responsive to BRAF V600E antagonists such as vemurafenib may reactivate RAF signaling by employing variant isoforms that can bypass the drug. Likewise, inhibi tion of HER2/neu signaling in breast cancer cells can lead to the emer gence of variants with distinct ways of activating downstream effectors such as PI3 kinase. Mechanisms of resistance to immune checkpoint inhibitors such as nivolumab and ipilimumab have not been well defined, but initial characterization of tumors resistant to these agents demonstrates alterations in antigen presentation pathways, concordant with the basis for checkpoint inhibitor action. SUPPORTIVE CARE DURING CANCER TREATMENT </w:t>
      </w:r>
      <w:r w:rsidR="00A6019F" w:rsidRPr="00A6019F">
        <w:rPr>
          <w:rFonts w:ascii="Arial" w:hAnsi="Arial" w:cs="Arial"/>
        </w:rPr>
        <w:t>■</w:t>
      </w:r>
      <w:r w:rsidR="00A6019F" w:rsidRPr="00A6019F">
        <w:t>MYELOSUPPRESSION Most cytotoxic chemotherapeutic agents affect bone marrow function. Polymorphonuclear leukocytes (PMNs; t1/2 = 6</w:t>
      </w:r>
      <w:r w:rsidR="00A6019F" w:rsidRPr="00A6019F">
        <w:rPr>
          <w:rFonts w:ascii="Aptos" w:hAnsi="Aptos" w:cs="Aptos"/>
        </w:rPr>
        <w:t>–</w:t>
      </w:r>
      <w:r w:rsidR="00A6019F" w:rsidRPr="00A6019F">
        <w:t xml:space="preserve">8 h), platelets (t1/2 = 5–7 days), and red blood cells (RBCs; t1/2 = 120 days) have most, less, and least susceptibility, respectively, to usually administered cytotoxic agents. Maximal neutropenia occurs 6–14 days after conventional doses of anthracyclines, antifolates, and antimetabolites. Alkylating agents differ from each other in the timing of cytopenias. Nitrosoureas, DTIC, temozolomide, and procarbazine can display delayed marrow toxicity, first appearing 6 weeks after dosing. Complications of myelosuppression relate to the missing cells’ func tion. Febrile neutropenia refers to the clinical presentation of fever TABLE 78-8 Indications for the Clinical Use of G-CSF or GM-CSF 575 Preventive Uses With the first cycle of chemotherapy (so-called primary CSF administration) Not needed on a routine basis Use if the probability of febrile neutropenia is ≥20% Use if patient has preexisting neutropenia or active infection Age &gt;65 years treated for lymphoma with curative intent or other tumors treated by similar regimens Poor performance status Extensive prior chemotherapy Dose-dense regimens in a clinical trial or with strong evidence of benefit With subsequent cycles if febrile neutropenia has previously occurred (so-called secondary CSF administration) Not needed after short-duration neutropenia without fever Use if patient had febrile neutropenia in previous cycle Use if prolonged neutropenia (even without fever) delays therapy Therapeutic Uses Afebrile neutropenic patients No evidence of benefit Febrile neutropenic patients No evidence of benefit May feel compelled to use in the face of clinical deterioration from sepsis, pneumonia, or fungal infection, but benefit unclear In bone marrow or peripheral blood stem cell transplantation Use to mobilize stem cells from marrow Use to hasten myeloid recovery In acute myeloid leukemia G-CSF of minor or no benefit GM-CSF of no benefit and may be harmful In myelodysplastic syndromes Not routinely beneficial Use intermittently in subset with neutropenia and recurrent infection What Dose and Schedule Should Be Used? G-CSF: 5 mg/kg per day subcutaneously GM-CSF: 250 mg/m2 per day subcutaneously Pegfilgrastim: one dose of 6 mg 24 h after chemotherapy When Should Therapy Begin and End? When indicated, </w:t>
      </w:r>
      <w:r w:rsidR="00A6019F" w:rsidRPr="00A6019F">
        <w:lastRenderedPageBreak/>
        <w:t xml:space="preserve">start 24–72 h after chemotherapy Continue until absolute neutrophil count is 10,000/μL Do not use concurrently with chemotherapy or radiation therapy Abbreviations: CSF, colony-stimulating factor; G-CSF, granulocyte colony-stimulating factor; GM-CSF, granulocyte-macrophage colony-stimulating factor. Source: From the American Society of Clinical Oncology: J Clin Oncol 24:3187, 2006. and 90 g/L (9 g/dL). Randomized trials in certain tumors have raised the possibility that erythropoietin (EPO) use may promote tumor cell survival. </w:t>
      </w:r>
      <w:r w:rsidR="00A6019F" w:rsidRPr="00A6019F">
        <w:rPr>
          <w:rFonts w:ascii="Arial" w:hAnsi="Arial" w:cs="Arial"/>
        </w:rPr>
        <w:t>■</w:t>
      </w:r>
      <w:r w:rsidR="00A6019F" w:rsidRPr="00A6019F">
        <w:t xml:space="preserve">NAUSEA AND VOMITING The most common side effect of chemotherapy administration is nausea, with or without vomiting. Nausea may be acute (within 24 h of chemotherapy), delayed (&gt;24 h), or anticipatory of the receipt of chemotherapy. Highly emetogenic drugs (risk of emesis &gt;90%) include DTIC, cyclophosphamide at &gt;1500 mg/m2, and cisplatin; moderately emetogenic drugs (30–90% risk) include carboplatin, cytosine arabi noside (&gt;1 g/m2), ifosfamide, conventional-dose cyclophosphamide, and anthracyclines; low-risk (10–30%) agents include 5-FU, taxanes, etoposide, and bortezomib, with minimal risk (12–14 cm is considered a surgical emergency because of the high likelihood of rupture. CT scan is useful in defining the extent of disease and the exact nature of the obstruction and dif ferentiating benign from malignant causes of obstruction in patients who have undergone surgery for malignancy. Malignant obstruction is suggested by a mass at the site of obstruction or prior surgery, adenopa thy, or an abrupt transition zone and irregular bowel thickening at the obstruction site. Benign obstruction is more likely when CT shows mesenteric vascular changes, a large volume of ascites, or a smooth transition zone and smooth bowel thickening at the obstruction site. In challenging patients with obstructive symptoms, particularly low grade small-bowel obstruction (SBO), CT enteroclysis often can help establish the diagnosis by providing distention of small-bowel loops. In this technique, water-soluble contrast is infused through a naso enteric tube into the duodenum or proximal small bowel followed by CT images. The prognosis for the patient with cancer who develops intestinal obstruction is poor; median survival is 3–4 months. About 25–30% of patients are found to have intestinal obstruction due to causes other than cancer. Adhesions from previous operations are a common benign cause. Ileus induced by vinca alkaloids, narcotics, or other drugs is another reversible cause. CHAPTER 80 Oncologic Emergencies TREATMENT Intestinal Obstruction The management of intestinal obstruction in patients with advanced malignancy depends on the extent of the underlying malignancy, options for further antineoplastic therapy, estimated life expectancy, the functional status of the major organs, and the extent of the obstruction. The initial management should include surgical evaluation. Operation is not always successful and may lead to further complications with a substantial mortality rate (10–20%). Laparoscopy can diagnose and treat malignant bowel obstruction in some cases. Self-expanding metal stents placed in the gastric outlet, duodenum, proximal jejunum, colon, or rectum may palliate obstructive symptoms at those sites without major sur gery. Patients known to have advanced intraabdominal malignancy should receive a prolonged course of </w:t>
      </w:r>
      <w:r w:rsidR="00A6019F" w:rsidRPr="00A6019F">
        <w:lastRenderedPageBreak/>
        <w:t xml:space="preserve">conservative management, including nasogastric decompression. Percutaneous endoscopic or surgical gastrostomy tube placement is an option for palliation of nausea and vomiting, the so-called “venting gastrostomy.” Treat ment with antiemetics, antispasmodics, and analgesics may allow patients to remain outside the hospital. Octreotide may relieve obstructive symptoms through its inhibitory effect on gastrointes tinal secretion. Glucocorticoids have anti-inflammatory effects and may help the resolution of bowel obstruction. </w:t>
      </w:r>
      <w:r w:rsidR="00A6019F" w:rsidRPr="00A6019F">
        <w:rPr>
          <w:rFonts w:ascii="Arial" w:hAnsi="Arial" w:cs="Arial"/>
        </w:rPr>
        <w:t>■</w:t>
      </w:r>
      <w:r w:rsidR="00A6019F" w:rsidRPr="00A6019F">
        <w:t xml:space="preserve">URINARY OBSTRUCTION </w:t>
      </w:r>
      <w:r w:rsidR="00A6019F" w:rsidRPr="00A6019F">
        <w:rPr>
          <w:rFonts w:ascii="Arial" w:hAnsi="Arial" w:cs="Arial"/>
        </w:rPr>
        <w:t>■</w:t>
      </w:r>
      <w:r w:rsidR="00A6019F" w:rsidRPr="00A6019F">
        <w:t xml:space="preserve">SPINAL CORD COMPRESSION 588 Urinary obstruction may occur in patients with prostatic or gyneco logic malignancies, particularly cervical carcinoma; metastatic disease from other primary sites such as carcinomas of the breast, stomach, lung, colon, and pancreas; or lymphomas. Radiation therapy to pelvic tumors may cause fibrosis and subsequent ureteral obstruction. Blad der outlet obstruction is usually due to prostate and cervical cancers and may lead to bilateral hydronephrosis and renal failure. Flank pain is the most common symptom. Persistent urinary tract infection, persistent proteinuria, or hematuria in patients with cancer should raise suspicion of ureteral obstruction. Total anuria and/or anuria alternating with polyuria may occur. A slow, continuous rise in the serum creatinine level necessitates immediate evaluation. Renal ultrasound is the safest and cheapest way to identify hydronephrosis. The function of an obstructed kidney can be evaluated by a nuclear scan. CT scan can reveal the point of obstruction and identify a retro peritoneal mass or adenopathy. TREATMENT Urinary Obstruction PART 4 Oncology and Hematology Obstruction associated with flank pain, sepsis, or fistula formation is an indication for immediate palliative urinary diversion. Internal ureteral stents can be placed under local anesthesia. Percutane ous nephrostomy offers an alternative approach for drainage. The placement of a nephrostomy is associated with a significant rate of pyelonephritis. In the case of bladder outlet obstruction due to malignancy, a suprapubic cystostomy can be used for urinary drainage. An aggressive intervention with invasive approaches to improve the obstruction should be weighed against the likelihood of antitumor response, and the ability to reverse renal insufficiency should be evaluated. </w:t>
      </w:r>
      <w:r w:rsidR="00A6019F" w:rsidRPr="00A6019F">
        <w:rPr>
          <w:rFonts w:ascii="Arial" w:hAnsi="Arial" w:cs="Arial"/>
        </w:rPr>
        <w:t>■</w:t>
      </w:r>
      <w:r w:rsidR="00A6019F" w:rsidRPr="00A6019F">
        <w:t xml:space="preserve">MALIGNANT BILIARY OBSTRUCTION This common clinical problem can be caused by a primary carcinoma arising in the pancreas, ampulla of Vater, bile duct, or liver or by metastatic disease to the periductal lymph nodes or liver parenchyma. The most common metastatic tumors causing biliary obstruction are gastric, colon, breast, and lung cancers. Jaundice, light-colored stools, dark urine, pruritus, and weight loss due to malabsorption are usual symptoms. Pain and secondary infection are uncommon in malig nant biliary obstruction. Ultrasound, CT scan, magnetic resonance cholangiopancreatography (MRCP), or percutaneous transhepatic or endoscopic retrograde cholangiopancreatography (ERCP) will identify the site and nature of the biliary obstruction. TREATMENT Malignant Biliary Obstruction Palliative intervention is indicated only in patients with disabling pruritus resistant to medical treatment, severe malabsorption, or infection. Stenting under radiographic control, surgical bypass, or </w:t>
      </w:r>
      <w:r w:rsidR="00A6019F" w:rsidRPr="00A6019F">
        <w:lastRenderedPageBreak/>
        <w:t xml:space="preserve">radiation therapy with or without chemotherapy may alleviate the obstruction. The choice of therapy should be based on the site of obstruction (proximal vs distal), the type of tumor (sensitive to radiotherapy, chemotherapy, or neither), and the general condition of the patient. Stenting under radiographic or endoscopic control, surgical bypass, or radiation therapy with or without chemotherapy may alleviate the obstruction. Photodynamic therapy and radiofre quency ablation are promising endoscopic therapies for malignant biliary obstruction. Endoscopic ultrasonography-guided biliary drainage is a safe and effective method of biliary drainage in patients with malignant biliary obstruction, particularly in patients whom standard ERCP failed. Malignant spinal cord compression (MSCC) is defined as compression of the spinal cord and/or cauda equina by an extradural tumor mass. The minimum radiologic evidence for cord compression is indentation of the theca at the level of clinical features. Spinal cord compression (SCC) occurs in 5–10% of patients with cancer. Epidural tumor is the first manifestation of malignancy in ~10% of patients. The underlying cancer is usually identified during the initial evaluation; lung cancer is the most common cause of MSCC. Metastatic tumor involves the vertebral column more often than any other part of the bony skeleton. Lung, breast, and prostate can cers are the most frequent offenders. Multiple myeloma also has a high incidence of spine involvement. Lymphomas, melanoma, renal cell cancer, and genitourinary cancers also cause cord compression. The thoracic spine is the most common site (70%), followed by the lumbosacral spine (20%) and the cervical spine (10%). Involvement of multiple sites is most frequent in patients with breast and prostate car cinoma. Cord injury develops when metastases to the vertebral body or pedicle enlarge and compress the underlying dura. Another cause of cord compression is direct extension of a paravertebral lesion through the intervertebral foramen. These cases usually involve a lymphoma, myeloma, or pediatric neoplasm. Parenchymal spinal cord metastasis due to hematogenous spread is rare. Intramedullary metastases can be seen in lung cancer, breast cancer, renal cancer, melanoma, and lymphoma, and are frequently associated with brain metastases and leptomeningeal disease. Expanding extradural tumors induce injury through several mecha nisms. Expanding extradural tumors induce mechanical injury to axons and myelin. Compression compromises blood flow, leading to ischemia and/or infarction. The most common initial symptom in patients with SCC is localized back pain and tenderness due to involvement of vertebrae by tumor. Pain is usually present for days or months before other neurologic find ings appear. It is exacerbated by movement and by coughing or sneez ing. It can be differentiated from the pain of disk disease by the fact that it worsens when the patient is supine. Radicular pain is less common than localized back pain and usually develops later. Radicular pain in the cervical or lumbosacral areas may be unilateral or bilateral. Radicu lar pain from the thoracic roots is often bilateral and is described by patients as a feeling of tight, band-like constriction around the thorax and abdomen. Typical cervical radicular pain radiates down the arm; in the lumbar region, the radiation is down the legs. Lhermitte’s </w:t>
      </w:r>
      <w:r w:rsidR="00A6019F" w:rsidRPr="00A6019F">
        <w:lastRenderedPageBreak/>
        <w:t xml:space="preserve">sign, a tingling or electric sensation down the back and upper and lower limbs upon flexing or extending the neck, may be an early sign of cord compression. Loss of bowel or bladder control may be the presenting symptom but usually occurs late in the course. Occasionally, patients present with ataxia of gait without motor and sensory involvement due to involvement of the spinocerebellar tract. On physical examination, pain induced by straight leg raising, neck flexion, or vertebral percussion may help to determine the level of cord compression. Patients develop numbness and paresthesias in the extremities or trunk. Loss of sensibility to pinprick is as common as loss of sensibility to vibration or position. The upper limit of the zone of sensory loss is often one or two vertebrae below the site of compression. Motor findings include weakness, spasticity, and abnor mal muscle stretching. An extensor plantar reflex reflects significant compression. Deep tendon reflexes may be brisk. Motor and sensory loss usually precedes sphincter disturbance. Patients with autonomic dysfunction may present with decreased anal tonus, decreased perineal sensibility, and a distended bladder. The absence of the anal wink reflex or the bulbocavernosus reflex confirms cord involvement. Autonomic dysfunction is an unfavorable prognostic factor. Patients with progres sive neurologic symptoms should have frequent neurologic examina tions and rapid therapeutic intervention. Other illnesses that may mimic cord compression include osteoporotic vertebral collapse, disk disease, pyogenic abscess or vertebral tuberculosis, radiation myelopa thy, neoplastic leptomeningitis, benign tumors, epidural hematoma, and spinal lipomatosis. Back pain 589 Neurologic exam Normal Plain spine x-ray Normal Symptomatic therapy Pain crescendo pattern Lhermitte’s sign Pain aggravated with cough, Valsalva, and recumbency If symptoms persists or progress Abnormal Suspicious for myelopathy High-dose dexamethasone MRI of spine Epidural metastases Surgery followed by radiation therapy or radiation therapy alone No metastases Symptomatic therapy Bone metastases but no epidural metastases Symptomatic therapy ± radiation therapy FIGURE 80-2 Management of cancer patients with back pain.   Cauda equina syndrome is characterized by low back pain; dimin ished sensation over the buttocks, posterior-superior thighs, and perineal area in a saddle distribution; rectal and bladder dysfunc tion; sexual impotence; absent bulbocavernous, patellar, and Achil les’ reflexes; and variable amount of lower-extremity weakness. This reflects compression of nerve roots as they form the cauda equina after leaving the spinal cord. The majority of cauda equina tumors are primary tumors of glial or nerve sheath origin; metastases are very rare. Patients with cancer who develop back pain should be evaluated for SCC as quickly as possible (Fig. 80-2). Treatment is more often successful in patients who are ambulatory and still have sphincter control at the time treatment is initiated. Patients should have a neuro logic examination and plain films of the spine. Those whose physical examination suggests cord compression should receive dexamethasone starting immediately and undergo MRI imaging. Erosion of the pedicles (the “winking owl” sign) is the earliest radiologic finding of vertebral tumor in plain films; however, plain films are insensitive. Other </w:t>
      </w:r>
      <w:r w:rsidR="00A6019F" w:rsidRPr="00A6019F">
        <w:lastRenderedPageBreak/>
        <w:t xml:space="preserve">radiographic changes include increased intrapedicular distance, vertebral destruction, lytic or sclerotic lesions, scalloped vertebral bodies, and vertebral body collapse. Vertebral collapse is not a reliable indicator of the presence of tumor; ~20% of cases of vertebral collapse, particularly those in older patients and postmenopausal women, are due not to cancer but to osteoporosis. Also, a normal appearance on plain films of the spine does not exclude the diagnosis of cancer. The role of bone scans in the detection of cord compression is not clear; this method is sensitive but less specific than spinal radiography. patients with cord compression, and their presence influences treat ment plans. On T1-weighted images, good contrast is noted between the cord, cerebrospinal fluid (CSF), and extradural lesions. Owing to its sensitivity in demonstrating the replacement of bone marrow by tumor, MRI can show which parts of a vertebra are involved by tumor. MRI also visualizes intraspinal extradural masses compressing the cord. T2-weighted images are most useful for the demonstration of intra medullary pathology. Gadolinium-enhanced MRI can help to delineate intramedullary disease. MRI is as good as or better than myelography plus postmyelogram CT scan in detecting metastatic epidural disease with cord compression. Myelography should be reserved for patients who have poor MRIs or who cannot undergo MRI promptly. CT scan in conjunction with myelography enhances the detection of small areas of spinal destruction. In patients with cord compression and an unknown primary tumor, a simple workup including chest radiography, mammography, measurement of prostate-specific antigen, and abdominal CT usually reveals the underlying malignancy. TREATMENT CHAPTER 80 Oncologic Emergencies Spinal Cord Compression The treatment of patients with SCC is aimed at relief of pain and restoration/preservation of neurologic function (Fig. 80-2). Man agement of MSCC requires a multidisciplinary approach. The full-length image of the cord provided by MRI is the imaging procedure of choice. Multiple epidural metastases are noted in 25% of Radiation therapy plus glucocorticoids is generally the initial treatment of choice for most patients with SCC. The management decision of SCC involves assessment of neurologic (N), onco logic (O), mechanical (M), and systemic factors (S). NOMS was 590 TREATMENT Increased Intracranial Pressure PART 4 Oncology and Hematology Dexamethasone is the best initial treatment for all symptomatic patients with brain metastases. The current success of immuno therapy approaches for primary and metastatic brain tumors may preclude or limit glucocorticoid use since it may decrease antitumor response. Bevacizumab should be considered in patients who are unable to wean completely off of steroids as well as those who have symptomatic brain edema and are on immunotherapy. Patients with a single brain metastasis and with controlled extracranial disease may be treated with surgical excision followed by SRS to the resec tion cavity. SRS is recommended in patients with a limited number of brain metastases (one to four) who have stable, systemic disease or reasonable systemic treatment options and in patients who have a small number of metastatic lesions in whom whole-brain radia tion therapy has failed. The treatment of a larger number of intra cranial metastases </w:t>
      </w:r>
      <w:r w:rsidR="00A6019F" w:rsidRPr="00A6019F">
        <w:lastRenderedPageBreak/>
        <w:t xml:space="preserve">remains controversial. More patients now receive SRS because of cognitive dysfunction associated with whole-brain radiation. Some patients with increased intracranial pressure asso ciated with hydrocephalus may benefit from shunt placement. If neurologic deterioration is not reversed with medical therapy, ventriculotomy to remove CSF or craniotomy to remove tumors or hematomas may be necessary. Targeted agents and checkpoint inhibitors have significant activ ity in brain metastases from non-small-cell lung cancer, breast cancer, renal cancer, and melanoma. developed by Memorial Sloan Kettering Cancer Center (MSKCC) researchers to provide an algorithm for management of SCC. The neurologic assessment is based on the degree of epidural SCC, myelopathy, and/or functional radiculopathy. Oncologic assess ment involves the radiosensitivity of the tumor type. In patients with radioresistant tumors, stereotactic body radiotherapy (SBRT) is the preferred approach if radiation is appropriate. Safe delivery of SBRT requires a 2- to 3-mm margin away from the spinal cord. Separation surgery followed by SBRT is necessary in patients with high-grade SCC due to radioresistant tumors. Separation surgery is the circumferential excision of epidural tumor to reconstitute the thecal sac and provide a 2-mm margin for safe delivery of an abla tive radiation dose. In patients with mechanical instability or retro pulsion of bone fragments into the spinal canal or cord, a surgical approach is the treatment of choice. Systemic factors that need to be considered are the extent of disease and medical comorbidities that determine the patient’s ability to tolerate planned therapy. Che motherapy may have a role in patients with chemosensitive tumors who have had prior radiotherapy to the same region and who are not candidates for surgery. Patients who previously received radio therapy for MSCC with an in-field tumor progression can be treated with reirradiation with spine stereotactic radiosurgery (SRS) if they are not surgical candidates. Patients with painful pathologic compression fractures without spinal instability may benefit from percutaneous vertebroplasty or kyphoplasty, the injection of acrylic cement into a collapsed vertebra to stabilize the fracture. Pain palliation is common, and local antitumor effects have been noted. Cement leakage may cause symptoms in ~10% of patients. Bisphosphonates and/or deno sumab may be helpful in prevention of SCC in patients with bony involvement. The histology of the tumor is an important determinant of both recovery and survival. Rapid onset and progression of signs and symptoms are poor prognostic features. </w:t>
      </w:r>
      <w:r w:rsidR="00A6019F" w:rsidRPr="00A6019F">
        <w:rPr>
          <w:rFonts w:ascii="Arial" w:hAnsi="Arial" w:cs="Arial"/>
        </w:rPr>
        <w:t>■</w:t>
      </w:r>
      <w:r w:rsidR="00A6019F" w:rsidRPr="00A6019F">
        <w:t xml:space="preserve">INCREASED INTRACRANIAL PRESSURE About 25% of patients with cancer die with intracranial metastases. The cancers that most often metastasize to the brain are lung and breast cancers and melanoma. Brain metastases often occur in the presence of systemic disease, and they frequently cause major symptoms, disability, and early death. The initial presentation of brain metastases from a previously unknown primary cancer is common. Lung cancer is most commonly the primary malignancy. CT scans of the chest/abdomen and MRI of the brain as the initial diagnostic studies can identify a biopsy site in most patients. The signs and symptoms of a metastatic brain tumor are similar to those of other intracranial expanding lesions: headache, nausea, vom iting, </w:t>
      </w:r>
      <w:r w:rsidR="00A6019F" w:rsidRPr="00A6019F">
        <w:lastRenderedPageBreak/>
        <w:t xml:space="preserve">behavioral changes, seizures, and focal, progressive neurologic changes. Occasionally the onset is abrupt, resembling a stroke, with the sudden appearance of headache, nausea, vomiting, and neurologic deficits. This picture is usually due to hemorrhage into the metastasis. Melanoma, germ cell tumors, and renal cell cancers have a particularly high incidence of intracranial bleeding. The tumor mass and surround ing edema may cause obstruction of the circulation of CSF, with result ing hydrocephalus. Patients with increased intracranial pressure may have papilledema with visual disturbances and neck stiffness. As the mass enlarges, brain tissue may be displaced through the fixed cranial openings, producing various herniation syndromes. MRI is superior to CT scan. Gadolinium-enhanced MRI is more sensitive than CT at revealing meningeal involvement and small lesions, particularly in the brainstem or cerebellum. The MRI of the brain shows brain metastases as multiple enhancing lesions of various sizes with surrounding areas of low-density edema. Intracranial hypertension (“pseudotumor cerebri”) secondary to tretinoin therapy for acute promyelocytic leukemia has been reported as another cause of intracranial pressure in the setting of a malignancy. </w:t>
      </w:r>
      <w:r w:rsidR="00A6019F" w:rsidRPr="00A6019F">
        <w:rPr>
          <w:rFonts w:ascii="Arial" w:hAnsi="Arial" w:cs="Arial"/>
        </w:rPr>
        <w:t>■</w:t>
      </w:r>
      <w:r w:rsidR="00A6019F" w:rsidRPr="00A6019F">
        <w:t xml:space="preserve">NEOPLASTIC MENINGITIS Tumor involving the leptomeninges is a complication of both primary central nervous system (CNS) tumors and tumors that metastasize to the CNS. The incidence is estimated at 3–8% of patients with cancer. Melanoma, breast and lung cancer, lymphoma (including AIDS-asso ciated), and acute leukemia are the most common causes. The lobular or triple-negative subtypes of breast cancer, as well as tumors with expression of the mutant epidermal growth factor receptor (EGFR) or the anaplastic lymphoma kinase (ALK) rearrangement in non-small cell lung cancer, are more likely to have CNS involvement including neoplastic meningitis and brain metastases. Synchronous intrapa renchymal brain metastases are frequent in patients with neoplastic meningitis. Leptomeningeal seeding is frequent in patients undergoing resection of brain metastases or receiving stereotactic radiotherapy for brain metastases. Patients typically present with multifocal neurologic signs and symptoms, including headache, gait abnormality, mental changes, nausea, vomiting, seizures, back or radicular pain, and limb weakness. Signs include cranial nerve palsies, extremity weakness, paresthesia, and decreased deep tendon reflexes. Diagnosis is made by demonstrating malignant cells in the CSF; however, up to 40% of patients may have false-negative CSF cytology. An elevated CSF protein level is nearly always present. Patients with neurologic signs and symptoms consistent with neoplastic meningitis who have a negative CSF cytology should have the spinal tap repeated at least one more time for cytologic examination. MRI findings suggestive of neoplastic meningitis include leptomeningeal, subependymal, dural, or cranial nerve enhancement; superficial cerebral lesions; intradural nodules; and communicating hydrocephalus. Spinal cord imaging by MRI is a necessary component of the evaluation of nonleukemia neo plastic meningitis because ~20% of patients have cord abnormalities, including intradural enhancing nodules that are diagnostic for lepto meningeal involvement. Cauda equina lesions are common, but lesions may be seen </w:t>
      </w:r>
      <w:r w:rsidR="00A6019F" w:rsidRPr="00A6019F">
        <w:lastRenderedPageBreak/>
        <w:t xml:space="preserve">anywhere in the spinal canal. Radiolabeled CSF flow stud ies are abnormal in up to 70% of patients with neoplastic meningitis; ventricular outlet obstruction, abnormal flow in the spinal canal, or impaired flow over the cerebral convexities may affect distribution of intrathecal chemotherapy, resulting in decreased efficacy or increased toxicity. Radiation therapy may correct CSF flow abnormalities before 591 use of intrathecal chemotherapy. Neoplastic meningitis can also lead to intracranial hypertension and hydrocephalus. Placement of a ventricu loperitoneal shunt may effectively palliate symptoms in these patients. The development of neoplastic meningitis usually occurs in the set ting of uncontrolled cancer outside the CNS; thus, prognosis is poor (median survival 10–12 weeks). However, treatment of the neoplastic meningitis may successfully alleviate symptoms and control the CNS spread. TREATMENT Neoplastic Meningitis Chemotherapy provided by either intrathecal injection or systemic routes is used to control leptomeningeal disease throughout the entire neuroaxis. Intrathecal chemotherapy, usually methotrexate, cytarabine, or thiotepa, is delivered by lumbar puncture or by an intraventricular reservoir (Ommaya). Among solid tumors, breast cancer responds best to therapy. Focal radiotherapy may have a role in bulky disease and in symptomatic or obstructive lesions. Targeted therapy such as systemically administered EGFR tyrosine kinase inhibitors (TKIs) in non-small-cell lung cancer may lead to improvement in some patients with leptomeningeal spread. Patients with neoplastic meningitis from either acute leukemia or lym phoma may be cured of their CNS disease if the systemic disease can be eliminated. </w:t>
      </w:r>
      <w:r w:rsidR="00A6019F" w:rsidRPr="00A6019F">
        <w:rPr>
          <w:rFonts w:ascii="Arial" w:hAnsi="Arial" w:cs="Arial"/>
        </w:rPr>
        <w:t>■</w:t>
      </w:r>
      <w:r w:rsidR="00A6019F" w:rsidRPr="00A6019F">
        <w:t xml:space="preserve">SEIZURES Seizures occurring in a patient with cancer can be caused by the tumor itself, by metabolic disturbances, by radiation injury, by cerebral infarctions, by chemotherapy-related encephalopathies, or by CNS infections. Metastatic disease to the CNS is the most common cause of seizures in patients with cancer. However, seizures occur more frequently in primary brain tumors than in metastatic brain lesions. Seizures are a presenting symptom of CNS metastasis in 6–29% of cases. Approximately 10% of patients with CNS metastasis eventually develop seizures. Tumors that affect the frontal, temporal, and parietal lobes are more commonly associated with seizures than are occipital lesions. Both early and late seizures are uncommon in patients with posterior fossa and sellar lesions. Seizures are common in patients with CNS metastases from melanoma and low-grade primary brain tumors. Very rarely, cytotoxic drugs such as etoposide, busulfan, ifosfamide, and chlorambucil cause seizures. Treatment with bispecific antibodies and chimeric antigen receptor (CAR) T cells may also cause CNS tox icity including seizures and encephalopathy. Another cause of seizures related to drug therapy is reversible posterior leukoencephalopathy syndrome (RPLS). Chemotherapy, targeted therapy, and immuno therapies have been associated with the development of RPLS. RPLS occurs in patients undergoing allogeneic bone marrow or solid-organ transplantation. RPLS is characterized by headache, altered conscious ness, generalized seizures, visual disturbances, hypertension, and sym metric posterior cerebral white matter vasogenic edema on CT/MRI. Seizures may begin focally but are typically generalized. TREATMENT </w:t>
      </w:r>
      <w:r w:rsidR="00A6019F" w:rsidRPr="00A6019F">
        <w:lastRenderedPageBreak/>
        <w:t xml:space="preserve">Seizures Patients in whom seizures due to CNS metastases have been demon strated should receive anticonvulsive treatment with levetiracetam, lacosamide, or lamotrigine. Prophylactic anticonvulsant therapy is not recommended. In postcraniotomy patients, prophylactic anti epileptic drugs should be withdrawn during the first 2 weeks after surgery. Most antiseizure medications including phenytoin induce cytochrome P450 (CYP450), which alters the metabolism of many antitumor agents, including irinotecan, taxanes, and etoposide, as well as molecular targeted agents, including imatinib, gefitinib, erlotinib, tipifarnib, sorafenib, sunitinib, temsirolimus, everolimus, and vemurafenib. Levetiracetam, lacosamide, and lamotrigine are anticonvulsant agents not metabolized by the hepatic CYP450 system and do not alter the metabolism of antitumor agents. Leve tiracetam has become the preferred drug. Surgical resection and other antitumor treatments such as radiotherapy and chemotherapy may improve seizure control. </w:t>
      </w:r>
      <w:r w:rsidR="00A6019F" w:rsidRPr="00A6019F">
        <w:rPr>
          <w:rFonts w:ascii="Arial" w:hAnsi="Arial" w:cs="Arial"/>
        </w:rPr>
        <w:t>■</w:t>
      </w:r>
      <w:r w:rsidR="00A6019F" w:rsidRPr="00A6019F">
        <w:t xml:space="preserve">PULMONARY AND INTRACEREBRAL LEUKOSTASIS Hyperleukocytosis and the leukostasis syndrome associated with it are potentially fatal complications of acute leukemia (particularly myeloid leukemia) that can occur when the peripheral blast cell count is &gt;100,000/mL. The frequency of hyperleukocytosis is 5–13% in acute myeloid leukemia (AML) and 10–30% in acute lymphoid leukemia; however, leukostasis is rare in lymphoid leukemia. In AML, hyperleu kocytosis is more commonly seen in myelomonocytic AML (Fab-M4 and M5), those with 11q13 abnormalities involving the MLL gene, and those with FLT3 mutations. At such high blast cell counts, blood viscosity is increased, blood flow is slowed by aggregates of tumor cells, and the primitive myeloid leukemic cells are capable of invading through the endothelium and causing hemorrhage. Brain and lung are most commonly affected. Patients with brain leukostasis may experi ence stupor, headache, dizziness, tinnitus, visual disturbances, ataxia, confusion, coma, or sudden death. On examination, papilledema, retinal vein distension, retinal hemorrhages, and focal deficit may be present. Pulmonary leukostasis may present as respiratory distress and hypoxemia and progress to respiratory failure. Chest radiographs may be normal but usually show interstitial or alveolar infiltrates. Hyperleu kocytosis rarely may cause acute leg ischemia, renal vein thrombosis, myocardial ischemia, bowel infraction, and priapism. Arterial blood gas results should be interpreted cautiously. Rapid consumption of plasma oxygen by the markedly increased number of white blood cells can cause spuriously low arterial oxygen tension. Pulse oximetry is the most accurate way of assessing oxygenation in patients with hyperleu kocytosis. Hydroxyurea can rapidly reduce a high blast cell count while the diagnostic workup is in progress. After the diagnosis is established, the patient should start quickly with effective induction chemotherapy. Leukapheresis should be used in patients with symptoms of hyper leukocytosis. Patients with hyperleukocytosis are also at risk for dis seminated intravascular coagulation and tumor lysis syndrome. The clinician should monitor the patient for these complications and take preventive and therapeutic actions during induction therapy. Intra vascular volume depletion and unnecessary blood transfusions may increase blood viscosity and worsen the </w:t>
      </w:r>
      <w:r w:rsidR="00A6019F" w:rsidRPr="00A6019F">
        <w:lastRenderedPageBreak/>
        <w:t xml:space="preserve">leukostasis syndrome. Leu kostasis is very rarely a feature of the high white cell counts associated with chronic lymphoid or chronic myeloid leukemia. When acute promyelocytic leukemia is treated with differentiating agents like tretinoin and arsenic trioxide, cerebral or pulmonary leu kostasis may occur as tumor cells differentiate into mature neutrophils. This complication can be largely avoided by using cytotoxic chemo therapy together with the differentiating agents. </w:t>
      </w:r>
      <w:r w:rsidR="00A6019F" w:rsidRPr="00A6019F">
        <w:rPr>
          <w:rFonts w:ascii="Arial" w:hAnsi="Arial" w:cs="Arial"/>
        </w:rPr>
        <w:t>■</w:t>
      </w:r>
      <w:r w:rsidR="00A6019F" w:rsidRPr="00A6019F">
        <w:t xml:space="preserve">HEMOPTYSIS Hemoptysis may be caused by nonmalignant conditions, but lung can cer accounts for a large proportion of cases. Up to 20% of patients with lung cancer have hemoptysis some time in their course. Endobronchial metastases from carcinoid tumors, breast cancer, colon cancer, kidney cancer, and melanoma may also cause hemoptysis. The volume of bleeding is often difficult to gauge. Massive hemoptysis is defined as &gt;200–600 mL of blood produced in 24 h. However, any hemoptysis should be considered massive if it threatens life. When respiratory difficulty occurs, hemoptysis should be treated emergently. The first priorities are to maintain the airway, optimize oxygenation, and stabi lize the hemodynamic status. If the bleeding side is known, the patient should be placed in a lateral decubitus position, with the bleeding side down to prevent aspiration into the unaffected lung and given supple mental oxygen. If large-volume bleeding continues or the airway is compromised, the patient should be intubated and undergo emergency bronchoscopy. If the site of bleeding is detected, either the patient undergoes a definitive surgical procedure or the lesion is treated with a neodymium:yttrium-aluminum-garnet (Nd:YAG) laser, argon plasma CHAPTER 80 Oncologic Emergencies 592 coagulation, or electrocautery. In stable patients, multidetector CT angiography delineates bronchial and nonbronchial systemic arter ies and identifies the source of bleeding and underlying pathology with high sensitivity. Massive hemoptysis usually originates from the high-pressure bronchial circulation. Bronchial artery embolization is considered a first-line definitive procedure for managing hemoptysis. Bronchial artery embolization may control brisk bleeding in 75–90% of patients, permitting the definitive surgical procedure to be done more safely if it is appropriate. Embolization without definitive surgery is associated with rebleed ing in 20–50% of patients. Recurrent hemoptysis usually responds to a second embolization procedure. A postembolization syndrome charac terized by pleuritic pain, fever, dysphagia, and leukocytosis may occur; it lasts 5–7 days and resolves with symptomatic treatment. Bronchial or esophageal wall necrosis, myocardial infarction, and spinal cord infarc tion are rare complications. Surgery, as a salvage strategy, is indicated after failure of embolization and is associated with better survival when performed in a nonurgent setting. PART 4 Oncology and Hematology Pulmonary hemorrhage with or without hemoptysis in hematologic malignancies is often associated with fungal infections, particularly Aspergillus spp. After granulocytopenia resolves, the lung infiltrates in aspergillosis may cavitate and cause massive hemoptysis. Throm bocytopenia and coagulation defects should be corrected, if possible. Surgical evaluation is recommended in patients with aspergillosis related </w:t>
      </w:r>
      <w:r w:rsidR="00A6019F" w:rsidRPr="00A6019F">
        <w:lastRenderedPageBreak/>
        <w:t xml:space="preserve">cavitary lesions. Antibodies to vascular endothelial growth factor (VEGF) including bevacizumab and ramucirumab that inhibit angiogenesis, have been associated with life-threatening hemoptysis in patients with non-small-cell lung cancer, particularly of squamous cell histology. Non-small-cell lung cancer patients with cavitary lesions or previous hemoptysis (≥2.5 mL) within the past 3 months have higher risk for pulmonary hemorrhage. </w:t>
      </w:r>
      <w:r w:rsidR="00A6019F" w:rsidRPr="00A6019F">
        <w:rPr>
          <w:rFonts w:ascii="Arial" w:hAnsi="Arial" w:cs="Arial"/>
        </w:rPr>
        <w:t>■</w:t>
      </w:r>
      <w:r w:rsidR="00A6019F" w:rsidRPr="00A6019F">
        <w:t xml:space="preserve">AIRWAY OBSTRUCTION Airway obstruction refers to a blockage at the level of the mainstem bronchi or above. It may result either from intraluminal tumor growth or from extrinsic compression of the airway. The most common cause of malignant upper airway obstruction is invasion from an adjacent primary tumor, most commonly lung cancer, followed by esophageal, thyroid, and mediastinal malignancies including lymphomas. Extra thoracic primary tumors such as renal, colon, or breast cancer can cause airway obstruction through endobronchial and/or mediastinal lymph node metastases. Patients may present with dyspnea, hemoptysis, stridor, wheezing, intractable cough, postobstructive pneumonia, or hoarseness. Chest radiographs usually demonstrate obstructing lesions. CT scans reveal the extent of tumor. Cool, humidified oxygen, glucocor ticoids, and ventilation with a mixture of helium and oxygen (Heliox) may provide temporary relief. If the obstruction is proximal to the larynx, a tracheostomy may be lifesaving. For more distal obstructions, particularly intrinsic lesions incompletely obstructing the airway, bron choscopy with mechanical debulking and dilation or ablational treat ments including laser treatment, photodynamic therapy, argon plasma coagulation, electrocautery, or stenting can produce immediate relief in most patients (Fig. 80-3). However, radiation therapy (either external beam irradiation or brachytherapy) given together with glucocorticoids may also open the airway. Symptomatic extrinsic compression may be palliated by stenting. Patients with primary airway tumors such as squamous cell carcinoma, carcinoid tumor, adenocystic carcinoma, or non-small-cell lung cancer, if resectable, should have surgery. METABOLIC EMERGENCIES </w:t>
      </w:r>
      <w:r w:rsidR="00A6019F" w:rsidRPr="00A6019F">
        <w:rPr>
          <w:rFonts w:ascii="Arial" w:hAnsi="Arial" w:cs="Arial"/>
        </w:rPr>
        <w:t>■</w:t>
      </w:r>
      <w:r w:rsidR="00A6019F" w:rsidRPr="00A6019F">
        <w:t xml:space="preserve">HYPERCALCEMIA Hypercalcemia is the most common paraneoplastic syndrome. Its pathogenesis and management are discussed fully in Chaps. 98 and 422. </w:t>
      </w:r>
      <w:r w:rsidR="00A6019F" w:rsidRPr="00A6019F">
        <w:rPr>
          <w:rFonts w:ascii="Arial" w:hAnsi="Arial" w:cs="Arial"/>
        </w:rPr>
        <w:t>■</w:t>
      </w:r>
      <w:r w:rsidR="00A6019F" w:rsidRPr="00A6019F">
        <w:t xml:space="preserve">SYNDROME OF INAPPROPRIATE SECRETION OF ANTIDIURETIC HORMONE Hyponatremia is a common electrolyte abnormality in cancer patients, and syndrome of inappropriate secretion of antidiuretic hormone A B FIGURE 80-3 Airway obstruction. A. Computed tomography scan of a 62-year-old man with tracheal obstruction caused by renal carcinoma showing paratracheal mass with tracheal invasion/obstruction (arrow). B. Chest x-ray of same patient after stent (arrows) placement. (SIADH) is the most common cause among patients with cancer. SIADH is discussed fully in Chaps. 98 and 393. </w:t>
      </w:r>
      <w:r w:rsidR="00A6019F" w:rsidRPr="00A6019F">
        <w:rPr>
          <w:rFonts w:ascii="Arial" w:hAnsi="Arial" w:cs="Arial"/>
        </w:rPr>
        <w:t>■</w:t>
      </w:r>
      <w:r w:rsidR="00A6019F" w:rsidRPr="00A6019F">
        <w:t xml:space="preserve">LACTIC ACIDOSIS Lactic acidosis is a rare and potentially fatal metabolic complication of cancer. Lactic acidosis associated with sepsis and circulatory failure is a common preterminal event in many malignancies. Lactic acidosis in the absence of hypoxemia may occur in patients with leukemia, lym phoma, or solid tumors. In some cases, hypoglycemia also is present. Extensive involvement of the liver by tumor is often present. In most cases, decreased </w:t>
      </w:r>
      <w:r w:rsidR="00A6019F" w:rsidRPr="00A6019F">
        <w:lastRenderedPageBreak/>
        <w:t xml:space="preserve">metabolism and increased production by the tumor both contribute to lactate accumulation. Tumor cell overexpression of certain glycolytic enzymes and mitochondrial dysfunction can con tribute to its increased lactate production. HIV-infected patients have an increased risk of aggressive lymphoma; lactic acidosis that occurs in such patients may be related either to the rapid growth of the tumor or from toxicity of nucleoside reverse transcriptase inhibitors. Symptoms of lactic acidosis include tachypnea, tachycardia, change of mental status, and hepatomegaly. The serum level of lactic acid may reach 10–20 mmol/L (90–180 mg/dL). Treatment is aimed at the underlying disease. Sodium bicarbonate should be added if acidosis is very severe or if hydrogen ion production is very rapid and uncontrolled. Other treatment options include renal replacement therapy, such as hemodi alysis, and thiamine replacement. The prognosis is poor regardless of the treatment offered. </w:t>
      </w:r>
      <w:r w:rsidR="00A6019F" w:rsidRPr="00A6019F">
        <w:rPr>
          <w:rFonts w:ascii="Arial" w:hAnsi="Arial" w:cs="Arial"/>
        </w:rPr>
        <w:t>■</w:t>
      </w:r>
      <w:r w:rsidR="00A6019F" w:rsidRPr="00A6019F">
        <w:t xml:space="preserve">HYPOGLYCEMIA Persistent hypoglycemia is occasionally associated with tumors other than pancreatic islet cell tumors. Usually these tumors are large; TREATMENT-RELATED EMERGENCIES 593 tumors of mesenchymal origin, hepatomas, or adrenocortical tumors may cause hypoglycemia. Mesenchymal tumors are usually located in the retroperitoneum or thorax. Obtundation, confusion, and behav ioral aberrations occur in the postabsorptive period and may precede the diagnosis of the tumor. These tumors often secrete incompletely processed insulin-like growth factor II (IGF-II), a hormone capable of activating insulin receptors and causing hypoglycemia. Tumors secreting incompletely processed big IGF-II are characterized by an increased IGF-II to IGF-I ratio, suppressed insulin and C-peptide level, and inappropriately low growth hormone and β-hydroxybutyrate concentrations. Rarely, hypoglycemia is due to insulin secretion by a non–islet cell carcinoma. The development of hepatic dysfunction from liver metastases and increased glucose consumption by the tumor can contribute to hypoglycemia. If the tumor cannot be resected, hypo glycemia symptoms may be relieved by the administration of glucose, glucocorticoids, recombinant growth hormone, or glucagon. Hypoglycemia can be artifactual; hyperleukocytosis from leukemia, myeloproliferative diseases, leukemoid reactions, or colony-stimulating factor treatment can increase glucose consumption in the test tube after blood is drawn, leading to pseudohypoglycemia. </w:t>
      </w:r>
      <w:r w:rsidR="00A6019F" w:rsidRPr="00A6019F">
        <w:rPr>
          <w:rFonts w:ascii="Arial" w:hAnsi="Arial" w:cs="Arial"/>
        </w:rPr>
        <w:t>■</w:t>
      </w:r>
      <w:r w:rsidR="00A6019F" w:rsidRPr="00A6019F">
        <w:t xml:space="preserve">ADRENAL INSUFFICIENCY In patients with cancer, adrenal insufficiency may go unrecognized because the symptoms, such as nausea, vomiting, anorexia, and ortho static hypotension, are nonspecific and may be mistakenly attributed to progressive cancer or to therapy. Primary adrenal insufficiency may develop owing to replacement of both glands by metastases (lung, breast, colon, or kidney cancer; lymphoma), to removal of both glands, or to hemorrhagic necrosis in association with sepsis or anti coagulation. Impaired adrenal steroid synthesis occurs in patients being treated for cancer with mitotane, ketoconazole, or aminoglu tethimide or undergoing rapid reduction in glucocorticoid therapy. Megestrol acetate, used to manage cancer and HIV-related cachexia, may suppress plasma levels of cortisol and adrenocorticotropic hor mone (ACTH). Patients taking megestrol may develop adrenal </w:t>
      </w:r>
      <w:r w:rsidR="00A6019F" w:rsidRPr="00A6019F">
        <w:lastRenderedPageBreak/>
        <w:t xml:space="preserve">insuf ficiency, and even those whose adrenal dysfunction is not symptomatic may have inadequate adrenal reserve if they become seriously ill. Paradoxically, some patients may develop Cushing’s syndrome and/or hyperglycemia because of the glucocorticoid-like activity of megestrol acetate. Ipilimumab, an anti-CTLA-4 antibody used for treatment of malignant melanoma and other cancers, may cause autoimmunity including autoimmune-like enterocolitis, hypophysitis (leading to sec ondary adrenal insufficiency), hepatitis, and, rarely, primary adrenal insufficiency. Autoimmune hypophysitis may present with headache, visual field defects, and pituitary hormone deficiencies manifesting as hypopituitarism, adrenal insufficiency (including adrenal crisis), or hypothyroidism. Ipilimumab-associated hypophysitis symptoms occur at an average of 6–12 weeks after initiation of therapy. An MRI usually shows homogenous enhancement of pituitary gland. Early glucocor ticoid treatment and hormone replacement are the initial treatment. The role of high-dose glucocorticoids in the treatment of hypophysitis is not clear. High-dose glucocorticoids may not improve the frequency of pituitary function recovery. Autoimmune adrenalitis can also be observed with anti-CTLA-4 antibody. Pituitary dysfunction is usually permanent, requiring long-term hormone replacement therapy. Other checkpoint inhibitors, such as monoclonal antibodies targeting pro grammed cell death 1 (PD-1), an inhibitory receptor expressed by T cells or one of its ligands (PD-L1), may cause hypophysitis infrequently (~1%). Autoimmune adrenalitis is more frequent with use of PD-1/ PD-L1 than with CTLA-4 inhibitors, but incidence is low. Cranial irradiation for childhood brain tumors may affect the hypothalamus pituitary-adrenal axis, resulting in secondary adrenal insufficiency. Rarely, metastatic replacement causes primary adrenal insufficiency as the first manifestation of an occult malignancy. Metastasis to the pitu itary or hypothalamus is found at autopsy in up to 5% of patients with cancer, but associated secondary adrenal insufficiency is rare. Acute adrenal insufficiency is potentially lethal. Treatment of sus pected adrenal crisis is initiated after the sampling of serum cortisol and ACTH levels (Chap. 398). </w:t>
      </w:r>
      <w:r w:rsidR="00A6019F" w:rsidRPr="00A6019F">
        <w:rPr>
          <w:rFonts w:ascii="Arial" w:hAnsi="Arial" w:cs="Arial"/>
        </w:rPr>
        <w:t>■</w:t>
      </w:r>
      <w:r w:rsidR="00A6019F" w:rsidRPr="00A6019F">
        <w:t xml:space="preserve">TUMOR LYSIS SYNDROME Tumor lysis syndrome (TLS) is characterized by hyperuricemia, hyper kalemia, hyperphosphatemia, and hypocalcemia and is caused by the destruction of a large number of rapidly proliferating neoplastic cells. Acidosis may also develop. Acute renal failure occurs frequently. TLS is most often associated with the treatment of Burkitt’s lym phoma, acute lymphoblastic leukemia, AML, and other rapidly pro liferating lymphomas, but it also may be seen with chronic leukemias and, rarely, with solid tumors. This syndrome is increased in frequency in lymphoid neoplasms treated with venetoclax, a bcl-2 antagonist. TLS has been observed with administration of glucocorticoids, hormonal agents such as letrozole and tamoxifen, and monoclonal antibodies such as rituximab, obinutuzumab, ofatumumab, and gemtuzumab. TLS usually occurs during or shortly (1–5 days) after chemotherapy. Rarely, spontaneous necrosis of malignancies causes TLS. Hyperuricemia may be present at the time of chemotherapy. Effec tive treatment kills malignant cells and leads to increased serum uric acid levels from the turnover of nucleic acids. Owing to the </w:t>
      </w:r>
      <w:r w:rsidR="00A6019F" w:rsidRPr="00A6019F">
        <w:lastRenderedPageBreak/>
        <w:t xml:space="preserve">acidic local environment, uric acid can precipitate in the tubules, medulla, and col lecting ducts of the kidney, leading to renal failure. Lactic acidosis and dehydration may contribute to the precipitation of uric acid in the renal tubules. The finding of uric acid crystals in the urine is strong evidence for uric acid nephropathy. The ratio of urinary uric acid to urinary cre atinine is &gt;1 in patients with acute hyperuricemic nephropathy and 1500 U/L), both of which correlate with total tumor burden, also correlate with the risk of TLS. In patients at risk for TLS, pretreatment evaluations should include a complete blood count, serum chemistry evaluation, and urinalysis. High leukocyte and platelet counts may artificially elevate potassium levels (“pseudohyperkalemia”) due to lysis of these cells after the blood is drawn. In these cases, plasma potassium instead of serum potassium should be followed. In pseudohyperkalemia, no elec trocardiographic abnormalities are present. In patients with abnormal baseline renal function, the kidneys and retroperitoneal area should be evaluated by sonography and/or CT to rule out obstructive uropathy. Urine output should be watched closely. CHAPTER 80 Oncologic Emergencies TREATMENT Tumor Lysis Syndrome Recognition of risk and prevention are the most important steps in the management of this syndrome (Fig. 80-4). The standard pre ventive approach consists of allopurinol and aggressive hydration. Urinary alkalization with sodium bicarbonate is no longer recom mended. It increases uric acid solubility, but a high pH decreases the solubility of xanthine, hypoxanthine, and calcium phosphate, potentially increasing the likelihood of intratubular crystallization. Intravenous allopurinol may be given in patients who cannot toler ate oral therapy. Febuxostat, a potent nonpurine selective xanthine 594 Maintain hydration by administration of normal or 1/2 normal saline at 3000 mL/m2 per day Administer allopurinol at 300 mg/m2 per day* Monitor serum chemistry** If, after 24–48 h Serum uric acid &gt;8.0 mg/dL Serum creatinine &gt;1.6 mg/dL Correct treatable renal failure (obstruction) Start recombinant urate oxidase, 0.2 mg/kg IV daily No improvement PART 4 Delay chemotherapy or start dialysis Serum uric acid 6.0 meq/L Serum uric acid &gt;10 mg/dL Serum creatinine &gt;10 mg/dL Serum phosphate &gt;10 mg/dL or increasing Symptomatic hypocalcemia present Begin hemodialysis *Use febuxostat in allopurinol allergy and/or renal failure. **Specifically serum electrolytes, creatinine, calcium, phosphate, and uric acid. FIGURE 80-4 Management of patients at high risk for the tumor lysis syndrome.   oxidase inhibitor, is indicated for treatment of hyperuricemia. It results in fewer hypersensitivity reactions than allopurinol. Febuxo stat does not require dosage adjustment in patients with mild to moderate renal impairment. Febuxostat achieved significantly superior serum uric acid control in comparison to allopurinol in patients with hematologic malignancies at intermediate to high TLS risk. In some cases, uric acid levels cannot be lowered sufficiently with the standard preventive approach. Rasburicase (recombinant urate oxidase) can be effective in these instances, particularly when renal failure is present. Urate oxidase is missing from pri mates and catalyzes the conversion of poorly soluble uric acid to readily soluble allantoin. Rasburicase acts rapidly, decreasing uric acid levels within hours; however, it may </w:t>
      </w:r>
      <w:r w:rsidR="00A6019F" w:rsidRPr="00A6019F">
        <w:lastRenderedPageBreak/>
        <w:t xml:space="preserve">cause hypersensitivity reactions such as bronchospasm, hypoxemia, and hypotension. Rasburicase should also be administered to high-risk patients for TLS prophylaxis. Rasburicase is contraindicated in patients with glucose-6-phosphate dehydrogenase deficiency who are unable to break down hydrogen peroxide, an end product of the urate oxidase reaction. Rasburicase is known to cause ex vivo enzymatic degra dation of uric acid in test tube at room temperature. This leads to spuriously low uric acid levels during laboratory monitoring of the patient with TLS. Samples must be cooled immediately to deacti vate the urate oxidase. Despite aggressive prophylaxis, TLS and/ or oliguric or anuric renal failure may occur. Renal replacement therapy is often necessary and should be considered early in the course. Hemodialysis is preferred. Hemofiltration offers a gradual, continuous method of removing cellular by-products and fluid. </w:t>
      </w:r>
      <w:r w:rsidR="00A6019F" w:rsidRPr="00A6019F">
        <w:rPr>
          <w:rFonts w:ascii="Arial" w:hAnsi="Arial" w:cs="Arial"/>
        </w:rPr>
        <w:t>■</w:t>
      </w:r>
      <w:r w:rsidR="00A6019F" w:rsidRPr="00A6019F">
        <w:t xml:space="preserve">HUMAN ANTIBODY INFUSION REACTIONS The initial infusion of human or humanized antibodies (e.g., rituximab, gemtuzumab, trastuzumab, alemtuzumab, panitumumab, brentuximab vedotin, blinatumomab) is associated with fever, chills, nausea, asthe nia, and headache in up to half of treated patients. Bronchospasm and hypotension occur in 1% of patients. Severe manifestations including pulmonary infiltrates, acute respiratory distress syndrome (ARDS), and cardiogenic shock occur rarely. Laboratory manifestations include elevated hepatic aminotransferase levels, thrombocytopenia, and pro longation of prothrombin time. The pathogenesis is thought to be activation of immune effector processes (cells and complement) and release of inflammatory cytokines, such as tumor necrosis factor α, interferon γ, interleukin (IL) 6, and IL-10 (cytokine release syndrome [CRS]). Although its origins are not completely understood, CRS is believed to be due to activation of a variety of cell types including neutrophils, monocytes/macrophages, natural killer cells, and T and B lymphocytes. Hemophagocytic lymphohistiocytosis (HLH)/mac rophage activation syndrome (MAS) can develop as part of CRS and usually is a manifestation of severe CRS. Severe CRS may require intensive support for ARDS and resistant hypotension. Emerging clinical experience at several institutions has concluded that tocilizumab is an effective treatment for severe or life-threatening CRS. Tocilizumab prevents IL-6 binding to both cell associated and soluble IL-6 receptors and therefore inhibits both clas sical and trans-IL-6 signaling. Other cytokine-directed therapies, such as siltuximab, a chimeric anti-IL-6 monoclonal antibody, and anakinra, an IL-1 receptor antagonist, have been used. 595 Adoptive transfer of CAR-engineered T cells is a promising therapy for cancers. The most common acute toxicity of CAR T cells is CRS. CAR T cell–associated CRS may be associated with cardiac dysfunc tion and neurotoxicity. In all cases, MAS could happen with CRS. The management includes supportive care and tocilizumab. </w:t>
      </w:r>
      <w:r w:rsidR="00A6019F" w:rsidRPr="00A6019F">
        <w:rPr>
          <w:rFonts w:ascii="Arial" w:hAnsi="Arial" w:cs="Arial"/>
        </w:rPr>
        <w:t>■</w:t>
      </w:r>
      <w:r w:rsidR="00A6019F" w:rsidRPr="00A6019F">
        <w:t xml:space="preserve">HEMOLYTIC-UREMIC SYNDROME Malignancy can induce hemolytic-uremic syndrome (HUS) through a wide variety of mechanisms, including systemic microvascular metastases, extensive bone marrow invasion, or secondary necrosis. HUS syndromes have been reported with metastatic gastric and ovar ian cancers, leukemias, and lymphomas. HUS and, less commonly, thrombotic thrombocytopenic purpura (TTP) </w:t>
      </w:r>
      <w:r w:rsidR="00A6019F" w:rsidRPr="00A6019F">
        <w:lastRenderedPageBreak/>
        <w:t xml:space="preserve">(Chap. 329) may rarely occur after treatment with antineoplastic drugs, including mitomycin, gemcitabine, cisplatin, bleomycin, and proteasome inhibitors, and with VEGF inhibitors. Mitomycin and gemcitabine are the most common offenders. Unlike mitomycin, there is no clear-cut relationship between the cumulative dose of gemcitabine and risk of HUS. It occurs most often in patients with gastric, lung, colorectal, pancreatic, and breast carcinoma. In one series, 35% of patients were without evident cancer at the time this syndrome appeared. Secondary HUS/TTP has also been reported as a rare but sometimes fatal complication of bone mar row transplantation. HUS usually has its onset 4–8 weeks after the last dose of chemo therapy, but it is not rare to detect it several months later. HUS is characterized by microangiopathic hemolytic anemia, thrombocy topenia, and renal failure. Dyspnea, weakness, fatigue, oliguria, and purpura are also common initial symptoms and findings. Systemic hypertension and pulmonary edema frequently occur. Severe hyper tension, pulmonary edema, and rapid worsening of hemolysis and renal function may occur after a blood or blood product transfusion. Cardiac findings include atrial arrhythmias, pericardial friction rub, and pericardial effusion. Raynaud’s phenomenon is part of the syn drome in patients treated with bleomycin. Laboratory findings include severe to moderate anemia associ ated with red blood cell fragmentation and numerous schistocytes on peripheral smear. Reticulocytosis, decreased plasma haptoglobin, and an LDH level document hemolysis. The serum bilirubin level is usually normal or slightly elevated. The Coombs test is negative. The white cell count is usually normal, and thrombocytopenia (10 mm on ultrasonogram have higher mortality rates. However, bowel wall thick ening is significantly more prominent in patients with C. difficile colitis. Pneumatosis intestinalis is a more specific finding, seen only in those with neutropenic enterocolitis and ischemia. The combined involve ment of the small and large bowel suggests a diagnosis of neutropenic enterocolitis. Rapid institution of broad-spectrum antibiotics, bowel rest, and nasogastric suction may reverse the process. Use of myeloid growth factors improved outcome significantly. Surgical intervention is reserved for severe cases of neutropenic enterocolitis with evidence of perforation, peritonitis, gangrenous bowel, or gastrointestinal hemor rhage despite correction of any coagulopathy. C. difficile colitis is increasing in incidence. Newer strains of C. diffi cile produce ~20 times more of toxins A and B compared to previously studied strains. C. difficile risk is also increased with chemotherapy. Antibiotic coverage for C. difficile should be added if pseudomembra nous colitis cannot be excluded. </w:t>
      </w:r>
      <w:r w:rsidR="00A6019F" w:rsidRPr="00A6019F">
        <w:rPr>
          <w:rFonts w:ascii="Arial" w:hAnsi="Arial" w:cs="Arial"/>
        </w:rPr>
        <w:t>■</w:t>
      </w:r>
      <w:r w:rsidR="00A6019F" w:rsidRPr="00A6019F">
        <w:t xml:space="preserve">HEMORRHAGIC CYSTITIS Hemorrhagic cystitis is characterized by diffuse bladder mucosal bleeding that develops secondary to chemotherapy (mostly cyclophos phamide or ifosfamide), radiation therapy, bone marrow transplanta tion (BMT), and/or opportunistic infections. Both cyclophosphamide and ifosfamide are metabolized to acrolein, which is a strong chemical irritant that is excreted in the urine. Prolonged contact or high con centrations may lead to bladder irritation and hemorrhage. Symptoms include gross hematuria, frequency, dysuria, burning, urgency, inconti </w:t>
      </w:r>
      <w:r w:rsidR="00A6019F" w:rsidRPr="00A6019F">
        <w:lastRenderedPageBreak/>
        <w:t xml:space="preserve">nence, and nocturia. The best management is prevention. Maintaining a high rate of urine flow minimizes exposure. In addition, 2-mer captoethanesulfonate (mesna) detoxifies the metabolites and can be coadministered with the instigating drugs. Mesna usually is given three times on the day of ifosfamide administration in doses that are each 20% of the total ifosfamide dose. If hemorrhagic cystitis develops, the maintenance of a high urine flow may be sufficient supportive care. If conservative management is not effective, irrigation of the bladder with alum or formalin solution may stop the bleeding in most cases. N-Acet ylcysteine may also be an effective irrigant. Prostaglandin (carboprost) can inhibit the process. In extreme cases, ligation of the hypogastric arteries, urinary diversion, or cystectomy may be necessary. In the BMT setting, early-onset hemorrhagic cystitis is related to drugs in the treatment regimen (e.g., cyclophosphamide), and late onset hemorrhagic cystitis is usually due to the polyoma virus BKV or adenovirus type 11. BKV load in urine alone or in combination with acute graft-versus-host disease correlates with development of hemor rhagic cystitis. Viral causes are usually detected by polymerase chain reaction (PCR)–based diagnostic tests. Treatment of viral hemorrhagic cystitis is largely supportive, with reduction in doses of immunosup pressive agents, if possible. No antiviral therapy is approved, although cidofovir was reported to be effective in a small series. Hyperbaric oxy gen therapy has been used successfully in patients with BKV-associated and cyclophosphamide-induced hemorrhagic cystitis during hemato poietic stem cell transplantation, as well as in hemorrhagic radiation cystitis that occurs in up to 5% of patients after pelvic radiation. CHAPTER 80 Oncologic Emergencies </w:t>
      </w:r>
      <w:r w:rsidR="00A6019F" w:rsidRPr="00A6019F">
        <w:rPr>
          <w:rFonts w:ascii="Arial" w:hAnsi="Arial" w:cs="Arial"/>
        </w:rPr>
        <w:t>■</w:t>
      </w:r>
      <w:r w:rsidR="00A6019F" w:rsidRPr="00A6019F">
        <w:t xml:space="preserve">HYPERSENSITIVITY REACTIONS TO ANTINEOPLASTIC DRUGS Many antineoplastic drugs may cause hypersensitivity reaction. These reactions are unpredictable and potentially life threatening. Most reac tions occur during or within hours of parenteral drug administration. Taxanes, platinum compounds, asparaginase, etoposide, procarbazine, and biologic agents, including rituximab, bevacizumab, trastuzumab, gemtuzumab, cetuximab, and alemtuzumab, are more commonly associated with acute hypersensitivity reactions than are other agents. Hypersensitivity reactions to some drugs, such as taxanes, occur dur ing the first or second dose administered. Hypersensitivity to platinum compounds occurs after prolonged exposure. Skin testing may identify patients with high risk for hypersensitivity after carboplatin exposure. 598 Premedication with histamine H1 and H2 receptor antagonists and glucocorticoids reduces the incidence of hypersensitivity reaction to taxanes, particularly paclitaxel. Despite premedication, hypersensitiv ity reactions may still occur. In these cases, rapid desensitization in the intensive care unit setting or re-treatment may be attempted with care, but the use of alternative agents may be required. Skin testing is used to assess the involvement of IgE in the reaction. Tryptase levels measured at the time of the reaction help to explain the mechanism of the reac tion and its severity. Increased tryptase levels indicate underlying mast cell activation. Candidate patients for desensitization include those who have mild to severe hypersensitivity type I, with mast </w:t>
      </w:r>
      <w:r w:rsidR="00A6019F" w:rsidRPr="00A6019F">
        <w:lastRenderedPageBreak/>
        <w:t xml:space="preserve">cell–medi ated and IgE-dependent reactions occurring during a chemotherapy infusion or shortly thereafter. </w:t>
      </w:r>
      <w:r w:rsidR="00A6019F" w:rsidRPr="00A6019F">
        <w:rPr>
          <w:rFonts w:ascii="Arial" w:hAnsi="Arial" w:cs="Arial"/>
        </w:rPr>
        <w:t>■</w:t>
      </w:r>
      <w:r w:rsidR="00A6019F" w:rsidRPr="00A6019F">
        <w:t xml:space="preserve">FURTHER READING Azizi AH et al: Superior vena cava syndrome. JACC Cardiovasc Interv 13:2896, 2020. PART 4 Oncology and Hematology Castells M et al: Hypersensitivity to antineoplastic agents: Mechanisms and treatment with rapid desensitization. Cancer Immunol Immunother 61:1575, 2012. Castinetti F et al: Endocrine side-effects of new anticancer therapies: Overall monitoring and conclusions. Ann Endocrinol (Paris) 79:591, 2018. Conte P et al: Drug-induced interstitial lung disease during cancer therapies: Expert opinion on diagnosis and treatment. ESMO Open 7:1, 2022. Durani U, Hogan WJ: Emergencies in haematology: Tumour lysis syndrome. Br J Haematol 188:494, 2020. Fajgenbaum DC, June CH: Cytokine storm. N Engl J Med 383:2255, 2020. Gonzalez Castro LN, Milligan TA: Seizures in patients with can cer. Cancer 126:1379, 2020. Lawton AJ et al: Assessment and management of patients with metastatic spinal cord compression: A multidisciplinary review. J Clin Oncol 37:61, 2019. Paik WH, Park DH: Endoscopic management of malignant biliary obstruction. Gastrointest Endosc Clin N Am 34:127, 2024 Schusler R, Meyerson SL: Pericardial disease associated with malignancy. Curr Cardiol Rep 20:92, 2018. Thomas MR, Scully M: How I treat microangiopathic hemolytic anemia in patients with cancer. Blood 137:1310, 2021. Vogelbaum MA et al: Treatment for brain metastases: ASCO-SNO ASTRO Guideline. J Clin Oncol 4:492, 2022. 81 Cancer of the Skin Brendan D. Curti, John T. Vetto, Sancy A. Leachman MELANOMA Pigmented lesions are among the most common findings on skin exam ination. The challenge for the physician is to distinguish benign lesions from cutaneous melanomas and nonmelanoma skin cancers (NMSCs), both of which are increasing in frequency. Melanoma accounts for over half of the deaths resulting from skin cancer, although recent advances in immunotherapy and targeted therapy used in the neoadjuvant, adju vant, and advanced disease settings have significantly improved sur vival. Genomic analysis of melanoma has improved our understanding of prognosis, and informed treatment and surveillance strategies beyond traditional surgical staging. Melanoma is an aggressive malig nancy of melanocytes, pigment-producing cells that originate from the neural crest and migrate to the skin, meninges, mucous membranes, upper esophagus, and eyes. Melanocytes in each of these locations have the potential for malignant transformation, but most melanomas arise in the skin, facilitating detection when complete surgical excision can lead to cure. Cutaneous melanoma occurs in people of all ages and all colors. Noncutaneous melanomas have a different biology and a lower probability of response to the immunotherapy agents that have transformed the care of cutaneous melanoma. Examples of malignant melanoma of the skin, mucosa, eye, and nail are shown in Fig. 81-1. </w:t>
      </w:r>
      <w:r w:rsidR="00A6019F" w:rsidRPr="00A6019F">
        <w:rPr>
          <w:rFonts w:ascii="Arial" w:hAnsi="Arial" w:cs="Arial"/>
        </w:rPr>
        <w:t>■</w:t>
      </w:r>
      <w:r w:rsidR="00A6019F" w:rsidRPr="00A6019F">
        <w:t xml:space="preserve">RISK FACTORS AND EPIDEMIOLOGY The epidemiologic patterns seen in melanoma reflect the genetic and biologic features of melanocytes and their response to environmental ultraviolet radiation (UVR). Clinical features that confer an increased risk for melanoma include: (1) vulnerability to sun damage (light/red coloration of skin, hair, or eyes; photodamaged skin; history of expo </w:t>
      </w:r>
      <w:r w:rsidR="00A6019F" w:rsidRPr="00A6019F">
        <w:lastRenderedPageBreak/>
        <w:t xml:space="preserve">sure to natural or artificial UVR; prior history of skin cancers of any type); (2) abnormal growth of melanocytes (increased absolute number of nevi, increased size of nevi, or atypical features of moles such as mul tiple colors, speckles, or shapes); and (3) immunosuppression (innate, functional, or drug-induced). Table 81-1 summarizes melanoma risk factors and the relative risk associated with these factors. The incidence and mortality rates are strongly influenced by ethnic, geographic, and environmental factors. For instance, the incidence of melanoma is 1/100,000 per year in populations with high skin eumelanin (a brown-black pigment that absorbs ultraviolet [UV] photons efficiently as they enter the epidermis) and up to 27/100,000 per year in populations with low skin eumelanin. Men are affected slightly more than women (1.4:1), and the median age at diagnosis is 66. Melanoma is one several cancer types with increasing incidence in the United States and is now the fifth leading cancer in men (59,170 new cases in 2024; probability 1:28) and the sixth leading cancer in women (41,460 new cases in 2024; probability 1:41). Although these rankings are based on the total number of new invasive melanoma cases in 2024, estimated at 100,640, an addi tional 99,700 cases of melanoma in situ (MIS) occurred in 2024. Mortality rates begin to rise at age 55, with the greatest mortality in men age &gt;65 years. In contrast to the increasing incidence, the mortal ity rates for melanoma are decreasing, though this trend appears less dramatic outside of the United States. The most likely reason for the decreased mortality is the influence of immunotherapy and targeted therapy on melanoma-specific survival. After U.S. Food and Drug Administration (FDA) approval of ipilimumab and vemurafenib in 2011, the 1-year relative survival rate increased from 42% (2008–2010) to 55% (2013–2015). The mortality rate from 2013 to 2017 dropped annually by 7% in those aged 20–64 years old and dropped 5–6% per year for individuals aged ≥65 years. </w:t>
      </w:r>
      <w:r w:rsidR="00A6019F" w:rsidRPr="00A6019F">
        <w:rPr>
          <w:rFonts w:ascii="Arial" w:hAnsi="Arial" w:cs="Arial"/>
        </w:rPr>
        <w:t>■</w:t>
      </w:r>
      <w:r w:rsidR="00A6019F" w:rsidRPr="00A6019F">
        <w:t xml:space="preserve">GLOBAL CONSIDERATIONS The incidence of both nonmelanoma and melanoma skin cancers around the world has been increasing. Every year, between 2 and 3 million people develop NMSC, and in 2020, there were 324,635 cases of melanoma. A disproportionate number of cases and deaths occur in North America, Europe, Australia, and New Zealand. The highly variable melanoma incidence rates in different populations are due to the interplay between risk factors, including host genetics and environmental factors, which distribute risk unevenly across these populations and account for the absolute risk in different ethnic groups and geographic areas. Dark-skinned populations (such as those of India and Puerto Rico), blacks, and East Asians also develop melanoma but at rates 10–20 times lower than those in whites. Cutaneous melanomas in dark-skinned populations are more often diagnosed at a higher stage, and patients tend to have worse outcomes. Surveillance, Epidemiology, and End Results (SEER) data (2016–2020) reveal that whites have the highest incidence of melanoma at 37.9 (men) and 25.2 (women) per 100,000 and that the incidence drops substantially in Hispanics (4.5 [men] and 4.3 [women] per 100,000), Native Americans (8.7 [men] and 7.8 [women] per 100,000), Asians/Pacific Islanders (1.3 [men] and 1.1 [women] per 100,000), and blacks (1 [men] and 0.9 </w:t>
      </w:r>
      <w:r w:rsidR="00A6019F" w:rsidRPr="00A6019F">
        <w:lastRenderedPageBreak/>
        <w:t xml:space="preserve">[women] per 100,000). In nonwhite (Asian and dark-skinned) populations, the 599 A B D E F C G H I FIGURE 81-1 Types of melanoma. A. Hypomelanotic melanoma. B. Superficial spreading melanoma. C. Melanoma arising in a nevus. D. Seborrheic keratoses-like melanoma arising on the scalp. E. Nodular melanoma. F. Cutaneous melanoma metastases at a surgical margin (also known as melanoma satellites when 2 cm). G. Mucosal melanoma arising in the vulva. H. Ciliary body melanoma, note visible tumor in the pupil and areas of involvement in the iris and sclera. I. Acral melanoma with Hutchinson’s sign on the proximal nail fold. (Parts A-G and I photos courtesy of Dr. Leonard Swinyer Collection, © Copyright 2020 University of Utah and Oregon Health &amp; Science University. Part H photo courtesy of Dr. Alison Skalet, © Copyright 2022 Oregon Health &amp; Science University [OHSU].) frequency of non–sun-exposed melanomas, such as acral (subungual, plantar, palmar) and mucosal melanomas, is much higher; the inci dence of melanoma in black and Hispanic populations is not associated with UV exposure. In China, ~20,000 new melanomas are reported each year, and in contrast to the United States, mortality is increasing. Non–sun-exposed melanomas have a different biology, have a lower probability of response to immunotherapy, and carry a poorer prog nosis than cutaneous melanomas, thus accounting for the increase in mortality of this melanoma subgroup. Little is known about the effects of mixed ethnicity on melanoma risk. </w:t>
      </w:r>
      <w:r w:rsidR="00A6019F" w:rsidRPr="00A6019F">
        <w:rPr>
          <w:rFonts w:ascii="Arial" w:hAnsi="Arial" w:cs="Arial"/>
        </w:rPr>
        <w:t>■</w:t>
      </w:r>
      <w:r w:rsidR="00A6019F" w:rsidRPr="00A6019F">
        <w:t>GENETIC SUSCEPTIBILITY TO MELANOMA Approximately 20</w:t>
      </w:r>
      <w:r w:rsidR="00A6019F" w:rsidRPr="00A6019F">
        <w:rPr>
          <w:rFonts w:ascii="Aptos" w:hAnsi="Aptos" w:cs="Aptos"/>
        </w:rPr>
        <w:t>–</w:t>
      </w:r>
      <w:r w:rsidR="00A6019F" w:rsidRPr="00A6019F">
        <w:t>40% of hereditary melanomas (0.2</w:t>
      </w:r>
      <w:r w:rsidR="00A6019F" w:rsidRPr="00A6019F">
        <w:rPr>
          <w:rFonts w:ascii="Aptos" w:hAnsi="Aptos" w:cs="Aptos"/>
        </w:rPr>
        <w:t>–</w:t>
      </w:r>
      <w:r w:rsidR="00A6019F" w:rsidRPr="00A6019F">
        <w:t xml:space="preserve">2% of all melanomas) are due to germline mutations in the cell cycle regulatory gene cyclin-dependent kinase inhibitor 2A (CDKN2A). In fact, 70% of all cutaneous melanomas have mutations or deletions affecting the CDKN2A locus on chromosome 9p21. This locus encodes two distinct tumor-suppressor proteins from alternate reading frames: p16 and ARF (p14ARF). The p16 protein inhibits CDK4/6-mediated phosphory lation and inactivation of the retinoblastoma (RB) protein, whereas ARF inhibits MDM2 ubiquitin-mediated degradation of p53. The loss of CDKN2A results in inactivation of two critical tumor-suppressor pathways, RB and p53, which control entry of cells into the cell cycle. Several studies have shown an increased risk of pancreatic cancer among melanoma-prone families with CDKN2A mutations. A second high-risk locus for melanoma susceptibility, CDK4, is located on chro mosome 12q13 and encodes the cyclin-dependent kinase inhibited by p16. CDK4 mutations, which also inactivate the RB pathway, are much rarer than CDKN2A mutations. Germline mutations in the melanoma lineage-specific oncogene microphthalmia-associated transcription factor (MITF), BRCA1-associated protein 1 (BAP-1), protection of telomeres 1 (POT-1), and telomerase reverse transcriptase (TERT) also predispose to familial melanoma with a not yet quantified high pen etrance, based on families that have been tested. The melanocortin-1 receptor (MC1R) gene is a moderate-risk inherited melanoma susceptibility factor. UVR stimulates the produc tion of melanocortin (α-melanocyte-stimulating hormone [α-MSH]), the ligand for MC1R, which is a G-protein-coupled receptor that signals via cyclic AMP and regulates the amount and type of pigment </w:t>
      </w:r>
      <w:r w:rsidR="00A6019F" w:rsidRPr="00A6019F">
        <w:lastRenderedPageBreak/>
        <w:t xml:space="preserve">produced by melanocytes. MC1R is highly polymorphic, and many among its ~80 variants result in partial or full loss of signaling and lead to the production of non-photoprotective red/yellow pheomelanins, rather than photoprotective brown/black eumelanins. The red hair color (RHC) phenotype produced by MC1R mutations includes lightly CHAPTER 81 Cancer of the Skin 600 TABLE 81-1 Melanoma Risk Factors and Relative Risk RISK LEVEL Elevated PART 4 Oncology and Hematology Moderately elevated High RISK FACTOR 1 atypical nevus versus 0 Total common nevi, 16+ versus 6 mm (the size of a pencil eraser); and evolving (any change in size, shape, color, or elevation or new symptoms such as bleeding, itching, and crusting). In addition, any nevus that appears atypical and different from the rest of the nevi on that individual (an “ugly duckling”) should be considered suspicious. The entire skin surface, including the scalp and mucous membranes, as well as the nails should be examined in each patient. Bright room illumination is important, and a hand lens or dermatoscope is helpful for evaluating variation in pigment pattern. Any suspicious lesions should be biopsied, evaluated by a specialist, or recorded by chart and/ or photography for follow-up. Dermoscopy employs low-level magni fication of the epidermis with polarized light or water interface and permits a more precise visualization of patterns of pigmentation than is possible with the naked eye. Biopsy Any pigmented cutaneous lesion that has changed on exami nation or has the other features previously discussed is a candidate for biopsy. An excisional biopsy with 1- to 3-mm margins (narrow-margin excision) is suggested. This facilitates histologic assessment of the lesion, permits accurate measurement of thickness if the lesion is mela noma, and constitutes definitive treatment if the lesion is benign. For lesions that are large or involving anatomic sites where excisional biopsy may not be feasible (such as the face, hands, and feet) or when suspicion of malignancy is low, an incisional biopsy (e.g. shave, saucerization, or punch) to include the most nodular or darkest area of the lesion is acceptable. Incisional biopsy does not appear to facilitate the spread of melanoma. For suspicious lesions, every attempt should be made to preserve the ability to assess the deep and peripheral margins and to 601 perform immunohistochemistry. All biopsies should be deep enough to include the deepest component of the entire lesion, and any pigment at the base of the lesion should be removed and included with the biopsy specimen. Punch biopsies are more likely to clear the deep margin but more likely to be positive at the radial margins; the opposite is true for shave biopsies. The choice of biopsy type should be guided by which is most likely to remove the entire lesion for histologic evaluation. The biopsy should be interpreted by a pathologist experienced in pigmented lesions, and the report should include Breslow thickness, mitotic rate, presence or absence of ulceration, lymphatic/vascular/ neural invasion, regression, microsatellitosis, and the status of the peripheral and deep margins. Breslow thickness is the greatest thickness of a primary cutaneous melanoma measured on the slide from the top of the epidermal granular layer, or from the ulcer base, to the bottom of the tumor. To distinguish melanomas from benign nevi in challenging cases, genetic </w:t>
      </w:r>
      <w:r w:rsidR="00A6019F" w:rsidRPr="00A6019F">
        <w:lastRenderedPageBreak/>
        <w:t xml:space="preserve">expression profiles (GEPs), fluorescence in situ hybridiza tion with multiple probes, or comparative genomic hybridization can be helpful. GEPs have also been developed to determine prognosis. </w:t>
      </w:r>
      <w:r w:rsidR="00A6019F" w:rsidRPr="00A6019F">
        <w:rPr>
          <w:rFonts w:ascii="Arial" w:hAnsi="Arial" w:cs="Arial"/>
        </w:rPr>
        <w:t>■</w:t>
      </w:r>
      <w:r w:rsidR="00A6019F" w:rsidRPr="00A6019F">
        <w:t xml:space="preserve">CLASSIFICATION AND PATHOGENESIS Clinical More recent classifications of melanoma are based on association with cumulative solar damage and nine different pathways related to genomic attributes summarized in Table 81-2. This revised classification incorporates traditional histopathologic designations such as superficial spreading, lentigo maligna, acral lentiginous, and desmoplastic, among others, but more precisely incorporates the pathophysiology and genetic drivers of melanoma subtypes. At present, genomic alteration pathways for melanomas are not incorporated into American Joint Committee on Cancer (AJCC) stag ing or prognostic considerations, yet characterizing the genomic and mutational profiles of melanoma has become increasingly common in clinical practice. It is anticipated that genomic pathway characteriza tion will become increasingly important in determination of mela noma prognosis and may influence surveillance strategies, surgical decisions, and medical therapy. Genomic The advent of next-generation sequencing has led to whole exome sequencing of thousands of cutaneous melanomas derived from nonglabrous (hair-bearing) skin. This has revealed very complex genomic changes resulting from both germline (see “Genetic Suscepti bility to Melanoma” above) and somatic mutations. Cutaneous melano mas have one of the highest somatic mutation rates (&gt;10 mutations/Mb) among all cancers; the majority (76% of primary tumors and 84% of TABLE 81-2 Major Histologic Subtypes of Malignant Melanoma TYPE Lentigo maligna SITE Sun-exposed surfaces, particularly malar region and temple APPEARANCE metastatic melanomas) exhibit mutations indicative of UVR expo sure. The mutation rate varies based on body site; melanomas arising in chronic sun-damaged skin harbor substantially more mutations than melanomas from non–sun-damaged skin. Melanomas can harbor thousands of mutations, but only a few are “driver” mutations that promote cell proliferation or inhibit normal pathways of apoptosis or DNA repair and confer a growth advantage to the neoplastic cell. Some of the driver mutations for cutaneous melanoma are depicted in Fig. 81-2 along with the clinical evolution of melanoma lesions. Driver mutations are often found in combination with mutations to germline susceptibility genes such as p16, which affect cell cycle arrest, and ARF, which result in defective apoptotic responses to genotoxic damage. As melanocytes accumulate DNA damage, they can undergo malignant transformation characterized by invasion, metastasis, and angiogenesis. A genomic classification of cutaneous melanoma has been proposed based on the pattern of the most prevalent mutated genes, BRAF, RAS, and NF1, along with a triple wild type (WT), lacking mutations in these three genes. The pattern of DNA mutations can vary with the site of origin and should be determined along with the histologic subtype of the tumor. The proliferative pathways affected by the mutations include the mitogen-activated protein (MAP) kinase and phosphatidylinositol 3′ kinase/AKT pathways. RAS and BRAF, members of the MAP kinase pathway, which mediates the transcription of genes involved in cell proliferation </w:t>
      </w:r>
      <w:r w:rsidR="00A6019F" w:rsidRPr="00A6019F">
        <w:lastRenderedPageBreak/>
        <w:t xml:space="preserve">and survival, undergo somatic mutation in melanoma and thereby represent potential therapeutic targets. NRAS is mutated in </w:t>
      </w:r>
      <w:r w:rsidR="00A6019F" w:rsidRPr="00A6019F">
        <w:rPr>
          <w:rFonts w:ascii="Cambria Math" w:hAnsi="Cambria Math" w:cs="Cambria Math"/>
        </w:rPr>
        <w:t>∼</w:t>
      </w:r>
      <w:r w:rsidR="00A6019F" w:rsidRPr="00A6019F">
        <w:t>20% of melanomas, and somatic activating BRAF mutations are found in most benign nevi and 40</w:t>
      </w:r>
      <w:r w:rsidR="00A6019F" w:rsidRPr="00A6019F">
        <w:rPr>
          <w:rFonts w:ascii="Aptos" w:hAnsi="Aptos" w:cs="Aptos"/>
        </w:rPr>
        <w:t>–</w:t>
      </w:r>
      <w:r w:rsidR="00A6019F" w:rsidRPr="00A6019F">
        <w:t xml:space="preserve">50% of cutaneous melanomas. Neither mutation by itself appears to be sufficient to cause melanoma; thus, they often are accompanied by other mutations, such as in TERT. The BRAF mutation is most commonly a T→A point mutation that results in a valine-to-glutamate amino acid substitution (V600E). V600E BRAF mutations are more common in younger patients and are present in most melanomas that arise on skin with intermittent sun exposure and are less common in melanomas from chronically sun-damaged skin (i.e., those of older patients). Melanomas may harbor mutations in AKT (primarily in AKT3) and PTEN (phosphatase and tensin homolog). AKT can be amplified, and PTEN may be deleted or undergo epigenetic silencing that leads to constitutive activation of the PI3K/AKT pathway and enhanced cell survival by antagonizing the intrinsic pathway of apoptosis. A loss-of function mutation in NF1, which can affect both the MAP kinase and PI3K/AKT pathways, has been described in 10–15% of melanomas. CHAPTER 81 Cancer of the Skin In flat portions, brown and tan predominate, but whitish gray sometimes present; in nodules, reddish brown, bluish gray, bluish black. Superficial spreading Nodular Acral lentiginous Desmoplastic Uveal Mucosal Any (more common on upper back and, in women, lower legs) Any Palm, sole, nail bed, mucous membrane Any (more common on head and neck) Brown mixed with bluish red, bluish black, reddish brown, and often whitish pink. The lesion border is often visibly and/or palpably raised. Reddish blue, purple, or bluish black; can be uniform or mixed with brown and black. In flat portions, dark brown; in raised lesions (plaques), brown-black or blue-black. Highly variable; pigmentation is frequently absent. Can mimic nodular basal cell carcinoma. Choroid, ciliary body, iris Oral cavity, conjunctiva, sinuses, alimentary tract including rectum and anus, vulva Dome or mushroom shaped. Display low internal reflectivity on ocular ultrasound. Can display radial growth pattern with ABCDE features associated with cutaneous melanomas. Often present with advanced tumors infiltrating local tissues ASSOCIATED MUTATIONS BRAF 28% NRAS 15% PTEN BRAF 57% NRAS 18% BRAF 47% NRAS 33% NRAS 25% c-KIT 5-10% BRAF 10% MAPK and PI3K 73% High tumor mutational burden, BRAF and NRAS uncommon BAP1, GNAQ, GNA11 KIT, NRAS, KRAS or BRAF NF1 Abbreviation: ABCDE, asymmetry (benign lesions are usually symmetric); border irregularity (most nevi have clear-cut borders); color variegation (benign lesions usually have uniform light or dark pigment); diameter &gt;6 mm (the size of a pencil eraser); and evolving (any change in size, shape, color, or elevation or new symptoms such as bleeding, itching, and crusting). 602 Driver Mutations BRAF: 10% NRAS: 10% C-KIT: 5–10% NF1: 48% of BRAF and NRAS WT melanoma in older patients BRAF: 50% NRAS: 20% C-KIT: 0% PART 4 Oncology and Hematology Chronic Sun Damage Nonchronic Sun Damage A B C Photodamage Nevus Lentigo Maligna De Novo Dysplastic Nevus Lentigo Maligna Melanoma Nodular Melanoma In Situ D F G H I J K Superficial Spreading E FIGURE 81-2 Cutaneous melanoma development and </w:t>
      </w:r>
      <w:r w:rsidR="00A6019F" w:rsidRPr="00A6019F">
        <w:lastRenderedPageBreak/>
        <w:t xml:space="preserve">associated driver mutations. Chronic sun damage (with prominent solar elastosis) (A) predisposes to a lentigo maligna (in situ) (B), which can evolve into lentigo maligna melanoma (invasive) (C). Similarly, nonchronic sun damage can initiate melanoma de novo or in nevomelanocytes, where clinical and histologic changes of atypia may be seen prior to complete transformation. Nevi (D, E) can evolve into atypical lesions (F, G), in situ melanoma (H, I), and eventually invasive nodular (J) or superficial spreading melanomas (K). Images E, G, and I are dermascopic photos of images D, F, and H, respectively. (Part A photo courtesy of Dr. Sancy Leachman, © Copyright 2022 Oregon Health &amp; Science University [OHSU]. Parts B, C, J, and K photos courtesy of Dr. Leonard Swinyer Collection, © Copyright 2020 University of Utah and OHSU. Parts D–I photos courtesy of Dr. Elizabeth Berry, © Copyright 2022 OHSU.) In melanoma, these two signaling pathways (MAP kinase and PI3K/ AKT) enhance tumorigenesis, chemoresistance, migration, and cell cycle dysregulation. </w:t>
      </w:r>
      <w:r w:rsidR="00A6019F" w:rsidRPr="00A6019F">
        <w:rPr>
          <w:rFonts w:ascii="Arial" w:hAnsi="Arial" w:cs="Arial"/>
        </w:rPr>
        <w:t>■</w:t>
      </w:r>
      <w:r w:rsidR="00A6019F" w:rsidRPr="00A6019F">
        <w:t xml:space="preserve">PROGNOSTIC FACTORS The most important clinical prognostic factors for a newly diagnosed patient are incorporated in the AJCC staging classification. The best pre dictor of recurrence is Breslow thickness, followed by ulceration, which together make up the T stage for melanoma. The anatomic site of the primary tumor also influences prognosis; favorable sites are the forearm and leg, and unfavorable sites include the scalp, hands, feet, and mucous membranes. Women with stage I or II disease have better survival than men, perhaps in part because of earlier diagnosis; women frequently have melanomas on the lower leg, where self-recognition is more likely compared to the back, where melanoma is more likely in men. Older individuals, especially men &gt;60, have a tendency toward delayed diagnosis (and thus thicker tumors), have more head and neck and acral melanomas (which tend to have earlier vertical growth and distant metastases), and are more likely to develop melanomas in chronically UVR-damaged skin (which are more often BRAF wild type, with fewer options for therapy). All these factors help explain the worse prognosis in older males. Other important adverse factors include high mitotic rate and lymphatic/vascular invasion. Clinical features such as microsatellite lesions and/or in-transit metastases, evidence of nodal involvement, elevated serum lactate dehydrogenase (LDH), and certain sites of distant metastases (e.g., brain, liver, and bone) all portend a higher stage and worse prognosis. GEPs and machine-learning algorithms that associate genomic changes with clinical outcomes have been used to estimate the prog nosis of melanoma. A commercially available 31-gene GEP is available that predicts for all-site (particularly distant) relapse and incorporates the increased and decreased expression, as well as the dysregulation, of genes involved in many of the cellular processes leading to melanoma progression described earlier. Although this 31-gene GEP can estimate the probability of distant relapse, it has not supplanted the prognostic estimates derived from surgical staging. GEPs have been incorporated into management guidelines for breast, thyroid, and other cancers, but their use in cutaneous melanoma care is still under investigation. </w:t>
      </w:r>
      <w:r w:rsidR="00A6019F" w:rsidRPr="00A6019F">
        <w:rPr>
          <w:rFonts w:ascii="Arial" w:hAnsi="Arial" w:cs="Arial"/>
        </w:rPr>
        <w:t>■</w:t>
      </w:r>
      <w:r w:rsidR="00A6019F" w:rsidRPr="00A6019F">
        <w:t xml:space="preserve">STAGING The purpose of staging is to estimate melanoma prognosis and deter mine treatment </w:t>
      </w:r>
      <w:r w:rsidR="00A6019F" w:rsidRPr="00A6019F">
        <w:lastRenderedPageBreak/>
        <w:t xml:space="preserve">selection. The current melanoma staging criteria and estimated 10-year survival by stage are depicted in Table 81-3. The clinical stage is determined after the microscopic evaluation of the melanoma skin lesion and clinical and radiologic assessment. The pathologic stage incorporates the results from microscopic examina tion of clinically negative regional lymph nodes obtained at sentinel lymph node biopsy (SLNB), any enlarged nodes found on exam or imaging, and any suspected metastases amenable to open or image guided biopsy. All patients should have a complete history, with attention to symp toms that suggest metastatic disease, such as new palpable masses, malaise, weight loss, headaches, vision changes, alterations in bowel habits, hemoptysis, and pain. The provider should look for persistent melanoma at the biopsy site, dermal or subcutaneous nodules that could represent satellite or in-transit metastases, and lymphadenopa thy. A complete blood count, complete metabolic panel, and LDH should be performed. Although these tests rarely lead to detection of occult metastatic disease, a microcytic anemia would raise the possibil ity of bowel metastases, elevated liver function tests can suggest liver metastases, and LDH is part of the AJCC system for stage IV disease. Abnormal test results should prompt a more extensive evaluation, including computed tomography (CT) scan or a positron emission tomography (PET) scan (or CT/PET combined). Magnetic resonance TABLE 81-3 Staging and Survival 603 STAGE 0 IA IB IIA IIB IIC IIIA IIIB IIIC IIID IV M1a IV M1b IV M1c IV M1d TNM TisN0M0 T1aN0M0, T1bN0M0 T2aN0M0 T2b-T3aN0M0 T3b-T4aN0M0 T4bN0M0 T1a-T2aN1a-2aM0 T2b-T3aN1a-N2bM0 T3b-4bN1a-N3cM0 T4bN3a-N3cM0 10-YEAR MELANOMA SPECIFIC SURVIVAL ESTIMATE Any T, any N, skin, soft tissue, or distant nodal sites Any T, any N, lung + any M1a sites Any T, any N, skin, non-CNS visceral disease, any M1a or M1b sites Any T, any N, CNS metastasis + any M1a,b,c sites &gt;99% 98% 94% 88% 81–83% 75% 71–88% 60–77% 44–60% 24–30% 50% at 5 years 35–50% at 5 years ~25% at 5 years 80% of patients at presenta tion will have disease confined to the skin and a negative history and physical examination, in which case imaging is not indicated. One study suggests that imaging should be considered for node-negative low-stage melanoma with a high-risk GEP, but this is not yet standard. Imaging is sometimes done for very-high-risk primaries (e.g., &gt;4 mm with ulceration, clinical stages IIB and IIC) in which the chance for occult distant metastases is higher than that for a positive SLNB, and the prognosis is worse compared to stage IIIA disease. Medical oncolo gists now routinely provide consultation for stage IIB and IIC patients to assess the potential value of adjuvant therapy (see “Treatment”). TREATMENT Melanoma MANAGEMENT OF CLINICALLY LOCALIZED MELANOMA (STAGE I, II) For a newly diagnosed cutaneous melanoma, surgical wide exci sion (WE) of the lesion with a margin of normal skin is necessary to remove all malignant cells and minimize the probability of local recurrence. The National Comprehensive Cancer Network (NCCN), based on data from six randomized trials, recommends the following radial margins for a primary MIS, 0.5–1.0 cm; inva sive up to 1 mm thick, 1 cm; &gt;1.01–2 mm, 1–2 cm; and &gt;2 mm, 2 cm. Smaller margins may be used for “anatomically constrained” locations such as the </w:t>
      </w:r>
      <w:r w:rsidR="00A6019F" w:rsidRPr="00A6019F">
        <w:lastRenderedPageBreak/>
        <w:t>face, hands, feet, and genitalia due to the higher likelihood of surgical morbidity in these regions, and in some instances, Mohs with immunostaining is advantageous. In all instances, inclusion of subcutaneous fat in the surgical speci men facilitates adequate thickness measurement and assessment of surgical margins by the pathologist. When feasible, excision should go down to fascia, with fascial resection for thick (T4) lesions. Topical imiquimod, a toll-like receptor agonist, can stimulate skin macrophages to induce an immune response useful to treat lentigo maligna in cosmetically sensitive locations with narrow resec tion margins by promoting local immune response resulting in decreased local recurrence. SLNB provides prognostic information to identify patients at high risk for relapse who may be candidates for adjuvant therapy. The first (sentinel) draining node(s) from the primary site is (are) located by injecting a blue dye and a gamma-emitting radioisotope around the primary site. The sentinel node(s) then is (are) identified using a handheld gamma detector brought sterilely into the opera tive field. The surgeon makes an incision of the area of uptake and looks for the blue-stained, “hot” node(s), which is (are) removed and subjected to histopathologic analysis with serial sectioning using hematoxylin and eosin and immunohistochemical stains (e.g., S100, HMB45, MART-1, and MelanA) to identify melanocytes. NCCN guidelines recommend SLNB for patients with a 10% or greater chance of having tumor in the node. This includes patients with tumors &gt;1 mm thick (T2) or T1 tumors that have ulceration (T1b). Patients with a 5–10% risk of node positivity (NCCN “Dis cuss and Consider” category), such as those with tumors measuring between 0.75 and 1.0 mm, transected tumors, regressed tumors, or lymphovascular invasion, should also be considered for SLNB. The NCCN does not recommend SLNB for patients with a risk of a positive SLNB ≤5% such as those with melanomas ≤0.75 mm thick and no high-risk features. In these patients, WE alone is the usual definitive therapy. There are computer nomograms that estimate the risk of sentinel lymph node involvement based on melanoma depth, clinical features (age, site), and histology (ulceration, mitotic rate, lymphovascular invasion). GEPs in combination with these other factors are being investigated as a sentinel lymph node risk assessment tool in ongoing prospective trials. Patients with negative SLNB can either be followed or considered for adjuvant therapy if the primary lesion is considered high risk. Patients with thick and/or ulcerated stage IIB or IIC melanomas have a significant risk of recurrence after wide local excision and (negative) SLNB, estimated at 13–18% probability of death at 5 years using the AJCC melanoma database. Adjuvant anti-PD-1 immunotherapy using pembrolizumab or nivolumab for 1 year sig nificantly reduces the risk of melanoma recurrence or death in stage IIB or IIC melanoma and has become a standard of care. Patients with a positive sentinel lymph node should undergo CT or PET/CT imaging to rule out distant metastatic disease, and if none is found (i.e., stage III), adjuvant therapy should be offered (see next section). Complete lymphadenectomy following identifi cation of a positive sentinel lymph node improves relapse-free but not overall survival, and therefore, it is no longer offered routinely, but should be considered in patients who cannot comply with follow-</w:t>
      </w:r>
      <w:r w:rsidR="00A6019F" w:rsidRPr="00A6019F">
        <w:lastRenderedPageBreak/>
        <w:t xml:space="preserve">up and/or forgo adjuvant therapy. This avoids the morbidity of regional node dissection in most patients. However, patients not undergoing immediate completion node dissection should have nodal bed surveillance with physical examination and nodal bed imaging (ultrasound or CT) at 4- to 6-month intervals for approxi mately 3 years to rule out isolated nodal bed progression. Mohs micrographic surgery (MMS) is an alternative to WE and is particularly useful in areas where tissue preservation is important (e.g., face, genitalia, hands) and for lesions with extensive MIS. MMS improves the probability of achieving negative margins, decreases local recurrence, and enhances cosmesis compared to WE in selected patients. It does not preclude SLNB, which can be done before the MMS procedure. MANAGEMENT OF REGIONALLY METASTATIC MELANOMA (STAGE III) Stage III melanoma comprises patients with a positive sentinel lymph node, resected regional nodal macrometastases, or resected locoregional disease (e.g., recurrences in the wide excision site, within 2 cm of the site [“satellite metastases”], or &gt;2 cm from the site [“in-transit metastases”]). Even after complete resection of stage III disease, the risk of developing distant metastases (stage IV) may be high, and adjuvant systemic therapy should be offered. Melanomas may recur at the edge of the incision or graft, as satellite metasta ses, in-transit metastases, or most commonly, regional spread to a draining lymph node basin. Each of these presentations is managed surgically followed by postsurgical adjuvant systemic immuno therapy or targeted therapy (for BRAF-mutant tumors), after which CHAPTER 81 Cancer of the Skin 604 there is the possibility of long-term disease-free survival. Topical therapy with imiquimod has been useful for patients with low volume dermal lesions, but survival benefit has not been confirmed with this approach. Talimogene laherparepvec is an engineered, oncolytic herpes simplex virus type 1 that is FDA approved for injection of primary or recurrent melanomas including cutaneous and subcutaneous lesions or lymph node deposits that cannot be completely removed by surgery. PART 4 Oncology and Hematology Radiotherapy can reduce the risk of local recurrence after lymph adenectomy but does not improve overall survival. Patients with large nodes (&gt;3–4 cm), four or more involved lymph nodes, or extranodal spread on microscopic examination should be consid ered for radiation as local recurrence in these high-risk patients has significant morbidity. Systemic adjuvant therapy can also be considered for patients with completely resected stage IV disease. Current options for adjuvant systemic therapy include anti-PD-1 (nivolumab or pembrolizumab) or targeted therapy with BRAF/ MEK inhibitors in melanomas that harbor a BRAF V600 mutation. Both anti-PD-1 and targeted therapy have been shown to confer disease-free and overall survival benefits in patients with stage III and stage IV melanoma (see below for further discussion). A subset of patients with stage III melanoma has bulky disease (usually palpable nodal involvement) at presentation (stages IIIC and IIID) that may be difficult to resect with negative margins. Even if surgery is feasible and postsurgical adjuvant immunotherapy or targeted therapy is offered, the prognosis of these patients is poor. A recent randomized phase II study comparing neoadjuvant therapy followed by resection and </w:t>
      </w:r>
      <w:r w:rsidR="00A6019F" w:rsidRPr="00A6019F">
        <w:lastRenderedPageBreak/>
        <w:t xml:space="preserve">adjuvant pembrolizumab versus resection followed by adjuvant pembrolizumab showed significant improvements in event-free and overall survival for the neoadjuvant approach. Other randomized phase II clinical trials investigating neoadjuvant plus adjuvant ipilimumab and nivolumab or relatlimab plus nivolumab in patients with palpable nodal disease at diagnosis have demonstrated a &gt;50% probability of achieving a pathologic complete response with neoadjuvant treatment and a low probability of recurrence at 1 and 2 years. Neoadjuvant plus adjuvant targeted therapy in patients with stage IIIC or IIID BRAF-mutated melanoma has demonstrated a similar high probability of achieving pathologic complete response and improved event-free survival in single-arm phase II studies. Long-term follow-up data from randomized con trolled studies of neoadjuvant immunotherapy are not yet mature, and comparisons of immunotherapy to targeted therapy in the neoadjuvant setting have not yet been performed. GEP may help to identify patients with stages II or III melanoma who are at lower risk of recurrence and could avoid the toxicity and expense of adjuvant therapy, although prospective data on this approach are needed. TREATMENT Metastatic Disease At diagnosis, 84% of patients with melanoma will have stage I or II disease and 4% will present with metastases. Many others will develop metastases after initial therapy for locoregional disease; 60% of deaths from melanoma occur in patients who were initially diagnosed as stage I or II. The probability of recurrence is related to initial stage, ranging from 90% for subsets of patients with stage IIID disease at presentation. Patients with a history of melanoma who develop signs or symptoms suggesting recurrent disease should undergo restaging imaging as described earlier. Distant metastases (stage IV) commonly involve skin and lymph nodes as well as viscera, bone, or the brain. The prognosis is better for patients with skin and subcutaneous metastases (M1a) than for lung (M1b) and worst for those with metastases to bone or other visceral organs (M1c) or brain (M1d). An elevated serum LDH is a poor prognostic factor and places the patient in stage M1c regardless of the metastatic sites. The 15-year survival of patients with stage IV melanoma was 2 years after immunotherapy or targeted therapy have a high probability of living &gt;5 years from the onset of metastasis; some of these individuals may be cured. FDA-approved agents since 2011 include three immune T-cell checkpoint inhibitors (ipilimumab, nivolumab, and pembroli zumab), combination immunotherapy (ipilimumab plus nivolumab or relatlimab plus nivolumab), six oral agents that target the MAP kinase pathway (the BRAF inhibitors vemurafenib, dabrafenib, and encorafenib, and the MEK inhibitors trametinib, cobimetinib, and binimetinib), and the oncolytic virus talimogene laherparepvec. Adoptive cellular therapy using tumor-infiltrating lymphocytes (TILs) administered with interleukin 2 is undergoing FDA review and may become a new standard of care for patients with progres sion on checkpoint immunotherapy (Table 81-4). Local modalities, such as surgery and stereotactic radiosurgery, should be considered for patients with a limited number of meta static sites (oligometastatic disease) because they may experience long-term disease-free survival after metastasectomy or ablative high-dose-per-fraction </w:t>
      </w:r>
      <w:r w:rsidR="00A6019F" w:rsidRPr="00A6019F">
        <w:lastRenderedPageBreak/>
        <w:t xml:space="preserve">radiation. Patients with solitary metastases are the best candidates, but local modalities can also be offered to patients with metastases at more than one site if a complete resec tion or treatment of all sites can be achieved with reasonable side effects. Patients rendered free of disease can be considered for adjuvant therapy or a clinical trial because their risk of developing additional metastases remains high. Surgery can also be used as an adjunct to systemic therapy if only one or a few oligometastases remain after systemic therapy. Surgery can be used to obtain tumor for mutational profile analysis or to harvest tumor for TIL therapy. IMMUNOTHERAPY Immune Checkpoint Blockade Immunotherapies are based on an understanding of the control mechanisms of the normal immune response. Inhibitory receptors or checkpoints, including CTLA-4, PD-1, and lymphocyte activation gene 3 (LAG-3), are upregulated on T cells after engagement of the T-cell receptor by cognate tumor antigen in the context of the appropriate class I or II human leu kocyte antigen (HLA) molecules during the interaction between a T cell and antigen-presenting cell. Immune checkpoints are needed to ensure proper regulation of a normal immune response; however, the continued expression of inhibitory receptors during chronic 605 infection (hepatitis, HIV) and in cancer patients leads to exhausted T cells with limited potential for proliferation, cytokine production, or cytotoxicity. Ipilimumab, a fully human IgG1 antibody that binds CTLA-4 and blocks inhibitory signals, was the first drug shown in a randomized trial to improve survival in patients with metastatic melanoma. Anti-CTLA-4 monotherapy has been supplanted by anti-PD-1 monotherapy or checkpoint combinations due to higher objective response rates and longer durations of response. The PD-1 blockers, nivolumab and pembrolizumab, have been approved to treat patients with advanced melanoma. Combination T-cell checkpoint therapy, blocking both inhibitory pathways with ipilimumab and nivolumab, leads to superior antitumor activity compared to treatment with either agent alone. Combined therapy with IV ipilimumab and nivolumab is administered in the out patient setting every 3 weeks for four doses (induction), followed by nivolumab given every 2–4 weeks (maintenance) for up to 1 year, and is associated with an objective response rate of 56% and enhanced survival compared to ipilimumab monotherapy. Patients who have &gt;5% expression of PD-1 on T cells in a melanoma biopsy sample derive a similar level of clinical benefit from nivolumab mono therapy, although using PD-1 expression to select therapy remains problematic as some patients whose melanoma has no detectable PD-1 expression can still respond to immunotherapy. Other elements of genomic analysis, including an estimate of tumor mutational bur den (TMB), can be clinically useful as TMB is correlated with a higher probability of objective response and longer progression-free survival in patients treated with checkpoint antibody therapy in melanoma and other solid tumors. TMB appears to be a more robust predictor of response compared to PD-L1 expression in melanoma. LAG-3 is another checkpoint present on CD4+ and CD8+ T cells and is upregulated after chronic antigen exposure. The combination of anti-LAG-3 using relatlimab and anti-PD-1 with nivolumab results in </w:t>
      </w:r>
      <w:r w:rsidR="00A6019F" w:rsidRPr="00A6019F">
        <w:lastRenderedPageBreak/>
        <w:t xml:space="preserve">objective responses comparable to ipilimumab plus nivolumab with fewer side effects. Relatlimab plus nivolumab has been approved by the FDA for the first-line treatment of advanced melanoma, has activity after progression on other checkpoint inhibitors, and is being investigated in the neoadjuvant setting as detailed above. T-cell checkpoint antibodies can also interfere with normal immune regulatory mechanisms, producing a novel spectrum of side effects. The most common immune-related adverse events were skin rash (discussed in depth in the Dermatology Drug Eruption section in Chap. 63) and diarrhea (sometimes severe, life-threatening colitis), but toxicity can involve almost any organ resulting in thyroiditis, hypophy sitis, hepatitis, nephritis, pneumonitis, myocarditis, and neuritis. The severity and frequency of toxicity are greatest when anti-CTLA-4 and anti-PD-1 are combined, followed by anti-CTLA-4, anti-LAG-3 plus anti-PD-1, and then anti-PD-1 monotherapies. Vigilance, interruption of therapy, and early intervention with steroids or other immuno suppressive agents, such as anti–tumor necrosis factor antibodies or mycophenolate mofetil, can mitigate toxicity and prevent permanent organ damage. Using immunosuppressive agents to mitigate toxicity does not diminish antitumor activity, and benefit is manifest even in patients who must discontinue immunotherapy due to immune-medi ated toxicity. Checkpoint immunotherapy can be administered safely to selected patients with preexisting autoimmune conditions using a multidisciplinary approach with input from endocrinology, rheuma tology, and other specialty services as clinically necessary. The use of T-cell checkpoint antibodies for metastatic melanoma has become commonplace, but there is controversy about whether all patients need combined anti-CTLA-4 and anti-PD-1 and whether biomarkers can be used to select patients who may benefit from anti-PD-1 alone. There is also a significant economic impact with any anticancer therapy, which must be placed in the context of the survival benefit. TARGETED THERAPY The RAS-RAF-MEK-ERK pathway delivers proliferation and sur vival signals from the cell surface to the cytoplasm and nucleus and is mutated in approximately 50% of melanomas. Inhibitors of BRAF and MEK can induce regression of melanomas that harbor a BRAF mutation. Three BRAF inhibitors, vemurafenib, dabrafenib, and encorafenib, have been approved for the treatment of patients whose melanomas harbor a mutation at position 600 in BRAF. Monotherapy with BRAF inhibitors has been supplanted with com bined BRAF and MEK inhibition to address the rapid adaptation of melanomas that use MAP kinase pathway reactivation to facilitate growth when BRAF is inhibited. Combined therapy with BRAF and MEK inhibitors (dabrafenib and trametinib, vemurafenib with cobimetinib, or encorafenib and binimetinib) improved progres sion-free and overall survival compared to monotherapy with a BRAF inhibitor. Long-term results of inhibition of the MAP kinase pathway confirm that some patients achieve long intervals of dis ease control, yet the major limitation of both monotherapy and combined therapy appears to be the acquisition of resistance. The mechanisms of resistance are diverse and reflect the genomic het erogeneity of melanoma; however, most instances involve reactiva tion of the MAPK pathway, often </w:t>
      </w:r>
      <w:r w:rsidR="00A6019F" w:rsidRPr="00A6019F">
        <w:lastRenderedPageBreak/>
        <w:t xml:space="preserve">through RAS mutations or mutant BRAF amplification. Patients who develop resistance to BRAF and MEK inhibition are candidates for immunotherapy or clinical trials. Targeted therapy is accompanied by manageable side effects that differ from those experienced during immunotherapy. Headache, pyrexia, and arthralgias are common. A class-specific side effect of BRAF inhibitor monotherapy is the development of hyperprolifera tive skin lesions, including well-differentiated squamous cell skin cancers (SCCs) in up to 25% of patients. Paradoxical activation of the MAP kinase pathway occurs from BRAF inhibitor–mediated changes in BRAF wild-type cells, and the activation is blocked by MEK inhibitor, which explains why these lesions are infrequent during combined therapy. Metastases from treatment-induced SCCs have not been reported, and BRAF and MEK inhibitors can be continued safely following simple excision of the SCCs. Cardiac and ocular toxicities, although infrequent, can occur with BRAF and MEK inhibitors and require medical evaluation, management, and usually discontinuation of targeted therapy. Activating mutations in the c-kit receptor tyrosine kinase are found in a minority of cutaneous melanomas with chronic sun dam age but are more common in mucosal and acral lentiginous subtypes. When activating mutations of c-kit are present, imatinib therapy can achieve clinically meaningful responses, similar to gastrointestinal stromal tumors. The probability of objective response in patients whose melanomas harbor a c-kit mutation is 29%, although most responses are transient. N-RAS mutations occur in 15–20% of mela nomas. At present, there are no effective targeted agents for these patients, but N-RAS inhibitors are being investigated in clinical trials. Targeting proteins that are differentially expressed on melanoma has been the basis for many clinical trials investigating vaccines and engineered biologics. An engineered bispecific fusion protein targeting gp100 on melanoma and CD3 on T cells, called teben tafusp, has garnered FDA approval for the treatment of metastatic uveal melanoma in patients who have the HLA-A*02.01 tissue type. Uveal melanoma is an aggressive melanoma subtype with a propensity for metastasis to the liver and a much lower probability of response to checkpoint immunotherapy than cutaneous melano mas. Objective response to tebentafusp is 5 cm in diameter and may enlarge rapidly. Although MCCs may arise almost anywhere on the body, they are most often found in sun exposed areas such as the head, neck, or extremities. They can also be found around the anus and on eyelids. The common clinical features of MCC can be summarized by the acronym AEIOU: asymptomatic/ nontender, expand rapidly, immune suppression, older than 50 years, and ultraviolet-exposed site. </w:t>
      </w:r>
      <w:r w:rsidR="00A6019F" w:rsidRPr="00A6019F">
        <w:rPr>
          <w:rFonts w:ascii="Arial" w:hAnsi="Arial" w:cs="Arial"/>
        </w:rPr>
        <w:t>■</w:t>
      </w:r>
      <w:r w:rsidR="00A6019F" w:rsidRPr="00A6019F">
        <w:t xml:space="preserve">NATURAL HISTORY Basal Cell Carcinoma The natural history of BCC is that of a slowly enlarging, locally invasive neoplasm. The degree of local destruction and risk of recurrence vary with the size, duration, loca tion, and histologic subtype of the tumor. Location on the central face, ears, or scalp may portend a higher risk. Small nodular, pigmented, cystic, or superficial BCCs respond well to most treatments. Large lesions and micronodular, infiltrative, and morpheaform subtypes may be more aggressive. The metastatic potential of BCC is low (0.1%) in immunocompetent patients, but the risk of recurrence </w:t>
      </w:r>
      <w:r w:rsidR="00A6019F" w:rsidRPr="00A6019F">
        <w:lastRenderedPageBreak/>
        <w:t xml:space="preserve">or a new pri mary NMSC is about 40% over 5 years. Merkel Cell Carcinoma MCCs usually present locally yet have a high probability of spread to regional lymph nodes and distant sites. Molecular markers of neuroendocrine origin such as synaptophysin or chromogranin A are useful to diagnose MCC. Unlike other neuroen docrine tumors, such as small-cell lung cancer (SCLC), MCCs are not associated with measurable hormone secretion or endocrine syndromes. Survival with MCC depends on extent of disease: 90% of patients with local disease are cured, whereas 52% with nodal involvement and 10% with distant disease survive. MCC has its own tumor-node-metastasis (TNM) staging system, which incorporates tumor size (2 cm), nodal status (which can be determined by SLNB for clinically negative nodes), and the presence of distant metastases. Independent of stage, the prognosis of MCC is improved if the tumor cells contain virus, express RB protein, and exhibit intratumoral CD8+ T lymphocyte infiltration. p63 expression, lymphovascular infiltrative pattern, and concomitant immunosuppression (e.g., organ transplant, HIV infection, and certain cancers) portend a worse prognosis. TREATMENT Basal Cell, Squamous Cell, and Merkel Cell Carcinoma BASAL CELL CARCINOMA Treatment for BCC includes electrodesiccation and curettage (ED&amp;C), excision, cryosurgery, radiation therapy (RT), laser ther apy, MMS, topical 5-fluorouracil, photodynamic therapy (PDT), and topical immunomodulators, such as imiquimod. The choice 608 A B A B C C PART 4 Oncology and Hematology D D E F E G F G H I H I FIGURE 81-4 Progression of basal cell (BCC) and squamous cell carcinoma (SCC). A. Superficial BCC; note salmon pink color, rolled boarder, erosions, and a gray central globule. B. Nodular BCC; note shiny, slightly pearly character with prominent arborizing vessels. C. Eroded BCC with serous and sanguinous crusting. D. Multiple actinic keratoses; note flat lesions are early, and thicker lesions may require biopsy to discriminate between advanced actinic keratosis versus early SCC. E. Superficial SCC. F. Keratoacanthoma (well-differentiated SCC). G. Mucocutaneous SCC in a high-risk area on the lower lip. H. Cutaneous SCC. I. Large exophytic SCC on the wrist. (Photos courtesy of the Dr. Leonard Swinyer Collection, © Copyright 2020 University of Utah and Oregon Health &amp; Science University.) of therapy depends on tumor characteristics including depth and location, patient age, medical status, and patient preference. ED&amp;C remains the most frequent treatment for superficial, minimally invasive nodular BCCs and low-risk tumors (e.g., a small tumor of a less aggressive subtype in a favorable location without terminal hairs). Wide local excision with standard margins is usually selected for invasive, ill-defined, and more aggressive subtypes of tumors or for cosmetic reasons. MMS, a specialized type of surgical excision that provides the best method for tumor removal while preserv ing uninvolved tissue, is associated with cure rates of &gt;98%. It is the preferred modality for lesions that are recurrent, in high-risk or cosmetically sensitive locations (including recurrent tumors in these locations), and for which maximal tissue conservation is critical (e.g., the eyelids, lips, ears, nose, and digits). RT can cure patients not considered surgical candidates and can be used as a surgical adjunct in high-risk </w:t>
      </w:r>
      <w:r w:rsidR="00A6019F" w:rsidRPr="00A6019F">
        <w:lastRenderedPageBreak/>
        <w:t xml:space="preserve">tumors. Imiquimod can be used to treat superficial and smaller nodular BCCs, although it is not FDA approved for nodular BCC. Topical 5-fluorouracil therapy should be limited to superficial BCC. PDT, which uses selective activation of a photoactive drug by visible light, has been used in patients with numerous tumors. Intralesional therapy (5-fluorouracil or interferon) can also be employed. Like RT, it remains an option for selected patients who cannot or will not undergo surgery. Systemic therapy with a targeted hedgehog pathway inhibitor, such as vis modegib or sonidegib, is indicated for patients with metastatic or advanced BCC that has recurred after local therapy and who are not candidates for surgery or RT. Targeted therapy does not cure patients with BCC but induces regression in approximately 50% of patients with a median duration of response of 9–12 months in patients with metastatic disease and ~2 years in patients with locally advanced disease. Checkpoint immunotherapy using cemiplimab can be offered to BCC patients who progress after targeted therapy. SQUAMOUS CELL CARCINOMA The principles for surgical management of SCC are the same as for BCC. Cemiplimab, a monoclonal antibody targeting PD-1, has become the systemic therapy of choice, inducing tumor regression in 47% of patients with advanced disease. Neoadjuvant cemiplimab has been given in stage II, III and IV SCC and is associated with a &gt;50% probability of pathologic complete response and is becoming a standard of care in patients with very-high-risk presentations and/ or who have disease that may be technically difficult to resect. SCC and KAs that develop in patients receiving BRAF-targeted therapy should be excised, after which BRAF therapy can be continued. MERKEL CELL CARCINOMA 609 The epidemiology, clinical features, and treatments for MCC over lap those for melanoma and NMSC. Early-stage MCCs may be cured with wide local excision of the primary tumor and nodal staging with SLNB. Like SCLCs, MCC is sensitive to radiation, PD 1-directed immunotherapy, and platinum-based chemotherapy. RT is often used as postoperative adjuvant therapy at both the primary excision and SLNB sites, although its use may be withheld around sensitive areas such as the eyelids and hands and after a negative SLNB. For nonsensitive areas, RT may allow for primary excision margins smaller than the traditionally recommended 2-cm radial margins. When a positive sentinel node is found, adjuvant RT, close observation, and clinical trials investigating immunotherapy are favored over completion nodal dissection. For patients with metastatic disease, immunotherapy has sup planted chemotherapy. Avelumab (anti-PD-L1) therapy led to objective responses in 33% of patients with advanced MCC; 82% of the responses were durable. Pembrolizumab has an objective response &gt;50% in patients with MCPyV-associated and non virus-associated advanced MCC resulting in a median duration of response approaching 2 years. Clinical trials should be offered to MCC patients who progress after checkpoint therapy and whose functional status can support additional treatment. Follow-up of patients with MCC is based on stage and risk. Rou tine skin exams by a dermatologist familiar with MCC and regular examinations of the nodal basins are recommended. Antibody serum titers to MCPyV should be obtained in newly diagnosed MCC patients. </w:t>
      </w:r>
      <w:r w:rsidR="00A6019F" w:rsidRPr="00A6019F">
        <w:lastRenderedPageBreak/>
        <w:t xml:space="preserve">The test can be used to follow patients for relapse if the titer is elevated at baseline and returns to normal after treatment. Conversely, if the titer is elevated but does not return to normal after treatment, imaging should be obtained to look for occult metastases. </w:t>
      </w:r>
      <w:r w:rsidR="00A6019F" w:rsidRPr="00A6019F">
        <w:rPr>
          <w:rFonts w:ascii="Arial" w:hAnsi="Arial" w:cs="Arial"/>
        </w:rPr>
        <w:t>■</w:t>
      </w:r>
      <w:r w:rsidR="00A6019F" w:rsidRPr="00A6019F">
        <w:t xml:space="preserve">PREVENTION The principles for prevention are those described for melanoma earlier. Unique strategies for NMSC include active surveillance for patients on immunosuppressive medications or BRAF-targeted therapy. Chemopro phylaxis using synthetic retinoids and immunosuppression reduction when possible may be useful in controlling new lesions and managing patients with multiple tumors. Nicotinamide 500 mg BID may be used in patients with large numbers of actinic keratoses and SCCs to reduce the development and/or progression of disease. Field therapy with topi cal 5-fluorouracil (with or without calcipotriol), ingenol mebutate, or imiquimod can reduce transformation to SCC in patients with severely sun-damaged skin and numerous premalignant actinic keratoses. Older, immunosuppressed patients should be managed with the lowest doses of immunosuppression possible and encouraged to be particularly care ful to minimize UV exposure. Earlier biopsy of unusual-appearing skin lesions may lead to better control of aggressive lesions. </w:t>
      </w:r>
      <w:r w:rsidR="00A6019F" w:rsidRPr="00A6019F">
        <w:rPr>
          <w:rFonts w:ascii="Arial" w:hAnsi="Arial" w:cs="Arial"/>
        </w:rPr>
        <w:t>■</w:t>
      </w:r>
      <w:r w:rsidR="00A6019F" w:rsidRPr="00A6019F">
        <w:t xml:space="preserve">OTHER NONMELANOMA CUTANEOUS MALIGNANCIES Neoplasms of cutaneous adnexae and sarcomas of fibrous, mesenchy mal, fatty, and vascular tissues make up the remaining 1–2% of NMSCs (Fig. 81-5). Lymphomas of B- or T-cell origin can also manifest in the skin and can mimic benign conditions such as psoriasis and eczema. Extramammary Paget’s disease is an uncommon apocrine malig nancy arising from stem cells of the epidermis that is characterized A C D F B E G FIGURE 81-5 Other malignant cutaneous tumors. A. Patch stage mycosis fungoides (variant of cutaneous T-cell lymphoma). B. Tumor stage mycosis fungoides. C. Extramammary Paget’s disease. D. Merkel cell carcinoma. E. Dermatofibrosarcoma protuberans. F. and G. Kaposi’s sarcoma. (Parts A, B, and D-G photos courtesy of the Dr. Leonard Swinyer Collection, © Copyright 2020 University of Utah and Oregon Health &amp; Science University. Part C photo courtesy Dr. Justin Leitenberger, © Copyright 2022 Oregon Health &amp; Science University [OHSU].) CHAPTER 81 Cancer of the Skin 610 </w:t>
      </w:r>
      <w:r w:rsidR="00A6019F" w:rsidRPr="00A6019F">
        <w:rPr>
          <w:rFonts w:ascii="Arial" w:hAnsi="Arial" w:cs="Arial"/>
        </w:rPr>
        <w:t>■</w:t>
      </w:r>
      <w:r w:rsidR="00A6019F" w:rsidRPr="00A6019F">
        <w:t xml:space="preserve">INCIDENCE AND EPIDEMIOLOGY histologically by the presence of Paget cells. These tumors present as moist erythematous patches on anogenital or axillary skin of the elderly. Outcomes are generally good with surgery, and 5-year disease specific survival is 95% with localized disease. Advanced age and extensive disease at presentation confer poorer prognosis. RT or topical imiquimod can be considered for more extensive disease. Local management may be challenging because these tumors often extend far beyond clinical margins; surgical excision with MMS has the high est cure rates. Similarly, MMS is the treatment of choice in other rare cutaneous tumors with extensive subclinical extension such as derma tofibrosarcoma protuberans. Kaposi’s sarcoma (KS) is a soft tissue sarcoma of vascular origin that is induced by the human herpesvirus 8. The incidence of KS increased dramatically during the AIDS epidemic but has now decreased tenfold with the institution of highly active antiretroviral therapy. Acknowledgment PART 4 Oncology and Hematology Walter Urba, </w:t>
      </w:r>
      <w:r w:rsidR="00A6019F" w:rsidRPr="00A6019F">
        <w:lastRenderedPageBreak/>
        <w:t xml:space="preserve">MD, PhD, provided valued feedback and suggested improvements to this chapter. Clinical photos were generously provided from the OHSU Swinyer Collection (Leonard Swinyer, MD) and by Drs. Elizabeth Berry, Alexander Witkowski, Joanna Ludzik, Debbie Miller, Alison Skalet, and Justin Leitenberger. Dermoscopic images were pro vided by Elizabeth Berry, Alexander Witkowski, Joanna Ludzik, and Debbie Miller. Reflectance confocal microscopy images were provided by Drs. Alexander Witkowski and Joanna Ludzik. </w:t>
      </w:r>
      <w:r w:rsidR="00A6019F" w:rsidRPr="00A6019F">
        <w:rPr>
          <w:rFonts w:ascii="Arial" w:hAnsi="Arial" w:cs="Arial"/>
        </w:rPr>
        <w:t>■</w:t>
      </w:r>
      <w:r w:rsidR="00A6019F" w:rsidRPr="00A6019F">
        <w:t>FURTHER READING Atkins ME et al: Combination dabrafenib and trametinib versus combination nivolumab and ipilimumab for patients with advanced BRAF-mutant melanoma: The DREAMseq trial</w:t>
      </w:r>
      <w:r w:rsidR="00A6019F" w:rsidRPr="00A6019F">
        <w:rPr>
          <w:rFonts w:ascii="Aptos" w:hAnsi="Aptos" w:cs="Aptos"/>
        </w:rPr>
        <w:t>—</w:t>
      </w:r>
      <w:r w:rsidR="00A6019F" w:rsidRPr="00A6019F">
        <w:t xml:space="preserve">ECOG-ACRIN EA6134. J Clin Oncol 41:186, 2022. Elder DE et al: The 2018 World Health Organization classification of cutaneous, mucosal, and uveal melanoma. Arch Pathol Lab Med 44:500, 2020. Faries MD et al: Completion dissection or observation for sentinel-node metastasis in melanoma. N Engl J Med 376:2211, 2017. Harms PW et al: The biology and treatment of Merkel cell carcinoma: Current understanding and research priorities. Nat Rev Clin Oncol 15:763, 2018. National Comprehensive Cancer Network: NCCN clinical practice guidelines in oncology (NCCN guidelines): Melanoma. Available from https://www.nccn.org/professionals/physician_gls/pdf/melanoma. pdf. Tawbi HA et al: Relatlimab and nivolumab versus nivolumab in untreated advanced melanoma. N Engl J Med 386:24, 2022. Wu YP et al: A systematic review of interventions to improve adher ence to melanoma preventive behaviors for individuals at elevated risk. Prev Med 88:153, 2016. 82 Head and Neck Cancer Everett E. Vokes Epithelial carcinomas of the head and neck arise from the mucosal surfaces in the head and neck and typically are squamous cell in origin. This category includes tumors of the paranasal sinuses, the oral cavity, and the nasopharynx, oropharynx, hypopharynx, and larynx. Tumors of the salivary glands differ from the more common carcinomas of the head and neck in etiology, histopathology, clinical presentation, and therapy. They are rare and histologically highly heterogeneous. Thyroid malignancies are described in Chap. 397. The number of new cases of head and neck cancers (oral cavity, phar ynx, and larynx) in the United States was estimated at 66,920 in 2023, accounting for about 6% of adult malignancies; estimated deaths were 15,400. The worldwide incidence exceeds half a million cases annually. In North America and Europe, the tumors usually arise from the oral cavity, oropharynx, or larynx. The incidence of oropharyngeal cancers has been increasing in Western countries. Nasopharyngeal cancer is endemic in East Asia and some Mediterranean countries. </w:t>
      </w:r>
      <w:r w:rsidR="00A6019F" w:rsidRPr="00A6019F">
        <w:rPr>
          <w:rFonts w:ascii="Arial" w:hAnsi="Arial" w:cs="Arial"/>
        </w:rPr>
        <w:t>■</w:t>
      </w:r>
      <w:r w:rsidR="00A6019F" w:rsidRPr="00A6019F">
        <w:t xml:space="preserve">ETIOLOGY AND GENETICS Alcohol and tobacco use are the most significant environmental risk factors for head and neck cancer, and when used together, they act synergistically. Smokeless tobacco is an etiologic agent for oral can cers. Other potential carcinogens include marijuana and occupational exposures such as nickel refining, exposure to textile fibers, and woodworking. Some head and neck cancers have a viral etiology. Epstein-Barr virus (EBV) infection is frequently associated with nasopharyngeal cancer, especially in endemic areas. EBV antibody titers can be measured to screen high-risk populations and are under investigation to </w:t>
      </w:r>
      <w:r w:rsidR="00A6019F" w:rsidRPr="00A6019F">
        <w:lastRenderedPageBreak/>
        <w:t xml:space="preserve">monitor treatment response. Nasopharyngeal cancer has also been associated with consumption of salted fish and indoor pollution. In Western countries, the human papillomavirus (HPV) is associ ated with a rising incidence of tumors arising from the oropharynx, that is, the tonsillar bed and base of tongue. Over 50% of oropha ryngeal tumors are caused by HPV in the United States, and in many urban centers, this proportion is higher. HPV-16 is the dominant viral subtype, although HPV-18 and other oncogenic subtypes are seen as well. Alcohol- and tobacco-related cancers, on the other hand, have decreased in incidence. HPV-related oropharyngeal cancer occurs in a younger patient population and is associated with increased num bers of sexual partners and oral sexual practices. It is associated with a better prognosis, especially for nonsmokers. Vaccination with the nine-valent HPV vaccine may prevent the disease but is not likely to result in a lower incidence for several decades due to long latency of the carcinogenic process. Dietary factors may contribute. The incidence of head and neck cancer is higher in people with the lowest consumption of fruits and vegetables. Certain vitamins, including carotenoids, may be protective if included in a balanced diet. Supplements of retinoids, such as cis retinoic acid, have not been shown to prevent head and neck cancers (or lung cancer) and may increase the risk in active smokers. No spe cific risk factors or environmental carcinogens have been identified for salivary gland tumors. </w:t>
      </w:r>
      <w:r w:rsidR="00A6019F" w:rsidRPr="00A6019F">
        <w:rPr>
          <w:rFonts w:ascii="Arial" w:hAnsi="Arial" w:cs="Arial"/>
        </w:rPr>
        <w:t>■</w:t>
      </w:r>
      <w:r w:rsidR="00A6019F" w:rsidRPr="00A6019F">
        <w:t xml:space="preserve">HISTOPATHOLOGY, CARCINOGENESIS, AND MOLECULAR BIOLOGY Squamous cell head and neck cancers are divided into well-differentiated, moderately well-differentiated, and poorly differentiated categories. Poorly differentiated tumors have a worse prognosis than well-differen tiated tumors. For nasopharyngeal cancers, the less common differenti ated squamous cell carcinoma is distinguished from nonkeratinizing and undifferentiated carcinoma (lymphoepithelioma) that contains infiltrating lymphocytes and is commonly associated with EBV. Salivary gland tumors can arise from the major (parotid, subman dibular, sublingual) or minor salivary glands (located in the submucosa of the upper aerodigestive tract). Most parotid tumors are benign, but half of submandibular and sublingual gland tumors and most minor salivary gland tumors are malignant. Malignant tumors include muco epidermoid and adenoid cystic carcinomas and adenocarcinomas. The mucosal surface of the entire pharynx is exposed to alcohol- and tobacco-related carcinogens and is at risk for the development of a premalignant or malignant lesion. Erythroplakia (a red patch) or leukoplakia (a white patch) can be histopathologically classified as hyperplasia, dysplasia, carcinoma in situ, or carcinoma. However, most head and neck cancer patients do not present with a known his tory of premalignant lesions. Multiple synchronous or metachronous cancers can also be observed. In fact, over time, patients with treated Physical Examination in Office 611 early-stage tobacco- and alcohol-related head and neck cancer are at greater risk of dying from a second malignancy than from a recurrence of the primary disease. Second head and neck malignancies are usually not therapy induced; they reflect the exposure of the upper aerodigestive mucosa to the same carcinogens that caused the </w:t>
      </w:r>
      <w:r w:rsidR="00A6019F" w:rsidRPr="00A6019F">
        <w:lastRenderedPageBreak/>
        <w:t xml:space="preserve">first cancer. These second prima ries develop in the head and neck area, the lung, or the esophagus. Thus, computed tomography (CT) screening for lung cancer in heavy smokers who have already developed a head and neck cancer is rec ommended. Rarely, patients can develop a radiation therapy–induced sarcoma after having undergone prior radiotherapy for a head and neck cancer. Much progress has been made in describing the molecular features of head and neck cancer. These features have allowed investigators to describe the genetic and epigenetic alterations and the mutational spectrum of these tumors. Early reports demonstrated frequent overex pression of the epidermal growth factor receptor (EGFR). Overexpres sion was shown to correlate with poor prognosis. However, it has not proved to be a good predictor of tumor response to EGFR inhibitors, which are active in only about 10–15% of patients as single agents. Complex genetic analyses, including those by The Cancer Genome Atlas project, have been performed. p53 mutations are found fre quently with other major affected oncogenic driver pathways including the mitotic signaling and Notch pathways and cell cycle regulation in HPV-negative tumors. HPV oncogenes act through direct inhibition of the p53 and RB tumor-suppressor genes, thereby initiating the carcino genic process. HRAS mutations are detected in 4–8% of patients with recurrent head and neck cancer and may be therapeutically targetable in a small patient subset. While overall mutation rates are similar in HPV-positive and carcinogen-induced tumors, the specific mutational signature of HPV-positive tumors differs, with frequent alteration of the PI3K pathway and occasional mutations in KRAS. Overall, these alterations affect mitogenic signaling, genetic stability, cellular prolif eration, and differentiation. </w:t>
      </w:r>
      <w:r w:rsidR="00A6019F" w:rsidRPr="00A6019F">
        <w:rPr>
          <w:rFonts w:ascii="Arial" w:hAnsi="Arial" w:cs="Arial"/>
        </w:rPr>
        <w:t>■</w:t>
      </w:r>
      <w:r w:rsidR="00A6019F" w:rsidRPr="00A6019F">
        <w:t xml:space="preserve">CLINICAL PRESENTATION AND DIFFERENTIAL DIAGNOSIS Most tobacco-related head and neck cancers occur in patients older than age 60 years. HPV-related malignancies are frequently diagnosed in younger patients, usually in their forties or fifties, whereas EBV related nasopharyngeal cancer can occur at all ages, including in teen agers. The manifestations vary according to the stage and primary site of the tumor. Patients with nonspecific signs and symptoms in the head and neck area should be evaluated with a thorough otolaryngologic examination, particularly if symptoms persist longer than 2–4 weeks. Males are more frequently affected than women by head and neck can cers, including HPV-positive tumors. Cancer of the nasopharynx typically does not cause early symptoms. However, it may cause unilateral serous otitis media due to obstruc tion of the eustachian tube, unilateral or bilateral nasal obstruction, or epistaxis. Advanced nasopharyngeal carcinoma causes neuropathies of the cranial nerves due to skull base involvement. Carcinomas of the oral cavity present as nonhealing ulcers, changes in the fit of dentures, or painful lesions and masses. Tumors of the tongue base or oropharynx can cause decreased tongue mobility and alterations in speech. Cancers of the oropharynx or hypopharynx rarely cause early symptoms, but they may cause sore throat and/or otalgia. HPV-related tumors frequently present with neck lymphade nopathy as the first sign. Hoarseness may be an early symptom of laryngeal cancer, and persistent hoarseness requires referral to a specialist for indirect laryn goscopy and/or </w:t>
      </w:r>
      <w:r w:rsidR="00A6019F" w:rsidRPr="00A6019F">
        <w:lastRenderedPageBreak/>
        <w:t xml:space="preserve">radiographic studies. If a head and neck lesion treated initially with antibiotics does not resolve in a short period, further workup is indicated; to simply continue the antibiotic treatment may be to lose the chance of early diagnosis of a malignancy. Advanced head and neck cancers in any location can cause severe pain, otalgia, airway obstruction, cranial neuropathies, trismus, ody nophagia, dysphagia, decreased tongue mobility, fistulas, skin involve ment, and massive cervical lymphadenopathy, which may be unilateral FNA or excision of lymph node If lymphoma, sarcoma, or salivary gland tumor Specific workup If squamous cell carcinoma Panendoscopy and directed biopsies. Search for occult primary with biopsies of tonsils, nasopharynx, base of tongue, and pyriform sinus. Stage-specific multimodality therapy Consider curative neck dissection Postoperative radiotherapy or chemoradiotherapy FIGURE 82-1 Evaluation of a patient with cervical adenopathy without a primary mucosal lesion; a diagnostic workup. FNA, fine-needle aspiration. or bilateral. Some patients have enlarged lymph nodes even though no primary lesion can be detected by endoscopy or biopsy; these patients are considered to have carcinoma of unknown primary (Fig. 82-1). Tonsillectomy and directed biopsies of the base of tongue can iden tify a small primary tumor that frequently will be HPV related. If the enlarged nodes are located in the upper neck and the tumor cells are of squamous cell histology, the malignancy probably arose from a muco sal surface in the head or neck. Tumor cells in supraclavicular lymph nodes may also arise from a primary site in the chest or abdomen. The physical examination should include inspection of all visible mucosal surfaces and palpation of the floor of the mouth and of the tongue and neck. In addition to a tumor, leukoplakia (a white muco sal patch) or erythroplakia (a red mucosal patch) may be observed; these “premalignant” lesions can represent hyperplasia, dysplasia, or carcinoma in situ and require biopsy. Further examination should be performed by a specialist. Additional staging procedures include CT or MRI of the head and neck to identify the extent of the disease. Patients with lymph node involvement should have CT scan of the chest and upper abdomen to screen for distant metastases. In heavy smokers, the CT scan of the chest can also serve as a screening tool to rule out a second lung primary tumor. A positron emission tomogra phy (PET) scan can help to identify or exclude distant metastases. CT and PET scans may also be useful in evaluating response to therapy. The definitive staging procedure is an endoscopic examination under anesthesia, which may include laryngoscopy, esophagoscopy, and bronchoscopy; during this procedure, multiple biopsy samples are obtained to establish a primary diagnosis, define the extent of primary disease, and identify any additional premalignant lesions or second primaries. Head and neck tumors are classified according to the tumor-node metastasis (TNM) system of the American Joint Committee on Cancer (AJCC) (Fig. 82-2). This classification varies according to the specific anatomic subsite. In general, primary tumors are classified as T1 to T3 by increasing size, whereas T4 usually represents invasion of another structure such as bone, muscle, or root of tongue. Lymph nodes are staged by size, number, and location (ipsilateral vs contralateral to the primary). Overt </w:t>
      </w:r>
      <w:r w:rsidR="00A6019F" w:rsidRPr="00A6019F">
        <w:lastRenderedPageBreak/>
        <w:t>distant metastases are found in 5 mm and ≤10 mm Tumor ≥4 cm OR DOI &gt;10 mm Tumor invades skin, mandible, ear canal, fascial nerve, and/or floor of mouth Stage groupings N0 N0 N1 T1 N0- N0- N1- No regional lymph node metastasis No regional lymph node metastasis T2 T3 T1 N0 N0 N0 N1 M0 M0 M0 M0 Metastasis in a single ipsilateral lymph node, ≤3 cm in greateast dimension ≤3 cm N2 ≤6 cm N3 Tumor invades skull base and/or pterygoid plates and/or encases carotid artery &gt;6 cm N2a- N2b- N2c- N3- Metastasis in a single ipsilateral lymph node, &gt;3 cm but ≤6 cm Metastasis in multiple ipsilateral lymph nodes, none &gt;6 cm Metastasis in bilateral or contralateral lymph nodes, none &gt;6 cm Metastasis in a lymph node &gt;6 cm in greatest dimension or clinically overt extranodal extension T2 T3 T4a T4a T1 T2 T3 T4a T4b Any T N1 N1 N0 N1 N2 N2 N2 N2 Any N N3 Stage IVC M Any T Any N M0 M0 M0 M0 M0 M0 M0 M0 M0 M0 1 M1 FIGURE 82-2 Tumor-node-metastasis (TNM) staging system. (Figure based on the AJCC Cancer Staging Manual, 8th edition.) edition of the AJCC staging manual, a separate staging system that takes into account the more favorable outlook of these patients has been included. According to this system, patients with advanced nodal stage can still be considered to have the equivalent of an overall early stage (and associated good prognosis). In patients with lymph node involvement and no visible primary, the diagnosis should be made by fine-needle aspiration or by lymph node excision (especially if only a single node appears involved) (Fig. 82-1). If the results indicate squamous cell carcinoma, a panen doscopy should be performed, with biopsy of all suspicious-appearing areas and directed biopsies of common primary sites, such as the nasopharynx, tonsil, tongue base, and pyriform sinus. HPV-positive tumors especially can have small primary tumors that spread early to locoregional lymph nodes. 613 TREATMENT Head and Neck Cancer Patients with head and neck cancer can be grossly categorized into three clinical groups: those with localized disease, those with locally or regionally advanced disease (lymph node positive), and those with recurrent and/or metastatic disease below the neck. Comorbidities associated with tobacco and alcohol abuse can affect treatment outcome and define long-term risks for patients who are cured of their disease. LOCALIZED DISEASE Nearly one-third of patients have localized disease, that is, T1 or T2 (stage I or stage II) lesions without detectable lymph node involve ment or distant metastases. These patients are treated with curative intent by either surgery or radiation therapy. The choice of modality differs according to anatomic location and institutional expertise. Radiation therapy is often preferred for laryngeal cancer to preserve voice function, and surgery is preferred for small lesions in the oral cavity to avoid the long-term complications of radiation, such as xerostomia and osteoradionecrosis and dental decay. Randomized data have shown that a prophylactic staging neck dissection should be part of the surgical procedure to eliminate occult nodal meta static disease. Overall 5-year survival is 60–90%. Most recurrences occur within the first 2 years following diagnosis and are usually local. LOCALLY OR REGIONALLY ADVANCED DISEASE Locally or regionally advanced disease—disease with a large pri mary tumor and/or cervical lymph node metastases—</w:t>
      </w:r>
      <w:r w:rsidR="00A6019F" w:rsidRPr="00A6019F">
        <w:lastRenderedPageBreak/>
        <w:t xml:space="preserve">is the stage of presentation for &gt;50% of patients. Such patients can also be treated with curative intent, but not usually with surgery or radiation therapy alone. Combined-modality therapy, including surgery and/ or radiation therapy and chemotherapy, is most successful. Che motherapy can be administered as induction chemotherapy (che motherapy before surgery and/or radiotherapy) or as concomitant (simultaneous) chemotherapy and radiation therapy. The latter is most commonly used and supported by the best evidence. Five-year survival rates exceed 50% in many trials, but part of this increased survival may be due to an increasing fraction of study populations with HPV-related tumors who carry a better prognosis. HPV test ing of newly diagnosed tumors should be performed for patients with oropharyngeal tumors at the time of diagnosis. Clinical trials for HPV-related tumors are focused on exploring reductions in treatment intensity, especially radiation dose, in order to ameliorate long-term toxicities (fibrosis, swallowing dysfunction). In patients with intermediate-stage tumors (stage III and early stage IV), concomitant chemoradiotherapy can be administered as a primary treatment for patients with unresectable disease, to pursue an organ-preserving approach especially for patients with laryngeal cancer (omission of surgery), or in the postoperative set ting for smaller resectable tumors with adverse prognostic features. Induction Chemotherapy In this strategy, patients receive che motherapy (current standard is a three-drug regimen of docetaxel, cisplatin, and fluorouracil [5-FU]) before surgery and radiation therapy. Most patients who receive three cycles show tumor reduc tion, and the response is clinically “complete” in up to half of patients. This “sequential” multimodality therapy allows for organ preservation in patients with laryngeal and hypopharyngeal cancer and results in higher cure rates compared with radiotherapy alone. Concomitant Chemoradiotherapy With the concomitant strategy, chemotherapy and radiation therapy are given simultaneously rather than in sequence. Tumor recurrences from head and neck cancer develop most commonly locoregionally (in the head and neck area of the primary and draining lymph nodes). The concomi tant approach is aimed at enhancing tumor cell killing by radiation therapy in the presence of chemotherapy (radiation enhancement) and is a conceptually attractive approach for bulky tumors. Toxicity (especially mucositis, grade 3 or 4, in 70–80%) is increased with concomitant chemoradiotherapy. However, meta-analyses of ran domized trials document an improvement in 5-year survival of 8% with concomitant chemotherapy and radiation therapy. Cisplatin is preferentially given weekly during a course of daily radiotherapy over a 6- to 7-week course. In addition, concomitant chemoradio therapy produces better laryngectomy-free survival (organ pres ervation) than radiation therapy alone in patients with advanced larynx cancer. For patients with advanced nasopharyngeal cancer, the addition of neoadjuvant chemotherapy before concomitant chemoradiotherapy has been adopted as standard of care leading to 5-year survival rates exceeding 80% in a Southeast Asian study. The outcome of HPV-related cancers also seems to be favorable following cisplatin-based chemoradiotherapy. However, trials sub stituting cisplatin with the EGFR inhibitor cetuximab in that patient population </w:t>
      </w:r>
      <w:r w:rsidR="00A6019F" w:rsidRPr="00A6019F">
        <w:lastRenderedPageBreak/>
        <w:t xml:space="preserve">have shown inferior survival. Similarly, the investigation of immune checkpoint inhibitors in this setting has not yet led to improved outcomes. The success of concomitant chemoradiotherapy in patients with unresectable disease has led to the testing of a similar approach in patients with resected intermediate-stage disease as a postopera tive therapy. Concomitant chemoradiotherapy produces a signifi cant improvement over postoperative radiation therapy alone for patients whose tumors demonstrate higher risk features, such as extracapsular spread beyond involved lymph nodes, involvement of multiple lymph nodes, or positive margins at the primary site following surgery. A monoclonal antibody to EGFR (cetuximab) increases sur vival rates when administered during radiotherapy compared with radiotherapy alone and has been considered for patients unable to tolerate concurrent chemoradiotherapy. The addition of cetuximab to standard chemoradiotherapy regimens has failed to show further improvement in survival and is not recommended. TREATMENT APPROACHES FOR HPV-RELATED HEAD AND NECK CANCERS Given consistent observations of high survival rates for patients with advanced HPV-related oropharyngeal tumors using combined modality treatment strategies, de-escalation protocols have attracted widespread interest. The goal here is to decrease the long-term morbidity resulting from high-dose radiation therapy, including extensive neck fibrosis, swallowing problems, and osteoradione crosis of the jaw. Current studies are investigating the use of lower radiation doses, the use of induction chemotherapy and subse quent omission of chemotherapy or administration of significantly reduced chemoradiation doses in very good responders, and other strategies. In addition, interest has increased in surgical approaches using robotic surgery, which allows better visualization of the base of tongue and tonsil. While technically feasible, a large number of patients with disease involving multiple lymph nodes will still require postoperative chemoradiotherapy, thus negating the goal of treatment de-escalation. At present, treatment guidelines for HPV-related tumors are identical to carcinogen-induced tumors. It is hoped that de-escalation approaches will be validated by ongoing controlled clinical trials. RECURRENT AND/OR METASTATIC DISEASE Five to 10% of patients present with metastatic disease, and 30–50% of patients with locoregionally advanced disease experience recurrence, frequently outside the head and neck region. Patients with recurrent and/or metastatic disease are, with few exceptions, treated with pal liative intent. Some patients may require local or regional radiation therapy for pain control, but most are given systemic therapy. Combination chemotherapy formerly was the first-line systemic therapeutic approach to patients with recurrent disease after prior curative intent surgery and/or chemoradiotherapy or those present ing initially with metastatic disease. In particular, a combination of cisplatin with 5-FU and cetuximab (the EXTREME regimen) was frequently used. CHAPTER 82 Head and Neck Cancer 614 However, immunotherapies have proven to be of value in this setting. In particular, inhibitors of the immunosuppressive lym phocyte surface receptor (PD-1) pathway have shown activity in squamous cell cancers of the head and neck. A randomized trial </w:t>
      </w:r>
      <w:r w:rsidR="00A6019F" w:rsidRPr="00A6019F">
        <w:lastRenderedPageBreak/>
        <w:t xml:space="preserve">evaluating the PD-1 inhibitor nivolumab versus traditional chemo therapy in the second-line treatment of patients with recurrent or metastatic disease showed a significant increase in 1-year survival rates with fewer severe treatment-related toxicities. In addition, some responses were of long duration, allowing a cohort of patients to live far beyond the historical median of 20%; i.e., expression of PD-L1 on 20% of tumor cells) had a marked survival benefit with pembrolizumab as single agent, whereas patients with lower PD-L1 expression had a less impressive but still statistically significant survival benefit. For the group expressing lower levels of PD-L1, the combination of pembrolizumab with chemotherapy showed more substantial benefit. Current standard treatment therefore frequently consists of combination chemoimmunotherapy for patients with low PD-L1 expression, whereas those with higher expression can be treated with immunotherapy alone, especially if overall tumor burden is limited. Patients with no PD-L1 expression may still be treated with the prior EXTREME chemotherapy standard. Patients who experience progression after first-line chemoimmunotherapy or immunotherapy can then be treated with additional single-agent or combination chemotherapy. EGFR-directed therapies, including monoclonal antibodies (e.g., cetuximab) and tyrosine kinase inhibitors (TKIs) of the EGFR sig naling pathway (e.g., erlotinib or gefitinib), have single-agent activity of </w:t>
      </w:r>
      <w:r w:rsidR="00A6019F" w:rsidRPr="00A6019F">
        <w:rPr>
          <w:rFonts w:ascii="Cambria Math" w:hAnsi="Cambria Math" w:cs="Cambria Math"/>
        </w:rPr>
        <w:t>∼</w:t>
      </w:r>
      <w:r w:rsidR="00A6019F" w:rsidRPr="00A6019F">
        <w:t xml:space="preserve">10%. Side effects are usually limited to an acneiform rash and diarrhea (for the TKIs). Drugs targeting specific mutations are under investigation, and patients with HRAS-driven tumors can experience shrinkage with the farnesyltransferase inhibitor tipifarnib. COMPLICATIONS Complications from treatment of head and neck cancer are usually correlated to the extent of surgery and exposure of normal tissue structures to radiation. The extent of surgery can be limited or surgery can be completely replaced by use of chemotherapy and radiation therapy as the primary approach. Acute complications of radiation include mucositis and dysphagia. Long-term complica tions include xerostomia, loss of taste, decreased tongue mobility, second malignancies, dysphagia, and neck fibrosis. The compli cations of chemotherapy vary with the regimen used but usually include myelosuppression, mucositis, nausea and vomiting, and nephrotoxicity (with cisplatin). The mucosal side effects of therapy can lead to malnutrition and dehydration. Many centers address issues of dentition before starting treatment, and some place feeding tubes to ensure control of hydration and nutrition intake. About 50% of patients develop hypothyroidism from the treatment; thus, thyroid function should be monitored. </w:t>
      </w:r>
      <w:r w:rsidR="00A6019F" w:rsidRPr="00A6019F">
        <w:rPr>
          <w:rFonts w:ascii="Arial" w:hAnsi="Arial" w:cs="Arial"/>
        </w:rPr>
        <w:t>■</w:t>
      </w:r>
      <w:r w:rsidR="00A6019F" w:rsidRPr="00A6019F">
        <w:t>SALIVARY GLAND TUMORS Most benign salivary gland tumors are treated with surgical excision, and patients with invasive salivary gland tumors are treated with surgery and radiation therapy. These tumors may recur regionally; adenoid cystic carcinoma has a tendency to recur along the nerve tracks. Distant metastases may occur as late as 10</w:t>
      </w:r>
      <w:r w:rsidR="00A6019F" w:rsidRPr="00A6019F">
        <w:rPr>
          <w:rFonts w:ascii="Aptos" w:hAnsi="Aptos" w:cs="Aptos"/>
        </w:rPr>
        <w:t>–</w:t>
      </w:r>
      <w:r w:rsidR="00A6019F" w:rsidRPr="00A6019F">
        <w:t xml:space="preserve">20 years after the initial diagnosis. For metastatic disease, therapy is given with pallia tive intent, usually chemotherapy with doxorubicin and/or a platinum agent by itself or in combination with a taxane. Identification of novel agents with activity in these tumors is a high priority. It is hoped that comprehensive genomic characterization of these rare </w:t>
      </w:r>
      <w:r w:rsidR="00A6019F" w:rsidRPr="00A6019F">
        <w:lastRenderedPageBreak/>
        <w:t xml:space="preserve">tumors will facilitate these efforts. </w:t>
      </w:r>
      <w:r w:rsidR="00A6019F" w:rsidRPr="00A6019F">
        <w:rPr>
          <w:rFonts w:ascii="Arial" w:hAnsi="Arial" w:cs="Arial"/>
        </w:rPr>
        <w:t>■</w:t>
      </w:r>
      <w:r w:rsidR="00A6019F" w:rsidRPr="00A6019F">
        <w:t xml:space="preserve">FURTHER READING Agrawal N et al: Exome sequencing of head and neck squamous cell carcinoma reveals inactivating mutations in NOTCH1. Science 333:1154, 2011. Burtness B et al: Pembrolizumab alone or with chemotherapy for recurrent/metastatic head and neck squamous cell carcinoma in KEYNOTE-048: Subgroup analysis by programmed death ligand-1 combined positive score. J Clin Oncol 40:2321, 2022. Chan KCA et al: Analysis of plasma Epstein-Barr virus DNA to screen for nasopharyngeal cancer. N Engl J Med 377:513, 2017. D’Cruz AK et al: Elective versus therapeutic neck dissection in node negative oral cancer. N Engl J Med 373:521, 2015. Ho AL et al: Tipifarnib in head and neck squamous cell carcinoma with HRAS mutations. J Clin Oncol 39:1856, 2021. Kang H et al: Whole-exome sequencing of salivary gland mucoepider moid carcinoma. Clin Cancer Res 23:283, 2017. Lechner M et al: HPV-associated oropharyngeal cancer: Epidemiology, molecular biology and clinical management. Nat Rev Clin Oncol 19:306, 2022. Mehanna H et al: De-escalation after DE-ESCALATE and RTOG 1016: A Head and Neck Cancer Intergroup framework for future de escalation studies. J Clin Oncol 38:2552, 2020. Mody MD et al: Head and neck cancer. Lancet 398:2289, 2021. Zhang Y et al: Final overall survival analysis of gemcitabine and cisplatin induction chemotherapy in nasopharyngeal carcinoma: A multicenter, randomized phase III trial. J Clin Oncol 40:2420, 2022. 83 Neoplasms of the Lung Eric K. Singhi, Christine M. Lovly Over 2.2 million people globally were diagnosed with lung cancer in 2020, ranking it as the second most frequently diagnosed cancer. Although maintaining its status as the leading cause of cancer-related deaths worldwide, claiming 1.8 million lives in the same year, a note worthy decline in lung cancer fatalities has emerged. This shift is credited to advancements in screening and early detection methods, improved therapeutic strategies, and a reduction in tobacco usage. Tobacco consumption, established as the primary cause of lung cancer in the mid-twentieth century, was solidified with the U.S. Sur geon General’s 1964 report on the health effects of tobacco smoking. After the report, cigarette use declined in North America and parts of Europe, and with it, so did the incidence of lung cancer. Although tobacco smoking remains the leading global cause of lung cancer, accounting for about two-thirds of lung cancer deaths worldwide, ~65% of new lung cancer diagnoses in the United States are in indi viduals with a former smoking history (smoked ≥100 cigarettes per lifetime, quit ≥1 year) or individuals with no smoking history (smoked 125,000 individuals will die from the disease. Lung cancer is less common below age 40, with rates increasing until age 80, after which the rate tapers off. The projected lifetime probability of developing lung cancer 615 is estimated at 1 in 16 for males and 1 in 17 for females as of 2023. Since 2006, there has been a steady decline in the incidence of lung cancer, with an annual decrease of 2.5% in men and 1% in women. Despite this positive trend, disparities persist. The incidence of lung cancer varies among racial and ethnic groups, with African Americans exhibiting the highest age-adjusted rates. While the excess in age-adjusted rates among African Americans occurs only among men, examination of age-specific rates shows that below age 50, mortality from lung cancer </w:t>
      </w:r>
      <w:r w:rsidR="00A6019F" w:rsidRPr="00A6019F">
        <w:lastRenderedPageBreak/>
        <w:t xml:space="preserve">is &gt;25% higher among African-American women compared to their Caucasian counterparts. Additionally, African Americans face a 19% lower likelihood of receiv ing definitive surgical treatment, 11% higher likelihood of not receiv ing any treatment, and a 16% lower likelihood of surviving 5 years compared to their Caucasian counterparts. Incidence and mortality rates among Hispanics and Native and Asian Americans are </w:t>
      </w:r>
      <w:r w:rsidR="00A6019F" w:rsidRPr="00A6019F">
        <w:rPr>
          <w:rFonts w:ascii="Cambria Math" w:hAnsi="Cambria Math" w:cs="Cambria Math"/>
        </w:rPr>
        <w:t>∼</w:t>
      </w:r>
      <w:r w:rsidR="00A6019F" w:rsidRPr="00A6019F">
        <w:t>40</w:t>
      </w:r>
      <w:r w:rsidR="00A6019F" w:rsidRPr="00A6019F">
        <w:rPr>
          <w:rFonts w:ascii="Aptos" w:hAnsi="Aptos" w:cs="Aptos"/>
        </w:rPr>
        <w:t>–</w:t>
      </w:r>
      <w:r w:rsidR="00A6019F" w:rsidRPr="00A6019F">
        <w:t xml:space="preserve">50% of those among Caucasians. Consideration of these disparities prompts reflection on potential equitable improvements in lung cancer care. </w:t>
      </w:r>
      <w:r w:rsidR="00A6019F" w:rsidRPr="00A6019F">
        <w:rPr>
          <w:rFonts w:ascii="Arial" w:hAnsi="Arial" w:cs="Arial"/>
        </w:rPr>
        <w:t>■</w:t>
      </w:r>
      <w:r w:rsidR="00A6019F" w:rsidRPr="00A6019F">
        <w:t xml:space="preserve">RISK FACTORS Persons who smoke have a 10-fold or greater increased risk of develop ing lung cancer compared to those who have never smoked. A large scale genomic study suggested that one genetic mutation is induced for every 15 cigarettes smoked. The risk of lung cancer is lower among per sons who quit smoking than among those who continue smoking. The size of the lung cancer risk reduction increases with the length of time the person has quit smoking, although even long-term former smok ers have higher risks of lung cancer than those who never smoked. Cigarette smoking has been shown to increase the risk of all major types of lung cancer. Environmental tobacco smoke (ETS) or second hand smoke is also an established cause of lung cancer. The risk from ETS is less than from active smoking, with about a 20–30% increase in lung cancer observed among never smokers married for many years to smokers, in comparison to the 2000% increase among continuing active smokers. The impact on the development of lung cancer among users of alternate nicotine delivery devices (e-cigarettes or vaping) is undefined. While one large, randomized study demonstrated the supe riority of e-cigarettes compared to traditional nicotine replacement therapy in aiding smoking cessation, e-cigarette– or vaping-associated lung injury (EVALI) is an emerging phenomenon that poses risks that may counterbalance the potential benefit in helping patients reduce traditional cigarette consumption and lung cancer risk. Although cigarette smoking is the cause of the majority of lung cancers, several other risk factors have been identified, including occupational exposure to asbestos, arsenic, bischloromethyl ether, hexavalent chromium, mustard gas, nickel (as in certain nickel-refining processes), and polycyclic aromatic hydrocarbons. Ionizing radiation is also an established lung carcinogen, most con vincingly demonstrated from studies showing increased rates of lung cancer among survivors of the atom bombs dropped on Hiroshima and Nagasaki and large excesses among workers exposed to alpha irradiation from radon in underground uranium mining. Prolonged exposure to low-level radon in homes might impart a risk of lung cancer equal to or greater than that of ETS. Prior lung diseases such as chronic bronchitis, emphysema, and tuberculosis have been linked to increased risks of lung cancer as well. The risk of lung cancer appears to be higher among individuals with low fruit and vegetable intake during adulthood. This observation led to hypotheses that specific nutrients, in particular retinoids and carotenoids, might have chemopreventative effects for lung cancer. However, randomized trials failed to validate this hypothesis. Smoking Cessation Given the undeniable link between cigarette smoking and lung cancer, physicians must promote </w:t>
      </w:r>
      <w:r w:rsidR="00A6019F" w:rsidRPr="00A6019F">
        <w:lastRenderedPageBreak/>
        <w:t xml:space="preserve">complete tobacco avoidance. Stopping tobacco use before middle age avoids &gt;90% of the lung cancer risk attributable to tobacco. Importantly, smoking cessa tion can even be beneficial in individuals with an established diagnosis of lung cancer, as it is associated with improved overall survival, fewer side effects from therapy, and an overall improvement in quality of life. Consequently, it is important to promote smoking cessation even after the diagnosis of lung cancer is established. This remains a challenge as ~30% of patients continue to smoke even after receiving a diagnosis of lung cancer. Physicians need to understand the essential elements of smoking cessation therapy. Self-help strategies alone only marginally affect quit rates, whereas individual and combined pharmacotherapies in com bination with counseling can significantly increase rates of cessation. Therapy with an antidepressant (e.g., bupropion) and nicotine replace ment therapy (varenicline, a α4 β2 nicotinic acetylcholine receptor par tial agonist) are approved by the U.S. Food and Drug Administration (FDA) as first-line treatments for nicotine dependence. In a random ized trial, varenicline was shown to be more efficacious than bupropion or placebo. Prolonged use of varenicline beyond the initial induction phase proved useful in maintaining smoking abstinence. Clonidine and nortriptyline are recommended as second-line treatments. A role for e-cigarettes has not been definitively established (Chap. 465). Inherited Predisposition to Lung Cancer Exposure to envi ronmental carcinogens, such as those found in tobacco smoke, induces or facilitates the transformation from bronchoepithelial cells to a malignant phenotype. The contribution of carcinogens to trans formation is modulated by polymorphic variations in genes that affect aspects of carcinogen metabolism. Certain genetic polymorphisms of the P450 enzyme system, specifically CYP1A1, and chromosome fra gility are associated with the development of lung cancer. These genetic variations occur at relatively high frequency in the population, but their contribution to an individual’s lung cancer risk is generally low. However, because of their population frequency, the overall impact on lung cancer risk could be high. First-degree relatives of lung cancer probands have a two- to three fold excess risk of lung cancer and other cancers, many of which are not smoking-related. These data suggest that specific genes and/or genetic variants may contribute to susceptibility to lung cancer. However, very few such genes have yet been identified. Individuals with inherited mutations in RB (patients with retinoblastoma living to adulthood) and TP53 (patients with Li-Fraumeni syndrome) genes may develop lung cancer. Common gene variants involved in lung cancer have identified three separate loci that are associated with lung cancer (5p15, 6p21, and 15q25) and include genes that regulate acetylcholine nicotinic receptors and telomerase production. A rare germline muta tion (T790M) involving the epidermal growth factor receptor (EGFR) maybe be linked to lung cancer susceptibility in never smokers. Like wise, a susceptibility locus on chromosome 6q greatly increases lung cancer risk among light and never smokers. A study involving 7700 patients diagnosed with primary lung cancer who underwent germ line DNA sequencing and exon-level copy number analysis </w:t>
      </w:r>
      <w:r w:rsidR="00A6019F" w:rsidRPr="00A6019F">
        <w:lastRenderedPageBreak/>
        <w:t xml:space="preserve">revealed that 14.9% of them had one or more clinically significant pathogenic germline variants; these variants were mainly found in DNA damage repair genes, suggesting a higher prevalence of pathogenic germline mutations in patients with primary lung cancer than previously sus pected. Additionally, the Taiwan National Lung Cancer Early Detection Program, launched in July 2022, provided screening for nonsmoker patients with a positive family history of lung cancer in their first degree relatives; this program demonstrated a 1.4% cancer detection rate among individuals with a family history of lung cancer. Despite this progress in identifying heritable risk factors for lung cancer, there is still significant work to be done. Currently, no molecular criteria are suitable for selecting patients for more intense screening programs or specific chemopreventive strategies. CHAPTER 83 Neoplasms of the Lung </w:t>
      </w:r>
      <w:r w:rsidR="00A6019F" w:rsidRPr="00A6019F">
        <w:rPr>
          <w:rFonts w:ascii="Arial" w:hAnsi="Arial" w:cs="Arial"/>
        </w:rPr>
        <w:t>■</w:t>
      </w:r>
      <w:r w:rsidR="00A6019F" w:rsidRPr="00A6019F">
        <w:t xml:space="preserve">PATHOLOGY The World Health Organization (WHO) defines lung cancer as tumors arising from the respiratory epithelium (bronchi, bronchioles, and alveoli). The WHO classification system divides epithelial lung cancers into four major cell types: small-cell lung cancer (SCLC), adenocar cinoma, squamous cell carcinoma, and large-cell carcinoma; the lat ter three types are collectively known as non-small-cell carcinomas (NSCLCs) (Fig. 83-1). Small-cell carcinomas consist of small cells with scant cytoplasm, ill-defined cell borders, finely granular nuclear 616 Non-Small-Cell Lung Cancer Squamous cell Adenocarcinoma Large-cell carcinoma Squamous Large Adenocarcinoma Small Small-Cell Lung Cancer FIGURE 83-1 Histologic subsets of lung cancer. PART 4 Oncology and Hematology chromatin, absent or inconspicuous nucleoli, and a high mitotic count. SCLC may be distinguished from NSCLC by the presence of neuro endocrine markers including CD56, neural cell adhesion molecule (NCAM), synaptophysin, chromogranin, and insulinoma-associated protein 1 (INSM1). Adenocarcinomas possess glandular differentiation or mucin production and may show acinar, papillary, lepidic, or solid features or a mixture of these patterns. Squamous cell carcinomas of the lung are morphologically identical to extrapulmonary squamous cell carcinomas and cannot be distinguished by immunohistochemis try alone. Squamous cell tumors show keratinization and/or intercel lular bridges that arise from bronchial epithelium. The tumor consists of sheets of cells rather than the three-dimensional groups of cells characteristic of adenocarcinomas. Large-cell carcinomas compose 70–90% of surgically resected lung adenocarcinomas, are now classified by their predominant pattern: lepidic, acinar, papil lary, and solid patterns. In general, lepidic-predominant subtype has a favorable prognosis, acinar and papillary have an intermediate progno sis, and solid-predominant has a poor prognosis. The terms signet ring and clear cell adenocarcinoma have been eliminated from the variants of invasive lung adenocarcinoma, whereas the term micropapillary, a subtype with a particularly poor prognosis, has been added. Because of prognostic implications, squamous cell carcinoma has also been modi fied to consist of keratinizing, nonkeratinizing, and basaloid, analogous to head and neck cancers. </w:t>
      </w:r>
      <w:r w:rsidR="00A6019F" w:rsidRPr="00A6019F">
        <w:rPr>
          <w:rFonts w:ascii="Arial" w:hAnsi="Arial" w:cs="Arial"/>
        </w:rPr>
        <w:t>■</w:t>
      </w:r>
      <w:r w:rsidR="00A6019F" w:rsidRPr="00A6019F">
        <w:t xml:space="preserve">IMMUNOHISTOCHEMISTRY The diagnosis of lung cancer most often rests on the morphologic or cytologic features </w:t>
      </w:r>
      <w:r w:rsidR="00A6019F" w:rsidRPr="00A6019F">
        <w:lastRenderedPageBreak/>
        <w:t xml:space="preserve">correlated with clinical and radiographic findings. Immunohistochemistry may be used to verify neuroendocrine differ entiation within a tumor, with markers such as neuron-specific enolase (NSE), CD56 or NCAM, synaptophysin, chromogranin, and Leu7. Immunohistochemistry is also helpful in differentiating primary from metastatic adenocarcinomas; thyroid transcription factor-1 (TTF-1), identified in tumors of thyroid and pulmonary origin, is positive in &gt;70% of pulmonary adenocarcinomas and is a reliable indicator of pri mary lung cancer, provided a thyroid primary has been excluded. A nega tive TTF-1, however, does not exclude the possibility of a lung primary. TTF-1 is also positive in neuroendocrine tumors of pulmonary and extrapulmonary origin. Napsin-A (Nap-A) is an aspartic protease that plays an important role in maturation of surfactant B7 and is expressed in cytoplasm of type II pneumocytes. In several studies, Nap-A has been reported in &gt;90% of primary lung adenocarcinomas. Notably, a combination of Nap-A and TTF-1 is useful in distinguishing primary lung adenocarcinoma (Nap-A positive, TTF-1 positive) from primary lung squamous cell carcinoma (Nap-A negative, TTF-1 negative) and primary SCLC (Nap-A negative, TTF-1 positive). Cytokeratins (CK) 7 and 20 used in combination can help narrow the differential diagnosis; nonsquamous NSCLC, SCLC, and mesothelioma may stain positive for CK7 and negative for CK20, whereas squamous cell lung cancer often will be both CK7 and CK20 negative. p63 is a useful marker for the detection of NSCLCs with squamous differentiation when used in cytologic pulmonary samples. Mesothelioma can be easily identified ultrastructurally, but it has historically been difficult to differentiate from adenocarcinoma through morphology and immunohistochemi cal staining. Several markers in the past few years have proven to be more helpful including CK5/6, calretinin, and Wilms tumor gene-1 (WT-1), all of which show positivity in mesothelioma. </w:t>
      </w:r>
      <w:r w:rsidR="00A6019F" w:rsidRPr="00A6019F">
        <w:rPr>
          <w:rFonts w:ascii="Arial" w:hAnsi="Arial" w:cs="Arial"/>
        </w:rPr>
        <w:t>■</w:t>
      </w:r>
      <w:r w:rsidR="00A6019F" w:rsidRPr="00A6019F">
        <w:t xml:space="preserve">MOLECULAR PATHOGENESIS As proposed by Hanahan and Weinberg, virtually all cancer cells acquire six hallmark capabilities: self-sufficiency in growth signals, insensitivity to antigrowth signals, evading apoptosis, limitless replica tive potential, sustained angiogenesis, and tissue invasion and metas tasis. The order in which these hallmark capabilities are acquired is variable. Events leading to acquisition of these hallmarks vary widely, although broadly, cancers arise as a result of accumulations of gain-of function mutations in oncogenes and loss-of-function mutations in tumor-suppressor genes. Further complicating the study of lung cancer, the sequence of events that leads to disease is clearly different for the various histopathologic entities. AKT1 BRAF AKT1 617 For cancers in general, one theory holds that a small subset of the cells within a tumor (i.e., “stem cells”) are responsible for the full malignant behavior of the tumor. As part of this concept, the large bulk of the cells in a cancer are “offspring” of these cancer stem cells. While clonally related to the cancer stem cell subpopulation, most cells by themselves cannot regenerate the full malignant phenotype. The stem cell concept may explain the failure of standard medi cal therapies to eradicate lung cancers, even when there is a clinical complete response. Disease recurs because therapies do not eliminate the stem cell component, which </w:t>
      </w:r>
      <w:r w:rsidR="00A6019F" w:rsidRPr="00A6019F">
        <w:lastRenderedPageBreak/>
        <w:t xml:space="preserve">may be more resistant to therapy. Precise human lung cancer stem cells have yet to be identified. Among lung cancer histologies, adenocarcinomas have been the most extensively catalogued for recur rent genomic gains and losses as well as for somatic mutations (Fig. 83-2, Table 83-1). While multiple dif ferent kinds of aberrations have been found, a major class involves “driver mutations,” which are mutations that occur in genes encoding signaling proteins that, when aberrant, drive initiation and maintenance of tumor cells. Importantly, driver mutations can serve as a potential Achilles’ heels for tumors, if their gene products can be targeted appropriately. Several driver oncogenes have been described in NSCLC. These include activating mutations in receptor tyrosine kinases, including EGFR, ERBB2/HER2, and MET, and activating mutations in intracellular signaling proteins, such as KRAS and BRAF. Additionally, chromosomal rearrangements may also produce driver oncogenes in lung tumors, such as those chromosomal rear rangements leading to activation of the ALK, ROS1, RET, and NTRK tyrosine kinases. Each of these so-called “driver oncogenes” represents a distinct molecular cohort of lung cancer, with differing prevalence and varying levels of evidence regarding clinical actionability. So-called “targeted therapies” directed against these aberrantly activated onco genes are discussed below. It is worth noting that most of these driver oncogenes are enriched in nonsquamous tumors. Three potential molecular targets have been identified in squamous cell lung carcinomas: FGFR1 amplification, DDR2 mutations, and PIK3CA mutations/PTEN loss, as well as BRAF and MET (Table 83-1). A large number of tumor-suppressor genes have also been identi fied that are inactivated during the pathogenesis of lung cancer. These include TP53, RB1, RASSF1A, CDKN2A/B, LKB1 (STK11), and FHIT. Nearly 90% of SCLCs harbor mutations in TP53 and RB1. Several tumor-suppressor genes on chromosome 3p appear to be involved in nearly all lung cancers. Allelic loss of this region occurs very early in lung cancer pathogenesis, including in histologically normal smoking damaged lung epithelium. EARLY DETECTION AND SCREENING In lung cancer, clinical outcome is related to the stage at diagnosis, and hence, it is generally assumed that early detection of occult tumors will lead to improved survival. Early detection is a process that involves screening tests, surveillance, diagnosis, and early treatment. Screening refers to the use of tests across a healthy population in order to identify individuals who harbor asymptomatic disease. For a screening pro gram to be successful, the target population must be a high-risk popu lation; the test must be sensitive, specific, accessible, and cost effective; and effective treatment must be available that can reduce mortality. With any screening procedure, it is important to consider the pos sible influence of lead-time bias (detecting the cancer earlier without an effect on survival), length-time bias (indolent cancers are detected on screening and may not affect survival, whereas aggressive cancers are likely to cause symptoms earlier in patients and are less likely to be detected), and overdiagnosis (diagnosing cancers so slow growing that they are unlikely to cause the death of the patient). ALK Unknown ROS1 RET MET PIK3CA NTRK1 NRAS MEK1 FIGURE 83-2 Driver mutations in lung adenocarcinomas. ALK BRAF EGFR </w:t>
      </w:r>
      <w:r w:rsidR="00A6019F" w:rsidRPr="00A6019F">
        <w:lastRenderedPageBreak/>
        <w:t xml:space="preserve">EGFR KRAS HER2 KRAS HER2 MEK1 MET NRAS NTRK1 PIK3CA RET ROS1 Unknown Because a majority of lung cancer patients present with advanced disease beyond the scope of surgical resection, the value of screening for this condition is debated. Indeed, randomized controlled trials conducted in the 1960s to 1980s using screening chest x-rays (CXR), with or without sputum cytology, reported no impact on lung can cer–specific mortality in patients characterized as high risk (males age ≥45 years with a smoking history). These studies have been criticized for their design, statistical analyses, and outdated imaging modalities. In contrast to CXR, low-dose, noncontrast, thin-slice spiral chest com puted tomography (LDCT) has emerged as an effective tool to screen for lung cancer. In nonrandomized studies conducted in the 1990s, LDCT scans were shown to detect more lung nodules and cancers than standard CXR in selected high-risk populations (e.g., age ≥60 years and a smoking history of ≥10 pack-years). Notably, up to 85% of the lung cancers discovered in these trials were classified as stage I disease and therefore considered potentially curable with surgical resection. These data prompted the National Cancer Institute (NCI) to initi ate the National Lung Screening Trial (NLST), a randomized study designed to determine if LDCT screening could reduce mortality TABLE 83-1 Genetic Alterations with Existing Therapies in Non-Small Cell Lung Cancer (NSCLC) GENE ALK BRAF EGFR HER2 KRAS MET NRAS NTRK RET ROS1 ALTERATION Rearrangement Mutation Mutation Mutation Mutation Amplification Mutation FREQUENCY IN NSCLC 3–7% 1–3% 10–35% 2–4% 15–25% 2–4% 1% Rearrangement Rearrangement Rearrangement 1–2% 1–2% 1–2% TYPICAL HISTOLOGY Adenocarcinoma Adenocarcinoma Adenocarcinoma Adenocarcinoma Adenocarcinoma Adenocarcinoma Adenocarcinoma Adenocarcinoma Adenocarcinoma Adenocarcinoma CHAPTER 83 Neoplasms of the Lung 618 TABLE 83-2 The Benefits and Harms of LDCT Screening for Lung Cancer Based on NLST Data LDCT Benefits: How did CT scans help compared to CXR? 4 in 1000 fewer died from lung cancer 5 in 1000 fewer died from all causes 13 in 1000 70 in 1000 CXR 17 in 1000 75 in 1000 Harms: What problems did CT scans cause compared to CXR? 223 in 1000 had at least 1 false alarm 18 in 1000 had a false alarm leading to an invasive procedure 2 in 1000 had a major complication from an invasive procedure 365 in 1000 25 in 1000 3 in 1000 142 in 1000 7 in 1000 1 in 1000 Abbreviations: CT, computed tomography; CXR, chest x-ray; LDCT, low-dose computed tomography; NLST, National Lung Screening Trial. Source: From S Woloshin: Cancer screening campaigns getting past uninformative persuasion. N Engl J Med 367:1167, 2012. Copyright © (2012) Massachusetts Medical Society. Reprinted with permission from Massachusetts Medical Society. PART 4 Oncology and Hematology more effectively than relative risk projections. A useful guide has been developed by the NCI to help patients and physicians assess the ben efits and harms of LDCT screening for lung cancer (Table 83-2). CLINICAL MANIFESTATIONS from lung cancer in high-risk populations as compared with standard posterior anterior CXR. High-risk patients were defined as individuals between 55 and 74 years of age with a ≥30 pack-year history of cigarette smoking; former smokers must have quit within the </w:t>
      </w:r>
      <w:r w:rsidR="00A6019F" w:rsidRPr="00A6019F">
        <w:lastRenderedPageBreak/>
        <w:t xml:space="preserve">previous 15 years. Excluded from the trial were individuals with a previous lung cancer diagnosis, a history of hemoptysis, an unexplained weight loss of &gt;15 lb in the preceding year, or a chest computed tomography (CT) within 18 months of enrollment. A total of 53,454 persons were enrolled and randomized to annual screening yearly for 3 years (LDCT screening, n = 26,722; CXR screening, n = 26,732). Any noncalcified nodule measuring ≥4 mm in any diameter found on LDCT and CXR images with any noncalcified nodule or mass was classified as “positive.” Participating radiologists had the option of not calling a final screen positive if a noncalcified nodule had been stable on the three screening examinations. Overall, 39.1% of participants in the LDCT group and 16% in the CXR group had at least one positive screening result. Of those who screened positive, the false-positive rate was 96.4% in the LDCT group and 94.5% in the CXR group. This was consistent across all three rounds. In the LDCT group, 1060 cancers were identified compared with 941 cancers in the CXR group (645 vs 572 per 100,000 person-years; relative risk [RR], 1.13; 95% confidence interval [CI], 1.03–1.23). Nearly twice as many stage IA cancers were detected in the LDCT group compared with the CXR group (40% vs 21%). The overall rates of lung cancer death were 247 and 309 deaths per 100,000 participants in the LDCT and CXR groups, respectively, representing a 20% reduction in lung cancer mortality in the LDCT-screened popula tion (95% CI, 6.8–26.7%; p = .004). Compared with the CXR group, the rate of death in the LDCT group from any cause was reduced by 6.7% (95% CI, 1.2–13.6%; p = .02). The number needed to screen (NNTS) to prevent one lung cancer death was calculated to be 320. The Nelson study was a second randomized trial comparing no screening to CT scans at baseline and in years 1, 3, and 5.5 in 13,195 men and 2594 women. Participants were 50–75 years of age and were current and former smokers with 10 years or less of cessation who smoked &gt;15 cigarettes a day for &gt;25 years or &gt;10 cigarettes daily for &gt;30 years. Participants were selected from four regions in the Nether lands or Belgium and were excluded if they were in moderate or bad self-reported health, were unable to climb two flights of stairs, had a body weight &gt;140 kg, had a CT of the chest within the past year or a history of lung cancer 10 lb • Musculoskeletal: pain • Neurologic: headaches, syncope, seizures, extremity weakness, recent change in mental status • Lymphadenopathy (&gt;1 cm) • Hoarseness, superior vena cava syndrome • Bone tenderness • Hepatomegaly (&gt;13 cm span) • Focal neurologic signs, papilledema • Soft-tissue mass • Hematocrit, 50% of patients with squamous carcinoma, 80% of patients with adenocar cinoma and large-cell carcinoma, and &gt;95% of patients with SCLC. Approximately one-third of patients present with symptoms as a result of distant metastases. Lung cancer metastases may occur in virtually every organ system, and the site of metastatic involvement largely determines other symptoms. Patients with brain metastases may pres ent with headache, nausea and vomiting, seizures, or neurologic defi cits. Patients with bone metastases may present with pain, pathologic fractures, or spinal cord compression. The latter may also occur with epidural metastases. Individuals with bone marrow invasion may pres ent with cytopenias or </w:t>
      </w:r>
      <w:r w:rsidR="00A6019F" w:rsidRPr="00A6019F">
        <w:lastRenderedPageBreak/>
        <w:t xml:space="preserve">leukoerythroblastosis. Those with liver metas tases may present with hepatomegaly, right upper quadrant pain, fever, anorexia, and weight loss. Liver dysfunction and biliary obstruction are rare. Adrenal metastases are common but rarely cause pain or adrenal insufficiency unless they are large. Paraneoplastic syndromes are common in patients with lung cancer, especially those with SCLC, and may be the presenting finding or the first sign of recurrence. In addition, paraneoplastic syndromes may mimic metastatic disease and, unless detected, lead to inappropriate palliative rather than curative treatment. Often the paraneoplastic syndrome may be relieved with successful treatment of the tumor. In some cases, the pathophysiology of the paraneoplastic syndrome is known, particularly when a hormone with biologic activity is secreted by a tumor. However, in many cases, the pathophysiology is unknown. Systemic symptoms of anorexia, cachexia, weight loss (seen in 30% of patients), fever, and suppressed immunity are paraneoplastic syndromes of unknown etiology or at least not well defined. Weight loss &gt;10% of total body weight is considered a bad prognostic sign. Endocrine syndromes are seen in 12% of patients; hypercalcemia resulting from ectopic production of parathyroid hormone (PTH) or, more commonly, PTH-related peptide is the most common life-threatening metabolic complication of malignancy, primarily occurring with squamous cell carcinomas of the lung. Clinical symptoms include nausea, vomiting, abdominal pain, constipation, polyuria, thirst, and altered mental status. Hyponatremia may be caused by the syndrome of inappropriate secretion of antidiuretic hormone (SIADH) or possibly atrial natri uretic peptide (ANP) (Chap. 98). SIADH resolves within 1–4 weeks of initiating chemotherapy in the vast majority of cases. During this period, serum sodium can usually be managed and maintained above 128 mEq/L via fluid restriction. Demeclocycline can be a useful adjunctive measure when fluid restriction alone is insufficient. Vaso pressin receptor antagonists like tolvaptan also have been used in the management of SIADH. However, the use of tolvaptan has significant limitations including liver injury and overly rapid correction of the hyponatremia, which can lead to irreversible neurologic injury. Like wise, the cost of tolvaptan may be prohibitive. Of note, patients with ectopic ANP may have worsening hyponatremia if sodium intake is not concomitantly increased. Accordingly, if hyponatremia fails to improve or worsens after 3–4 days of adequate fluid restriction, plasma levels of ANP should be measured to determine the causative syndrome. Ectopic secretion of ACTH by SCLC and pulmonary carcinoids usually results in additional electrolyte disturbances, especially hypo kalemia, rather than the changes in body habitus that occur in Cush ing’s syndrome from a pituitary adenoma (Chap. 98). Treatment with standard medications, such as metyrapone and ketoconazole, is largely ineffective due to extremely high cortisol levels. The most effective strategy for management of the Cushing’s syndrome is effective treat ment of the underlying SCLC. Bilateral adrenalectomy may be consid ered in extreme cases. Skeletal–connective tissue syndromes include clubbing in 30% of cases (usually NSCLCs) and hypertrophic primary osteoarthropathy in 1–10% of cases (usually adenocarcinomas). Patients may </w:t>
      </w:r>
      <w:r w:rsidR="00A6019F" w:rsidRPr="00A6019F">
        <w:lastRenderedPageBreak/>
        <w:t xml:space="preserve">develop periostitis, causing pain, tenderness, and swelling over the affected bones and a positive bone scan. Neurologic–myopathic syndromes are seen in only 1% of patients but are dramatic and include the myas thenic Eaton-Lambert syndrome and retinal blindness with SCLC, whereas peripheral neuropathies, subacute cerebellar degeneration, cortical degeneration, and polymyositis are seen with all lung cancer types. Many of these are caused by autoimmune responses such as the development of anti-voltage-gated calcium channel antibodies in Eaton-Lambert syndrome. Patients with this disorder present with proximal muscle weakness, usually in the lower extremities, occa sional autonomic dysfunction, and rarely, cranial nerve symptoms or involvement of the bulbar or respiratory muscles. Depressed deep tendon reflexes are frequently present. In contrast to patients with myasthenia gravis, strength improves with serial effort. Some patients who respond to chemotherapy will have resolution of the neurologic abnormalities. Thus, chemotherapy is the initial treatment of choice. Paraneoplastic encephalomyelitis and sensory neuropathies, cerebellar degeneration, limbic encephalitis, and brainstem encephalitis occur in SCLC in association with a variety of antineuronal antibodies such as anti-Hu, anti-CRMP5, and ANNA-3. Paraneoplastic cerebellar degen eration may be associated with anti-Hu, anti-Yo, or P/Q calcium chan nel autoantibodies. Coagulation or thrombotic or other hematologic manifestations occur in 1–8% of patients and include migratory venous thrombophlebitis (Trousseau’s syndrome), nonbacterial thrombotic (marantic) endocarditis with arterial emboli, and disseminated intra vascular coagulation with hemorrhage, anemia, granulocytosis, and leukoerythroblastosis. Thrombotic disease complicating cancer is usu ally a poor prognostic sign. Cutaneous manifestations such as dermato myositis and acanthosis nigricans are uncommon (1%), as are the renal manifestations of nephrotic syndrome and glomerulonephritis (≤1%). CHAPTER 83 Neoplasms of the Lung 620 DIAGNOSING LUNG CANCER </w:t>
      </w:r>
      <w:r w:rsidR="00A6019F" w:rsidRPr="00A6019F">
        <w:rPr>
          <w:rFonts w:ascii="Arial" w:hAnsi="Arial" w:cs="Arial"/>
        </w:rPr>
        <w:t>■</w:t>
      </w:r>
      <w:r w:rsidR="00A6019F" w:rsidRPr="00A6019F">
        <w:t xml:space="preserve">ANATOMIC STAGING OF PATIENTS WITH LUNG CANCER PART 4 Oncology and Hematology Tissue sampling is required to confirm a diagnosis in all patients with suspected lung cancer. In patients with suspected metastatic disease, a biopsy of a distant site of disease is preferred for concurrent tissue and staging confirmation. Given the greater emphasis placed on molecular and PD-L1 testing for NSCLC patients, a core biopsy is preferred to ensure adequate tissue for analysis. Tumor tissue may be obtained via minimally invasive techniques such as bronchial or transbronchial biopsy during fiberoptic bronchoscopy, by fine-needle aspiration (FNA) or percutaneous biopsy using image guidance, or via endobronchial ultrasound (EBUS)-guided biopsy. Depending on the location, lymph node sampling may occur via transesophageal endoscopic ultrasound (EUS)-guided biopsy, EBUS-guided biopsy, or blind biopsy. In patients with suspected metastatic disease, a diagnosis may be confirmed by bronchoscopy, percutaneous biopsy of a soft tissue mass, lytic bone lesion, bone marrow, pleural or liver lesion, or an adequate cell block obtained from a malignant pleural effusion. In patients with a suspected malignant pleural effusion, if the initial thoracentesis is negative, repeat thoracentesis is </w:t>
      </w:r>
      <w:r w:rsidR="00A6019F" w:rsidRPr="00A6019F">
        <w:lastRenderedPageBreak/>
        <w:t xml:space="preserve">essential. Although the majority of pleural effusions are due to malignant disease, particularly if they are exudative or bloody, some may be parapneumonic. In the absence of distant disease, such patients should be considered for possible curative treatment. The diagnostic yield of any biopsy depends on several factors including location (accessibility) of the tumor, tumor size, tumor type, and technical aspects of the diagnostic procedure including the experi ence level of the bronchoscopist and pathologist. In general, central lesions such as squamous cell carcinomas, small-cell carcinomas, or endobronchial lesions such as carcinoid tumors are more readily diag nosed by bronchoscopic examination, whereas peripheral lesions such as adenocarcinomas and large-cell carcinomas are more amenable to transthoracic biopsy. Biomarker testing in lung cancer plays an essential role in guiding a precision-based medicine approach for patient care. Ideally performed at the time of initial diagnosis, biomarker testing is recommended for all patients with advanced stage NSCLC by most current guidelines, with consideration for those with squamous histology. Biomarker test ing aims to identify specific genetic alterations, or molecular markers, within the tumor cells. Traditionally, the gold standard process involves obtaining a tissue sample from the patient, which is then subjected to advanced techniques such as next-generation sequencing (NGS) to complete multigene sequencing. By completing this testing, clinicians can discern the presence of driver oncogenes to allow for tailored treat ment approaches specific to the underlying molecular profile of the tumor such as with targeted therapies. Of note, immunohistochemical staining on tumor tissue should be employed for PD-L1 testing, quanti fied as tumor proportion score (TPS), as the level of PD-L1 expression serves as an additional crucial biomarker in lung cancer management. Advancements in the detection of circulating tumor DNA (ctDNA) have emerged as a noninvasive strategy to perform a “liquid biopsy” with a blood sample to assist in diagnosis and treatment monitoring. This strategy may be particularly useful to overcome tissue limitations, such as in cases where obtaining a tissue biopsy may be challenging or not feasible due to a tumor’s location. The role of a liquid biopsy continues to evolve, especially as the sensitivity and specificity of this biopsy strategy continue to improve. STAGING LUNG CANCER Lung cancer staging consists of two parts: first, a determination of the location of the tumor and possible metastatic sites (anatomic staging), and second, an assessment of a patient’s ability to withstand various antitumor treatments (physiologic staging). All patients with lung cancer should have a complete history and physical examination, with evaluation of all other medical problems, determination of perfor mance status (i.e., standardized measure assessing a patient’s physical functioning and ability to perform activities of daily living to deter mine their overall health and suitability for treatment), and history of weight loss. Staging with regard to a patient’s potential for surgical resection is principally applicable to NSCLC. The accurate staging of patients with NSCLC is essential for deter mining the appropriate treatment in patients with resectable disease and for avoiding unnecessary surgical procedures in patients with </w:t>
      </w:r>
      <w:r w:rsidR="00A6019F" w:rsidRPr="00A6019F">
        <w:lastRenderedPageBreak/>
        <w:t xml:space="preserve">advanced disease. All patients with NSCLC should undergo initial radiographic imaging with CT scan, positron emission tomography (PET), or preferably PET-CT. PET scanning attempts to identify sites of malignancy based on glucose metabolism by measuring the uptake of 18F-fluorodeoxyglucose (FDG). Rapidly dividing cells, presumably in the lung tumors, will preferentially take up 18F-FDG and appear as a “hot spot.” To date, PET has been mostly used for staging and detection of metastases in lung cancer and in the detection of nodules &gt;15 mm in diameter. Combined 18F-FDG PET-CT imaging has been shown to improve the accuracy of staging in NSCLC compared to visual correla tion of PET and CT or either study alone. PET-CT has been found to be superior in identifying pathologically enlarged mediastinal lymph nodes and extrathoracic metastases. A standardized uptake value (SUV) of &gt;2.5 on PET is highly suspicious for malignancy. False nega tives can be seen in diabetes, in lesions 1 cm and ≤2 cm (T1b), and &gt;2 cm and ≤3 cm (T1c). T2 tumors are those that are &gt;3 cm but ≤5 cm, involve the visceral pleura or main bronchus, or are associ ated with atelectasis; T2a tumors are &gt;3 cm and ≤4 cm, and T2b are &gt;4 cm and ≤5 cm. T3 tumors are &gt;5 cm and ≤7 cm. T3 tumors also include tumors with invasion into local structures such as the chest wall and diaphragm and with additional nodules in the same lobe. T4 tumors include tumors &gt;7 cm or tumors of any size with invasion into mediastinum, heart, great vessels, trachea, esophagus, or spine or with multiple nodules in the ipsilateral lung. Lymph node staging depends on metastasis to ipsilateral pulmonary or hilar nodes (N1), mediastinal or subcarinal nodes (N2), or contralat eral mediastinal, hilar, or supraclavicular nodes (N3). Patients with metastasis may be classified as M1a (malignant pleural or pericardial effusion, pleural nodules, or nodules in the contralateral lung), M1b (single distant metastasis to a single organ; e.g., bone, liver, adrenal, or brain metastasis), or M1c (multiple metastases to a single organ or metastases to mul tiple organs). The ninth edition of the TNM classification is scheduled to be introduced sometime in 2024. The effect of stage on survival is illus trated in Fig. 83-4. Approximately 15% of patients have localized disease that can be treated with curative attempt (surgery or radiotherapy), about a quarter have local or regional disease that may or may not be amenable to a curative attempt, and half have metastatic disease at the time of diagnosis. In 10%, the extent of disease is undefined. </w:t>
      </w:r>
      <w:r w:rsidR="00A6019F" w:rsidRPr="00A6019F">
        <w:rPr>
          <w:rFonts w:ascii="Arial" w:hAnsi="Arial" w:cs="Arial"/>
        </w:rPr>
        <w:t>■</w:t>
      </w:r>
      <w:r w:rsidR="00A6019F" w:rsidRPr="00A6019F">
        <w:t xml:space="preserve">STAGING SYSTEM FOR SMALL-CELL LUNG CANCER In patients with SCLC, it is now recom mended that both the Veterans Admin istration system and the American Joint Committee on Cancer/International Union Against Cancer eighth edition system (TNM) be used to classify the tumor stage. The Veterans Administra tion system is a distinct two-stage system dividing patients into those with limited- or extensive-stage disease. Patients with limited-stage disease (LD) have cancer that is confined to the ipsilateral hemi thorax and can be encompassed within a tolerable radiation port. Thus, contra lateral supraclavicular nodes, recurrent laryngeal nerve involvement, and supe rior vena caval obstruction can all be part of LD. Patients with extensive-stage disease (ED) have overt metastatic dis ease by imaging or physical examination. Cardiac tamponade, </w:t>
      </w:r>
      <w:r w:rsidR="00A6019F" w:rsidRPr="00A6019F">
        <w:lastRenderedPageBreak/>
        <w:t xml:space="preserve">malignant pleural effusion, and bilateral pulmonary paren chymal involvement generally qualify CHAPTER 83 Neoplasms of the Lung disease as ED, because the involved organs cannot be encompassed safely or effectively within a single radiation therapy port. Sixty to 70% of patients are diagnosed with ED at presentation. The TNM staging system is preferred in the rare SCLC patient presenting with what appears to be clinical stage I disease (see above). </w:t>
      </w:r>
      <w:r w:rsidR="00A6019F" w:rsidRPr="00A6019F">
        <w:rPr>
          <w:rFonts w:ascii="Arial" w:hAnsi="Arial" w:cs="Arial"/>
        </w:rPr>
        <w:t>■</w:t>
      </w:r>
      <w:r w:rsidR="00A6019F" w:rsidRPr="00A6019F">
        <w:t xml:space="preserve">PHYSIOLOGIC STAGING Patients with lung cancer often have other comorbid conditions related to smoking including cardiovascular disease and COPD. To improve their preoperative condition, correctable problems (e.g., anemia, electrolyte and fluid disorders, infections, cardiac disease, and arrhyth mias) should be addressed, appropriate chest physical therapy should be instituted, and patients should be encouraged to stop smoking. Patients with a forced expiratory volume in 1 s (FEV1 ) of &gt;2 L or &gt;80% of predicted may tolerate a pneumonectomy, and those with an FEV1 &gt;1.5 L may have adequate reserve for a lobectomy. In patients with bor derline lung function but a resectable tumor, cardiopulmonary exercise testing could be performed as part of the physiologic evaluation. This test allows an estimate of the maximal oxygen consumption (VO2max ). 622 PART 4 Oncology and Hematology TABLE 83-5 TNM Staging System for Lung Cancer (Eighth Edition) Primary Tumor (T) T1 Tumor ≤3 cm diameter, surrounded by lung or visceral pleura, without invasion more proximal than lobar bronchus T1mi Minimally invasive adenocarcinoma (pure lepidic pattern, &lt; size ≤ 2 cm)—T1c (2 cm &lt; size ≤ 3 cm) T2 Tumor &gt;3 cm but ≤5 cm, or tumor with any of the following features:   Involves main bronchus without carina, regardless of distance from carina   Invades visceral pleura   Associated with atelectasis or obstructive pneumonitis that extends to the hilar region but does not involve the entire lung T2a Tumor &gt;3 cm but ≤4 cm T2b Tumor &gt;4 cm but ≤5 cm T3 Tumor &gt;5 cm but ≤7 cm or any of the following:  Directly invades any of the following: chest wall, pericardium, phrenic nerve  Separate (satellite) tumor nodules in the same lobe T4 Tumor &gt;7 cm or any tumor with invasion of mediastinum, diaphragm, heart, great vessels, trachea, recurrent laryngeal nerve, esophagus, vertebral body, or carina, or with separate (satellite) tumor nodules in a different ipsilateral lobe Nodal Stage (N) N0 No regional lymph node metastases N1 Metastasis in ipsilateral peribronchial and/or ipsilateral hilar lymph nodes and intrapulmonary nodes, including involvement by direct extension N2 Metastasis in ipsilateral mediastinal and/or subcarinal lymph node(s) N3 Metastasis in contralateral mediastinal or hilar lymph node(s); ipsilateral/contralateral scalene/supraclavicular lymph node(s) Metastases (M) M0 No distant metastasis M1 Distant metastasis M1a Separate tumor nodule(s) in a contralateral lobe; pleural/ pericardial nodule/malignant effusion M1b Single extrathoracic metastasis, including single nonregional lymph node M1c Multiple extrathoracic metastases in one or more organs Abbreviation: TNM, tumor-node-metastasis. TABLE 83-6 TNM Stage Groupings, Eighth Edition T/M Subcategory N0 N1 N2 N3 T1 T1a IA1 IIB IIIA IIIB  T1b IA2 IIB IIIA IIIB  T1c IA3 IIB IIIA IIIB T2 T2a IB IIB IIIA IIIB  T2b IIA IIB IIIA IIIB T3 T3 IIB IIIA IIIB IIIC T4 T4 IIIA IIIA IIIB IIIC M1 M1a IVA IVA IVA IVA  M1b IVA IVA IVA IVA  M1c IVB IVB IVB IVB A </w:t>
      </w:r>
      <w:r w:rsidR="00A6019F" w:rsidRPr="00A6019F">
        <w:lastRenderedPageBreak/>
        <w:t xml:space="preserve">VO2max 45 mmHg), DLCO 7–8 mm in diameter. If no diagnosis is apparent, Mayo investiga tors reported that clinical characteristics (age, cigarette smoking status, and prior cancer diagnosis) and three radiologic charac teristics (nodule diameter, spiculation, and upper lobe location) were independent predictors of malignancy. At present, only two radiographic criteria are thought to predict the benign nature of a solitary pulmonary nodule: lack of growth over a period &gt;2 years and certain characteristic patterns of calcification. Calcification alone, however, does not exclude malignancy; a dense central nidus, multiple punctuate foci, and “bull’s eye” (granuloma) and “popcorn ball” (hamartoma) calcifications are highly suggestive of a benign lesion. In contrast, a relatively large lesion, lack of or asymmetric calcification, chest symptoms, associated atelectasis, pneumonitis, or growth of the lesion revealed by comparison with an old x-ray or CT scan or a positive PET scan may be suggestive of a malig nant process and warrant further attempts to establish a histologic diagnosis. An algorithm for assessing these lesions is shown in Fig. 83-5. Since the advent of screening CTs, small “ground-glass” opacities (GGOs) have often been observed, particularly as the increased sensitivity of CTs enables detection of smaller lesions. Many of these GGOs, when biopsied, are found to be atypical adenomatous hyper plasia (AAH), adenocarcinoma in situ (AIS), or minimally invasive adenocarcinoma (MIA). AAH is usually a nodule of 60 Current smoker (&gt;20 cigarettes/d) Never quit Corona radiata or spiculated Source: From The New England Journal of Medicine. The Solitary Pulmonary Nodule. D Ost et al: 348:2535-2542. Copyright @ 2003 Massachusetts Medical Society. Reprinted with permission from Massachusetts Medical Society. patients with stage I NSCLC, lobectomy is superior to wedge resec tion with respect to rates of local recurrence. There is also a trend toward improvement in overall survival. In patients with comor bidities, compromised pulmonary reserve, and small peripheral lesions, a limited resection, wedge resection, or segmentectomy (potentially by video-assisted thoracoscopic surgery) may be rea sonable surgical options. Pneumonectomy is reserved for patients with central tumors and should be performed only in patients with excellent pulmonary reserve. According to the Surveillance, Epi demiology, and End Results (SEER) data from 2022, patients with localized disease have a 5-year survival rate of 63%. Accurate pathologic staging requires adequate segmental, hilar, and mediastinal lymph node sampling. Ideally, this includes a medi astinal lymph node dissection. Although there are no evidence-based guidelines mandating the number of lymph nodes to be removed at surgery for adequate staging, the International Association for the Study of Lung Cancer staging manual states that suitable nodal staging generally includes sampling/dissection of lymph nodes from stations 2R, 4R, 7, 10R and 11R on the right side, and from stations 5, 6, 7, 10L, and 11L on the left side. Hilar lymph nodes are typically resected and sent for pathologic review, although it is helpful to specifically dissect and label level 10 lymph nodes when possible. On the left side, level 2 and sometimes level 4 lymph nodes are generally obscured by the aorta. Although the therapeutic benefit of nodal dissection </w:t>
      </w:r>
      <w:r w:rsidR="00A6019F" w:rsidRPr="00A6019F">
        <w:lastRenderedPageBreak/>
        <w:t xml:space="preserve">versus nodal sampling is controversial, a pooled analysis of three trials involving patients with stages I to IIIA NSCLC demonstrated a superior 4-year survival in patients undergoing resection and a complete mediastinal lymph node dis section compared with lymph node sampling. Moreover, complete mediastinal lymphadenectomy added little morbidity to a pulmo nary resection for lung cancer when carried out by an experienced thoracic surgeon. Radiation Therapy in Stages I and II NSCLC There is currently no role for postoperative radiation therapy in patients following resection of stage I or II NSCLC with negative margins. However, patients with stage I and II disease who either decline or are not suitable candidates for surgery should be considered for radiation therapy with curative intent. Stereotactic body radiation therapy (SBRT) is a technique used to treat patients with isolated pulmo nary nodules (≤5 cm) who are not candidates for or refuse surgical resection. Treatment is typically administered in three to five frac tions delivered over 1–2 weeks. In uncontrolled studies, disease control rates are &gt;90%, and 5-year survival rates of up to 60% have been reported with SBRT. By comparison, survival rates typically range from 13 to 39% in patients with stage I or II NSCLC treated with standard external-beam radiotherapy. Cryoablation is another CHAPTER 83 Neoplasms of the Lung 624 New nodule identified on standard CT scanning Benign calcification pattern on CT or stability for 2 yr on archival films Risk factors for surgery • Predicted postoperative FEV1 &lt; .03 BR10 IB–II Cisplatin + vinorelbine Control 242 240 69 54 .03 ANITA IB–IIIA Cisplatin + vinorelbine Control 407 433 60 58 .017 ALPI I–III MVP Control 548 540 50 45 .49 BLT I–III Cisplatin-based Control 192 189 60 58 .90 CALGB IB Carboplatin + paclitaxel 173 171 59 57 .10 ECOG1505 IB &gt; 4c – IIIA Cisplatin-based Cisplatin-based + bevacizumab 749 752 NR NR .90 Abbreviations: ALPI, Adjuvant Lung Cancer Project Italy; ANITA, Adjuvant Navelbine International Trialist Association; BLT, Big Lung Trial; CALGB, Cancer and Lung Cancer Group B; ECOG, Eastern Cooperative Oncology Group; IALT, International Adjuvant Lung Cancer Trial; MVP, mitomycin, vindesine, and cisplatin; NR, not reported. immunotherapy—have been incorporated into the curative approach for patients with NSCLC (Table 83-10). Osimertinib, an EGFR tyrosine kinase inhibitor (TKI), dem onstrated improved disease-free survival in the adjuvant setting for patients with EGFR mutation (exon 19 deletion or L858R) positive NSCLC treated for 3 years with or without chemotherapy; improved overall survival benefit with adjuvant osimertinib was also reported. Regulatory authorities including the U.S. FDA, the European Commission, and China’s National Medical Products Administration have granted approval for adjuvant osimertinib in resected, stages IB–IIIA EGFR-mutant NSCLC. Furthermore, the exploration of additional targeted therapies in the adjuvant setting is ongoing, as seen for example in the phase 3 ALINA trial investi gating oral alectinib for patients with ALK fusion oncogene–posi tive NSCLC. This highlights a dynamic landscape in the pursuit of enhanced treatment outcomes for patients with early-stage NSCLC. Approved adjuvant immunotherapy regimens, using either atezoli zumab or pembrolizumab, involve approximately 1 year of treat ment following adjuvant chemotherapy. This treatment </w:t>
      </w:r>
      <w:r w:rsidR="00A6019F" w:rsidRPr="00A6019F">
        <w:lastRenderedPageBreak/>
        <w:t xml:space="preserve">approach is supported by the disease-free survival benefit observed in the IMpower010 and KEYNOTE-091 trials. Notably, the association between treatment benefit and the level of PD-L1 expression varied. Neoadjuvant chemotherapy, which is the application of chemo therapy administered before an attempted surgical resection, has been advocated by some experts on the assumption that such an approach will more effectively extinguish occult micrometastases compared to postoperative chemotherapy. In addition, there is thought that preoperative chemotherapy might render an inoper able lesion resectable. A meta-analysis of 15 randomized controlled trials involving &gt;2300 patients with stage I–III NSCLC suggested there may be a modest 5-year survival benefit (i.e., </w:t>
      </w:r>
      <w:r w:rsidR="00A6019F" w:rsidRPr="00A6019F">
        <w:rPr>
          <w:rFonts w:ascii="Cambria Math" w:hAnsi="Cambria Math" w:cs="Cambria Math"/>
        </w:rPr>
        <w:t>∼</w:t>
      </w:r>
      <w:r w:rsidR="00A6019F" w:rsidRPr="00A6019F">
        <w:t xml:space="preserve">5%) that is virtually identical to the survival benefit achieved with postop erative chemotherapy. Accordingly, neoadjuvant therapy may prove useful in selected cases (see below). A decision to use neoadjuvant chemotherapy should always be made in consultation with an experienced surgeon. Neoadjuvant immunotherapy combined with chemotherapy has gained approval for patients with stage IB–IIIA, resectable NSCLC, with neoadjuvant nivolumab plus chemotherapy for three cycles resulting in a pathologic complete response rate of 24% and statistically significant event-free survival benefit over chemotherapy alone (hazard ratio [HR] 0.63; p = .005) in the CheckMate 816 trial. Various perioperative (i.e., before and after surgical resection) treatment strategies have been explored for patients with resect able NSCLC. This involves a neoadjuvant chemoimmunotherapy approach followed by adjuvant immunotherapy. A perioperative treatment approach with pembrolizumab in combination with chemotherapy has been approved for patients with stages II–IIIB, resectable NSCLC. This approval is based on the results of the KEYNOTE-671 phase 3 trial that demonstrated a significant overall survival and event-free survival benefit over preoperative chemo therapy alone. All patients with resected NSCLC are at high risk of developing a second primary lung cancer or recurrence, most of which occur within 18–24 months of surgery. Thus, these patients should be followed with regular physical examinations and periodic imaging studies. Given the results of the NLST, periodic CT scans appear to be the most appropriate screening modality. Professional guide lines, such as those from the National Comprehensive Cancer Net work (NCCN), recommend a chest CT scan every 3–6 months for the first 3 years after surgery, then every 6 months for 2 years, and then annually to monitor for recurrence. MANAGEMENT OF STAGE III NSCLC Management of patients with stage III NSCLC usually requires a combined-modality approach. Patients with stage IIIA disease com monly are stratified into those with “nonbulky” or “bulky” medias tinal lymph node (N2) disease. Although the definition of “bulky” N2 disease varies somewhat in the literature, the usual criteria include the size of a dominant lymph node (i.e., &gt;2–3 cm in short axis diameter as measured by CT), groupings of multiple smaller lymph nodes, evidence of extracapsular nodal involvement, or involvement of more than two lymph node stations. The distinction TABLE 83-10 Select Therapeutic Strategies Incorporating Immunotherapy or Targeted Therapy In Early-Stage, Resectable Non-Small-Cell Lung </w:t>
      </w:r>
      <w:r w:rsidR="00A6019F" w:rsidRPr="00A6019F">
        <w:lastRenderedPageBreak/>
        <w:t xml:space="preserve">Cancer (NSCLC) TRIAL STAGE AND DISEASE CHARACTERISTICS REGIMEN APPROVAL ENDPOINT Neoadjuvant CheckMate 816 IB–IIIA Irrespective of PD-L1 Nivolumab + chemotherapy × 3 cycles EFS HR 0.63, p = .005 Perioperative KEYNOTE-671 II–IIIB (N2) Irrespective of PD-L1 Pembrolizumab + chemotherapy × 4 cycles → surgery → pembrolizumab × ~9 months EFS HR 0.58, p &lt; .00001 OS HR 0.72, p = .00517 Adjuvant IMPower010 II–IIIA PD-L1 positive (≥1%) Adjuvant chemotherapy → atezolizumab × 1 year DFS HR 0.66, p = .004 KEYNOTE 091/ PEARLS IB–IIIA Irrespective of PD-L1 Adjuvant chemotherapy → pembrolizumab × 1 year DFS HR 0.73 ADAURA IB–IIIA EGFR exon 19 deletions or exon 21 L858R Osimertinib × 3 years (irrespective of adjuvant chemotherapy) DFS HR 0.20, p &lt; .0001 OS HR 0.49, p &lt; .001 ALINA IB-IIIA ALK fusion positive Alectinib × 2 years DFS HR 0.24; P50% 5-year survival in patients with an R0 resection). Patients with N2 disease are less likely to benefit from surgery and can be managed with chemoradiotherapy followed by durvalumab. Patients presenting with metastatic dis ease can be treated with radiation therapy (with or without chemo therapy) for symptom palliation. SURGICAL MANAGEMENT OF NSCLC Traditionally, in patients with NSCLC, the following have been relative contraindications to potential curative resection: extratho racic metastases, superior vena cava syndrome, vocal cord and, in most cases, phrenic nerve paralysis, malignant pleural effusion, 627 cardiac tamponade, tumor within 2 cm of the carina (poten tially curable with combined chemoradiotherapy), metastasis to the contralateral lung, metastases to supraclavicular lymph nodes, contralateral mediastinal node metastases (potentially curable with combined chemoradiotherapy), and involvement of the main pul monary artery. In situations where it will make a difference in treatment, abnormal scan findings should be further investigated and require tissue confirmation of malignancy so that patients are not precluded from having potentially curative therapy. The role of surgical management of NSCLC continues to evolve, given emerg ing neoadjuvant/perioperative treatment strategies, and warrants multidisciplinary discussion. MANAGEMENT OF METASTATIC NSCLC Approximately 40% of NSCLC patients present with advanced, stage IV disease at the time of diagnosis. In addition, a significant number of patients who first presented with early-stage NSCLC will eventually relapse with distant disease. Patients who have recurrent disease have a better prognosis than those presenting with meta static disease at the time of diagnosis. Standard medical manage ment, the appropriate use of pain medications, and the pertinent use of radiotherapy and systemic therapy—which may consist of targeted therapy, immunotherapy, and/or traditional cytotoxic che motherapy depending on the specific diagnosis as well as PD-L1 TPS and molecular subtype—form the cornerstone of management. Systemic therapy palliates symptoms, improves quality of life, and improves survival in patients with metastatic NSCLC, particularly in patients with good performance status. Of note, the early applica tion of palliative care in conjunction with chemotherapy in patients with advanced NSCLC is associated with both improved survival and quality of life. Targeted Therapies for Select Molecular Cohorts of NSCLC For a cohort of NSCLC </w:t>
      </w:r>
      <w:r w:rsidR="00A6019F" w:rsidRPr="00A6019F">
        <w:lastRenderedPageBreak/>
        <w:t xml:space="preserve">patients, the presence of an oncogenic driver mutation allows the use of oral therapies with significant antitumor activity and improved survival compared to cytotoxic chemo therapy. These driver mutations occur in genes encoding signaling proteins that, when aberrant, promote the uncontrolled growth and metastasis of tumor cells. Importantly, driver mutations can serve as Achilles’ heels for tumors, if their gene products can be targeted therapeutically with small-molecule inhibitors. All patients with advanced NSCLC should ideally undergo comprehensive molecular testing (i.e., multigene testing encompassing at least all biomarkers for which there are approved biomarker-matched therapies, includ ing less common driver mutations) with broad panel-based testing techniques such as NGS as opposed to conventional, single-gene targeted testing strategies. Point mutations, insertions/deletions, chromosomal rearrangements (sometimes called “fusions”), and copy number variants have been reported in a number of genes including ALK, BRAF, EGFR, ERRB2, KRAS, MET, NRAS, NRG1, NTRK, PIK3ca, RET, and ROS1, with varying levels of clinical evidence. As our treatment armamentarium expands, knowledge of these mutations is critical for selection of appropriate therapy. EGFR mutations have been detected in 10–15% of North American patients diagnosed with NSCLC. EGFR mutations are typically (but not exclusively) associated with younger age, light (70%, particu larly in treatment-naïve NSCLC patients. A unique and challenging potential adverse event of oral MET inhibition with capmatinib and tepotinib is peripheral edema. All NCCN-supported targetable oncogenic driver mutations and potential therapeutic options are summarized in Fig. 83-6. Immunotherapy Immune checkpoint inhibitors have significantly improved survival for a group of patients with locally advanced and metastatic NSCLC. These agents are used primarily in patients whose tumors do not express a targetable genetic lesion (Fig. 83-7). Immune checkpoint inhibitors work by blocking interactions between T cells and antigen-presenting cells (APCs) or tumor cells that lead to T-cell inactivation. By inhibiting this interaction, the immune system is effectively upregulated and T cells become Core biopsy to prove metastatic disease ROS1 fusion RET fusion MET exon 14 skipping mutation Crizotinib, Entrectinib, Repotrectinib, (Ceritinib), (Lorlatinib) * Approved as second-line therapy only. Pralsetinib, Selpercatinib BRAF V600E mutation Capmatinib, Crizotinib, Tepotinib Dabrafenib/ Trametinib, Encorafenib/ Binimetinib, Vemurafenib NTRK 1/2/3 Fusion Entrectinib Larotrectinib Atypical EGFR mutations: G719X, L861Q, and S768I Afatinib FIGURE 83-6 United States-centric approach to targeted therapy in non-small-cell lung cancer (NSCLC) based on drug approvals. Acknowledging regional variances in approvals. Drugs are listed alphabetically, not by author preference. Current as of June 2024. 629 Obtain tissue Determine histology Determine PD-L1 status Treatment options Core biospy of most distant site of disease to prove metastatic disease Squamous PD-L1 ≥50% PD-L1 ≥1% Anti-PD-1/PD-L1 monotherapy Anti-PD-1/PD-L1 monotherapy plus histology-specific chemotherapy Anti-PD-1/PD-L1 monotherapy plus histology specific chemotherapy PD-L1 3 months after their initial therapy and are thought to have a somewhat better overall survival. </w:t>
      </w:r>
      <w:r w:rsidR="00A6019F" w:rsidRPr="00A6019F">
        <w:lastRenderedPageBreak/>
        <w:t xml:space="preserve">These patients also are thought to have the greatest potential benefit from second-line chemotherapy. Topotecan and lurbinectedin are FDA approved agents for second-line therapy in patients with SCLC. Topotecan has only modest activity and can be given either intra venously or orally; it appears to have more efficacy in patients with chemotherapy-sensitive disease. Lurbinectedin has a 35% response rate and progression-free survival of 3.5 months, with a greater ben efit in patients with chemotherapy-sensitive disease. Other agents with similar low levels of activity in the second-line setting include irinotecan, paclitaxel, docetaxel, vinorelbine, oral etoposide, and gemcitabine. The treatment of refractory SCLC is a pressing con cern, prompting the investigation of various new targets and drugs. For example, at the time this chapter is being written, one of the most exciting advancements in SCLC is the development of delta like ligand 3 (DLL3)-targeting agents. For example, in the phase 2 DeLLphi-301 study, tarlatamab, a bispecific T-cell engager immu notherapy targeting DLL3 and CD3, demonstrated a 40% objective response rate and a median progression-free survival of 4.9 months in the 10-mg group for patients with previously treated SCLC. Con firmatory evidence from the phase 3 study remains pending. THORACIC RADIATION THERAPY Thoracic radiation therapy (TRT) and concurrent chemotherapy with curative intent are standard for patients with limited-stage SCLC with suitable performance status. Without TRT, virtually 631 Complete history and physical examination Determination of performance status and weight loss Complete blood count with platelet determination Measurement of serum electrolytes, glucose, and calcium; renal and liver function tests CT scan of chest, abdomen, and pelvis or CT-PET to evaluate for metastatic disease MRI of brain Bone scan if not able to do PET scan No signs, symptoms, or imaging to suggest metastatic disease Patient has no contraindication to combined chemotherapy and radiation therapy Combined-modality treatment with platinum-based therapy and etoposide and radiation therapy Patient has contraindication to combined chemoradiation therapy Sequential treatment with chemotherapy and radiation therapy Single lesion detected on imaging Biopsy lesion Negative for metastatic disease Multiple lesions detected on imaging Positive for metastatic disease Chemotherapy with immunotherapy and/or radiation therapy for palliation of symptoms FIGURE 83-8 Algorithm for management of small-cell lung cancer. MRI, magnetic resonance imaging; PET, positron emission tomography. all patients with limited-stage SCLC will progress on systemic therapy alone within 1 year. Meta-analyses indicate that chemo therapy combined with TRT improves 3-year survival by ~5% com pared with chemotherapy alone. The 5-year survival rate, however, remains low at ~29–34%. Most commonly, TRT is combined with concurrent platinum and etoposide because of a better toxicity pro file compared to anthracycline-based regimens. For limited-stage SCLC, concurrent chemoradiation is more effective than sequential chemoradiation but is associated with significantly more esophagi tis and hematologic toxicity. Ideally, TRT should be administered by the second cycle of chemotherapy because later application appears slightly less effective. If for reasons of </w:t>
      </w:r>
      <w:r w:rsidR="00A6019F" w:rsidRPr="00A6019F">
        <w:lastRenderedPageBreak/>
        <w:t xml:space="preserve">fitness or availability con current chemoradiation cannot be administered, TRT should fol low induction chemotherapy in alignment with an extensive-stage SCLC paradigm. With respect to fractionation of TRT, twice-daily 1.5-Gy fractioned radiation therapy has been shown to improve survival in limited-stage SCLC patients but is associated with higher rates of grade 3 esophagitis and pulmonary toxicity. Patients should be carefully selected for concurrent chemoradiation therapy based on good performance status and adequate pulmonary reserve. The role of radiotherapy in ED-SCLC is mainly limited to palliation of tumor-related symptoms such as bone pain and bronchial obstruc tion. Notably, consolidation TRT has demonstrated a survival benefit in extensive-stage SCLC in prospective studies; however, translating these study findings into current clinical practice is challenging due to their completion before the introduction of immunotherapy in the first-line setting. PROPHYLACTIC CRANIAL IRRADIATION Prophylactic cranial irradiation (PCI) has historically been offered to all patients with SCLC without progression on initial treat ment for limited-stage and extensive-stage disease. A meta-analysis including seven trials and 987 patients with limited-stage SCLC who had achieved a complete remission after upfront chemotherapy yielded a 5.4% improvement in overall survival for patients treated with PCI. However, the role of PCI has become controversial as these studies were conducted before brain MRIs for staging. In patients with ED-SCLC who have responded to first-line chemo therapy and had no CNS disease, patients randomized to observa tion had a higher incidence of brain metastases; however, use of PCI did not improve overall survival. THYMIC TUMORS Thymic tumors are rare malignancies, accounting for 0.5–1.5% of all malignancies in the United States with a higher incidence among Asian populations. They are particularly rare among children and young adults with incidence peaking in the fifth decade of life. There is no difference between sexes, and no clear risk factors have been identified. </w:t>
      </w:r>
      <w:r w:rsidR="00A6019F" w:rsidRPr="00A6019F">
        <w:rPr>
          <w:rFonts w:ascii="Arial" w:hAnsi="Arial" w:cs="Arial"/>
        </w:rPr>
        <w:t>■</w:t>
      </w:r>
      <w:r w:rsidR="00A6019F" w:rsidRPr="00A6019F">
        <w:t xml:space="preserve">CLINICAL MANIFESTATIONS The majority of thymic tumors occur in the anterior mediastinum. Approximately 40% of patients with mediastinal masses will be asymptomatic with an incidental finding on chest imaging. In patients presenting with an anterior mediastinal mass, if appropriate, serum </w:t>
      </w:r>
      <w:r w:rsidR="00A6019F" w:rsidRPr="00A6019F">
        <w:rPr>
          <w:rFonts w:ascii="Aptos" w:hAnsi="Aptos" w:cs="Aptos"/>
        </w:rPr>
        <w:t>β</w:t>
      </w:r>
      <w:r w:rsidR="00A6019F" w:rsidRPr="00A6019F">
        <w:t xml:space="preserve">-human chorionic gonadotropin (HCG) and </w:t>
      </w:r>
      <w:r w:rsidR="00A6019F" w:rsidRPr="00A6019F">
        <w:rPr>
          <w:rFonts w:ascii="Aptos" w:hAnsi="Aptos" w:cs="Aptos"/>
        </w:rPr>
        <w:t>α</w:t>
      </w:r>
      <w:r w:rsidR="00A6019F" w:rsidRPr="00A6019F">
        <w:t xml:space="preserve">-fetoprotein (AFP) should be sent to rule out a germ cell tumor. A patient with a sign or symptom of thymoma or thymic carcinoma may present with chest pain, dyspnea, cough, or superior vena cava syndrome secondary to effects on adjacent organs or a paraneoplastic syndrome, most commonly myasthenia gravis, pure red cell aplasia, or hypogam maglobulinemia. More rare paraneoplastic syndromes include limbic encephalitis, aplastic anemia, hemolytic anemia, and autoimmune disease such as Sjögren’s syndrome, polymyositis, rheumatoid arthritis, and ulcerative colitis, among others. </w:t>
      </w:r>
      <w:r w:rsidR="00A6019F" w:rsidRPr="00A6019F">
        <w:rPr>
          <w:rFonts w:ascii="Arial" w:hAnsi="Arial" w:cs="Arial"/>
        </w:rPr>
        <w:t>■</w:t>
      </w:r>
      <w:r w:rsidR="00A6019F" w:rsidRPr="00A6019F">
        <w:t xml:space="preserve">STAGING Given the rarity of the tumor, patients with suspected thymoma should be evaluated by a multidisciplinary team including a surgeon, medical and radiation oncologist, and pathologist with experience in treating the disease. A CT scan of the chest with contrast is recommended to CHAPTER 83 Neoplasms of the Lung 632 TABLE 83-14 Staging Thymic Tumors MASAOKA STAGE </w:t>
      </w:r>
      <w:r w:rsidR="00A6019F" w:rsidRPr="00A6019F">
        <w:lastRenderedPageBreak/>
        <w:t xml:space="preserve">DEFINITION I IIA IIB III IVA IVB WHO A AB B1 B2 PART 4 Oncology and Hematology B3 C Grossly and microscopically encapsulated Microscopic transcapsular invasion Macroscopic invasion into surrounding tissue excluding pericardium, lung, and great vessels Macroscopic invasion into neighboring organs of the lower neck or upper chest Pleural or pericardial dissemination Hematogenous or lymphatic dissemination to distal organs Tumor with few lymphocytes Tumor with features of type A and foci rich in lymphocytes Tumor with features of normal epithelial cells with vesicular nuclei and distinct nucleoli and an abundant population of lymphocytes. Also known as cortical thymoma, lymphocyte-rich thymoma Thymoma with no or mild atypia with round or polygonal shaped cells with small component of lymphocytes Well-differentiated thymic carcinoma with mild atypia Thymic carcinoma with high atypia determine if the mass is resectable based on relationship to surround ing structures. An MRI with contrast may be performed if clinically indicated. A PET scan may be useful in the evaluation of a patient with thymic tumors, although it may be less useful in the staging of thymoma compared to thymic carcinoma. A core needle biopsy is considered standard of care for obtaining a histologic diagnosis of an anterior mediastinal tumor. This may be obtained via CT or ultrasound imaging. However, in some circumstances, a mediastinoscopy or open biopsy may be required. Thymomas are commonly staged using the Masaoka system or the WHO staging system, as described in Table 83-14. WHO types A, AB, and B1 tend to be more well-differentiated, types B2 and B3 are mod erately differentiated, and type C is poorly differentiated. </w:t>
      </w:r>
      <w:r w:rsidR="00A6019F" w:rsidRPr="00A6019F">
        <w:rPr>
          <w:rFonts w:ascii="Arial" w:hAnsi="Arial" w:cs="Arial"/>
        </w:rPr>
        <w:t>■</w:t>
      </w:r>
      <w:r w:rsidR="00A6019F" w:rsidRPr="00A6019F">
        <w:t xml:space="preserve">TREATMENT Surgical resection is the mainstay of treatment for patients with Masa oka type I and II thymic tumors. In patients with type III and IV who have potentially resectable thymic tumors, neoadjuvant chemotherapy may be given to decrease the tumor size and allow for a resection with negative margins. Surgery remains controversial and provides a limited role in the treatment of stage III and IV disease. No additional therapy may be required in patients with type I who have a resection with nega tive margins. Postoperative radiation therapy may be recommended based on extracapsular extension and the presence of positive margins in patients with type II or III thymic tumors or histologic evaluation WHO B3 and C. Radiation therapy may be beneficial in patients with locally advanced disease (type III or IV) or in patients with symptoms secondary to compression of surrounding structures. Chemotherapy with cisplatin, doxorubicin, and cyclophosphamide (CAP) remains the mainstay of therapy in the neoadjuvant and adjuvant setting as well as first-line therapy in patients with metastatic thymoma, whereas carboplatin and paclitaxel are often employed in patients with thymic carcinoma. Limited additional agents are recommended based on small phase 2 trials as second-line therapy and beyond. SUMMARY The management of SCLC and NSCLC has undergone major change in the past decade, resulting in a reduction in lung cancer mortality. For patients with early-stage disease, advances in radiotherapy and surgical procedures as well as new systemic therapies in the neoadjuvant and perioperative settings have greatly improved prognosis in all diseases. For patients with advanced </w:t>
      </w:r>
      <w:r w:rsidR="00A6019F" w:rsidRPr="00A6019F">
        <w:lastRenderedPageBreak/>
        <w:t xml:space="preserve">lung cancer, major progress in understand ing tumor genetics and tumor immunology has led to the development of rational targets and specific inhibitors, which have documented efficacy in specific subsets of NSCLC. Furthermore, increased under standing of how to activate the immune system to drive antitumor immunity has proven to be a successful therapeutic strategy for a subset of patients with advanced lung cancer. However, only a small subset of patients responds to immune checkpoint inhibitors, and the majority of patients treated with targeted therapies or chemotherapy eventually develop resistance, which provides strong motivation for further research and enrollment of patients onto clinical trials in this rapidly evolving area. Acknowledgment David Johnson, Leora Horn, and Wade Iams contributed to this chapter in the prior edition and material from that chapter has been retained here. </w:t>
      </w:r>
      <w:r w:rsidR="00A6019F" w:rsidRPr="00A6019F">
        <w:rPr>
          <w:rFonts w:ascii="Arial" w:hAnsi="Arial" w:cs="Arial"/>
        </w:rPr>
        <w:t>■</w:t>
      </w:r>
      <w:r w:rsidR="00A6019F" w:rsidRPr="00A6019F">
        <w:t>FURTHER READING Cascone T et al: Perioperative nivolumab in resectable lung cancer. N Engl J Med 390:1756, 2024. Ettinger D et al: NCCN Guidelines</w:t>
      </w:r>
      <w:r w:rsidR="00A6019F" w:rsidRPr="00A6019F">
        <w:rPr>
          <w:rFonts w:ascii="Aptos" w:hAnsi="Aptos" w:cs="Aptos"/>
        </w:rPr>
        <w:t>®</w:t>
      </w:r>
      <w:r w:rsidR="00A6019F" w:rsidRPr="00A6019F">
        <w:t xml:space="preserve"> Insights: Non-Small Cell Lung Cancer, Version 2.2023. J Natl Compr Canc Netw 21:340, 2023. Hsu M et al: Lung cancer survivorship: Physical, social, emotional, and medical needs of NSCLC survivors. J Natl Compr Canc Netw 22:e237072, 2024. Owen D et al: Therapy for stage IV non-small-cell lung cancer with driver alterations: ASCO Living Guideline, Version 2023.2. J Clin Oncol 41:e63, 2023. Rudin C et al: Small-cell lung cancer. Nature Rev Dis Primers 7:3, 2021. Wakelee H: Chemotherapy and immunotherapy in early-stage NSCLC: Neoadjuvant vs adjuvant therapy. Clin Adv Hematol Oncol 21:648, 2023. 84 Breast Cancer Nancy E. Davidson Breast cancer is the most common nonskin cancer diagnosed in women in the world. In 2024, it is estimated that in the United States 310,000 women will be diagnosed with invasive breast cancer, &gt;56,000 women will receive a diagnosis of ductal carcinoma in situ (DCIS), and about 42,250 women will die from breast cancer. Although largely a disease of women, about 2800 men will be diagnosed with and 530 men will die from breast cancer in 2024 in the United States. Thanks to advances in understanding of breast cancer biology, screening, diag nosis, treatment, and decreased use of hormone replacement therapy, 5-year relative survival in the United States is currently 91%. These advances have also made it possible to conceptualize the evolution of breast cancer and how available interventions can be applied across the continuum of changes to improve outcomes (Fig. 84-1). EPIDEMIOLOGY AND RISK FACTORS </w:t>
      </w:r>
      <w:r w:rsidR="00A6019F" w:rsidRPr="00A6019F">
        <w:rPr>
          <w:rFonts w:ascii="Arial" w:hAnsi="Arial" w:cs="Arial"/>
        </w:rPr>
        <w:t>■</w:t>
      </w:r>
      <w:r w:rsidR="00A6019F" w:rsidRPr="00A6019F">
        <w:t xml:space="preserve">NONGENETIC RISK FACTORS Female gender and increasing age are the most common risk factors for breast cancer. About 70% of breast cancer in the United States is diag nosed in women 55 years and older, and median age of diagnosis is 63. Incidence is highest in non-Hispanic whites followed by non-Hispanic blacks and is lower in Hispanic, Asian/Pacific Islander, and American Indian/Alaska Native women; in contrast, mortality is highest in non Hispanic blacks followed by non-Hispanic whites and individuals of other race/ethnicity. Both incidence and mortality vary considerable around the globe, but studies of immigrant populations show that pop ulations who migrate from low-incidence regions to high-incidence regions will attain the breast cancer risk of the higher incidence region within one or two </w:t>
      </w:r>
      <w:r w:rsidR="00A6019F" w:rsidRPr="00A6019F">
        <w:lastRenderedPageBreak/>
        <w:t xml:space="preserve">generations. Breast cancer continuum 633 Normal Normal duct Risk assessment High risk Intraductal hyperplasia Atypical ductal hyperplasia In situ Ductal carcinoma in situ Invasive Invasive ductal cancer Micro-metastases Lymph or blood vessels Detectable metastases Mortality Regional lymph node Risk reduction/chemoprevention Screening Primary Rx (surgery/radiation) Distant organs Adjuvant Systemic Rx Distant organs Survivorship Palliative treatment FIGURE 84-1 Breast cancer continuum conceptual model. Most breast cancers begin in epithelial cells within the lobules or ducts. They proceed through a continuum of atypia and hyperplasia to in situ malignancy to invasion into surrounding normal tissues followed by intravasation into lymph and blood channels to local lymph nodes and distant organs, culminating in distant metastases. This is a conceptual model. Not all metastatic breast cancers have progressed through these stages, and many lesions do not progress to the next. Breast cancer is predominantly a disease resulting from prolonged exposure of the breast to estrogen. Thus, early menarche, late meno pause, and late first pregnancy are known risk factors. Likewise, pro longed exposure to hormone replacement therapy (but paradoxically not estrogen replacement therapy) is associated with increased risk as is current use of oral contraceptives. Postmenopausal obesity (but not premenopausal obesity) is also a risk factor, likely because of increased estrogen exposure. Studies of diet and breast cancer risk have not been conclusive, but alcohol consumption is a risk factor. The best documented exogenous risk factor for breast cancer is exposure to ionizing radiation during adolescence. Studies of other environmental factors such as pesticide or other chemical exposures have not been convincing. Women diagnosed with some types of benign breast pathology also have a higher risk of subsequent invasive breast cancer diagnosis. In particular, the diagnosis of atypical ductal or lobular hyperplasia increases risk about four- to fivefold, whereas a diagnosis of lobular carcinoma in situ (LCIS) increases risk 7- to 12-fold. Recent studies also suggest that women with high breast density on mammography may be at increased risk of breast cancer. </w:t>
      </w:r>
      <w:r w:rsidR="00A6019F" w:rsidRPr="00A6019F">
        <w:rPr>
          <w:rFonts w:ascii="Arial" w:hAnsi="Arial" w:cs="Arial"/>
        </w:rPr>
        <w:t>■</w:t>
      </w:r>
      <w:r w:rsidR="00A6019F" w:rsidRPr="00A6019F">
        <w:t xml:space="preserve">GENETIC RISK FACTORS Family history is a critical risk factor, although only 20% of women diagnosed with breast cancer have a family history. Diag nosis of breast cancer in a first-degree relative (parent, sibling, or daughter) doubles breast cancer risk. A personal diagnosis of previous invasive breast cancer also increases the risk of developing a new breast cancer in the ipsilateral or contralateral breast. Prevention, diagnosis, and management of breast cancer have been revolutionized by the identification of a family of hereditary breast cancer susceptibility genes that account for 5–10% of breast cancers. These genes play a role in DNA damage repair, and inherited muta tions, which are transmitted in an autosomal dominant fashion, generally lead to protein truncation and loss of function of DNA repair proteins. The most common mutations are in the BRCA1 (located on chromosome 17q21) or BRCA2 (located on chromosome 13q12) genes, and they impart a 50–80% risk of developing invasive breast cancer by age 80 years as well as a 30% risk of developing ovarian cancer. Germline mutations in other genes also lead to a higher risk of breast cancer including TP53 (Li-Fraumeni syndrome), PALB2, ATM, STK11 </w:t>
      </w:r>
      <w:r w:rsidR="00A6019F" w:rsidRPr="00A6019F">
        <w:lastRenderedPageBreak/>
        <w:t xml:space="preserve">(Peutz-Jeghers syndrome), and PTEN (Cowden syndrome). Certain populations have a higher incidence of BRCA mutations, especially Ashkenazi Jews. Commercially available assays for germline, breast cancer susceptibility mutations have expanded from just the two originally discovered genes (BRCA1/2) to panels including these and the genes listed above to panels that include these and 20 or more additional genes. Two major concerns have arisen over time regarding the relative lack of clinical correlations inherent in these panels and the unknown association with risk, which have led to some confusion and discomfort among patients: (1) variants of unknown significance (VUS) in the genes known to be associated with increased risk; and (2) genes included in the panels about which little is known regarding clinical risk. Efforts to develop polygenic risk scores that evaluate single nucleotide polymorphisms (SNPs) in other genes are under study but are not yet ready for clinical application. Testing for germline mutations is readily done using panel testing on DNA obtained from peripheral blood or saliva after appropriate coun seling. It is not recommended for the general population. Evidence based guidelines from the American Society of Clinical Oncology and Society of Surgical Oncology recommend consideration of testing for high-penetrance breast cancer susceptibility genes in individuals with a personal history of breast cancer with specific features including diagnosis ≤65 years. Older patients should be offered testing for clini cal features such as Ashkenazi Jewish ancestry; multiple breast cancers; certain types of breast cancer, including breast cancer lacking expres sion of the estrogen and progesterone receptors and HER2 proteins CHAPTER 84 Breast Cancer 634 (triple-negative breast cancer [TNBC]) and lobular breast cancer with personal or family history of diffuse gastric cancer; or close blood rela tive with early-onset or male breast cancer, ovarian cancer, pancreatic cancer, or metastatic prostate cancer. Testing for individuals without a cancer diagnosis should be considered for those with a family member who tests positive or those with a family history as outlined above or those with higher risk based on existing risk assessment tools such as Tyrer-Cuzick score, BRCAPro, or CanRisk. PREVENTION Current strategies to prevent breast cancer include surgery, chemo prevention, and lifestyle modification; their use and impact will vary depending on the underlying risk of developing breast cancer. </w:t>
      </w:r>
      <w:r w:rsidR="00A6019F" w:rsidRPr="00A6019F">
        <w:rPr>
          <w:rFonts w:ascii="Arial" w:hAnsi="Arial" w:cs="Arial"/>
        </w:rPr>
        <w:t>■</w:t>
      </w:r>
      <w:r w:rsidR="00A6019F" w:rsidRPr="00A6019F">
        <w:t xml:space="preserve">PROPHYLACTIC SURGERY PART 4 Oncology and Hematology Prophylactic mastectomy reduces risk of developing breast cancer by about 90% including in individuals who carry a germline breast cancer susceptibility gene mutation. Women who opt for prophylactic mastectomy in this setting should be counseled that breast cancer may develop in residual breast tissue. However, preventive mastectomy is not likely to improve outcomes in women with low or only modest risk and should be discouraged. Though the primary role for prophylactic oophorectomy is for ovarian cancer prevention in germline mutation carriers, it can also reduce breast cancer incidence in premenopausal women by about 50% because of reduction in estrogen exposure. </w:t>
      </w:r>
      <w:r w:rsidR="00A6019F" w:rsidRPr="00A6019F">
        <w:rPr>
          <w:rFonts w:ascii="Arial" w:hAnsi="Arial" w:cs="Arial"/>
        </w:rPr>
        <w:t>■</w:t>
      </w:r>
      <w:r w:rsidR="00A6019F" w:rsidRPr="00A6019F">
        <w:t xml:space="preserve">CHEMOPREVENTION Ample evidence exists for the use of chemoprevention approaches that target estrogen signaling pathways in high-risk </w:t>
      </w:r>
      <w:r w:rsidR="00A6019F" w:rsidRPr="00A6019F">
        <w:lastRenderedPageBreak/>
        <w:t>women. Tamoxifen reduces risk of invasive breast cancer in women at higher risk (</w:t>
      </w:r>
      <w:r w:rsidR="00A6019F" w:rsidRPr="00A6019F">
        <w:rPr>
          <w:rFonts w:ascii="Aptos" w:hAnsi="Aptos" w:cs="Aptos"/>
        </w:rPr>
        <w:t>≥</w:t>
      </w:r>
      <w:r w:rsidR="00A6019F" w:rsidRPr="00A6019F">
        <w:t xml:space="preserve">60 years, diagnosis of LCIS, or younger women with risk of developing invasive breast cancer </w:t>
      </w:r>
      <w:r w:rsidR="00A6019F" w:rsidRPr="00A6019F">
        <w:rPr>
          <w:rFonts w:ascii="Aptos" w:hAnsi="Aptos" w:cs="Aptos"/>
        </w:rPr>
        <w:t>≥</w:t>
      </w:r>
      <w:r w:rsidR="00A6019F" w:rsidRPr="00A6019F">
        <w:t xml:space="preserve">1.67% over 5 years based on current risk assessment tools). Newer data suggest that low-dose tamoxifen for 3 years may be effective and well tolerated. Side effects include postmenopausal symp toms and increased risk for endometrial cancer and thromboembolic events, especially in women over 50. Raloxifene may be an alternative for postmenopausal women. Though less effective in reducing breast cancer risk than tamoxifen, it is associated with fewer uterine cancers. The aromatase inhibitors, exemestane or anastrozole, also reduce breast cancer incidence by about 50% in postmenopausal women who are at moderate-high risk for breast cancer. The U.S. Preventive Services Task Force recommends that clinicians offer risk-reducing medications like tamoxifen, raloxifene, or aromatase inhibitors to women who are at increased risk for breast cancer and at low risk for medication side effects. Uptake is low despite the substantial evidence that demonstrates a huge benefit. </w:t>
      </w:r>
      <w:r w:rsidR="00A6019F" w:rsidRPr="00A6019F">
        <w:rPr>
          <w:rFonts w:ascii="Arial" w:hAnsi="Arial" w:cs="Arial"/>
        </w:rPr>
        <w:t>■</w:t>
      </w:r>
      <w:r w:rsidR="00A6019F" w:rsidRPr="00A6019F">
        <w:t xml:space="preserve">LIFESTYLE MODIFICATION Potential lifestyle modifications to reduce breast cancer risk include maintenance of a normal body mass index, avoidance of alcohol, and minimizing use of hormone replacement therapy. Regular exercise, especially during adolescence, may be associated with reduced risk. Long-term follow-up from the dietary substudy of the Women’s Health Initiative showed that a low-fat diet in postmenopausal women who were cancer-free at the time of study enrollment resulted in a nonsig nificant reduction in breast cancer incidence but appeared to reduce risk of death from breast cancer. The role of newer GLP-1 agents has not been studied. SCREENING Breast cancer screening has been an area of active investigation and controversy for decades. Issues include lack of consensus around the goal of screening, the target population (e.g., age, risk), and the type and frequency of screening. Multiple guidelines exist and continue to evolve. Initial trials focused on three modalities: breast self-exam, clini cal breast exam (CBE), and mammography. Though widely promoted in the past, emphasis on breast self-exam has waned, in part because of two randomized clinical trials in China and Russia that showed no benefit. In contrast, a randomized trial in India of CBE every 2 years in women aged 35–64 years with no history of breast cancer indicated that CBE led to a significant reduction in the proportion of women diag nosed with stage III or IV disease and a nonsignificant 15% reduction in breast cancer mortality, largely in women ≥50 years. Nine randomized trials have studied screening mammography. In aggregate, they demonstrated that screening mammography reduced breast cancer mortality by about 20–25% in women ≥50 years without an impact on overall mortality. The UK Age trial suggested a simi lar benefit for women who began screening at 40 years. Screening frequency has varied from 1–2 years across trials. Mammography techniques have evolved over the years, and a current U.S. trial is evaluating the role of tomosynthesis as a means of improving ben efit from mammography. Multiple guidelines exist and continue to evolve. Most recommend that women aged 50–70 years have mam mography every 1–3 years, and many recommend screening for women aged 40–50 </w:t>
      </w:r>
      <w:r w:rsidR="00A6019F" w:rsidRPr="00A6019F">
        <w:lastRenderedPageBreak/>
        <w:t xml:space="preserve">years as well. When to stop is not known, but it is generally accepted that benefits are limited to women with a predicted life expectancy of at least 10 years. The role of magnetic resonance imaging (MRI) as a screening modality is less well studied. MRI is more sensitive, less specific, and more complex to perform. Some guidelines suggest that it be used for women who have a lifetime predicted risk of ≥20%, which includes those with germline pathogenic mutations in the BRCA genes. Its use has also been suggested for those with very dense breasts on mam mography, but clear evidence of benefit is lacking. Screening ultra sound has also been studied, but evidence supporting its routine use is lacking. There is considerable interest in the use of multicancer early detec tion (MCED) tests using circulating DNA as a screening test for dis eases like breast cancer. Initial studies have not shown that these tests can substitute for or augment conventional mammographic screening, and women who do have MCED assays performed should still undergo mammographic screening, even if the MCED test is negative. DIAGNOSIS AND STAGING Clinical signs and symptoms suggestive of breast cancer may include a breast lump or skin or nipple changes or palpable regional nodes. Thanks to mammographic screening, many patients present with abnormal mammographic findings including a mass, distortion, and/ or suspicious microcalcifications without any symptoms or physi cal exam findings. Figure 84-2 shows an algorithm for diagnostic evaluation of breast abnormalities noted on physical exam or imaging. Final diagnosis rests on pathologic confirmation, which is generally carried out by image-guided core biopsy to confirm diagnosis, assess tumor grade and morphology, and carry out biomarker evaluation for expression of estrogen receptor (ER) and progesterone receptor (PR) and HER2 proteins and potentially HER2 gene amplification. Suspi cious axillary lymph nodes should also be biopsied via image-guided techniques. It is important to image both breasts because up to 3% of women with newly diagnosed breast cancer have unsuspected con tralateral disease. Evaluation of the breasts with MRI after a biopsy proven diagnosis is controversial. On the one hand, MRI is more sensitive than radiologic mammography and will commonly detect previously unidentified disease. On the other hand, this observation may lead to additional surgery, including mastectomy, without obvious improvements in outcomes. Staging is a cornerstone for breast cancer management because it provides information about natural history and informs decisions about therapy. The traditional TNM (tumor-node-metastasis) staging system has evolved to consider molecular testing including biomarkers as above and certain genomic tests such as the Oncotype 21 gene assay. Staging may take place at time of diagnosis (c or clinical staging) or after surgery (p or pathologic staging) or after preoperative systemic therapy followed by surgery (designated with a “y” prefix). For most asymptomatic individuals presenting with early breast cancer, a careful history and physical exam will be sufficient, and testing can be limited to breast imaging and any testing needed to ensure a safe surgical procedure. Individuals who present with symptoms suggestive of meta static disease or physical findings of more advanced disease (e.g., large Diagnostic Evaluation of the Breast 635 </w:t>
      </w:r>
      <w:r w:rsidR="00A6019F" w:rsidRPr="00A6019F">
        <w:lastRenderedPageBreak/>
        <w:t xml:space="preserve">Suspicious clinical breast finding Suspicious breast finding Diagnostic breast imaging mammography ultrasonography MRI (if indicated) Negative/benign Follow-up exam Screening breast imaging Suspicious microcalcifications Suspicious mass Confirmed suspicious finding Ductal carcinoma in situ with microcalcifications No suspicious breast finding Routine follow-up screening mammogram as indicated Invasive ductal carcinoma Biopsy Resolved Routine follow-up screening mammogram as indicated Uncertain or clinical suspicion persists Refer to experienced breast diagnostician Estrogen receptor (ER) positive Progesterone receptor (PR) positive HER2 negative FIGURE 84-2 Evaluation and workup of breast lesions. For more extensive details, see https://www.nccn.org/professionals/physician_gls/pdf/breast-screening.pdf. (Mammographic images courtesy of Drs. Mark Helvie and Colleen Neal, Department of Radiology, Michigan Medicine. Photomicrographs courtesy of Dr. Celina Kleer, Department of Pathology, Michigan Medicine.) tumor, skin changes, extensive regional adenopathy) should undergo radiologic imaging with computed tomography and radionuclide scanning to look for overt metastatic disease. Suspicious lesions should be biopsied whenever possible to confirm a diagnosis of metastatic breast cancer because of the implications for prognosis and selection of therapy. Less than 10% of patients present with de novo metastatic breast cancer. Breast cancer staging is currently carried out according to the guide lines of the American Joint Committee on Cancer (AJCC) eighth edi tion. Conceptually, stages I and II represent early-stage disease, which is confined to breast and ipsilateral nodes, whereas stage III comprises locally advanced breast cancer and stage IV denotes de novo meta static breast cancer, designated as M1 in the current staging system. Common sites for breast cancer metastasis include soft tissues, lung, bone, liver, and brain. One study suggested that M1 disease can be further divided into at least four subgroups with substantially different prognoses, based on sites and burden of disease as well as biological features. However, these findings have not yet been incorporated into the formal AJCC staging system. Outcomes are directly related to stage at presentation and vary by race and ethnicity in the United States, as shown in Table 84-1. CURRENT UNDERSTANDING OF BREAST CANCER BIOLOGY AND CLINICAL IMPLICATIONS It is now accepted that invasive breast cancer is in fact a disease with diverse subtypes, both histologic and molecular. Two decades of molecular analyses have documented multiple transcriptional, epi genetic, and genetic changes that characterize invasive breast cancer. TABLE 84-1 Five-Year Breast Cancer Relative Survival Rate (%) by Stage at Diagnosis and Race/Ethnicity in United States from 2012–2018a STAGE I II III IV ALL &gt;99 93 75 WHITE &gt;99 93 BLACK &gt;99 AIAN HISPANIC &gt;99 89 77 29 31 aRace is exclusive of Hispanic origin. 64 20 93 72 35 &gt;99 92 74 29 API &gt;99 94 77 34 Abbreviations: AIAN American Indian/Alaska Native; API Asian/Pacific Islander. Source: Adapted from AN Giaquinto et al: Breast cancer statistics, 2022. CA Cancer J Clin 72:524, 2022. CHAPTER 84 Breast Cancer 636 This has led to the division of invasive breast cancer into at least four major molecular subtypes. Luminal A and B subtypes both express ER and are </w:t>
      </w:r>
      <w:r w:rsidR="00A6019F" w:rsidRPr="00A6019F">
        <w:lastRenderedPageBreak/>
        <w:t xml:space="preserve">viewed as generally likely to be responsive to antiestrogen strategies (also called hormonal or endocrine therapies). However, luminal B tumors are characterized by other findings such as reduced PR expression or increased proliferation, usually measured by expres sion of Ki67, and are associated with a poorer outcome than luminal A tumors. The HER2 subtype expresses HER2 protein at high levels and is more likely to benefit from the use of HER2-targeted therapies. Basal tumors tend to lack expression of ER, PR, and HER2 proteins (TNBC). TNBCs carry a poorer prognosis and are generally managed with chemotherapy and immunotherapy. TNBC can be further divided into at least six subtypes, which may also have therapeutic implications, especially in the metastatic setting. PART 4 Oncology and Hematology Pathologic evaluation of a breast cancer specimen begins with an assessment of morphology. Most invasive breast cancers are ductal, but about 10–15% are lobular histologies. Lobular cancers are usually ER positive and HER2 negative. They are distinguished by absence of E-cadherin staining or function, and they have a different natural his tory, with a propensity to spread to serosal surfaces, including omen tum, pleura, and meninges or to various parenchyma, such as ovaries and upper and lower gastrointestinal tracts. This curious site for meta static recurrence may result in unusual clinical presentations that may delay diagnosis if metastatic disease is not considered. Other special subtypes are also recognized such as mucinous, medullary, papillary, and metaplastic histologies. Mucinous and pure medullary cancers (distinguished by high levels of lymphocytic invasion surrounding the tumor) are associated with very favorable prognoses with local therapy only. Metaplastic cancers may present as very poorly differentiated tumors or even as squamous or sarcomatoid differentiations. They are generally approached as ductal cancers but may be treated in a manner consistent with their relative subtypes, such as squamous or sarcoma-like differentiation. Tumor grade is also assessed using stan dard approaches such as Nottingham grade, ranging from grade 1 to 3; higher grade is generally associated with poorer prognosis. Further profiling of the primary tumor specimens may follow depending on the clinical circumstances. Early-stage ER-positive breast cancers are often evaluated by genomic transcriptional profiling assays to identify patients with such a favorable prognosis that adjuvant chemotherapy in addition to endocrine therapy is not needed; five of these are recommended by the American Society of Clinical Oncol ogy: Oncotype Dx (21 genes), MammaPrint (70 genes), ProSigna (50 genes), EndoPredict (12 genes), and Breast Cancer Index (two genes plus a proliferation signature). Although any one of these appears to be relatively accurate in terms of prognosis, they do not measure the same thing and they have not been compared head-to-head. Therefore, ordering more than one assay for a single case is discouraged. At pres ent, more detailed molecular analysis is usually restricted to metastatic tumor specimens to identify molecular alterations that are associated with response to specific targeted therapies, as discussed in the section on treatment of metastatic breast cancer. TREATMENT Breast Cancer MANAGEMENT OF IN SITU BREAST CANCER Ductal Carcinoma In Situ (DCIS) </w:t>
      </w:r>
      <w:r w:rsidR="00A6019F" w:rsidRPr="00A6019F">
        <w:lastRenderedPageBreak/>
        <w:t xml:space="preserve">Routine use of screening mam mography has led to a marked increase in the diagnosis of DCIS and LCIS. Untreated DCIS (which is confined to the duct without evidence of invasion through the basement membrane into sur rounding interstitial tissue) is associated with a 30% risk of devel oping a subsequent invasive cancer in the same breast. Therapy is generally focused on excision of the lesion to negative margins and to confirm absence of invasion; evaluation of axillary lymph nodes is not generally undertaken. Excision may be followed by radiother apy to the ipsilateral breast and consideration of endocrine therapy if the DCIS expresses ER protein to reduce risk of breast recurrence or contralateral primary. Patients with extensive DCIS may require mastectomy, whereas those with a small disease burden may opt for excision alone with regular mammographic surveillance. Molecular assays that can predict lack of benefit from radiotherapy after exci sion are sometimes used. Lobular Carcinoma In Situ (LCIS) LCIS is often an incidental find ing on a breast biopsy done for abnormalities on physical exam or mammography. It is viewed as a marker for increased risk of devel oping invasive breast cancer as about 25–30% of women with LCIS subsequently develop invasive disease in either breast. The primary management is continued breast cancer screening and consider ation of chemoprevention with tamoxifen or aromatase inhibitor to decrease risk of invasive disease. Bilateral prophylactic mastectomy is sometimes considered but should be generally limited to those who have other risk factors or concerns. TREATMENT OF EARLY-STAGE BREAST CANCER Multidisciplinary care is a cornerstone for optimal treatment of early breast cancer. The current approach to treatment of early stage breast cancer reflects evolution from the initial concept of breast cancer as an orderly disease that spreads from breast to axillary nodes to systemic disease to our current understanding of breast cancer as a potentially systemic disease almost from onset. Therefore, treatment approaches incorporate surgery and radiation to treat local disease and systemic therapy to eliminate or suppress any microscopic distant disease. The goal of these treatments in early-stage disease is reduction of subsequent distant recurrence and mortality. They are given in a manner to optimize efficacy while minimizing toxicity and avoiding overtreatment. Surgery Six randomized trials have demonstrated equivalent sur vival with the use of breast-conservation therapy (lumpectomy and, usually, radiotherapy to the remaining breast) or modified radical mastectomy for individuals with early-stage breast cancer. Contra indications to breast conservation include patient preference, poor cosmesis, multifocal disease, previous chest radiation, and ongoing pregnancy that prevents timely administration of radiotherapy. Though not an absolute contraindication, germline mutation in a member of the BRCA gene family can drive a decision for bilat eral mastectomy because of the high risk of subsequent disease in either breast. Patients who require or choose mastectomy should be informed about availability of immediate or delayed reconstruction options using autologous tissue or implants as clinically appropri ate. It is clear, though, that most women with early breast cancer are well served by a lumpectomy to negative margins with axillary management, followed by </w:t>
      </w:r>
      <w:r w:rsidR="00A6019F" w:rsidRPr="00A6019F">
        <w:lastRenderedPageBreak/>
        <w:t xml:space="preserve">radiation as appropriate. Management of the ipsilateral axilla continues to evolve as well. For patients with small tumors and clinically negative axillary nodes, sentinel node localization is used to identify clinically rel evant nodes for removal and pathologic assessment to finalize stag ing and inform decisions about extent of radiotherapy and selection of adjuvant systemic therapy. Use of axillary dissection (removal of level 1 and 2 lymph nodes) is restricted to individuals with palpable lymph nodes or those with substantial pathologic involvement of sentinel lymph nodes. Randomized trials have shown excellent outcomes with omission of any sentinel node evaluation for older women with small biologically favorable tumors and clinically negative axilla who will take adjuvant endocrine therapy as well as omission of axillary dissection for women with low tumor burden in sentinel nodes who will receive radiation. Radiation As with surgery, the use of postoperative radiotherapy to minimize breast recurrence and nodal recurrence has also changed as a result of data accumulated from serial clinical trials. Current treatment strategies are tailored to the individual based on age, tumor size, and nodal status. Options for external-beam radiotherapy include a standard scheme of daily whole breast radiotherapy (WBR) for 4–6 weeks, hypofractionated schedules lasting 5 days to 3 weeks, or partial breast radiation, usually given in 637 a hypofractionated regimen. Clinical trials of the latter have failed to demonstrate its benefit over WBR. Extension of the radiotherapy port to include regional and axillary nodes is also considered based on pathology and type of surgery. The safety of omitting radio therapy for women older than 65 with low-risk ER-positive tumors who will take endocrine therapy has been demonstrated. Brachy therapy to apply a radiation source directly to the tumor bed is also employed in some cases as a way of shortening duration of therapy. Patients who undergo mastectomy may also benefit from chest wall radiotherapy to reduce risk of both local and distant recur rence, thus improving survival. Potential candidates include those with large tumors or positive axillary lymph nodes, especially those with four or more involved nodes, while those with one to three positive nodes or close/minimally involved margins are also considered. Systemic Therapy It has been recognized that breast cancer is often a systemic disease at time of diagnosis. Enhanced understand ing of breast cancer biology, including the concept that resistant clones evolve as a function of random mutations over time, and the identification of multiple targets of therapy have greatly refined our understanding of the role of systemic therapy in early breast cancer. Such therapy may be given preoperatively (neoadjuvant) or postoperatively (adjuvant) and may take the form of cytotoxic chemotherapy, endocrine therapy directed toward ER, and other targeted therapies such anti-HER2, poly (ADP-ribose) polymerase (PARP) inhibitors in cancers with BRCA1/2 mutations, and/or immunotherapy directed toward immune checkpoints. Treatment algorithms are constantly evolving based on results from clinical trials, and current evidence-based guidelines are available through groups like the National Comprehensive Cancer Network, American Society of Clinical Oncology, or European Society of Medical Oncology. SELECTION OF NEOADJUVANT VERSUS ADJUVANT </w:t>
      </w:r>
      <w:r w:rsidR="00A6019F" w:rsidRPr="00A6019F">
        <w:lastRenderedPageBreak/>
        <w:t xml:space="preserve">SYSTEMIC THERAPY The primary goal of neoadjuvant therapy (also designated “pre operative” adjuvant therapy) compared to classic postoperative adjuvant therapy is to downsize tumor to make it more amenable to surgery. A second goal is to provide an in vivo assessment of tumor response to the selected systemic therapy and perhaps direct subsequent adjuvant therapy. Data suggest that individual patients who attain a complete pathologic response (pCR) to neoadjuvant therapy have a better outcome than those who do not, although randomized trials of adjuvant versus neoadjuvant therapy have not shown a difference in survival. At least one trial has demonstrated that patients who fail to experience a pCR to standard combination chemotherapy containing an anthracycline, an alkylating agent, and a taxane, especially those with TNBC, appear to benefit from subsequent capecitabine. Currently, neoadjuvant therapy with che motherapy and anti-HER2 agents is considered for individuals with HER2-positive tumors that are ≥2 cm or node-positive dis ease, while neoadjuvant therapy with chemotherapy and possibly the checkpoint inhibitor pembrolizumab are considered for indi viduals with TNBC ≥2 cm or node-positive disease. Neoadjuvant endocrine therapy can be used for postmenopausal women with ER- or PR-positive breast cancer to reduce extent of surgery or per haps avoid surgery for older women with multiple comorbidities. Women with small tumors of any subtype are often better served by initial surgery to establish pathologic stage followed by tailored selection of systemic therapy. Types of Systemic Therapy for Early Breast Cancer Endocrine therapy is a mainstay for management of ER- and/or PR-positive invasive breast cancer; positive tumors are commonly defined as those with ≥1% staining by immunohistochemistry. Because of their mechanisms of action as blockers of interaction between estrogen ligand and ER, the selective ER modulators tamoxifen and toremi fene can be used in women with any menopausal status. In contrast, estrogen deprivation approaches depend on menopausal status. The use of aromatase inhibitors, such as anastrozole, letrozole, and exemestane, as monotherapy is restricted to postmenopausal women. Ovarian suppression by gonadotropin hormone–releasing hormone (GnRH), such as the luteinizing hormone–releasing hormone (LHRH) agonists goserelin or leuprolide, or alternatively surgical oophorectomy, can be used to reduce circulating estradiol levels in premenopausal women to postmenopausal levels. These women can then also be treated either with tamoxifen or an AI. The CDK4/6 inhibitors abemaciclib and ribociclib may be used in combination with endocrine therapy for high-risk, early-stage, ER positive breast cancer. Multiple cytotoxic agents have shown efficacy for treatment of metastatic breast cancer and are now used in treatment of early-stage disease. The most common regimens include cyclophosphamide, doxorubicin, paclitaxel, docetaxel, 5-fluorouracil, methotrexate, and/ or one of the platin salt compounds (cisplatin or carboplatin). Several anti-HER2 therapies are also available. Two monoclonal antibodies, trastuzumab and pertuzumab, and two tyrosine kinase inhibitors, neratinib and lapatinib, are approved for use in early stage breast cancer; multiple other agents are available for meta static disease, as discussed below, and are undergoing testing for </w:t>
      </w:r>
      <w:r w:rsidR="00A6019F" w:rsidRPr="00A6019F">
        <w:lastRenderedPageBreak/>
        <w:t xml:space="preserve">use in earlier stages of disease. The role of immunotherapy with the checkpoint inhibitors is also under evaluation. At present, pembrolizumab for patients with TNBC is the only U.S. Food and Drug Administration (FDA) approved agent for early-stage breast cancer, but others are under investigation. A targeted agent, olaparib, an oral PARP inhibitor, is also used as an adjunct to chemotherapy for women with high-risk, germline BRCA-mutated, HER2-negative breast cancer who have completed (neo)adjuvant chemotherapy. It is particularly active in cancers with DNA repair pathway defects. GENERAL GUIDELINES FOR (NEO)ADJUVANT SYSTEMIC THERAPY FOR EARLY BREAST CANCER Approach to ER- and/or PR-Positive Breast Cancer Endocrine therapy is the foundation for adjuvant therapy for women with ER- and/or PR-positive breast cancer. Selection is based on menopausal status and consideration of side effect profiles. For premenopausal women with low-risk breast cancer, tamoxifen for 5–10 years is the standard. Premenopausal women with higher risk tumors are candidates for combined endocrine therapy with an LHRH agonist plus tamoxifen or aromatase inhibitor for 5 years. Multiple random ized trials have shown that aromatase inhibitors for 5 years provide modest but statistically significant superior outcome compared with tamoxifen for postmenopausal women. Women with ER positive breast cancers are at risk for distant recurrence long after their original diagnosis, from 10–20 or more years. Some trials suggest that up to 10 years of endocrine therapy may be indicated for healthy postmenopausal women with higher risk tumors and good tolerance. Given the chronic nature of adjuvant endocrine therapy, careful attention to side effects is warranted. Tamoxifen is associated with postmenopausal symptoms and a small chance of thromboembolic events or uterine cancer, especially in women over 50 years. Aro matase inhibitors are associated with postmenopausal symptoms, arthralgias, and bone loss, while LHRH agonists are associated with postmenopausal symptoms and bone loss. Although the three aromatase inhibitors appear to be equally effective, tolerance may vary; patients who are intolerant of one aromatase inhibitor may benefit from change to another member of the family or tamoxifen. A critical decision in this setting is the value of chemotherapy in addition to endocrine therapy. Its absolute (as opposed to relative or proportional) benefit varies by menopausal status and nodal status. Genomic multigene expression testing of the tumor with assays like Oncotype, MammaPrint, ProSigna, EndoPredict, or Breast Cancer Index will identify a substantial portion of patients with zero to three positive nodes who would not benefit from adjuvant chemotherapy. CHAPTER 84 Breast Cancer 638 Neoadjuvant chemotherapy should be administered to healthy individuals with a large tumor burden or more than three positive nodes, especially premenopausal patients with a primary goal of reducing tumor size. However, in ER-positive disease, the likeli hood of a pCR is low. Regardless, adjuvant chemotherapy (neoad juvant or standard) is considered for healthy individuals with four or more positive lymph nodes as well as for those with lesser nodal burden who have high genomic signature score. Established chemo therapy regimens are outpatient based and use multiple agents for 3–6 months with appropriate supportive </w:t>
      </w:r>
      <w:r w:rsidR="00A6019F" w:rsidRPr="00A6019F">
        <w:lastRenderedPageBreak/>
        <w:t xml:space="preserve">care including antiemet ics and colony-stimulating factors as appropriate to reduce risk of febrile neutropenia. Long-term side effects can include premature menopause in premenopausal women and a small risk of doxorubicin related cardiomyopathy, taxane-related peripheral neuropathy, or secondary leukemia, and possible cognitive dysfunction. PART 4 Oncology and Hematology Women with node-positive or high-risk node-negative, ER- and/ or PR-positive, HER2-negative breast cancer who have completed adjuvant chemotherapy should consider use of a CDK4/6 inhibi tor in conjunction with endocrine therapy. Current information supports the use of abemaciclib for 2 years or ribociclib for 3 years; addition of palbociclib for 2 years did not improve outcomes. Those with HER2-negative germline BRCA-mutated breast cancer who have received (neo)adjuvant chemotherapy should consider a year of oral olaparib. When used in conjunction with chemotherapy or anti-HER2 therapy, endocrine therapy is generally delayed until completion of adjuvant chemotherapy to minimize toxicity. Approach to HER2-Positive Breast Cancer Healthy individuals with tumor ≥3 cm or positive lymph nodes are candidates for neo adjuvant therapy with multiagent chemotherapy and trastuzumab with or without pertuzumab for 4–5 months. Those who achieve a pCR should receive further trastuzumab with or without pertu zumab therapy to complete a year. By contrast, those with residual invasive disease at surgery should switch to complete a year of the antibody-drug conjugate (ADC) trastuzumab emtansine (TDM-1). High-risk individuals who have completed a year of anti-HER2 therapy can also consider addition of oral neratinib for another year, although the benefits are incremental. Toxicity of trastuzumab is relatively uncommon. Few patients have any side effects during treatment. However, the greatest risk is reduction of cardiac ejection fraction. Therefore, baseline cardiac evaluation with an echocardiogram should be obtained, and trastu zumab should not be given to those with low ejection fraction, or they should be evaluated by an experienced cardiologist if therapy is felt to be critical. Serial echocardiograms should be obtained during adjuvant trastuzumab therapy but are not indicated once therapy is discontinued if the patient has not had any evidence of cardiac dysfunction. Pertuzumab is commonly associated with loose stools or diar rhea. This can be managed with conservative loperamide treatment. However, the added benefit of adjuvant pertuzumab to trastuzumab is modest, and if diarrhea is not easily controlled, trastuzumab should be continued alone. Individuals who present with smaller tumors with clinically neg ative nodes should be considered for upfront surgery to establish pathologic stage. This is because women with pathologically node negative tumors 2 cm or tumors &gt;1 cm and positive axillary nodes should be considered for neoadjuvant multiagent chemotherapy, perhaps in conjunction with the checkpoint inhibi tor pembrolizumab. If chemoimmunotherapy is utilized, then pem brolizumab is continued postoperatively to complete a year. Those who achieve a pCR receive pembrolizumab alone. Those patients who do not have a pCR may also consider further chemotherapy with capecitabine. In contrast, those with smaller tumors that are clinically node negative </w:t>
      </w:r>
      <w:r w:rsidR="00A6019F" w:rsidRPr="00A6019F">
        <w:lastRenderedPageBreak/>
        <w:t xml:space="preserve">are best served by initial surgery to estab lish pathologic stage, which might permit a refinement of choice of chemotherapy regimen. Follow-Up of Survivors of Early-Stage Breast Cancer Asymp tomatic survivors of early-stage breast cancer should be followed regularly with history and physical examination to look for any evidence of recurrent disease and to assess for toxicities of prior or ongoing treatments. These exams are conducted every 3–6 months for the first 3 years and diminish in frequency over time. As noted, serial echocardiograms beyond 12 months of trastuzumab therapy are not needed. Annual breast imaging to look for ipsilateral or contralateral disease is the only routine testing needed. In the absence of symptoms or physical exam findings, routine imaging of other types or blood studies have not been shown to enhance well being or outcome from breast cancer. Current research is focused on use of blood-based assays for circulating tumor cells (CTCs) or circulating free tumor DNA (ctDNA) as markers for early detection of recurrent disease, but these are investigational approaches at present. As many patients have long survival, routine follow-up by a primary care provider and adherence to age-appropriate general health guidelines are key. Symptom management is a key aspect of follow-up, especially for those on adjuvant endocrine therapy as adherence is a crucial determinant of outcome. Hot flashes may be ameliorated by use of antidepressants like venlafaxine or gabapentin, while vaginal dry ness should be addressed through topical agents or, if unsuccessful, vaginal estrogen. Avoidance of hormone replacement therapy is preferred. Aromatase inhibitor–associated musculoskeletal symp toms may be treated by switching from one aromatase inhibitor to another after a 4- to 6-week washout period, or they can be addressed by exercise, nonsteroidal anti-inflammatory agents, acu puncture, or the antidepressant duloxetine. Persistent taxane-related peripheral neuropathy is sometimes responsive to gabapentin. Special Considerations in Management of Individuals with Early Breast Cancer Use of Bisphosphonates Bone health can be compromised by breast cancer therapy, especially the estrogen-deprivation agents, aromatase inhibitors and LHRH agonists. Patients who receive these therapies may benefit from use of a bisphosphonate, zoledro nate every 6 months for 3 years, or oral clodronate or ibandronate as a bone-strengthening agent. In addition, a meta-analysis suggests that this therapy is associated with decreased breast cancer recur rence, especially in bone. Data on denosumab are less compelling at present. Pregnancy, Fertility, and Childbearing in Premenopausal Women The diagnosis of breast cancer during pregnancy can be difficult because of the evolving changes in the pregnant breast. Suspicious lumps or skin or nipple changes should be evaluated as above though imaging modalities of choice including ultrasound or MRI. If breast cancer is diagnosed and pregnancy is continued, the goal is to administer appropriate multimodality therapy to optimize maternal outcome from breast cancer and minimize toxicity to the fetus. Breast surgery can be safely undertaken during the second and third trimesters, but any therapeutic radiation must be delayed until after delivery. If indicated, certain chemotherapy agents such as doxorubicin and cyclophosphamide </w:t>
      </w:r>
      <w:r w:rsidR="00A6019F" w:rsidRPr="00A6019F">
        <w:lastRenderedPageBreak/>
        <w:t xml:space="preserve">can be administered during the second and third trimesters, whereas others such as methotrex ate and 5-fluorouracil should be avoided. In general, endocrine and targeted therapies should not be used until after delivery. Co management by experienced multidisciplinary breast cancer and high-risk obstetrical teams is preferred. 639 Diagnosis of breast cancer in all premenopausal women neces sitates discussion about fertility preservation and pregnancy with those women who desire later pregnancy. Premature menopause is a known consequence of adjuvant chemotherapy, and likeli hood is related to type and duration of chemotherapy and age of patient. It is seen in 3 years with this approach. More commonly, patients present with recurrent disease diag nosed while on or after completing adjuvant endocrine therapy. For those who have received aromatase inhibitor, up to one-half will have evidence of ESR1 mutation and may be candidates for the oral selec tive estrogen receptor degrading (SERD) agent elacestrant if they have also received a CDK4/6 inhibitor. Those without evidence of ESR1 mutation are often treated with an alternate SERD, fulvestrant, which is administered monthly by intramuscular injection; this may be coupled with a CDK4/6 inhibitor if the patient has not previously received such an agent. The value of continuing or switching to another CDK4/6 inhibitor for those who have previously received adjuvant CDK4/6 inhibitor is not clearly defined in this setting. For postmenopausal patients previously treated with endocrine therapy who are found to have a PIKC3A mutation by liquid or tissue biopsy, the use of alpelisib (a selective inhibitor of PI3Kα) with fulvestrant can be considered. Postmenopausal patients with PIK3CA/AKT1/PTEN alterations who have received one endocrine therapy for metastatic disease or recur within 12 months of complet ing adjuvant therapy can receive capivasertib (a pan-AKT inhibitor) with fulvestrant. The use of aromatase inhibitor plus everolimus, an mTOR inhibitor, can be considered for patients without targetable mutations as it, too, has been shown to increase progression-free survival over endocrine therapy alone. Each of these targeted agents carries a unique set of toxicities, and careful monitoring of clinical status and blood studies is needed for safe administration. Other approaches, especially for patients who have demonstrated repeated and lengthy responses to serial hormone therapies, can include switch to another aromatase inhibitor or tamoxifen or administration of additive hormone therapies such as progestins, androgens, and estrogens. The latter category of agents is seldom used at present because of concerns about toxicity and the advent of newer more targeted therapies. At some point, it will become apparent that a patient has tumor that is unresponsive to endocrine therapy, which necessitates a transition to other types of systemic therapy. The timing of this decision may be informed in part by the observation that likelihood of disease control and the duration of benefit are decreased by about one-half with each successive switch in endocrine therapy. Management of Endocrine-Unresponsive ER-Positive, HER2-Negative Breast Cancer or TNBC Chemotherapy is the backbone of sys temic therapy for individuals with metastatic HER2-negative breast cancer that is not responsive to endocrine therapy. </w:t>
      </w:r>
      <w:r w:rsidR="00A6019F" w:rsidRPr="00A6019F">
        <w:lastRenderedPageBreak/>
        <w:t xml:space="preserve">Unlike in the setting of early breast cancer where multiagent chemotherapy is the norm, use of combination chemotherapy in metastatic breast cancer should be reserved for the uncommon situation of visceral crisis where a rapid reduction in tumor burden is desirable. For most patients, serial use of single-agent chemotherapy is associated with an acceptable likelihood of disease palliation without excess toxic ity; combination chemotherapy does not improve overall survival over sequential monotherapy. 641 Many chemotherapeutic agents are active in metastatic breast cancer, and selection is based on previous adjuvant chemotherapy and patient preference about route and schedule of administration and side effects. The oral agent capecitabine is often used initially because of ease of administration and acceptable side effect profile. However, several studies have demonstrated that a small percent age of the population harbors deleterious mutations in the DPYD gene, which is responsible for converting capecitabine to its inac tive metabolites for excretion. Such patients are prone to suffering extreme and, in some cases, lethal toxicities, and some guidelines call for routine testing for this gene before initiating capecitabine or other fluoropyrimidines, such as 5-fluorouracil. Other options include taxanes, anthracycline (depending on previous adjuvant exposure), vinorelbine, gemcitabine, cyclophosphamide, metho trexate, eribulin, ixabepilone, and platinum-based agents; the last is often considered in TNBC because of evidence of activity of platinums in that subtype. For patients with TNBC that expresses PD-L1, administration of paclitaxel with the checkpoint inhibitor pembrolizumab can be considered because the combination results in better outcomes than taxane alone; activity of other checkpoint inhibitors is under investigation. ADCs are increasingly finding a role in treatment of metastatic breast cancer. Sacituzumab govitecan, an antibody targeted against TROP-2SN-38 coupled to an irinotecan metabolite, has shown activity against TNBC and endocrine-unresponsive ER-positive, HER2-negative breast cancer. A second ADC, trastuzumab derux tecan, which couples trastuzumab with the cytotoxic deruxtecan (discussed in greater detail below in the HER2 section) is also active against tumors that express low levels of HER2 (1+ or 2+/fluorescence in situ hybridization [FISH] negative) and were initially labeled HER2 negative and thus ineligible for adjuvant anti-HER2 therapy using other anti-HER2 agents. Development and testing of novel ADCs are very vibrant areas in treatment of metastatic breast can cer, and findings are beginning to challenge some of our concepts about targeted therapy. For patients whose tumors have evidence of germline or somatic BRCA mutation, use of single-agent PARP inhibitor with olaparib or taloparib should also be considered, perhaps before the transi tion to infusional therapies because of convenience. Management of HER2-Positive Breast Cancer The landscape of treatment for metastatic breast cancer has changed substantially in the 25 years since the importance of HER2 protein expression as a predictor for response to anti-HER2 therapy was demonstrated. FDA-approved HER2-directed therapies now include monoclo nal antibodies (trastuzumab, pertuzumab, margetuximab), small molecule tyrosine kinase inhibitors (lapatinib, neratinib, tucatinib), and ADCs (ado-trastuzumab </w:t>
      </w:r>
      <w:r w:rsidR="00A6019F" w:rsidRPr="00A6019F">
        <w:lastRenderedPageBreak/>
        <w:t xml:space="preserve">emtansine or TDM-1, trastuzumab deruxtecan), and others are under development. Apart from trastuzumab-deruxtecan, their clinical benefit is seen only in indi viduals whose tumors express 3+ HER2 staining by immunohisto chemistry or are gene-amplified by FISH. The preferred first-line treatment for metastatic HER2-positive breast cancer is a combination of taxane, pertuzumab, and trastu zumab for several months; taxane chemotherapy may be stopped when disease stability is reached, and the anti-HER2 agents are continued as maintenance therapy. In some cases, this approach can lead to long-term remission, and an active area of research is how long to continue anti-HER2 therapy for those with complete response. A randomized clinical trial has established the superior ity of trastuzumab-deruxtecan for second-line therapy. Thereafter, serial administration of anti-HER2 agents, in some cases in com bination with single-agent chemotherapy, is pursued. Patients who have HER2-positive, ER- and/or PR-positive breast cancer may benefit from concomitant endocrine therapy as well. HER2-positive breast cancers have a propensity for involvement of the central nervous system. Because control of systemic disease with anti-HER2 therapies can be excellent and penetration of the antibody-based agents across the blood-brain barrier is poor, patients with this disease subtype are often found to have brain metastasis and may require radiotherapy for local disease control. The small-molecule inhibitors may also offer disease control as they cross into the central nervous system. </w:t>
      </w:r>
      <w:r w:rsidR="00A6019F" w:rsidRPr="00A6019F">
        <w:rPr>
          <w:rFonts w:ascii="Arial" w:hAnsi="Arial" w:cs="Arial"/>
        </w:rPr>
        <w:t>■</w:t>
      </w:r>
      <w:r w:rsidR="00A6019F" w:rsidRPr="00A6019F">
        <w:t xml:space="preserve">FURTHER READING Andre F et al: Biomarkers for adjuvant endocrine and chemotherapy in early-stage breast cancer: ASCO Guideline Update. J Clin Oncol 40:1816, 2022. Bedrosian I et al: Germline testing in patients with breast cancer: ASCO-Society of Surgical Oncology guideline. J Clin Oncol 42:584, 2024. Benitez Fuentes JD et al: Global stage distribution of breast cancer at diagnosis: A systemic review and meta-analysis. JAMA Oncol 10:71, 2024. Burstein HJ: Systemic therapy for estrogen receptor-positive, HER-2 negative breast cancer. N Engl J Med 383:2557, 2020. Curigliano G et al: Understanding breast cancer complexity to improve patient outcomes: The St Gallen International Consensus Conference for the Primary Therapy of Individuals with Early Breast Cancer 2023. Ann Oncol 34:970, 2023. Giordano S et al: Systemic therapy for advanced human epidermal growth factor receptor 2-positive breast cancer: ASCO guideline update. J Clin Oncol 40:2636, 2022. Henry NL et al: Biomarkers for systemic therapy in metastatic breast cancer: ASCO guideline update. J Clin Oncol 40:3205, 2022. Jackson EB, Chia SKL: Sequencing of endocrine therapy targeted ther apies in hormone-sensitive, human epidermal growth factor receptor 2-negative advanced breast cancer. J Clin Oncol 41:3976, 2023. Loibl S et al: Breast cancer. Lancet 397:1750, 2021. Nielsen S, Narayan AK: Breast cancer screening modalities, recom mendations, and novel imaging techniques. Surg Clin North Am 103:63, 2023. PDQ Screening and Prevention Editorial Board: Breast Cancer Prevention (PDQR). https://www.ncbi.nlm.nih.gov/books/ NBK65884/.  Accessed January 7, 2024. 85 Upper Gastrointestinal Tract Cancers CHAPTER 85 Upper Gastrointestinal Tract Cancers David Kelsen Cancers of the upper gastrointestinal tract include malignancies of the esophagus, stomach, and small </w:t>
      </w:r>
      <w:r w:rsidR="00A6019F" w:rsidRPr="00A6019F">
        <w:lastRenderedPageBreak/>
        <w:t xml:space="preserve">bowel. Esophageal, gastroesophageal junction (GEJ), and gastric cancers are among the most common of human malignancies, with 1.693 million global new cases diagnosed in 2020; as a measure of the gravity of such a diagnosis, there were an estimated 1.312 million deaths. In the United States, a lower-risk area, it is estimated that in 2023, esophageal cancer will be diagnosed in 21,560 people and cause 16,120 deaths; for gastric cancer, 26,500 new cases will be diagnosed and 11,130 deaths will occur. Small intestine cancers are rare. ESOPHAGEAL CANCER </w:t>
      </w:r>
      <w:r w:rsidR="00A6019F" w:rsidRPr="00A6019F">
        <w:rPr>
          <w:rFonts w:ascii="Arial" w:hAnsi="Arial" w:cs="Arial"/>
        </w:rPr>
        <w:t>■</w:t>
      </w:r>
      <w:r w:rsidR="00A6019F" w:rsidRPr="00A6019F">
        <w:t xml:space="preserve">GLOBAL DIFFERENCES IN INCIDENCE AND CAUSATIVE FACTORS Two distinct forms of cancer with different epidemiologies, causative factors, and genomic profiles arise within the esophagus: squamous cell cancers (SCCs), which occur more frequent in the upper and mid esophagus; and adenocarcinomas, which are almost always located in the lower esophagus and at the GEJ. The incidence of esophageal 642 cancer varies up to 20-fold in global geographic distribution: it is relatively uncommon in North America but has a high incidence in Asia (especially China), the Normandy coast of France, and Middle Eastern countries such as Iran. This marked global variation is likely due to different causative factors in the development of the malignancy, leading to two different cancer types within the same organ: glob ally, SCCs make up the majority of cases, as they are more common in high-incidence areas, usually with lower of the four-tier Human Development Index (HDI) scores (a measure of economic develop ment that includes standard of living, health, and education). Overall, approximately 604,100 new cases of esophageal cancer were diagnosed globally in 2020; esophageal cancer was the tenth most common cause of malignancy and the sixth most common cause of cancer-related mortality, with an estimated 544,076 deaths. PART 4 Oncology and Hematology The most established high-risk factors for the SCC subtype in Western countries are alcohol or tobacco abuse; concurrent alcohol and tobacco abuse further increases the risk. Ingestion of extremely hot sub stances (such as tea in Iran and mate [maté] in South America) has been proposed as a risk factor; in India, chewing the areca (betel) nut increases the risk of esophageal SCC. Less common risk factors include chronic achalasia, radiation therapy (such as is delivered for treatment of Hodg kin’s lymphoma or breast cancer), lye ingestion, and Plummer-Vinson (Patterson-Kelly) syndrome (iron deficiency anemia, glossitis, cheilosis, and the development of esophageal webs). Adenocarcinoma of the lower esophagus and GEJ has been the predominant histologic subtype in the United States and Western Europe for several decades, now making up &gt;75% of all incident cases. Risk factors for adenocarcinoma include chronic reflux esophagitis leading to inflammation and the development of Barrett’s esophagus (the finding of glandular gastric type mucosa extending into the esophagus). Although obesity increases the risk of reflux esophagitis, a substantial number of patients with newly diag nosed adenocarcinoma of the esophagus and GEJ are younger and fit; Barrett’s esophagus may still be found in these patients. In patients with adenocarcinoma of the lower esophagus in which Barrett’s esophagus is not present, the disease may arise without Barrett’s esophagus, or an exten sive tumor </w:t>
      </w:r>
      <w:r w:rsidR="00A6019F" w:rsidRPr="00A6019F">
        <w:lastRenderedPageBreak/>
        <w:t xml:space="preserve">found at diagnosis may obliterate previous areas of Barrett’s. Genomic alterations may be identified even before the development of frank adenocarcinoma in patients with dysplasia associated with Barrett’s esophagus. These include mutations of TP53, a gene critical in regulating uncontrolled cell division, and aneuploidy in dysplastic regions. Risk of progression of Barrett’s esophagus to cancer is about 0.4–0.5% per year. Management of Barrett’s esophagus is discussed in Chap. 334. As opposed to other gastrointestinal malignancies, such as colorec tal cancer, inherited cancer susceptibility genes are rarely associated with esophagus and GEJ cancers. An exception is the rare inherited cancer susceptibility gene driving tylosis palmaris and plantaris; a mutation in the RHBDF2 gene is associated with an increased risk for SCC of the esophagus. Both Lynch syndrome and germline BRCA mutation carriers have a modestly increased risk of gastric and poten tially GEJ adenocarcinomas. Identification of these germline mutations is important because it guides choices of systemic therapy, as well as counseling of family relatives (see below). </w:t>
      </w:r>
      <w:r w:rsidR="00A6019F" w:rsidRPr="00A6019F">
        <w:rPr>
          <w:rFonts w:ascii="Arial" w:hAnsi="Arial" w:cs="Arial"/>
        </w:rPr>
        <w:t>■</w:t>
      </w:r>
      <w:r w:rsidR="00A6019F" w:rsidRPr="00A6019F">
        <w:t>SCREENING AND SURVEILLANCE OF HIGHER RISK GROUPS Because of its low incidence in North America and the absence of proven blood-based biomarkers for esophageal cancer assays, screen ing of the asymptomatic general population using, e.g., upper endos copy is not currently recommended in the United States. Periodic endoscopy is used for surveillance of higher risk patients, such as those with Barrett</w:t>
      </w:r>
      <w:r w:rsidR="00A6019F" w:rsidRPr="00A6019F">
        <w:rPr>
          <w:rFonts w:ascii="Aptos" w:hAnsi="Aptos" w:cs="Aptos"/>
        </w:rPr>
        <w:t>’</w:t>
      </w:r>
      <w:r w:rsidR="00A6019F" w:rsidRPr="00A6019F">
        <w:t>s esophagus, especially with dysplasia, based on expert opinion guidelines. Early-Onset GEJ and Gastric Cancers A marked increase in the incidence of early-onset gastrointestinal malignancies (EOGI; cancer occurring in people 3 nodes positive; invasion of serosa or adjacent structures T3N3M0 IV T4N2M0 7 or more positive nodes; penetrates wall without invading serosa or adjacent structures Node positive; adherence to surrounding tissue or T1-4N0-2M1 Distant metastases aAJCC Cancer Staging Manual, Eighth Edition. Abbreviation: TNM, tumor-node-metastasis. 21 14 30 5-YEAR SURVIVAL, % 90 59 44 29 15 9 3 in very fit patients), subgroups of patients have been identified who benefit from therapies targeting specific genomic alterations (Table 85-3). Approximately 20–25% of patients with adenocar cinoma of the esophagus or GEJ are found to have amplified or overexpressed HER2/ERBB2; trastuzumab plus chemotherapy, or trastuzumab, chemotherapy, plus immune therapy using pembro lizumab (for progression-free survival), results in higher response rates and longer progression-free and overall survival compared to chemotherapy alone. For patients whose tumors do not express HER2/ERBB2, immune-modulating therapy using PD-1 inhibi tors is a standard option as part of first-line therapy (in combina tion with chemotherapy) and as second-line palliative therapy for patients who have esophageal cancers expressing PD-L1. Patients TABLE 85-3 Molecular Diagnostics and Genomic Alteration Analyses Help Guide Systemic Therapy SITE HISTOLOGY Esophageal SCC Esophageal Adeno/ GEJ Esophageal Adeno GEJ Esophageal Adeno GEJ/gastric FACTOR PD-L1 PD-L1 ASSAY TYPE IHC IHC THERAPY OPTIONS Immunomodulation Immunomodulation ERRB2/HER2 IHC/FISH/NGS Trastuzumab; trastuzumab-</w:t>
      </w:r>
      <w:r w:rsidR="00A6019F" w:rsidRPr="00A6019F">
        <w:lastRenderedPageBreak/>
        <w:t xml:space="preserve">deruxtecan dMMRP/MSI IHC/NGS Gastric Adeno Claudin 18.2 IHC aZolbetuximab is currently investigational. Immunomodulation Zolbetuximaba Abbreviations: Adeno, adenocarcinoma; dMMRP, deficient mismatch repair protein; FISH, fluorescent in situ hybridization; IHC, immunohistochemistry; MSI, microsatellite instability; NGS, next-generation sequencing; PD-LI, programmed death ligand 1; SCC, squamous cell carcinoma. whose tumors have high PD-L1 combined positive score (CPS) may have greater benefit. For patients with hypermutated or microsat ellite-unstable tumors, immune therapy alone is considered, using agents such as pembrolizumab, or nivolumab plus ipilimumab. As noted above, molecular diagnostic or NGS genomic alteration analysis assays to identify these biomarkers should be performed routinely in patients with metastatic esophageal, GEJ, and gastric cancer to help guide therapy. Supportive measures to improve nutrition and quality of life include placement of an endoluminal stent in the setting of high grade obstruction; use of enteral nutrition can also be performed using a percutaneous gastrostomy. Photodynamic therapy and endoscopic laser therapy have been used to treat symptoms of endoluminal obstruction. TUMORS OF THE STOMACH </w:t>
      </w:r>
      <w:r w:rsidR="00A6019F" w:rsidRPr="00A6019F">
        <w:rPr>
          <w:rFonts w:ascii="Arial" w:hAnsi="Arial" w:cs="Arial"/>
        </w:rPr>
        <w:t>■</w:t>
      </w:r>
      <w:r w:rsidR="00A6019F" w:rsidRPr="00A6019F">
        <w:t xml:space="preserve">ADENOCARCINOMA OF THE STOMACH Incidence and Causative Factors Since the 1920s, the incidence of gastric cancer has steadily decreased; while the reason for this has not been definitively identified, it coincided with widespread use of refrigeration and a decreased need for food preservatives. In 2023, it is estimated that there will be 27,500 new cases of gastric cancer diagnosed in the United States; while now seen much less frequently, it remains a lethal disease, with 11,130 deaths. As noted above, globally, gastric cancer is the third most common cause of cancer mortality. High-incidence areas, as is the case for esophageal cancers, include large Asian countries such as China, Korea, and Japan; South American countries such as Chile; and Eastern European countries. While the number of new cases of body and distal gastric cancers has decreased in Western, high-tier HDI countries, the incidence of adenocarcinomas of the GEJ has markedly increased in the same areas over the past several decades, including as described earlier in younger patients. For gastric cancer overall, a higher incidence in some coun tries may be due to the ingestion of high concentrations of nitrates found in dried, smoked, and salted foods. Chronic inflammation, caused by an infection, is a major cause of gastric cancer. Helicobacter pylori infection is a known driver in many cases of gastric cancer. While H. pylori is extremely common, occurring in approximately half of all humans, gastric cancer occurs in only a small subset of those infected. Higher cancer risk has been associated with certain strains of H. pylori; while analyses of H. pylori are identifying high-risk genomic factors, a specific human genomic profile increasing risk of gastric cancer in the setting of H. pylori has not yet been identified. H. pylori and ingestion of partially decayed bacterially contaminated food may lead to the gen eration of carcinogenic nitrites from nitrates. Supportive evidence that H. pylori infection is a causative factor in the development of gastric cancer includes prospective studies demonstrating that treatment of H. pylori infection decreases the overall risk of </w:t>
      </w:r>
      <w:r w:rsidR="00A6019F" w:rsidRPr="00A6019F">
        <w:lastRenderedPageBreak/>
        <w:t xml:space="preserve">gastric cancer. For exam ple, patients with H. pylori infection who had at least one first-degree relative with a history of gastric cancer (increasing their own risk of stomach cancer) were randomly assigned to placebo or treatment for H. pylori. The group receiving H. pylori eradication showed a signifi cant decrease in the incidence of gastric cancer (especially for those in whom H. pylori was successfully eradicated) compared to the control group. Earlier studies had demonstrated that treatment of H. pylori in Korean patients who had a prior very-early-stage gastric cancer decreased the incidence of a second gastric cancer. These data suggest that treat ment of asymptomatic H. pylori gastric infection should be considered for patients who have a first-degree relative who has had gastric cancer or who themselves have a prior history of an early-stage gastric cancer. The spectrum of the gastric microbiome beyond H. pylori may also be contributory to an increased risk of gastric cancer, with gastric cancer patients having a higher bacterial load than controls. EBV has also been associated with an increased risk for gastric cancer, and gastric cancer EBV phenotype and genotype have been well described. Another inflammation-driven cause is suspected to be reflux of gastric contents into the esophagus, particularly in obese people, increasing the CHAPTER 85 Upper Gastrointestinal Tract Cancers 646 decreased mortality rates. This strategy has not been cost effective in populations in which the incidence of gastric cancer is much lower, such as in the United States. As noted above, in high-incidence areas, treatment of symptomatic H. pylori is a preventive measure. PRESENTING SYMPTOMS Presenting symptoms include vague upper abdominal discomfort, hematemesis or melena, anorexia and early satiety, and unexplained weight loss. For patients with esophagogastric junction cancers, dysphagia or odynophagia may be the presenting symptom. Anemia may be found due to occult bleeding. These symp toms and signs lead to upper (and if site of bleeding is uncertain, lower) endoscopy and biopsy. Occasionally, imaging using CT performed to evaluate abdominal symptoms may identify gastric thickening or a gas tric mass leading to upper endoscopy. Physical examination can reveal left supraclavicular adenopathy (Virchow’s node), a periumbilical mass (Sister Mary Joseph nodule), a pelvic mass on rectal exam (Blumer’s shelf), ascites, or an ovarian mass (Krukenberg tumor). More com monly, physical examination is unrevealing. PART 4 Oncology and Hematology Upper endoscopy may reveal an ulcer or ulcerated mass, biopsy of which shows adenocarcinoma. For the diffuse subtype of gastric can cer, a mass or ulceration may not be seen, but rather, thickened gastric rugae may be noted. Initial biopsy may not reveal diffuse gastric cancer, which may track below the mucosal surface. In these patients, EUS may guide biopsy. Histopathology Classification of Primary Gastric Adeno risk of GEJ and esophageal adenocarcinomas. Obesity alone is not the cause, as a substantial number of GEJ patients are fit and not overweight. In addition to chronic inflammatory conditions, inherited cancer susceptibility genes increase the risk of gastric cancer. These include mutations of CDH1, which encodes for the cell cohesion gene e-cadherin; germline CDH1 mutations markedly increase the risk for the diffuse </w:t>
      </w:r>
      <w:r w:rsidR="00A6019F" w:rsidRPr="00A6019F">
        <w:lastRenderedPageBreak/>
        <w:t>cell (signet cell) gastric cancer subtype (see below for discussion of histologic subtypes). Prophylactic gastrectomy as a risk-reducing sur gical procedure is an option for patients with an inherited deleterious CDH1 mutation. CDH1 mutations also increase the risk for lobular breast cancer. Germline mutations in the mismatch repair pathway (Lynch syndrome) and in the homologous repair pathway (BRCA mutations) slightly increase the risk for gastric cancer. Other inherited cancer susceptibility genetic syndromes that increase the risk of gastric cancer include familial adenomatous polyposis, juvenile polyposis, and Peutz-Jeghers syndrome. Surveillance programs for the early detec tion of gastric cancer for the higher risk germline cancer susceptibility genes (e.g., CDH1) should be employed. In addition, systemic therapy options for patients with certain germline mutations may be different from those with sporadic gastric cancer (e.g., for Lynch syndrome, immune modulation therapy; and for BRCA, use of DNA-damaging agents such as platinum compounds). Gastric cancer stem cells, mostly located in the isthmus of individual gastric glands and possibly originating in the bone marrow, may play an important role in the development of gastric cancer. H. pylori may be an inciting factor for recruitment of such bone marrow gastric stem cells. If this hypothesis is confirmed, it may have important implica tions for therapy of gastric cancers. Clinical Features •</w:t>
      </w:r>
      <w:r w:rsidR="00A6019F" w:rsidRPr="00A6019F">
        <w:t> </w:t>
      </w:r>
      <w:r w:rsidR="00A6019F" w:rsidRPr="00A6019F">
        <w:t xml:space="preserve">SURVEILLANCE STRATEGIES As is the case for esophageal cancer, the incidence of gastric cancer in Western patients is relatively low, and early detection methodologies such as endoscopy are not routinely employed. The development of a “pan-cancer” blood based biomarker or a biomarker specific for gastric cancer would allow broader screening. At this time, the overwhelming majority of Western patients with gastric cancer are symptomatic at the time of diagnosis. Early detection programs in Japan and Korea, where gastric cancer has been among the most common of malignancies (although its incidence has been decreasing), include upper endoscopy; these programs have increased the number of patients found with early gastric cancer and Cardia GE junction CIN • Intestinal histology • TP53 mutation • RTK-RAS activation Pylorus carcinomas The large majority (~85%) of gastric malignancies are adenocarcinomas or subtypes of adenocarcinoma. Other malignancies, discussed below, include neuroendocrine tumors (carcinoid tumors), primary gastric lymphomas, gastrointestinal stromal tumors (GISTs), and other rare malignancies. Using the Lauren classification, patholo gists classify adenocarcinomas on the basis of histopathology as intestinal (more common) or diffuse subtype (~20%). As noted above, the diffuse subtype is associated with inherited CDH1 mutations; in addition, in the TCGA genomic analysis of gastric cancer and in other genomic analysis studies, approximately a third of diffuse subtype cases had somatic CDH1 mutations. The intestinal subtype is associated with H. pylori infection and atopic gastritis. Histologic grade also influences the clinical course. Genomic analysis performed by several groups has resulted in molecular classifications of gastric cancer that may, in the future, Fundus Body Antrum GS • Diffuse histology • CDH1, RHOA mutations • CLDN18–ARHGAP fusion • Cell adhesion EBV • PIK3CA mutation • PD-L1/2 overexpression • EBV-CIMP • CDKN2A </w:t>
      </w:r>
      <w:r w:rsidR="00A6019F" w:rsidRPr="00A6019F">
        <w:lastRenderedPageBreak/>
        <w:t xml:space="preserve">silencing • Immune cell signaling MSI • Hypermutation • Gastric-CIMP • MLH1 silencing • Mitotic pathways FIGURE 85-2 Molecular/genomic characterization of subtypes of gastric carcinomas. CIMP, CpG-island methylator phenotype; CIN, chromosomally unstable; EBV, Epstein Barr virus-associated; GE, gastroesophageal; GS, genomically stable; MSI, microsatellite instability-associated. 647 inform staging systems; they already provide a better understanding of the driving factors in the development of gastric cancer and important information on treatment options as outlined above (Fig. 85-2). For example, the TCGA group reported the results of a multiplatform analysis of 295 patients with previously untreated gastric cancer; both Western and Asian patients were included in the analysis. Four sub types of gastric cancer were identified: high EBV burden, microsatel lite unstable with hypermutation, genomically stable (associated with the diffuse subtype), and chromosomal unstable. The Asian Cancer Research Group (ACRG), studying primary tumors from 300 Korean patients, analyzed gene expression profiles and found four subtypes: mesenchymal, microsatellite unstable, microsatellite stable with TP53 expressed, and microsatellite unstable with TP53 mutated. Clinical out come was correlated with genomic subtype in both studies, with micro satellite unstable tumors having the best outcome (in an era before use of immune modulation therapy) and genomically stable (TCGA) and mesenchymal (ACRG) types having the worst outcome. In addition to histopathology, as is the case for esophageal cancer, molecular diagnostics and genomic alteration analysis using NGS are an important part of the pathology workup. The molecular subtypes have therapeutic implications; for example, as discussed above, ~20% of gastric cancer or GEJ cancer patients’ tumors have overexpression or amplification of HER2/ERBB2, which would lead to the addition of agents such as trastuzumab-based therapy as part of systemic treatment for metastatic disease. Immune modulation therapy would be used in patients with hypermutated tumors, found by NGS (tumor mutation burden) or by polymerase chain reaction (PCR) for microsatellite instability (MSI). An evaluation for overexpression or amplification of HER2/ERBB2, quantification of PD-L1 by IHC, and assessment of MSI by PCR or deficient mismatch repair protein (dMMRP) expression should be a routine part of the pathology workup of patients with meta static gastric cancer. Claudin 18.2 has recently been identified as a tar get for therapy; if agents targeting Claudin 18.2 are approved by the U.S. Food and Drug Administration (FDA), an assay for this factor should be included in the pathologic evaluation of metastatic gastric cancer. More controversial is whether these assays should also be routinely performed in patients with potentially operable gastric cancer because, for example, the addition of trastuzumab to neoadjuvant chemotherapy has not yet been shown to change outcome. In large-volume centers, NGS is routinely performed on pretreatment biopsies. Currently, the finding on pathologic assays of positive tumor EBV (identified in 8–10% of gastric cancer patients) does not change therapeutic options. Staging Once a diagnosis of a primary gastric adenocarcinoma is made, algorithms for clinical evaluation of stage include physical exam ination and imaging studies (Fig. 85-3; Table </w:t>
      </w:r>
      <w:r w:rsidR="00A6019F" w:rsidRPr="00A6019F">
        <w:lastRenderedPageBreak/>
        <w:t xml:space="preserve">85-2). Tumor-related biomarkers such as carcinoembryonic antigen (CEA) or CA19-9 may be elevated but are nonspecific (may be elevated in a number of other gastrointestinal and other site cancers). Diagnostic CT scan of the chest, abdomen, and pelvis should be performed. If metastatic disease is suspected on imaging, a biopsy of a metastatic site should be strongly considered to confirm stage IV disease, which changes the goals of care from potentially curative to palliative treatment and provides tis sue for molecular and genomic analyses. As is the case for esophageal cancer, FDG-PET/CT, which is more sensitive than diagnostic CT scan in identifying sites of metastatic disease, should be performed if the anatomic CT is negative for metastatic disease. Note, however, that FDG-PET may be noninformative (the primary tumor may not be FDG-avid, particularly in diffuse-type gastric cancer). If imaging does not reveal metastatic disease, EUS should be considered to determine depth of penetration of the primary tumor and the presence or absence of regional lymphadenopathy suspicious for metastasis. Lymph node biopsy and, on occasion, biopsy of left hepatic parenchymal lesions found on EUS can be performed at the same setting. Endoscopic biopsies usually provide enough tumor tissue for molecular diagnostic pathology testing for HER2/ERBB2, MSI/MMRP, and PD-L1 assess ment; it may not provide enough tissue for NGS genomic alteration analysis. If neoadjuvant therapy is planned, laparoscopy should be considered to allow evaluation of the peritoneal cavity, with peritoneal washing for cytology if no peritoneal metastases are visible. The perito neal cavity is a common site of metastases, especially from diffuse-type gastric cancer. The finding of peritoneal involvement either visibly or by positive cytology is staged as metastatic disease and generally rules out the chance for curative resection. The AJCC staging classification for gastric cancer is summarized in Table 85-2. Three staging classifications are provided: cTNM clinical staging (before any therapy has been given), pTNM pathologic staging (for patients not undergoing preoperative therapy), and a post–neoad juvant therapy classification staging (ypTNM). The three components take into account current standard-of-care options for therapy in which the AJCC prognostic stage groups from clinical staging guide therapeutic decisions. For example, after clinical evaluation, a large percentage of newly diagnosed patients will be found to have higher stage primary cancers (penetrating through the gastric wall [T3 or T4] or lymph node–positive tumors), in which case perioperative (neoad juvant) systemic therapy may be chosen. Pathologic examination of the resected specimen for prognostic stage classification must take into account exposure to preoperative therapies that may lead to down staging (thus, ypTNM staging). Nomograms have been developed for predicting outcome in patients undergoing surgery as initial treatment. TREATMENT Gastric Cancer POTENTIALLY CURABLE GASTRIC CANCER: SURGERY Surgical removal of the primary tumor with negative microscopic margins (an R0 resection) and with resection of regional lymph nodes is currently the only curative therapy; with surgery alone, overall 5-year survival rates are approximately 25% (higher for very-early-stage tumors). If tumor cells are found at the margin of resection (R1) or if visible cancer is left at the time </w:t>
      </w:r>
      <w:r w:rsidR="00A6019F" w:rsidRPr="00A6019F">
        <w:lastRenderedPageBreak/>
        <w:t xml:space="preserve">of surgical removal of the primary tumor (R2), surgery is palliative rather than curative. For patients with early-stage tumors (mostly clinical stage I), surgery without perioperative systemic therapy may be performed. For patients with more locally advanced tumors (clini cal stages IIA, IIB, III), who compose approximately 70% of newly diagnosed operable patients, multimodality therapy (surgery and systemic chemotherapy) improves overall survival. Both neoadju vant (preoperative) and postoperative systemic therapy are accepted approaches. If staging studies demonstrate a locally advanced can cer (or node positive), preoperative treatment is recommended in a medically fit patient. If surgery is performed first and a locally advanced cancer is found, postoperative chemotherapy or che motherapy plus chemoradiation is recommended. For selected very-early-stage gastric cancers (primary tumors that are ≤2 cm in diameter, are well to moderately differentiated, do not invade the deep submucosa [T1], and do not show lymphovascular invasion or lymph node metastasis), which are not commonly found in the United States, EMR or ESD may be performed by experienced gas troenterologists in place of surgical resection, with favorable results in studies in high-incidence areas such as Japan. CHAPTER 85 Upper Gastrointestinal Tract Cancers For patients in whom the primary tumor is in the distal stom ach, a subtotal gastrectomy is the preferred surgical procedure. For tumors of the proximal stomach, the options for resection include total gastrectomy or, alternatively, proximal gastrectomy. Esophago gastrectomy is performed for tumors involving the GEJ. In selected patients, a jejunostomy feeding tube may be placed if postoperative radiation therapy is part of the treatment plan. As noted above, laparoscopy is commonly performed at high volume centers before a final decision regarding the role of surgery. If staging has already demonstrated clinically suspicious lymph nodes or an advanced T stage tumor, but laparoscopy does not demonstrate peritoneal metastasis, perioperative chemotherapy is given before surgical resection. Palliative resection of the primary tumor is usually performed only if symptoms such as uncontrollable bleeding or obstruction are present that cannot be relieved by other means. 648 Endoscopy and biopsy positive Diagnostic CT No evidence of metastatic disease FDG-PET/CT No MI disease PART 4 Oncology and Hematology EUS Stage 1 MI disease Stage 2/3 Consider laparoscopy No peritoneal metastasis Consider laparoscopy No MI peritoneum MI disease suspect Biopsy if technically feasible Systemic therapy MI peritoneum Resection pT1–2 N0 M0 Active surveillance pT3 Nany M0 Neoadjuvant therapy Resection Adjuvant therapy Systemic therapy FIGURE 85-3 Staging for gastric adenocarcinoma. CT, computed tomography; EUS, endoscopic ultrasound; FDG-PET, fluorodeoxyglucose positron emission tomography. As is the case for colorectal cancer, a correlation exists between the number of lymph nodes removed and sampled and outcome. Sentinel lymph node biopsy is not performed in gastric cancer outside of a research study setting. The goal is to examine at least 15 lymph nodes from the resected specimen; it is more contro versial whether more extensive lymph node resection itself affects outcome; the extent of lymphadenopathy can be classified using </w:t>
      </w:r>
      <w:r w:rsidR="00A6019F" w:rsidRPr="00A6019F">
        <w:lastRenderedPageBreak/>
        <w:t xml:space="preserve">a D0–D3 system with a higher number meaning more extensive lymphadenopathy. In the United States, a modified D2 (D1+) resection preserving the spleen and avoiding pancreatectomy is recommended but should be performed by experienced surgeons at high-volume centers. Japanese investigators and others have used very extensive lymph node dissections, but studies have not demonstrated an advantage for a D3 resection. Both resection of the primary tumor and its regional lymph nodes can be performed laparoscopically in appropriate patients. In the hands of experienced surgeons, operative mortality would be anticipated to be ≤2%. NEOADJUVANT AND POSTOPERATIVE ADJUVANT THERAPY FOR RESECTABLE GASTRIC CANCER The large majority of potentially resectable Western gastric cancer patients have locally advanced tumors (cTNM stage IIA/B or III). Multimodality therapy using systemic chemotherapy plus surgery improves 5-year survival rates by 10–15% compared to surgery alone. An older but widely cited study, the MAGIC clinical trial, randomly assigned patients with potentially resectable disease to receive perioperative chemotherapy or to proceed directly to surgery. Five-year overall survival for patients undergoing surgery alone was 23%; for those receiving pre- and postoperative chemotherapy, it was 36%. On the basis of this and other clinical trials, for most medically fit patients with stage cTNM II and III resectable gastric cancers, 649 preoperative systemic chemotherapy followed by resection and, if tol erable, postoperative chemotherapy is a standard approach. Because it is challenging to give postgastrectomy systemic therapy using currently employed regimens (5. CheckMate 649 and other data have led to guidelines recommending use of immune modulation therapy plus chemotherapy as an option for first-line treatment for patients with HER2/EBB2-nonexpressing, PD-L1 CPS &gt;5 metastatic gastric and gastroesophageal cancers; chemotherapy plus immune modulation therapy may also have benefit for patients with lower PD-L1 CPS scores. Those whose tumors have overex pressed or amplified HER2 should receive HER2-targeted agents such as trastuzumab or trastuzumab, pembrolizumab, plus cyto toxic chemotherapy. Beyond first-line therapy, additional HER2 targeted therapy using agents such as trastuzumab-deruxtecan, a monoclonal antibody-drug conjugate, is recommended for patients whose tumors have amplification of HER2/ERBB2. For patients with metastatic MSI/dMMRP gastric cancers, immune modulation therapy using either PD-1 inhibitors such as pembrolizumab or combinations such as nivolumab plus ipilimumab may be employed as first-line therapy; guidelines include the option of immune therapy plus chemotherapy. When disease progresses after first-line treatment, other therapies include the combination of a VEGF receptor–targeted agent, ramu cirumab, either alone or in combination with paclitaxel. Immune modulation inhibitors are an option for second-line therapy for patients whose tumors are microsatellite unstable (e.g., nivolumab plus ipilimumab if single-agent pembrolizumab was used as first line therapy). For patients with microsatellite stable gastric cancers (the large majority), immune modulators are an option if not used in the first-line setting, if PD-L1 is positive. As above, for patients with </w:t>
      </w:r>
      <w:r w:rsidR="00A6019F" w:rsidRPr="00A6019F">
        <w:lastRenderedPageBreak/>
        <w:t xml:space="preserve">HER2/ERBB2-amplified tumors, trastuzumab-deruxtecan can be used. Several other cytotoxic agents have activity in the third line setting including trifluridine-tipiracil and irinotecan. Even with improvements in therapy including immune modulation therapy, the best results from clinical trials indicate overall survival for treated patients with stage IV disease is still only 12–15 months. Investiga tional studies include targeting Claudin 18.2, a cell surface type junc tion molecule that is overexpressed in ~50% of gastric cancers. In the SPOTLIGHT trial, previously untreated, HER2/ERBB2-negative patients assigned to zolbetuximab (targeting Claudin 18.2) plus FOLFOX chemotherapy had an improvement in survival compared to those receiving FOLFOX chemotherapy alone. Zolbetuximab plus chemotherapy may become another first-line option for advanced gastric cancer. Additional studies targeting Claudin 18.2 including those using chimeric antigen receptor (CAR) T cells are underway. Radiation therapy using shorter regimens may be employed to palliate bleeding. For patients with advanced incurable disease, other supportive measures include placement of a duodenal stent to relieve gastric outlet obstruction; in selected patients, surgical pro cedures for gastric outlet obstruction may be performed. Radiation therapy might be used if not previously given. Enteral feeding using a jejunostomy tube may support nutritional needs. GASTRIC LYMPHOMAS Lymphomas of the stomach are an uncommon (~3%) but important subgroup of gastric malignancies. They are extranodal non-Hodgkin’s lymphomas (NHL). The gastrointestinal tract is the most common site for extranodal NHL, and the stomach is the most common site within the gastrointestinal tract. The presenting symptoms can be similar to those of the much more common adenocarcinoma of the stomach described above, including pain, anorexia, and bleeding. Symptoms of fever and night sweats occur in 10–15% of patients with gastric NHL. Because the treatment options are so different, obtaining adequate tis sue for definitive pathologic examination is crucial in diagnosing both gastric lymphomas (as opposed to adenocarcinoma) as well as defin ing the subtype of lymphoma. On occasion, this may be challenging because, similar to diffuse subtype adenocarcinoma, lymphomas may track below the mucosal surface. A fine-needle aspirate may not be suf ficient; multiple deep biopsies or mucosal resection may be needed to provide enough tissue for definitive pathologic assessment. Potential driving forces in the development of gastric lymphomas include active or prior H. pylori infection, which is associated with mucosa-associated lymphoid tissue (MALT) subtype gastric lympho mas and has been described as a potential driver in some patients with diffuse large B-cell lymphomas (DLBCLs). MALT lymphomas may CHAPTER 85 Upper Gastrointestinal Tract Cancers 650 develop in nearly any organ, but the stomach is the most frequent pri mary site, accounting for ~35% of all MALT lymphomas. Identifying a MALT lymphoma is important because antibacterial therapy directed against H. pylori alone can be a highly effective treatment. Other infec tions should be considered either as driving factors or as risks from treatment, such as reactivation of hepatitis B virus (HBV); testing for HBV is recommended before initiation of lymphoma therapy. Hepatitis C infection has been </w:t>
      </w:r>
      <w:r w:rsidR="00A6019F" w:rsidRPr="00A6019F">
        <w:lastRenderedPageBreak/>
        <w:t xml:space="preserve">associated with DLBCL and with marginal zone lymphomas. Other forms of NHL may involve the stomach either as primary gastric lymphoma or as a secondary site of disease, including both B-cell (e.g., mantle cell lymphoma, Burkitt’s lymphoma, and fol licular lymphoma) and T-cell lymphomas (e.g., enteropathy-associated T-cell lymphoma, anaplastic large-cell lymphoma, and peripheral T-cell lymphoma). PART 4 Oncology and Hematology Staging is performed using similar imaging modalities as for gastric adenocarcinoma, but the staging systems are different (see below, and presented in more detail in the chapter on lymphomas [see Chap. 113]). As a staging study, FDG-PET/CT is performed, as well as a contrast enhanced, diagnostic-quality CT. FDG-PET/CT is used both as an initial staging study and to assess response. EUS may be used to deter mine depth of invasion in patients in whom no evidence of metastatic disease is noted. Examination of the peripheral blood and bone mar row aspirate should be considered as part of the workup. In all patients with gastric lymphoma, H. pylori infection status should be evaluated. If H. pylori testing is negative by histopathology, noninvasive testing by either stool antigen test or urea breath test should be used. </w:t>
      </w:r>
      <w:r w:rsidR="00A6019F" w:rsidRPr="00A6019F">
        <w:rPr>
          <w:rFonts w:ascii="Arial" w:hAnsi="Arial" w:cs="Arial"/>
        </w:rPr>
        <w:t>■</w:t>
      </w:r>
      <w:r w:rsidR="00A6019F" w:rsidRPr="00A6019F">
        <w:t xml:space="preserve">STAGING The TNM staging system is not employed for gastric lymphomas. Several classification systems are used for lymphomas, including the Lugano staging system (a modification of Ann Arbor staging), the revised World Health Organization (WHO) Fifth Edition of the WHO Classification of Haematolymphoid Tumours (WHOHAEM5), and the International Consensus Classification (ICC). These are discussed in Chap. 113 on lymphomas. The Lugano staging system for gastroin testinal lymphomas is still widely used; it divides patient groups into stages I, II, III, and IV. Stage I tumors are limited to the gastric wall; stage II tumors have regional lymph node involvement or invasion of local structures; stage III tumors have lymph node involvement above and below the diaphragm. Stage IV tumors have either more extensive lymph node involvement or have distant metastasis, including to the bone marrow or other extranodal sites. </w:t>
      </w:r>
      <w:r w:rsidR="00A6019F" w:rsidRPr="00A6019F">
        <w:rPr>
          <w:rFonts w:ascii="Arial" w:hAnsi="Arial" w:cs="Arial"/>
        </w:rPr>
        <w:t>■</w:t>
      </w:r>
      <w:r w:rsidR="00A6019F" w:rsidRPr="00A6019F">
        <w:t xml:space="preserve">PATHOLOGIC CLASSIFICATION The two most common histologic subtypes of gastric lymphoma are marginal zone B-cell lymphomas (gastric marginal zone B-cell lympho mas or MALT; ~40% of newly diagnosed patients) and DLBCLs (~55%). The distinction is critical because therapeutic options are different. The large majority of MALT cases are associated with H. pylori infection. The finding of a t(11;18) translocation identifies a subgroup less likely to respond to H. pylori eradication (or in non-H. pylori–associated MALT). This translocation may be detected using PCR or fluorescent in situ hybridization (FISH); it creates a chimeric protein composed of the amino terminal of API1 (apoptosis inhibitor) and the carboxy terminus of MALT1, leading to activation of nuclear factor-κB signaling. Note that even H. pylori–negative MALT tumors may respond to anti–H. pylori therapy. Other, rarer subtypes of primary gastric lymphomas include those of T-cell lineage. TREATMENT Gastric Lymphoma Unlike adenocarcinoma of the stomach, surgical resection has no role in the treatment of primary gastric lymphoma in the absence of complications of therapy such as perforation or uncontrollable bleeding. Resection of gastric lymphoma does not improve clinical outcomes. For patients with </w:t>
      </w:r>
      <w:r w:rsidR="00A6019F" w:rsidRPr="00A6019F">
        <w:lastRenderedPageBreak/>
        <w:t xml:space="preserve">MALT lymphoma, eradication of H. pylori with antibiotics is highly effective therapy. If tests for H. pylori are positive and t(11;18) translocation assay is negative, one of the cur rently accepted antibiotic regimens for treating H. pylori should be the initial therapy. H. pylori eradication is associated with high response rates including complete remissions in the majority of patients. Treatment with an anti–H. pylori regimen may induce remission even in patients in whom standard testing for H. pylori, described above, is negative. The time to remission may be pro longed (in some studies averaging 15–16 months); therefore, careful monitoring is important before determining that a MALT tumor is not responding to anti–H. pylori therapy. For patients in whom the t(11;18) translocation assay is positive, options for therapy include anti–H. pylori antibiotic therapy plus involved-field radiation ther apy or, if radiation is contraindicated, the use of single-agent ritux imab, a monoclonal antibody targeting CD20. For patients who are H. pylori negative, in whom anti–H. pylori therapy may have been used without response, moderate-dose (24–30 Gy) involved-site radiation therapy or single-agent rituximab is a treatment option. For selected, more advanced, stage IV MALT patients who have not responded to or who have progressed after receiving anti–H. pylori antibiotic therapy and/or rituximab, cytotoxic che motherapy regimens such as R-CHOP (rituximab, cyclophospha mide, doxorubicin, vincristine, and prednisolone), dose-adjusted R-EPOCH (an infusional regimen of rituximab, etoposide, prednis olone, vincristine, cyclophosphamide, and doxorubicin), or ritux imab and lenalidomide may be considered. DLBCL may be a result of transformation from more indolent MALT lymphoma or may arise de novo. De novo tumors are more likely to be BCL2 and CD10 positive. MALT lymphomas that have transformed to DLBCLs are more frequently BCL2 and CD10 negative. For patients with DLBCL, earlier-stage tumors may be treated by combination chemotherapy alone or chemotherapy plus involved field radiation therapy. For more advanced gastric DLBCL tumors, chemotherapy using the R-CHOP or R-EPOCH regimen is stan dard therapy. Some reports have suggested that eradication of H. pylori is effective treatment for early-stage DLBCL when the patient also has H. pylori. UNCOMMON TUMORS OF THE ESOPHAGUS AND STOMACH </w:t>
      </w:r>
      <w:r w:rsidR="00A6019F" w:rsidRPr="00A6019F">
        <w:rPr>
          <w:rFonts w:ascii="Arial" w:hAnsi="Arial" w:cs="Arial"/>
        </w:rPr>
        <w:t>■</w:t>
      </w:r>
      <w:r w:rsidR="00A6019F" w:rsidRPr="00A6019F">
        <w:t xml:space="preserve">GASTROINTESTINAL STROMAL TUMORS GISTs are rare tumors of the gastrointestinal tract associated with activating somatic mutations in the cKIT (the majority) or PDGFRA genes; in a minority of cases, neither gene is mutated. GISTs arise from Cajal cells, which bridge between the autonomic nerves to the muscle layer of the bowel. The stomach is the most frequent primary site (~60%), followed by the small bowel in about 25%. As endoscopy for other indications has become more widely used, otherwise asymp tomatic and probably clinically insignificant small GISTs have been identified more frequently; it is not clear that the actual incidence has substantially increased. Symptoms associated with GISTs include acute gastrointestinal bleeding leading to melena and/or hemateme sis. Anemia may be reflected in generalized weakness. With larger tumors, abdominal distention and pain may be presenting symptoms. At endoscopy, a nonspecific smooth bulging mass covered by normal mucosa is the most </w:t>
      </w:r>
      <w:r w:rsidR="00A6019F" w:rsidRPr="00A6019F">
        <w:lastRenderedPageBreak/>
        <w:t xml:space="preserve">frequent finding. Initial biopsy may not reveal a mesenchymal neoplasm. The radiologic features found on diagnostic CT scan (which may identify an asymptomatic tumor) may raise the question of a GIST tumor. EUS can be performed, but if biopsy is done, it may not provide an adequately cellular specimen to allow genomic sequencing, which is required to help guide systemic therapy (if needed). Histologically, a spindle cell neoplasm is the most common subtype (~70%), with epithelioid cells making up 20%; 10% of cases are mixed histology. KIT expression is found in ~95% and PDGFRA in ~80% of cases. NGS is usually used to assess for gain-of-function KIT, PDGFRA, or other, rarer mutations. 651 For nonmetastatic GIST tumors, risk of recurrence assessment (guiding use of postoperative therapy) is based on the size of the pri mary tumor, mitotic index, and location in the gastrointestinal tract. For gastric GISTs, resected tumors ≤2 cm with a mitotic index of ≤5% have a near 0 risk of progression. For larger tumors, especially those ≥10 cm, with a mitotic index &gt;5%, the risk is moderate to high. Post operative adjuvant imatinib for 3 years is a standard-of-care option. Avapritinib is used for tumors with certain PDGFRA mutations. For patients with metastatic disease, imatinib (for KIT mutation–bearing tumors) or avapritinib (targeting PDGFRA) is used; the location of the KIT mutation (exon 11 vs 9) is associated with degree of effectiveness. However, resistance almost invariably develops, and the development of newer agents effective in tumors with secondary mutations is a high priority; ripretinib, which targets both KIT and PDGFRA, is now also FDA approved. </w:t>
      </w:r>
      <w:r w:rsidR="00A6019F" w:rsidRPr="00A6019F">
        <w:rPr>
          <w:rFonts w:ascii="Arial" w:hAnsi="Arial" w:cs="Arial"/>
        </w:rPr>
        <w:t>■</w:t>
      </w:r>
      <w:r w:rsidR="00A6019F" w:rsidRPr="00A6019F">
        <w:t xml:space="preserve">SMALL-BOWEL NEOPLASMS Small-bowel neoplasms make up ~3% of gastrointestinal tumors; in 2023, 12,000 new cases are expected in the United States. The spectrum of malignant small-bowel neoplasms includes neuroendocrine tumors (NETs; carcinoid), adenocarcinomas, lymphomas, and GISTs. In the United States, NETs, which have increased in incidence, are slightly more frequent (40–45%) than adenocarcinomas (30–40%), with the remainder mostly lymphomas and ~8% GISTs. The duodenum is the most common portion of the small bowel in which malignancies develop (~50%), with ~30% occurring in the jejunum and 20% in the ileum. NETs are the most common benign and malignant tumors of the ileum. Risk factors for the development of small-bowel adeno carcinoma include inflammatory bowel disease (Crohn’s disease); inherited germline mutation syndromes such as Lynch syndrome, familial adenomatous polyposis (FAP), and Peutz-Jeghers syndrome; and celiac disease (which is also associated with an increased risk for lymphomas). While an asymptomatic small-bowel primary adenocarcinoma might be found during surveillance in patients at high risk (e.g., FAP), for many small-bowel tumors, the finding of positive stool occult blood, unexplained anemia, or small-bowel obstruction leads to the diagnosis. Both adenocarcinoma and lymphomas might present with perforation. Evaluation by diagnostic CT imaging may reveal a small bowel lesion. CT and/or magnetic resonance enterography (CTE or MRE) have a high positive predictive value (for adenocarcinoma, MRE appears to be more accurate). A variety of endoscopic techniques are used for diagnostic evaluation of the small bowel, including device assisted enteroscopy (DAE), e.g., double-balloon enteroscopy; small bowel </w:t>
      </w:r>
      <w:r w:rsidR="00A6019F" w:rsidRPr="00A6019F">
        <w:lastRenderedPageBreak/>
        <w:t xml:space="preserve">capsule endoscopy (SBCE) may also be employed. DAE allows tissue diagnosis; a tattoo helps localize the small bowel neoplasm (SBN) for resection; DAE may also allow stent placement for palliation of obstruction. SBCE is contraindicated in the setting of obstruction. As is the case for gastric imaging studies, deep learning artificial intelli gence is being studied to improve the analysis of small-bowel imaging. For NETs, a gallium-68 or copper-64 DOTATATE scan may identify both the primary site as well as metastatic disease. Blood tumor bio markers are nonspecific for the primary site (e.g., CEA or CA19-9 for adenocarcinoma); these assays are better used to monitor response or progression of disease rather than for diagnosis. The median age at diagnosis for sporadic small-bowel adeno carcinoma is in the seventh or eighth decade of life, but genetically predisposed patients and those with inflammatory bowel disease may be diagnosed at a much earlier age. African Americans have a higher incidence of small-bowel cancer than whites. While systemic therapies are usually modeled on agents used to treat colorectal cancer, genomic analyses have indicated that small-bowel adenocarcinoma has distinct genomic alterations compared to either colorectal or gastric cancers. Genomic alterations less frequent in small-bowel than in colorectal cancers include TP53, BRAF V600E, and APC mutations, whereas the rate of KRAS mutations is similar to colorectal cancer (a genomic analysis of Chinese small-bowel cancer patients, mostly duodenal cancers, noted a somewhat different profile than U.S. patients). Within small-bowel sites, the most striking difference is the higher rate of ERBB2 alterations (of which a minority are amplifications) in duodenal cancers. Not surprisingly, because Lynch syndrome increases the risk of small-bowel adenocarcinoma, 15–20% of these tumors are MSI high or mismatch repair deficient; small-bowel adenocarcinoma associated with celiac disease also may have an increased rate of MSI-high tumors. MSI/MMRP status should be assessed in all patients with small-bowel adenocarcinoma. Somatic tumor genomic analysis may suggest a germline mutation, but appropriate genetic testing for a germline driver mutation should be performed in all patients with small-bowel adenocarcinoma. Small-bowel adenocarcinoma has its own staging classification in the eighth edition of the AJCC Cancer Staging Manual. TREATMENT Small-Bowel Adenocarcinomas Surgical resection with negative microscopic margins (R0), as is the case for other gastrointestinal tumors, is the best chance for cure. For duodenal adenocarcinomas, a Whipple procedure may be needed; for more distal duodenal cancers and jejunal adenocar cinomas, a segmental resection with adequate margins should be performed. Distal ileal tumors may require right hemicolectomy. Small-bowel cancers are frequently found with locally advanced disease at the time of diagnosis. If the tumor is resectable, post operative adjuvant systemic therapy is currently recommended for lymph node–positive patients, using regimens such as those employed for colorectal cancer (capecitabine and oxaliplatin or FOLFOX). Benefit from adjuvant therapy has not yet been proven. Small-bowel cancers developing in patients with Lynch syndrome probably have a better prognosis; if colorectal cancer is a model, postoperative adjuvant therapy for patients </w:t>
      </w:r>
      <w:r w:rsidR="00A6019F" w:rsidRPr="00A6019F">
        <w:lastRenderedPageBreak/>
        <w:t xml:space="preserve">with Lynch syndrome may include consideration of immune modulation therapy. For duodenal cancers, chemoradiation is considered if the resection margins are still positive. For patients with advanced metastatic disease, in the absence of Lynch syndrome or a hypermutated tumor, similar cytotoxic regi mens as deployed for gastric (duodenal) or colon cancers (jejunum or ileum) have been widely used. For tumors that are MSI high or dMMRP positive, immunotherapy is indicated; for tumors that are HER2 amplified or BRAF mutated, targeted therapy may be useful. </w:t>
      </w:r>
      <w:r w:rsidR="00A6019F" w:rsidRPr="00A6019F">
        <w:rPr>
          <w:rFonts w:ascii="Arial" w:hAnsi="Arial" w:cs="Arial"/>
        </w:rPr>
        <w:t>■</w:t>
      </w:r>
      <w:r w:rsidR="00A6019F" w:rsidRPr="00A6019F">
        <w:t xml:space="preserve">SMALL-BOWEL GASTROINTESTINAL STROMAL TUMORS CHAPTER 85 Upper Gastrointestinal Tract Cancers Like small-bowel adenocarcinomas, small-bowel GISTs may pres ent with obstruction or bleeding. Diagnostic techniques are those employed for other small-bowel neoplasms. While the pathological criteria for malignant potential are somewhat different than those used for gastric GISTs, postoperative management and treatment of meta static disease are the same as those described above for gastric GIST. </w:t>
      </w:r>
      <w:r w:rsidR="00A6019F" w:rsidRPr="00A6019F">
        <w:rPr>
          <w:rFonts w:ascii="Arial" w:hAnsi="Arial" w:cs="Arial"/>
        </w:rPr>
        <w:t>■</w:t>
      </w:r>
      <w:r w:rsidR="00A6019F" w:rsidRPr="00A6019F">
        <w:t xml:space="preserve">BENIGN NEOPLASMS OF THE SMALL BOWEL As is the case for malignant small-bowel tumors, benign neoplasms of the small bowel are rare. In addition to cancers, the precursor lesion adenomas or hamartomas (from which cancers develop) may be driven by inherited cancer susceptibility genes (e.g., FAP, Lynch syndrome, Peutz-Jeghers syndrome). Other benign neoplasms include lipomas, leiomyomas, neurofibromas, and benign lymphoid nodular hyperplasia. Patients with benign small-bowel neoplasms not associated with an inherited cancer susceptibility gene (in which case, a benign tumor may be found during surveillance) are usually asymptomatic. A mass may be noted on an imaging study (usually a CT) ordered for another reason. Workup for occult or overt bleeding or intussusception of the bowel may lead to the discovery of a benign small-bowel neoplasm. Diagnostic evaluation is similar to that described above for malig nant tumors. In general, benign neoplasms, if found during surveil lance, are removed endoscopically, if technically feasible, to decrease the risk of intussusception in Peutz-Jeghers syndrome. Mucosectomy may be used to treat bleeding hemangiomas. NEUROENDOCRINE TUMORS OF THE 652 PART 4 Oncology and Hematology ESOPHAGUS, STOMACH, AND SMALL BOWEL Neuroendocrine neoplasms include NETs (more well differentiated, classified as grades 1–3) and neuroendocrine carcinomas (NECs). Neuroendocrine neoplasms including pancreas NETs are described in detail in Chap. 89. The following describes NET and NEC of the esophagus, stomach, and small bowel. </w:t>
      </w:r>
      <w:r w:rsidR="00A6019F" w:rsidRPr="00A6019F">
        <w:rPr>
          <w:rFonts w:ascii="Arial" w:hAnsi="Arial" w:cs="Arial"/>
        </w:rPr>
        <w:t>■</w:t>
      </w:r>
      <w:r w:rsidR="00A6019F" w:rsidRPr="00A6019F">
        <w:t xml:space="preserve">ESOPHAGEAL AND GASTRIC NEUROENDOCRINE TUMORS NETs of the esophagus are rare, accounting for 2 cm) or tumors invad ing through the muscularis or to regional lymph nodes, surgical resection is recommended. Type 2 tumors have a higher risk for regional lymph node metastasis and are usually treated surgically, although selected patients may have a combination of endoscopic resection and limited surgical resection. Type 3 tumors are not asso ciated with elevated gastrin levels and have a higher propensity for regional lymph node metastasis and distant metastasis. Surgery is the treatment of choice for localized type 3 tumors, although EMR has been used in selected patients. Adenocarcinoma of the stomach </w:t>
      </w:r>
      <w:r w:rsidR="00A6019F" w:rsidRPr="00A6019F">
        <w:lastRenderedPageBreak/>
        <w:t xml:space="preserve">may be found in 5–10% of type 3 tumors. The role of surgery in mixed NEC-adenocarcinoma neoplasms is not well established. </w:t>
      </w:r>
      <w:r w:rsidR="00A6019F" w:rsidRPr="00A6019F">
        <w:rPr>
          <w:rFonts w:ascii="Arial" w:hAnsi="Arial" w:cs="Arial"/>
        </w:rPr>
        <w:t>■</w:t>
      </w:r>
      <w:r w:rsidR="00A6019F" w:rsidRPr="00A6019F">
        <w:t xml:space="preserve">NEUROENDOCRINE TUMORS (CARCINOID) OF THE SMALL BOWEL In the United States, NET are the most common small-bowel neo plasms. For not yet identified reasons, the incidence of small-bowel carcinoid tumors has markedly increased over the past several decades. A recent study found a 9% incidence of inherited germline cancer susceptibility genes in patients with small-bowel NET; however, it is unlikely that this is the cause of the increased incidence (Chap. 89). Even with an increase in incidence, small-bowel NETs are still uncom mon (~12 cases per million in the United States); the disease is more common in African Americans than whites. Anatomically, the ileum is the most common part of the small bowel affected (~49%), followed by the duodenum and the jejunum. The same grading system, based on histology and the Ki-67 prolifera tive index or mitotic count, as for other gastrointestinal NETs is used. In the absence of metastatic disease to the liver in the subgroup of patients whose tumors are functional (i.e., produce a hormone, usually serotonin; a duodenal NET may produce gastrin), presenting symp toms may be vague abdominal discomfort until or unless small-bowel obstruction occurs. Carcinoid syndrome (including diarrhea and/ or flushing) may occur in patients whose tumors are diagnosed with already established hepatic metastasis. Because the liver is very efficient at clearing serotonin on first pass, carcinoid syndrome as a result of small-bowel carcinoid tumors usually does not occur in the absence of hepatic metastasis. Clinical evaluation includes a diagnostic-quality CT or MRI of the abdomen and pelvis. For duodenal NET, upper endoscopy with EUS is also performed. For ileal NET, colonoscopy with evaluation of the terminal ileum is performed. Imaging studies are similar to those used for diagnosis and localization of small-bowel adenocarcinomas. Somatostatin analogue imaging using gallium-68 or copper-64 DOT ATATE PET/CT is helpful in assessing extent of disease in patients whose tumors are somatostatin analogue avid, as well as in identify ing patients who may benefit from therapy targeting the somatosta tin receptor. Plasma or urine assay for 5-hydroxyindoleacetic acid (5-HIAA) is performed to assess for a functional small-bowel NET. The AJCC Ninth Edition Cancer Staging Manual has a specific small-bowel NET TNM stage classification (for the duodenum and ampulla and for the jejunum and ilium). The majority of patients present with locoregional disease, with approximately 40% having identified lymph node metastasis. Ten to 15% of patients have metastatic disease (usually to the liver) at the time of initial diagnosis. Initial management should be surgical resection with curative intent; for patients with extensive adenopathy involving the root of the mesen tery, vascular reconstruction may be required. Since small-bowel NETs may involve multiple tumors (15–30% of patients), the entire small bowel should be carefully examined at surgery. For patients with func tional carcinoid tumors, somatostatin analogue therapy using agents such as octreotide should be given before the induction of anesthesia to avoid a carcinoid crisis. For patients with hepatic metastasis, resec tion or regional therapy including ablation or hepatic artery emboliza tion for functional tumors may </w:t>
      </w:r>
      <w:r w:rsidR="00A6019F" w:rsidRPr="00A6019F">
        <w:lastRenderedPageBreak/>
        <w:t xml:space="preserve">provide effective palliation. Carcinoid syndrome may also be palliated by somatostatin receptor–targeted therapy in the patients in whom DOTATATE scanning is positive (the majority of patients with carcinoid syndrome), including agents such as octreotide or lanreotide, or by peptide-directed radiation therapy using agents such as lutetium-177. Everolimus, an mTOR kinase inhibitor, has modest activity in metastatic small-bowel carcinoid tumors. </w:t>
      </w:r>
      <w:r w:rsidR="00A6019F" w:rsidRPr="00A6019F">
        <w:rPr>
          <w:rFonts w:ascii="Arial" w:hAnsi="Arial" w:cs="Arial"/>
        </w:rPr>
        <w:t>■</w:t>
      </w:r>
      <w:r w:rsidR="00A6019F" w:rsidRPr="00A6019F">
        <w:t xml:space="preserve">FURTHER READING 653 Ben-Aharon I et al: Early-onset cancer in the gastrointestinal tract is on the rise-evidence and implications. Cancer Discov 13:538, 2023. Cancer Genome Atlas Research Network: Comprehensive molec ular characterization of gastric adenocarcinoma. Nature 513:202, 2014. Cancer Genome Atlas Research Network et al: Integrated genomic characterization of oesophageal carcinoma. Nature 541:169, 2017. Choi IJ et al: Helicobacter pylori and prevention of gastric cancer. N Engl J Med 378:2244, 2018. Choi IJ et al: Family history of gastric cancer and Helicobacter pylori treatment. N Engl J Med 382:427, 2020. Dermawan JK et al: Novel genomic risk stratification model for pri mary gastrointestinal stromal tumors (GIST) in the adjuvant therapy era. Clin Cancer Res. 29:3974, 2023. Hoeppner J et al: Perioperative chemotherapy or preoperative chemo radiotherapy in esophageal cancer. N Engl J Med 392:323, 2025. Janjigian YY et al: Pembrolizumab plus trastuzumab and chemo therapy for HER2-positive gastric or gastro-oesophageal junction adenocarcinoma: Interim analyses from the phase 3 KEYNOTE-811 randomised placebo-controlled trial. Lancet 402:2197, 2023. Pourmand K, Itzkowitz SH: Small bowel neoplasms and polyps. Curr Gastroenterol Rep 18:23, 2016. Watanabe M et al: Recent progress in multidisciplinary treatment for patients with esophageal cancer. Surg Today 50:12, 2020. 86 Colorectal Cancer David P. Ryan </w:t>
      </w:r>
      <w:r w:rsidR="00A6019F" w:rsidRPr="00A6019F">
        <w:rPr>
          <w:rFonts w:ascii="Arial" w:hAnsi="Arial" w:cs="Arial"/>
        </w:rPr>
        <w:t>■</w:t>
      </w:r>
      <w:r w:rsidR="00A6019F" w:rsidRPr="00A6019F">
        <w:t xml:space="preserve">INCIDENCE Colorectal cancer is the most common cancer of the gastrointestinal system in the United States. In 2024, 153,000 cases are expected, with ~106,000 cases in the colon and 46,000 cases in the rectum. It is the second most common cause of death from cancer (lung cancer is first) with 53,000 expected deaths. There is a slight male predominance in the incidence of colorectal cancer, and it is more common in black Americans than white Americans. Since 1985, there has been a steady decline in the incidence of colorectal cancer in both men and women likely due to the adoption of widespread screening guidelines for colonoscopy. This decline is seen in adults older than 50. However, a steady increase in the incidence of colorectal cancer has been seen in patients under the age of 50. While in older adults a gradual shift into predominantly right-sided cancer has been noted, a gradual increase in left-sided colon and rectal cancers has been seen in patients under the age of 50. This increase in incidence has resulted in an increase in mortality rates from colorectal cancer among young adults. Colon cancer is now the leading cause of cancer death for young men age 20–49 and the second leading cause of cancer death after breast cancer for women age 40–49. </w:t>
      </w:r>
      <w:r w:rsidR="00A6019F" w:rsidRPr="00A6019F">
        <w:rPr>
          <w:rFonts w:ascii="Arial" w:hAnsi="Arial" w:cs="Arial"/>
        </w:rPr>
        <w:t>■</w:t>
      </w:r>
      <w:r w:rsidR="00A6019F" w:rsidRPr="00A6019F">
        <w:t xml:space="preserve">ADENOMATOUS POLYPS Most colorectal cancers arise from adenomatous polyps as opposed to a hyperplastic polyp, hamartomatous polyp, or a serrated polyp. While adenomatous polyps are clearly premalignant, only a minority of adenomatous polyps will ever develop into an </w:t>
      </w:r>
      <w:r w:rsidR="00A6019F" w:rsidRPr="00A6019F">
        <w:lastRenderedPageBreak/>
        <w:t xml:space="preserve">adenocarcinoma. Adenomatous polyps are common in the United States and western societies, with approximately 25% of people having adenomatous polyps by age 50. The rate steadily rises as people age, and as many as 50% of 70-year-old people will have adenomatous polyps. Less than 5% of adenomatous polyps are expected to progress to an adenocarcinoma. The vast majority of adenomatous polyps are asymptomatic and do not bleed. The risk of progression to cancer is associated with size of the polyp and the histology. Villous adenomas develop into cancer three fold more often than tubular adenomas. </w:t>
      </w:r>
      <w:r w:rsidR="00A6019F" w:rsidRPr="00A6019F">
        <w:rPr>
          <w:rFonts w:ascii="Arial" w:hAnsi="Arial" w:cs="Arial"/>
        </w:rPr>
        <w:t>■</w:t>
      </w:r>
      <w:r w:rsidR="00A6019F" w:rsidRPr="00A6019F">
        <w:t xml:space="preserve">MOLECULAR PATHOGENESIS The majority of colon cancers arise from a series of genetic and epi genetic events involving tumor suppressor genes and oncogenes. Three major types of molecular pathways are involved in sporadic colorectal cancer: the chromosomal instability (CIN) pathway, the mismatch repair (MMR) pathway, and the CpG island methylation pathway (CIMP). The CIN pathway is the most common molecular pathway associated with colon cancer and is characterized by early loss of the adenomatous polyposis coli (APC) gene, which is a tumor suppressor gene. Subsequent mutations in important oncogenes involving the MAP kinase pathway, such as KRAS and BRAF, are acquired sequen tially. Finally, loss of p53 tumor suppressor gene is a common final step. The defects in the MMR pathway in sporadic colon cancer are often caused by hypermethylation of the promoters for mismatch repair genes. This results in a phenotype known as microsatellite instability high (MSI-high), which is characterized by altered sizes of various mono- and di-nucleotide repeat sequences. A defect in the MMR pathway is the etiology of Lynch syndrome, which involves a germline mutation in one of the genes encoding for the proteins involved in the MMR pathway. It is critical to test for MSI-high because these tumors are dramatically sensitive to immune checkpoint inhibition and less sensitive to chemotherapy. The third major molecular pathway is the CIMP phenotype. These tumors are often right sided and associated with methylation of MLH1. They can be either MSI-high or microsat ellite stable (MSS). The three major pathways are not mutually exclu sive, and often overlapping changes can be seen in individual cancers. </w:t>
      </w:r>
      <w:r w:rsidR="00A6019F" w:rsidRPr="00A6019F">
        <w:rPr>
          <w:rFonts w:ascii="Arial" w:hAnsi="Arial" w:cs="Arial"/>
        </w:rPr>
        <w:t>■</w:t>
      </w:r>
      <w:r w:rsidR="00A6019F" w:rsidRPr="00A6019F">
        <w:t xml:space="preserve">ETIOLOGY AND RISK FACTORS Risk factors for the development of colorectal cancer are listed in Table 86-1. CHAPTER 86 Colorectal Cancer </w:t>
      </w:r>
      <w:r w:rsidR="00A6019F" w:rsidRPr="00A6019F">
        <w:rPr>
          <w:rFonts w:ascii="Arial" w:hAnsi="Arial" w:cs="Arial"/>
        </w:rPr>
        <w:t>■</w:t>
      </w:r>
      <w:r w:rsidR="00A6019F" w:rsidRPr="00A6019F">
        <w:t xml:space="preserve">HEREDITARY FACTORS AND SYNDROMES Advances in germline genotyping have made this technology more widely available to the population of patients getting colon cancer. Approximately 10% of all patients with colorectal cancer will have an inherited, germline predisposition to colorectal cancer, and this rises to ~15% of young adults with colorectal cancer (Table 86-2). The germline mutations can be divided into high penetrance and moderate penetrance based on their risk of colon cancer development. Familial Adenomatous Polyposis (FAP) FAP and its variants are due to a mutation in the APC gene located on chromosome 5q21 22. It is inherited in an autosomal dominant pattern, although a sig nificant minority of cases are due to de novo mutations. FAP accounts for 35 years of tobacco use. No biologic explanation for this association has yet been proposed. Alcohol Use Moderate to excessive alcohol consumption has been associated with an </w:t>
      </w:r>
      <w:r w:rsidR="00A6019F" w:rsidRPr="00A6019F">
        <w:lastRenderedPageBreak/>
        <w:t xml:space="preserve">increased risk of colorectal cancer. It is difficult to tease out the effect compared with other lifestyle risk factors. Obesity, Insulin Resistance, and Diabetes Mellitus Mul tiple studies demonstrate an increased risk of colorectal cancer in obese individuals. Additionally, diabetes is associated with an increased risk of colorectal cancer. This has led to a theory that metabolic syndrome and hyperinsulinemia are risk factors for the development of colorectal cancer. Vitamin D Deficiency Multiple studies have demonstrated an association between low levels of vitamin D and colon cancer. Never theless, no evidence suggests that vitamin D supplementation results in fewer colon cancers. </w:t>
      </w:r>
      <w:r w:rsidR="00A6019F" w:rsidRPr="00A6019F">
        <w:rPr>
          <w:rFonts w:ascii="Arial" w:hAnsi="Arial" w:cs="Arial"/>
        </w:rPr>
        <w:t>■</w:t>
      </w:r>
      <w:r w:rsidR="00A6019F" w:rsidRPr="00A6019F">
        <w:t xml:space="preserve">PRIMARY PREVENTION Several orally administered compounds have been assessed as possible inhibitors of colon cancer. The most effective class of chemopreventive agents is aspirin and other NSAIDs, which are thought to suppress cell proliferation by inhibiting prostaglandin synthesis. Regular aspirin use as demonstrated in randomized studies reduces the risk of colon adenomas. Regular aspirin use in cohort studies has demonstrated reduced incidence of colon cancer. However, prospective trials using aspirin to prevent colon cancer have had conflicting results in part due to the delayed effects of aspirin on colon carcinogenesis; prevention may increase with the duration and dosage of aspirin, and the effects may take years to manifest. Meta-analyses have suggested that regular aspirin use prevents colon cancer. However, given the potential side effects of aspirin, regular use of aspirin is an individualized decision. Antioxidant vitamins such as ascorbic acid, tocopherols, and β-carotene are ineffective at reducing the incidence of subsequent adenomas in patients who have undergone the removal of a colon adenoma. Estrogen replacement therapy has been associated with a reduction in the incidence of colorectal cancer in women but not mor tality from colorectal cancer. </w:t>
      </w:r>
      <w:r w:rsidR="00A6019F" w:rsidRPr="00A6019F">
        <w:rPr>
          <w:rFonts w:ascii="Arial" w:hAnsi="Arial" w:cs="Arial"/>
        </w:rPr>
        <w:t>■</w:t>
      </w:r>
      <w:r w:rsidR="00A6019F" w:rsidRPr="00A6019F">
        <w:t xml:space="preserve">SCREENING The rationale for colorectal cancer screening programs is that the removal of adenomatous polyps will prevent colorectal cancer and that Digital rectal examination Stool testing • Occult blood • Fecal DNA Imaging • Contrast barium enema • Virtual (i.e., computed tomography colonography) Endoscopy • Flexible sigmoidoscopy • Colonoscopy earlier detection of localized, superficial cancers in asymptomatic indi viduals will increase the surgical cure rate. It is important to note that screening studies did not take into account the presence of inherited predisposition and germline genetics. Due to the rise in incidence of colorectal cancer in younger adults, the U.S. Preventative Services Task Force updated their screening recommendations in 2021 and lowered the age for recommended screening to 45. Screening strategies for colorectal cancer that have been examined during the past several decades are listed in Table 86-3. The rationale for screening asymptomatic individuals has under gone change over many decades, and it is important to understand how that change influences our current approach. Initially, patients were screened for the presence of occult blood in the stool, which would then lead to colonoscopy. Unfortunately, even when performed opti mally, the fecal occult blood test has major limitations as a screening technique. About 50% of patients with documented colorectal cancers have a negative fecal occult blood test, </w:t>
      </w:r>
      <w:r w:rsidR="00A6019F" w:rsidRPr="00A6019F">
        <w:lastRenderedPageBreak/>
        <w:t xml:space="preserve">consistent with the intermittent bleeding pattern of these tumors. When random cohorts of asymptom atic persons have been tested, 2–4% have fecal occult blood–positive stools. Colorectal cancers have been found in 15 years. One of the downsides of using screening sigmoidoscopy alone is that in the presence of a normal sigmoidoscopy, ~1.5% of individuals will have either a high-risk polyp or adenocarcinoma in the proximal colon. The issue of missing advanced neoplasms in the proximal colon when using only sigmoidoscopy was addressed by increased frequency of sig moidoscopy (every 5 years instead of every 10 years for colonoscopy) and the use of annual fecal immunohistochemical test (FIT) for occult blood. While randomized studies evaluating the combination are CHAPTER 86 Colorectal Cancer 656 lacking, most professional societies offer this approach as an alternative to colonoscopy screening. With the appreciation that the carcinogenic process leading to the progression of the normal bowel mucosa to an adenomatous polyp and then to a cancer is the result of a series of molecular changes, investi gators have examined fecal DNA for evidence of mutations associated with such molecular changes as evidence of the occult presence of precancerous lesions or actual malignancies. A multitarget stool DNA test evaluates stool that is collected at home for DNA changes including methylation combined with a FIT test. This multitarget stool DNA test, when done in patients undergoing colonoscopy, has a &gt;90% specificity and sensitivity for detecting a colorectal adenocarcinoma but a 10 mm) but has not been compared in a randomized study with colonoscopy. Two other disadvantages of virtual colonoscopy are that it may have interuser variability and any findings need to be followed up with a colonoscopy requiring a second bowel cathartic preparation. Most professional societies agree that screening for colon cancer should begin at age 45 for patients at average risk. In the United States, there is ~60% compliance with screening and the emphasis is on get ting patients screened initially with either direct observation using sig moidoscopy or colonoscopy or indirect tests such as FIT or multitarget stool DNA. The best combination approach and frequency of screening likely will involve risk stratification factors in the future. </w:t>
      </w:r>
      <w:r w:rsidR="00A6019F" w:rsidRPr="00A6019F">
        <w:rPr>
          <w:rFonts w:ascii="Arial" w:hAnsi="Arial" w:cs="Arial"/>
        </w:rPr>
        <w:t>■</w:t>
      </w:r>
      <w:r w:rsidR="00A6019F" w:rsidRPr="00A6019F">
        <w:t xml:space="preserve">CLINICAL FEATURES Presenting Symptoms Symptoms vary with the anatomic loca tion of the tumor. Because stool is relatively liquid as it passes through the ileocecal valve into the right colon, cancers arising in the cecum and ascending colon may become quite large without resulting in any obstructive symptoms or noticeable alterations in bowel habits. Lesions of the right colon commonly ulcerate, leading to chronic, insidious blood loss without a change in the appearance of the stool. Consequently, patients with tumors of the ascending colon often pres ent with symptoms associated with hypochromic, microcytic anemia, indicative of iron deficiency. As a result, the unexplained presence of iron-deficiency anemia in any adult (with the possible exception of a premenopausal, multiparous woman) mandates a thorough endoscopic and/or radiographic visualization of the entire large bowel (Fig. 86-1). Because stool becomes more formed as it passes into the transverse and descending colon, tumors arising there tend to impede the pas sage of stool, resulting </w:t>
      </w:r>
      <w:r w:rsidR="00A6019F" w:rsidRPr="00A6019F">
        <w:lastRenderedPageBreak/>
        <w:t xml:space="preserve">in the development of abdominal cramping, occasional obstruction, and even perforation. Radiographs and CTs of the abdomen often reveal characteristic annular, constricting lesions (“apple-core”) (Fig. 86-2). Cancers arising in the rectosigmoid are often associated with hematochezia, tenesmus, and narrowing of the caliber of stool. While these symptoms may lead patients and their physicians to suspect the presence of hemorrhoids, the development of rectal bleeding and/or altered bowel habits demands a prompt digital rectal examination and sigmoidoscopy. Staging, Prognostic Factors, and Patterns of Spread The prognosis for individuals having colorectal cancer is related to the depth of tumor penetration into the bowel wall and the presence of both regional lymph node involvement and distant metastases. These variables are incorporated into a TNM classification method, in which T represents the depth of tumor penetration, N the presence of lymph node involvement, and M the presence or absence of distant FIGURE 86-1 Double-contrast air-barium enema revealing a sessile tumor of the cecum in a patient with iron-deficiency anemia and guaiac-positive stool. The lesion at surgery was a stage II adenocarcinoma. metastases (Fig. 86-3). Superficial lesions that do not involve regional lymph nodes and do not penetrate through the submucosa (T1) or the muscularis (T2) are designated as stage I (T1–2N0M0) disease; tumors that penetrate through the muscularis but have not spread to lymph nodes are stage II disease (T3–4N0M0); regional lymph node involve ment defines stage III (TXN1–2M0) disease; and metastatic spread to sites such as liver, lung, or bone indicates stage IV (TXNXM1) disease. Unless gross evidence of metastatic disease is present, disease stage cannot be determined accurately before surgical resection and patho logic analysis of the operative specimens. The majority of recurrences occur within the initial 5 years after resection. Occasionally tumors can recur between 5 and 10 years after resection, and this appears to be more common with rectal cancer FIGURE 86-2 Annular, constricting adenocarcinoma of the descending colon. This radiographic appearance is referred to as an “apple-core” lesion and is always highly suggestive of malignancy. Staging of colorectal cancer IV 657 Stage Extent of tumor 5-year survival Stage at presentation Mucosa Muscularis mucosa Submucosa Muscularis propria Serosa Fat Lymph nodes Colon Rectal I II III T1 No deeper than submucosa &gt;95% T2 Not through muscularis &gt;90% 23% 34% T3 Through muscularis 70–85% 31% 25% N1 1–3 lymph node metastases 50–70% 26% N2 ≥4 lymph node metastases M Distant metastases 25–60% 26% FIGURE 86-3 Staging and prognosis for patients with colorectal cancer. than colon cancer. The likelihood for 5-year survival in patients with colorectal cancer is stage-related (Fig. 86-3), and the survival rates per stage have been improving in the past several decades. The most plau sible explanation for improved survival is the more thorough evalua tion for metastatic disease and the positive effects of chemotherapy for treatment of adjuvant and systemic disease. A minimum of 12 sampled lymph nodes is thought necessary to accurately define tumor stage, and the more nodes examined, the better reliability that a patient is either node negative or node positive. Other predictors of a poor prog nosis after a total surgical resection include </w:t>
      </w:r>
      <w:r w:rsidR="00A6019F" w:rsidRPr="00A6019F">
        <w:lastRenderedPageBreak/>
        <w:t xml:space="preserve">tumor penetration through the bowel wall into pericolic fat, poorly differentiated histology, per foration and/or tumor adherence to adjacent organs (increasing the risk for an anatomically adjacent recurrence), and venous invasion by tumor (Table 86-4). Tumors with microsatellite instability or defects in MMR have improved prognosis presumably due to an enhanced immune response against the tumor. Tumors arising in the left colon are associated with a better prognosis than those appearing in the right colon, likely due to differences in molecular patterns. In contrast to most other cancers, the prognosis in colorectal cancer is not influenced by the size of the primary lesion when adjusted for nodal involvement and histologic differentiation. 5 ng/mL) Specific chromosomal deletion (e.g., mutation in the b-raf gene) Right-sided location of primary tumor Abbreviation: CEA, carcinoembryonic antigen. Staging should consist of a complete blood count, comprehensive metabolic panel, serum carcinoembryonic antigen (CEA), and a chest, abdomen, and pelvic CT scan. Additional imaging such as magnetic resonance imaging (MRI) and positron emission tomog raphy (PET) scan can be dependent on the findings of the CT scan. When possible, a colonoscopy of the entire large bowel should be performed to identify synchronous neoplasms and/or polyps. While surgical resection is the standard of care for cure in patients with localized disease, initial treatment of colorectal cancer when possible should be delayed until MMR status or microsatellite sta bility status is known. MSI-high rectal cancers can be treated for cure with checkpoint inhibitors (PD-1 antibodies) without the need for surgery, radiation, and chemotherapy. Studies are underway involving management of MSI-high colon cancers with checkpoint inhibition. LOCALIZED COLON CANCER For the vast majority of patients with MSS colon adenocarcinoma, initial surgical resection is the standard of care. Surgery with minimally invasive techniques such as laparoscopy and robotic approaches has largely replaced open approaches. Following com plete surgical resection, patients with stage I disease are considered cured. Patients with high-risk stage II and stage III colon cancer are considered for the appropriateness of adjuvant chemotherapy. The standard adjuvant approaches generally improve overall survival and cure rates by ~30%. Adjuvant chemotherapy for 3–6 months either with single-agent fluoropyrimidine (IV or oral) or in combination with oxaliplatin is considered the standard adjuvant treatment for MSS colon cancer. 658 Following recovery from a complete resection, patients should be observed carefully for 5 years using physical examinations and blood chemistry measurements at regular intervals. Some authorities favor measuring plasma CEA levels at 3-month inter vals because of the sensitivity of this test as a marker for otherwise undetectable tumor recurrence. The value of periodically assessing plasma for the presence of circulating tumor DNA as a biomarker for residual or recurrent disease is under study. Subsequent endo scopic surveillance of the large bowel 1 year after resection and then usually every 3 years is indicated because patients who have been cured of one colorectal cancer have a 3–5% probability of develop ing an additional bowel cancer during their lifetime and a &gt;15% risk for the development of adenomatous polyps. Anastomotic (“suture </w:t>
      </w:r>
      <w:r w:rsidR="00A6019F" w:rsidRPr="00A6019F">
        <w:lastRenderedPageBreak/>
        <w:t>line”) recurrences are infrequent in colorectal cancer patients, provided the surgical resection margins were adequate and free of tumor. The value of periodic CT scans of the abdomen, assess ing for an early, asymptomatic indication of tumor recurrence, is uncertain; however, CT has been recommended semi-annually to annually for the first 3 postoperative years. LOCALIZED RECTAL CANCER PART 4 Oncology and Hematology For the vast majority of patients with MSS rectal adenocarcinoma, surgical resection is considered the standard curative therapy. In addition to the staging above, pelvic MRI should be standard in staging for all patents with rectal cancer to assess mesorectal mar gin and nodal status. Surgical resection can either be a low anterior resection (LAR) or an abdominal-perineal resection (APR). An APR requires a permanent colostomy due to resection of the anal sphincter. Unlike colon cancer, rectal cancers (defined as tumor at or below the peritoneal reflection) have an increased risk of local recurrence after surgery. The risk of local recurrence increases with stage and closeness to the mesorectal border and decreases with distance from the anus. Thus, tumors requiring an APR have a high risk of local recurrence. The risk of local recurrence can be reduced with preoperative chemotherapy and radiation. Patients with stage II and III rectal cancer are deemed to have a risk high enough to warrant consideration of preoperative therapy. Two new treatment paradigms have emerged for patients with rectal cancer in specific circumstances. The first situation involves patients in whom the consequences of radiation therapy are deemed unacceptable. Radiation is associated with the potential long-term side effects of radiation proctitis (increased risk in patients with IBD), small-bowel obstruction to adhesions, and malignancy (~1% risk after 10 years). Notably, radiation therapy in women causes infertility due to the effects of radiation on the uterus even when the ovaries are not included in the radiation field. Preoperative therapy with a fluo ropyrimidine and oxaliplatin followed by surgical resection produces similar rates of local control to preoperative chemoradiation and can be considered for average-risk stage II and III rectal cancer patients. The second circumstance involves patients with stage II and III rectal cancer treated with total preoperative therapy who experience a complete clinical response. Nonoperative management can be considered in these patients because 60–70% will be cured without an LAR or APR. It is important to note that 30–40% of patients will experience a recurrence so patients need to be followed intensively in the years following chemotherapy and radiation. The majority of patients who experience a local recurrence during nonoperative management can be cured with surgery. METASTATIC COLORECTAL CANCER The first principle to note is that complete resection of metastatic disease is considered curative for patients with colorectal cancer, particularly in the setting of metastases isolated to one site (liver, lungs, peritoneum). Consultation with the appropriate surgical spe cialists is preferred before starting systemic chemotherapy. The detection of metastases should not preclude surgery to remove the primary tumor in patients with tumor-related symp toms such as gastrointestinal bleeding or obstruction but usually prompts the initiation of chemotherapy unless those symptoms are viewed to be life-</w:t>
      </w:r>
      <w:r w:rsidR="00A6019F" w:rsidRPr="00A6019F">
        <w:lastRenderedPageBreak/>
        <w:t xml:space="preserve">threatening. Studies have demonstrated that resec tion of the primary tumor in the setting of unresectable metastatic disease does not improve overall survival and should be done only on an ad hoc basis. Patients with MSI-high colon cancer should be treated with a checkpoint inhibitor as initial treatment. Long-term survival is pos sible in these patients, and some will have a complete response and may not ever have recurrence of their cancer. For the vast majority of patients with MSS colorectal adenocarcinoma who are not can didates for complete resection of metastatic disease, treatment with systemic chemotherapy is associated with marked improvement in overall survival compared with palliative care alone. A patient with metastatic disease lives on average for 2–3 years with systemic che motherapy, and as many as 25% of patients will live for at least 5 years on and off chemotherapy. The mainstays of therapy for patients with metastatic colon cancer are the following medications: 5-fluorouracil (5-FU; or capecitabine), irinotecan, oxaliplatin, and bevacizumab. These medications are used in combination all together (e.g., FOLIR INOX-bevacizumab or FOLFOXIRI-bevacizumab) or in partial combination (e.g., FOLFOX-bevacizumab, FOFIRI-bevacizumab). 5-FU is an inhibitor of thymidylate synthase and is used in con junction with folinic acid (leucovorin). It is metabolized by dihy dropyrimidine dehydrogenase (DPD), which is deficient in ~1% of adults. Individuals with DPD deficiency can experience increased side effects from 5-FU, especially myelosuppression and mucositis. Testing for DPD gene mutations may identify patients at high risk of DPD deficiency and toxicity from 5-FU. Irinotecan is a topoi somerase I inhibitor and is metabolized by glucuronidation in the liver. Thus, patients with UGT mutations can experience decreased clearance and enhanced toxicity, principally myelosuppression. Oxaliplatin is a platinum analogue that is metabolized generally and can cause permanent peripheral neuropathy. Bevacizumab is a monoclonal antibody against vascular endothelial growth fac tor (VEGF). Side effects of bevacizumab include hypertension, nephrotic syndrome, and impaired wound healing. Untreated hypertension from bevacizumab has been associated with posterior reversible leukoencephalopathy syndrome. Other agents with proven disease-altering effects in the meta static setting include trifluridine-tipiracil, regorafenib, and fruquin tinib. Trifluridine is a nucleoside analogue that is used with tipiracil, a thymidine phosphorylase inhibitor. Regorafenib is an oral multi targeted tyrosine kinase inhibitor, including VEGF. Fruquintinib is an oral VEFG tyrosine kinase inhibitor. Molecular genotyping of the primary tumor should be done in all patients with metastatic colon cancer if possible. Patients without mutations of the RAS/RAF pathway can have excellent responses and prolonged survival with the addition of antibodies against epi dermal growth factor (EGF), such as cetuximab and panitumumab. These agents are often given in combination with either FOLFOX or FOLFIRI. The effect of cetuximab and panitumumab appears to be limited to left-sided colon cancers because right-sided colon cancers have upregulation of receptor tyrosine kinases that create resistance to these antibodies. The main side effects of these two antibodies are the class effects of diarrhea and acneiform rash. Cetuximab, </w:t>
      </w:r>
      <w:r w:rsidR="00A6019F" w:rsidRPr="00A6019F">
        <w:lastRenderedPageBreak/>
        <w:t xml:space="preserve">which is partially murine, is also associated with aller gic reactions. Patients who harbor BRAF V600E mutations may have a particu larly virulent form of colon cancer that does not respond as well to standard chemotherapy. These mutations tend to occur more com monly in right-sided tumors and women. They often involve meth ylation of MLH1 and can be MMR deficient. The BRAF inhibitor encorafenib is approved for use with cetuximab in patients with BRAF-mutant colorectal cancer. HER2 overexpression can be seen in colorectal cancer, and con sideration of anti-HER2–targeted therapy is warranted. Tucatinib (HER2 tyrosine kinase inhibitor) and trastuzumab (anti-HER2 monoclonal antibody) are approved in the United States for patients with HER2-positive colorectal cancers that lack a RAS mutation. 659 Rarely, RET fusions and TRK fusions can be seen in patients with metastatic colorectal cancer. These patients can have tremendous responses to the appropriate RET and TRK inhibitors with marked prolongation of survival. CANCERS OF THE ANUS Cancers of the anus account for 1–2% of the malignant tumors of the large bowel. Anal cancer by convention refers to squamous cell carci nomas arising in the anorectal region. Other types of cancers including melanoma, neuroendocrine cancer, lymphoma, and mesenchymal tumors can arise in these regions but are referred to by their histologic subtype and are not the subject of this chapter. True adenocarcinomas arising from the glands in the anal canal that are distinct from rectal adenocarcinoma can also arise but, for all intents and purposes, are indistinguishable from rectal adenocarcinoma and treated accordingly. Most anal cancers arise in the anal canal, the anatomic area extend ing from the anorectal ring to a zone approximately halfway between the pectinate (or dentate) line and the anal verge. The dentate line can be quite variable in adults but, on average, is 4 cm from the anal verge. Squamous cell carcinomas are characterized as either nonkeratinizing or keratinizing. Older terms such as cloacogenic and basaloid are not used anymore, and these tumors are instead characterized as nonkera tinizing. Outcomes for keratinizing and nonkeratinizing squamous cell carcinoma of the anus are not different. The development of anal cancer is associated with infection by human papillomavirus (HPV), the same virus etiologically linked to cervical and oropharyngeal cancers. The same HPV subtypes associ ated with cervical cancer are seen in anal cancer. The infection may lead to squamous intraepithelial lesions (SILs), which are classified as either low grade (LSIL) or high grade (HSIL). LSILs are associated with non–cancer-causing HPV subtypes, are not considered precancerous, and can spontaneously regress. HSILs are associated with HPV16 and are considered precancerous. Anal cancer risk is increased in both men and women with immunocompromised states including solid organ transplant patients, patients with chronic immunosuppression with glucocorticoids, and patients living with HIV, particularly with low CD4 counts. Anal cancers occur most commonly in middle-aged per sons and are more frequent in women than men. At diagnosis, patients may experience bleeding, pain, sensation of a perianal mass, and pru ritus. Examination of and attention to the inguinal lymph nodes on imaging is important because anal </w:t>
      </w:r>
      <w:r w:rsidR="00A6019F" w:rsidRPr="00A6019F">
        <w:lastRenderedPageBreak/>
        <w:t xml:space="preserve">cancers often spread initially to the inguinal region rather than the iliac nodes like rectal cancer. The standard treatment for anal cancers consists of 5-FU, mitomy cin, and concurrent external beam radiation therapy. The majority of patients will experience a complete response to therapy. Some patients will have ongoing resolution of their cancer over the 6 months after completion of therapy. Therefore, the decision about whether a patient has had a complete response to therapy is not made until after 6 months following chemoradiation. Patients who are considered primarily refractory to chemoradiation or those with locally recurrent disease can be cured with radical resec tion (i.e., APR). In addition to those experiencing a local recurrence, ~10% of patients may experience continued rectal incontinence due to the effects of radiation therapy and undergo a subsequent colostomy. Metastatic anal cancer is considered incurable. It may respond well to carboplatin and paclitaxel. PD-1 antibodies have limited activity in patients with metastatic disease. Acknowledgment Robert J. Mayer contributed to this chapter in the prior edition and material from that chapter has been retained here. </w:t>
      </w:r>
      <w:r w:rsidR="00A6019F" w:rsidRPr="00A6019F">
        <w:rPr>
          <w:rFonts w:ascii="Arial" w:hAnsi="Arial" w:cs="Arial"/>
        </w:rPr>
        <w:t>■</w:t>
      </w:r>
      <w:r w:rsidR="00A6019F" w:rsidRPr="00A6019F">
        <w:t>FURTHER READING Andr</w:t>
      </w:r>
      <w:r w:rsidR="00A6019F" w:rsidRPr="00A6019F">
        <w:rPr>
          <w:rFonts w:ascii="Aptos" w:hAnsi="Aptos" w:cs="Aptos"/>
        </w:rPr>
        <w:t>é</w:t>
      </w:r>
      <w:r w:rsidR="00A6019F" w:rsidRPr="00A6019F">
        <w:t xml:space="preserve"> T et al: Pembrolizumab in microsatellite-instability-high advanced colorectal cancer. N Engl J Med 383:2207, 2020. Cercek A et al: PD-1 blockade in mismatch repair-deficient locally advanced rectal cancer. N Engl J Med 386:2363, 2022. Col</w:t>
      </w:r>
      <w:r w:rsidR="00A6019F" w:rsidRPr="00A6019F">
        <w:rPr>
          <w:rFonts w:ascii="Aptos" w:hAnsi="Aptos" w:cs="Aptos"/>
        </w:rPr>
        <w:t>ó</w:t>
      </w:r>
      <w:r w:rsidR="00A6019F" w:rsidRPr="00A6019F">
        <w:t>n-L</w:t>
      </w:r>
      <w:r w:rsidR="00A6019F" w:rsidRPr="00A6019F">
        <w:rPr>
          <w:rFonts w:ascii="Aptos" w:hAnsi="Aptos" w:cs="Aptos"/>
        </w:rPr>
        <w:t>ó</w:t>
      </w:r>
      <w:r w:rsidR="00A6019F" w:rsidRPr="00A6019F">
        <w:t xml:space="preserve">pez V et al: Anal cancer risk among people with HIV infec tion in the United States. J Clin Oncol 36:68, 2018. Dekker E et al: Colorectal cancer. Lancet 394:1467, 2019. Eng C et al: Anal cancer: emerging standards in a rare disease. J Clin Oncol 40:2022. Grothey A et al: Duration of adjuvant chemotherapy for stage III colon cancer. N Engl J Med 378:1177, 2019. Inadomi JM: Screening for colorectal neoplasia. N Engl J Med 376:149, 2017. Long H et al: Pathways of colorectal carcinogenesis. Gastroenterology 158:291, 2020. Petrelli F et al: Prognostic survival associated with left-sided vs right-sided colon cancer. A systemic review and meta-analysis. JAMA Oncol 3:211, 2017. Schrag D et al: Preoperative treatment of locally advanced rectal cancer. N Engl J Med 389:1631, 2023. Siegel RL et al: Colorectal cancer statistics 2024. CA Cancer J Clin 12:49, 2024. 87 Tumors of the Liver and Biliary Tree Josep M. Llovet Liver cancer is the sixth most common cancer worldwide, the third leading cause of cancer-related deaths and the leading cause of death among cirrhotic patients. Liver cancer comprises a heterogeneous group of malignant tumors that range from hepatocellular carcinoma (HCC; ~85 cases), intrahepatic cholangiocarcinoma (iCCA; ~10%), and other malignancies, such as fibrolamellar HCC, mixed HCC iCCA, epithelioid hemangiothelioma, and the pediatric cancer hepato blastoma. The burden of liver cancer is increasing globally. HEPATOCELLULAR CARCINOMA </w:t>
      </w:r>
      <w:r w:rsidR="00A6019F" w:rsidRPr="00A6019F">
        <w:rPr>
          <w:rFonts w:ascii="Arial" w:hAnsi="Arial" w:cs="Arial"/>
        </w:rPr>
        <w:t>■</w:t>
      </w:r>
      <w:r w:rsidR="00A6019F" w:rsidRPr="00A6019F">
        <w:t xml:space="preserve">EPIDEMIOLOGY AND RISK FACTORS Overall, liver cancer accounts for 7% of all cancers (~900,000 new cases each year), and HCC represents 85% of primary liver cancers. The highest incidence rates of HCC occur in Asia and sub-Saharan Africa due to the high prevalence of hepatitis B virus (HBV) infection, with 20–35 cases per 100,000 inhabitants. Southern Europe and now North America have intermediate incidence rates (10 cases per 100,000), whereas Northern and Western Europe have low incidence rates of less than </w:t>
      </w:r>
      <w:r w:rsidR="00A6019F" w:rsidRPr="00A6019F">
        <w:lastRenderedPageBreak/>
        <w:t xml:space="preserve">5 cases per 100,000 inhabitants. In the United States, the incidence of liver cancer is 40,000 cases per year (Fig. 87-1). HCC has a strong male preponderance, with a male-to-female ratio estimated to be 2.5:1. The incidence increases with age, reaching a peak at 65–70 years old. In Chinese and in black African populations (where vertical transmis sion of HBV occurs), the mean age is 40–50 years. By contrast, in Japan mean age in men is now around 75 years. CHAPTER 87 Tumors of the Liver and Biliary Tree The main risk factors for HCC development are cirrhosis—an asso ciated chronic liver damage caused by inflammation and fibrosis—of any etiology, chronic infection by HBV or hepatitis C virus (HCV) infection, alcohol abuse, metabolic syndrome, and hemochromatosis (associated to HFE1 gene germline mutations) (Fig. 87-1). Cirrhotic patients represent 1% of the human population, and one-third of them will develop HCC during their lifetime. Long-term follow-up studies have established an annual risk of HCC development of 3–8% in HBV- or HCV-infected cirrhotic patients. HCC is less common (1–2% per year) in cirrhosis associated with alcohol, metabolic dysfunction associated steatohepatitis (MASH, formerly known as nonalcoholic steatohepatitis or NASH), α1-antitrypsin deficiency, autoimmune hepa titis, Wilson’s disease, and cholestatic liver disorders. Predictors of liver cancer development among cirrhotic patients have been associated 660 Central Europe Western Europe North America ASR (World) per 100,000 Western Africa Andean Latin America South Latin America PART 4 ≥8.4 5.8–8.4 4.7–5.8 3.3–4.7 Eastern Europe Japan East Asia South-East Asia North Africa, Middle East Oceania Not applicable No data 90% sustained virological response (SVR) rates after 12 weeks of treatment, thus significantly reducing HCC occurrence. Once cirrhosis is established, the incidence of HCC is lower for patients with SVR than for those with active viral disease, although they continue to have persistent HCC risk. Clinical practice guidelines recommend coffee consumption as a preventive strategy in patients with chronic liver disease. Aspirin, statins, and metformin have shown preventive effects but are not yet recommended as formal chemopreventive strategies. Surveillance Surveillance programs aim to reduce cancer-related mortality. This is usually achieved through early detection that enhances the applicability and cost-effectiveness of curative therapies. U.S. and European guidelines recommend surveillance for patients at high risk for HCC on the basis of cost-effectiveness analyses. Surveillance is recommended for cirrhotic patients owing to any cause, those with HCV-related advanced fibrosis, and patients with chronic HBV infection if Asian aged &gt;40 years, African aged &gt;20 years, family history of HCC, or patients with sufficient risk by risk scores such as PAGE-B. In terms of liver dysfunction, the presence of advanced cirrhosis (Child-Pugh class C) prevents potentially curative therapies from being employed, and thus surveillance is not recom mended. As an exception, patients on the waiting list for liver trans plantation, regardless of liver functional status, should be screened for HCC in order to detect tumors exceeding conventional criteria and to define priority policies for transplantation. Ultrasonography every 6 months with serum α-fetoprotein (AFP) levels is the recommended method of surveillance. It has a </w:t>
      </w:r>
      <w:r w:rsidR="00A6019F" w:rsidRPr="00A6019F">
        <w:lastRenderedPageBreak/>
        <w:t xml:space="preserve">sensitivity of ~65% and a specificity of &gt;90% for early detection. A shorter follow up interval (every 3–6 months) is recommended when a nodule of 1 cm or with AFP ≥20 ng/mL or rising AFP, multiphasic contrast-enhanced CT or MRI is recommended. Using these techniques, the typical hall mark of HCC consists of vascular uptake of the nodule in the arterial phase with washout in the portal venous or delayed phases. This radio logical pattern captures the hypervascular nature characteristic of HCC and has a diagnostic specificity of ~95–100%, making a biopsy unnec essary. The Liver Imaging Reporting and Data System (LI-RADS) has been proposed as a way of classifying radiological findings. Essentially, nodules &gt;10 mm visible on multiphase exams are assigned category codes reflecting their relative probability of being benign, HCC, or other hepatic malignant neoplasm. LI-RADS-1 lesions have a 0% prob ability of HCC, whereas lesions assigned to the LI-RADS-4 category are likely to be an HCC in 60–70% of cases and repeated imaging within 3–6 months or biopsy is recommended. Finally, LI-RADS-5 lesions have a ~95% probability of being HCCs. LI-RADS-M category comprises lesions that have malignant radiological features but are only HCC in ~35% of cases. CHAPTER 87 Tumors of the Liver and Biliary Tree Nodules 1 cm, AFP ≥20 ng/mL or rising AFP Four-phase contrast-enhanced CT or Multiphasic contrast-enhanced/or gadoxetic-enhanced MRI 1 positive technique HCC radiological hallmark or LI-RADS 5* LI-RADS 4 Use alternative imaging Biopsy** Benign or non-HCC malignant Yes HCC *Hallmark of HCC: Contrast uptake in arterial phase and washout in venous or delayed phase **Consider a second biopsy in case of inconclusive FIGURE 87-2 Recall diagnosis schedule for HCC (EASL). EASL, European Association for the Study of Liver Disease; HCC, hepatocellular carcinoma. (Modified with permission from EASL. J Hepatology 69:182, 2018.) are less accurate for HCC diagnosis. Positron emission tomography (PET) scan performs poorly for early diagnosis. AFP levels ≥400 ng/dL are highly suspicious but not diagnostic of HCC according to guidelines. PATHOLOGICAL DIAGNOSIS Pathological diagnosis is required: (1) in patients without cirrhosis, (2) if radiology is not typical in at least one of two imaging techniques (CT and MRI), and (3) for a LI-RADS-4 lesion. Biopsy has not been used as the gold standard in clinical prac tice, although with the advent of molecular therapies, some guidelines advocate obtaining tissue samples in the setting of all research stud ies in HCC, even if radiological criteria are met. Sensitivity of liver biopsies ranges between 70 and 90% for all tumor sizes but decreases to 80% of patients have two diseases, HCC and cirrhosis, a clear measurement of liver dysfunction should be in place. The prognosis of chronic liver disease is com monly assessed using the Child-Pugh score, which uses five clinical Hepatocellular carcinoma 663 Stages Stratification Treatment Very early (BCLC 0)- Single nodule ≤2 cm- Child-Pugh A, ECOG 0 Ablation First choice# Resection Early (BCLC A)- Single or ≤3 nodules ≤3 cm- Child-Pugh A-B, ECOG 0 Solitary Yes Optimal surgical candidate Yes 2–3 nodules ≤3 cm No Transplant candidate Intermediate (BCLC B)- Multinodular- Child-Pugh A-B, ECOG 0 TACE candidate Advanced (BCLC C)- Portal invasion, N1, M1- Child Pugh A-B, ECOG 1–2 Terminal (BCLC D)- Child Pugh C- ECOG &gt;2 </w:t>
      </w:r>
      <w:r w:rsidR="00A6019F" w:rsidRPr="00A6019F">
        <w:lastRenderedPageBreak/>
        <w:t xml:space="preserve">No Yes No Transplantation (LT) Ablation Chemoembolization (+ systemic therapies) Downstaging LT Second choice## Expected outcomes Resection TACE (TARE, SBRT) Median OS: 10 yr Transplantation; &gt;6 yr for resection/ablation Extended criteria LT (TARE) Median OS ~26–30 mo mPFS: 15 mo Systemic therapy* 1st line: ~16–19 mo 2nd line: 13–15 mo 3rd line: 8–12 mo Best supportive care Median OS 3–6 months FIGURE 87-3 Staging system and therapeutic strategy. BCLC classification comprises five stages that select the best candidates for therapies according to evidence-based data. Patients with asymptomatic early tumors (stages 0 -A) are candidates for radical therapies (resection, transplantation, or local ablation). Asymptomatic patients with multinodular HCC (stage B) are suitable for transcatheter arterial chemoembolization (TACE), whereas patients with advanced symptomatic tumors and/or an invasive tumoral pattern (stage C) are candidates to receive systemic therapies. End-stage disease (stage D) includes patients with poor prognosis that should be treated by best supportive care. BCLC, Barcelona Clinic Liver Cancer; DDLT, deceased donor liver transplantation; EASL, European Association for the Study of Liver Disease; ECOG, Eastern Cooperative Oncology Group Performance Status; EORTC, European Organisation for Research and Treatment of Cancer; GRADE, grading of recommendations assessment, development, and evaluation; HCC, hepatocellular carcinoma; LDLT, living donor liver transplantation; OS, overall survival; PEI, percutaneous ethanol injection; RF, radiofrequency ablation; TACE, transcatheter arterial chemoembolization. (Modified with permission from JM Llovet et al: Molecular pathogenesis and systemic therapies for hepatocellular carcinoma. Nature Cancer 3:386, 2022.) *Around 70–80% of patients are expected to receive this regimen #Based on high level evidence studies. ##Based on low or moderate level of evidence studies. measures—total bilirubin, serum albumin, prothrombin time, ascites severity, and hepatic encephalopathy grade—to classify patients into one of three groups (A–C) of predicted survival rates. In brief, Child Pugh class A reflects well-preserved liver function, Child-Pugh class B moderate liver dysfunction, and Child-Pugh class C severe liver dys function. Other measurements of liver dysfunction, such as the Model for End-Stage Liver Disease (MELD) score or the albumin-bilirubin score, are not integrated in this staging system. Performance status is assessed by Eastern Cooperative Oncology Group (ECOG) scale (a 5-point scale where higher numbers indicate greater disability), and presence of cancer-related symptoms (ECOG 1–2) is considered a sign of advanced stage. Considering all these prognostic/predictive variables and evidence based treatment efficacy, five BCLC stages have been defined (Fig. 87-3). Patients with liver-only neoplastic disease, no symptoms (ECOG 0), and mild to moderate liver dysfunction (Child-Pugh A-B) can be clas sified as very early (stage 0), early (stage A), or intermediate (stage B) stage depending on tumor size and number. Very early HCC (BCLC 0) is defined by single tumors ≤2 cm (if pathology is available, the tumors should be well-differentiated with absence of microvascular invasion or satellites). Early HCC (BCLC A) includes either single tumors or a maximum of three nodules of ≤3 cm in </w:t>
      </w:r>
      <w:r w:rsidR="00A6019F" w:rsidRPr="00A6019F">
        <w:lastRenderedPageBreak/>
        <w:t xml:space="preserve">diameter. Intermediate stage (BCLC B) is defined by all other liver-only tumors. Conversely, HCC is considered at advanced stages (BCLC C) when patients present with cancer-related symptoms (ECOG 1–2) or tumors with macrovascular invasion (of any type, including branch, hepatic, or portal vein), lymph node involvement, or extrahepatic spread. Finally, end-stage disease (BCLC D) is considered in cases of severe impairment of quality of life or severe cancer-related symptoms (ECOG 3–4) or severe liver dysfunction (Child-Pugh C). Around 40% of patients are diagnosed at stages 0 and A and hence are eligible for potentially curative therapies, resection, transplantation, or local ablation. These treatments provide median survival rates of 60 months and beyond, which are in sharp contrast with outcomes of 36 months reported in historical controls (Fig. 87-3, Table 87-2). Adjuvant therapy with atezolizumab plus bevacizumab is recom mended in patients after resection or local ablation who are at high risk of recurrence. Patients at intermediate stage (stage B) with preserved liver function have a documented natural history of around 16 months. These patients benefit from TACE, as reported in two randomized studies and one meta-analysis and achieve an estimated survival of 25–30 months. Combination of durvalumab plus bevacizumab with TACE CHAPTER 87 Tumors of the Liver and Biliary Tree 664 PART 4 Oncology and Hematology TABLE 87-2 Summary of Key Results of Randomized and Cohort Studies in the Management of Hepatocellular Carcinoma (HCC) TREATMENT OF EARLY AND INTERMEDIATE STAGE HCC TREATMENTS HCC STAGE TREATMENT ARMS OUTCOMES (OS) Treatments for early HCC Resection Early Optimal (single nodule; no portal hypertension) 5-year: 50–70% Suboptimal (multinodular or portal hypertension) 5-year: 35–55% Resection + adjuvant Early Adjuvant atezolizumab + bevacizumab vs surveillance 12-month RFS: 78 vs 65% Liver transplantation Early Milan (1 nodule 400 ng/mL). Therefore, these treatments have been adopted by guidelines and incorporated into the treatment algorithm. Patients with end-stage disease (BCLC D) should be considered for nutritional and psychological support and proper management of pain. Although the BCLC establishes validated stages and treatment assignment according to evidence, clinical practice is not always aligned with this classification. In large cohort studies and surveys, only half of patients, or even less in Asia, are treated accordingly. Alterna tive staging or scoring systems have been proposed, such as the Hong Kong classification or the Japan Integrated Staging score. These systems capture extended indications for resection and TACE applied in clini cal practice in Asia. Finally, the tumor-node-metastasis (TNM) stag ing system is not used in HCC since it does not incorporate the main prognostic variables related to liver function and performance status. Due to the complexities of HCC diagnosis and management, it is recommended to refer patients to centers with multidisciplinary liver cancer programs that include a hepatologist, oncologist, hepatobiliary and transplant surgeons, interventional and body imaging radiologist, hepatopathologist, and specialized nurses. </w:t>
      </w:r>
      <w:r w:rsidR="00A6019F" w:rsidRPr="00A6019F">
        <w:rPr>
          <w:rFonts w:ascii="Arial" w:hAnsi="Arial" w:cs="Arial"/>
        </w:rPr>
        <w:t>■</w:t>
      </w:r>
      <w:r w:rsidR="00A6019F" w:rsidRPr="00A6019F">
        <w:t xml:space="preserve">SURGICAL THERAPIES Resection Surgical resection is the first-line option for noncirrhotic patients with early-stage HCC (BCLC 0 or A) with solitary tumors (Fig. 87-3). In cirrhotic patients, </w:t>
      </w:r>
      <w:r w:rsidR="00A6019F" w:rsidRPr="00A6019F">
        <w:lastRenderedPageBreak/>
        <w:t xml:space="preserve">ablation competes with resection for BCLC 0 tumors (2 cm (BCLC A), resection remains the mainstay of treatment in patients with Child-Pugh A with normal bilirubin and absence of portal hypertension (no esophageal/gastric varices or platelet count &gt;100,000/µL associated with splenomegaly). Anatomic resections following the functional segments of the liver are recommended to spare uninvolved liver parenchyma and to remove satellite tumors. Applying these criteria, resection is associated with perioperative decompensa tion rate of 5%, perioperative mortality of 3 cm in diameter who are not candidates for liver transplantation, transarterial radioemboliza tion (TARE) with yttrium-90 and stereotactic body radiation (SBRT) are considered alternative options based on propensity-matched score studies and phase 2 investigations. Chemoembolization TACE is the most widely used primary treatment for unresectable HCC worldwide and the first-line indica tion for patients with intermediate BCLC B stage (Fig. 87-3). Conven tional chemoembolization (c-TACE) consists of local hepatic artery administration of chemotherapy (either doxorubicin 50 mg/m2 or cisplatin) mixed with an emulsion of lipiodol followed by obstruction of the feeding artery with sponge particles. The best randomized phase 3 investigations have provided median survivals for TACE of 20–30 months in properly selected populations (compared to 16 months for pooled control arms). Median objective response rates are 50–70%. In randomized studies, the treatment is either performed at a regular schedule of 0, 2, and 6 months (median number of sessions is three) or on demand according to tumor response. TACE procedures should be stopped upon tumor progression or any other contraindication. Around 50% of patients present with a limited postembolization syndrome of fever and abdominal pain related to ischemic injury and release of cytokines. Less than 5% of patients have major com plications (liver abscess, ischemic cholecystitis, or liver failure), and Advanced stage HCC (BCLC C, portal invasion and/or extrahepatic spread) or Intermediate stage HCC (BCLC B, multinodular) progressing upon/not candidates for loco-regional therapies. Child-Pugh A, ECOG 0–1 CHAPTER 87 Tumors of the Liver and Biliary Tree Candidate for immunotherapy? Yes High risk of gastrointestinal/ esophageal bleeding No First/second line Yes Atezolizumab + bevacizumab* Tremelimumab + durvalumab PD Second/third line Regorafenib/cabozantinib/ramucirumab No (Autoimmune disorder, Prior liver transplantation) Sorafenib or Lenvatinib Nivolumab + ipilimumab Pembrolizumab FIGURE 87-4 Treatment strategy for advanced hepatocellular carcinoma with systemic therapies. Drugs in bold have positive results from phase 3 trials with regulatory approval (atezolizumab plus bevacizumab, durvalumab plus tremelimumab, sorafenib, lenvatinib, regorafenib, cabozantinib, and ramucirumab). Drugs in bold italic have received accelerated approval from the Food and Drug Administration on the basis of promising efficacy results in phase 2 trials in second line (pembrolizumab and nivolumab ipilimumab). Key details of the patient populations are provided. BCLC, Barcelona Clinic Liver Cancer (classification); ECOG, Eastern Cooperative Oncology Group; PD, progressive disease. (Modified from JM Llovet et al: Nat Rev Clin Oncol </w:t>
      </w:r>
      <w:r w:rsidR="00A6019F" w:rsidRPr="00A6019F">
        <w:lastRenderedPageBreak/>
        <w:t xml:space="preserve">15:599, 2018.) 666 in 10 cm). Super-selective TACE minimizes the ischemic insult to nontumor tissue. According to guide lines, treatment stage migration allows performing TACE on patients at early stages not suitable for surgical or ablative therapies. TACE plus durvalumab plus bevacizumab significantly increases progression-free survival compared to TACE alone (median progression-free survival, 15.2 vs 8 months) with manageable treatment-related adverse events. Radioembolization and Other Intra-arterial Therapies Trans PART 4 Oncology and Hematology arterial radioembolization (TARE) using beads coated with yttrium-90 (Y-90)—an isotope that emits short-range β radiation—is the most promising alternative to TACE. Several phase II studies reported objective responses and overall outcome with a safe profile similar to TACE, and thus TARE has been endorsed by clinical practice guide lines. Radioembolization requires prevention of severe lung shunting and intestinal radiation before the procedure. Around 20% of patients experience liver-related toxicity, and 400 ng/mL), have been shown to benefit patients progressing on sorafenib. Of note, classical chemotherapy and radio therapy have not resulted in benefits in survival. Similarly, due to the low prevalence of actionable molecular aberrations, precision oncology regimens are not yet available in HCC. First-Line Therapies Atezolizumab (anti–PD-1 checkpoint inhibitor) plus bevacizumab (monoclonal antibody against VEGF-A) demonstrated survival differences compared to sorafenib (median OS, 19.2 vs 13.4 months) and has become the standard of care in first-line treatment (Fig. 87-4, Table 87-2). This combination treatment resulted in improved progression-free survival, patient-reported outcomes reflecting quality of life, and objective response rates (30 vs 12% for sorafenib). The combination had fewer adverse events compared to sorafenib (grade 3-4 adverse events, 36 vs 50%, respectively). The most common side effects associated with the combination are hyperten sion, proteinuria, and low-grade diarrhea, whereas autoimmune events are infrequent and manageable. Treatment-related adverse event rate leading to discontinuation of any drugs is 15%. Screening for varices with upper gastrointestinal endoscopies has become standard before first-line therapy in advanced HCC to mitigate the risk of bleeding associated with bevacizumab. In cases with varices, the use of one ses sion of banding or carvedilol is recommended. The combination of tremelimumab (a CTLA-4 inhibitor) and dur valumab (a PD-L1 inhibitor) (STRIDE regimen) has demonstrated a survival advantage versus sorafenib (median OS, 16.4 vs 13.7 months for sorafenib). No differences were identified regarding progression free survival, and the response rate was 20.1% with the combination versus 5.1% with sorafenib. This regimen can be administered even in patients with portal hypertension or varices. STRIDE was associ ated with more immune-related adverse events, and 20% of patients required glucocorticoid treatments (Fig. 87-4). Alternatively, sorafenib or lenvatinib is indicated for patients with advanced HCC with contraindications for immunotherapies (i.e., due to autoimmune disease or liver transplantation) (Fig. 87-4, Table 87-2). A phase 3 study comparing sorafenib (a multikinase inhibitor) versus placebo showed increased survival from 7.9 months to 10.7 months (hazard ratio [HR], </w:t>
      </w:r>
      <w:r w:rsidR="00A6019F" w:rsidRPr="00A6019F">
        <w:lastRenderedPageBreak/>
        <w:t xml:space="preserve">0.69; 31% reduction in risk of death). Patients with HCV-related HCC achieve significantly better outcomes with sorafenib, with a median survival of 14 months. Median treatment duration is about 6 months. Treatment is associated with manageable adverse events, such as diarrhea, hand-foot skin reactions, fatigue, and hypertension. These toxicities lead to treatment discontinuation in 15% of patients and dose reduction in up to half. It has been estimated that this therapy cannot be administered to approximately one-third of the targeted patients due to toxicity, advanced age, or liver failure (ascites or encephalopathy). Active vascular disease, either coronary or peripheral, is considered a formal contraindication. Median time to progression on sorafenib is 4–5 months in phase 3 trials. Another alternative to sorafenib is the multikinase inhibitor len vatinib, which was shown to be noninferior in a phase 3 investiga tion (Fig. 87-4). A phase 3 study comparing lenvatinib (an inhibitor of vascular endothelial growth factor receptor [VEGFR], fibroblast growth factor recepctor [FGFR], platelet-derived growth factor recep tor [PDGFR], RET, and c-Kit) with sorafenib showed noninferiority of results in terms of OS (13.6 vs 12.3 months; HR, 0.92). Lenvatinib induces objective responses in 24% of cases. The main side effects are hypertension, proteinuria, asthenia, diarrhea, and weight loss. This treatment is associated with a 55% rate of grade 3-4 drug-related adverse events, resulting in a ~15% withdrawal rate. Second-Line Therapies Three drugs (regorafenib, cabozantinib, and ramucirumab) have shown survival benefits versus placebo in patients progressing to sorafenib, and two additional treatments have been approved by the U.S. Food and Drug Administration (FDA) based on promising phase 2 data (pembrolizumab, and nivolumab plus ipilimumab) (Fig. 87-4). It is estimated that only half of patients progressing on sorafenib can be considered for second-line therapies, and their median survival with no treatment is 7–8 months (obtained from patients allocated to the placebo arm). A phase 3 study comparing regorafenib (a more potent multikinase inhibitor than sorafenib, but targeting similar kinases) versus placebo in patients progressing to sorafenib reported an increase in survival from 7.8 to 10.6 months (HR, 0.62; 38% reduction in risk of death) (Fig. 87-5). Response rate was 10% based on modified Response Evaluation Criteria in Solid Tumors. Median time on treatment was 3.5 months. Prevalence of toxicity (hand-foot reaction, fatigue, and hypertension) was higher compared with reported toxicity from sorafenib, but adverse events only led to treatment discontinuation in 10% of cases. Cabozantinib, a multikinase VEGFR inhibitor with activity against both AXL and cMET, improves survival compared to placebo after progression to sorafenib (10.2 months for cabozantinib vs 8.0 months in the placebo arm; HR, 0.76). Toxicity was manageable, with the most common grade 3–4 events being palmar-plantar erythro dysesthesia, hypertension, increased aspartate aminotransferase level, fatigue, and diarrhea. Ramucirumab, an anti–VEGFR-2 monoclonal antibody, is the only biomarker-guided therapy in HCC based on AFP levels. The randomized, placebo-controlled, phase 3 REACH-2 study studied patients with advanced HCC in second-line treatment with baseline AFP ≥400 ng/dL. This trial </w:t>
      </w:r>
      <w:r w:rsidR="00A6019F" w:rsidRPr="00A6019F">
        <w:lastRenderedPageBreak/>
        <w:t xml:space="preserve">demonstrated positive survival results, and a further meta-analysis established a median survival for ramucirumab of 8.1 months compared to 5 months for patients receiv ing placebo. The most common grade 3–4 treatment-related adverse events were hypertension, hyponatremia, and increased aspartate Mass-forming 667 Periductal infiltrating Bile ductules Segmental ducts Left, right, common hepatic ducts Intraductal growing Common bile duct iCCA (10–20%) pCCA (50–60%) dCCA (20–30%) FIGURE 87-5 Anatomical classification of cholangiocarcinoma. Cholangiocarcinoma is classified as intrahepatic (iCCA) and extrahepatic (eCCA). eCCA can be subclassified as perihilar (pCCA) and distal (dCCA). (Reproduced from JM Banales et al: Cholangiocarcinoma 2020: The next horizon in mechanisms and management. Nat Rev Gastroenterol Hepatol 17:557, 2020.) techniques and CA 19-9 serum determina tion. Common risk factors for HCC, such as HBV and HCV infection and cirrhosis, have been associated with iCCA develop ment. More recently, sweetened beverages were reported to constitute a risk factor in the development of eCCA and gallbladder carcinoma (GBC) in a population cohort study. Molecular Classification and Actionable Drivers A morphological and molecular classification subclassifies iCCA into the large duct type, which is associated with IDH (15–20%) and FGFR2 (15%) mutations and better prognosis, and the small duct type, which is associated with KRAS (15%) and SMARD4 (80 cases/100,000 inhabitants). The male-to-female ratio is 1.2:1. Only 30% of patients with CCA have a known risk factor. The classical risk factors for CCA development include primary sclerosing cholangitis (PSC), biliary duct cysts, hepa tolithiasis, and Caroli’s disease. Parasitic biliary infestation with flukes (most common are Opisthorchis viverrini and Clonorchis sinensis) is a prevalent etiology in Asia that can be prevented with an antihel minth therapy, praziquantel. PSC is a clear risk factor for iCCA and pCCA development, with a lifetime incidence ranging from 5 to 10%. Surveillance in PSC patients is recommended with annual imaging </w:t>
      </w:r>
      <w:r w:rsidR="00A6019F" w:rsidRPr="00A6019F">
        <w:rPr>
          <w:rFonts w:ascii="Arial" w:hAnsi="Arial" w:cs="Arial"/>
        </w:rPr>
        <w:t>■</w:t>
      </w:r>
      <w:r w:rsidR="00A6019F" w:rsidRPr="00A6019F">
        <w:t>TREATMENT The European Association for the Study of Liver Disease</w:t>
      </w:r>
      <w:r w:rsidR="00A6019F" w:rsidRPr="00A6019F">
        <w:rPr>
          <w:rFonts w:ascii="Aptos" w:hAnsi="Aptos" w:cs="Aptos"/>
        </w:rPr>
        <w:t>–</w:t>
      </w:r>
      <w:r w:rsidR="00A6019F" w:rsidRPr="00A6019F">
        <w:t xml:space="preserve">International Liver Cancer Association (ILCA) guidelines for management of iCCA proposed an updated treatment algorithm, which has been adapted to the current accepted treatment modalities (Fig. 87-7). iCCA can be classified as early, intermediate, or advanced cases according to size of the nodules and invasion of lymph nodes (N1), metastasis, and ECOG 668 Hepatic progenitor cell Progenitor-like HCC PART 4 Hepatocyte precursor De-differentiation Mature hepatocyte Oncology and Hematology HCC Trans differentiation Mixed HCC-iCCA Biliary-like cell Progenitor-like iCCA Cholangiocyte precursor De-differentiation? iCCA Mature cholangiocyte CLC Tumor type HCC iCCA Mixed HCC-iCCA FIGURE 87-6 Cell of origin of liver cancer. Hepatocellular carcinoma (HCC) and intrahepatic cholangiocarcinoma (iCCA) can develop from the neoplastic transformation of mature hepatocytes and cholangiocytes, respectively. There is evidence showing that hepatic progenitor cells (HPCs), their intermediate states, or dedifferentiated hepatocytes can originate liver cancers with progenitor-like features, including mixed HCC-CCA (e.g., cholangiolocellular carcinoma [CLC]). Mature hepatocytes can be also reprogrammed </w:t>
      </w:r>
      <w:r w:rsidR="00A6019F" w:rsidRPr="00A6019F">
        <w:lastRenderedPageBreak/>
        <w:t xml:space="preserve">into cells that closely resemble biliary epithelial cells and induce the onset of iCCA. (Printed with permission from © Mount Sinai Health System.) performance status and liver dysfunction. Approximately 30–40% of iCCA cases are deemed resectable, and the median reported survival for single tumors is ~40–50 months, whereas survival decreases to ~20 months in intermediate/multinodular resectable tumors. The main predictors of recurrence (~50–60% at 3 years) and survival are identified at the pathological examination, including presence of vascular invasion, lymph node metastases, and poor differentiation degree. In terms of adjuvant therapy, a phase 3 trial (BILCAP trial) including all types of CCA in a prespecified per-protocol analysis reported improved survival (53 vs 36 months; adjusted HR, 0.75). Based on this trial, American Society of Clinical Oncology guidelines recommend adjuvant capecitabine for a period of 6 months. A small proportion of patients with early/intermediate tumors can have contra indications for resection, particularly in cirrhotic patients, and should be first considered for local ablation or even liver transplantation if the diameter of the main tumor is 2 or liver dysfunction are only suitable for best supportive care. FIGURE 87-7 Staging and treatment schedule for intrahepatic cholangiocarcinoma (iCCA). (Modified from EASL-ILCA Guidelines. J Hepatol 79:181, 2023.) characterized a third unique entity, cholangiolocellular carcinoma, with distinct molecular traits and better outcome. Due to their low incidence, the demographic features and clinical behavior of these tumors remain ill-defined. Survival and management are similar to iCCA. </w:t>
      </w:r>
      <w:r w:rsidR="00A6019F" w:rsidRPr="00A6019F">
        <w:rPr>
          <w:rFonts w:ascii="Arial" w:hAnsi="Arial" w:cs="Arial"/>
        </w:rPr>
        <w:t>■</w:t>
      </w:r>
      <w:r w:rsidR="00A6019F" w:rsidRPr="00A6019F">
        <w:t xml:space="preserve">EXTRAHEPATIC CHOLANGIOCARCINOMA Perihilar and Distal Cholangiocarcinoma pCCA tumors arise between the second-order bile ducts up to the insertion of the cystic duct, whereas dCCAs arise from this point to the ampulla of Vater (Fig. 87-5). Thus, dCCA can be difficult to distinguish from early pan creatic cancer. Both entities have a similar diagnostic approach. Acute onset of painless jaundice occurs in 90% of patients with pCCA, and 10% of patients present with cholangitis. Primary biliary cholangitis with a cutoff for CA 19-9 &gt;129 U/mL is suspicious for CCA. Imag ing assessment starts with CT and MRI; they have a good sensitivity and specificity (&gt;85%) for detecting the degree of bile duct involve ment and hepatic and portal vein invasion. MRI cholangiography is optimal for defining the extent of the bile duct lesion. Ruling out IgG4 cholangiopathy by assessing serum IgG4 is mandatory. As a second step, endoscopic retrograde cholangiography with brushing to explore cytology and fluorescence in situ hybridization (FISH)—for exploring polysomy—are recommended. FISH enhances the sensitivity of cytol ogy from 20 to ~40%. Diagnosis is based on pathology. The treatment algorithm for pCCA indicates that in cases of a dominant stricture with positive cytology/biopsy or polysomy, a lymph node biopsy through endo scopic ultrasound should be obtained. pCCA with negative lymph node involvement is best treated by surgery, resection, or transplantation, the sole curative options. Staging laparoscopy is recommended to exclude metastatic disease prior to surgery, which occurs in 15% of cases. Resection entails hepatic and bile duct removal and Roux-en Y hepaticojejunostomy with regional lymphadenectomy. Bilobular involvement is </w:t>
      </w:r>
      <w:r w:rsidR="00A6019F" w:rsidRPr="00A6019F">
        <w:lastRenderedPageBreak/>
        <w:t xml:space="preserve">considered a surgical contraindication. Perioperative mortality rate is up to 10%, mostly as a result of liver failure. In a few referral centers, unresectable single pCCAs 90% of cases and enabled resection with good clinical outcomes. A study including 1605 patients randomized in eight clinical trials reported better outcome for patients with stage I–II of the PRETEXT (Pretreatment Extent of Tumor) classification (out of four stages), age 1000 ng/mL, and absence of metastases. As opposed to HCC, low AFP 5 cm. Nowadays, there is a clear understanding of the molecular classification of HCA in subtypes defined by CTNNB1 mutations (10–20%), HNF1A inactivation, and activation of inflammatory pathways (50–60%) or Hedgehog signaling pathway. Diagnosis is based on MRI, which is able to correlate with molecular subtypes in 80% of cases (inflammatory and HNF-1A type). For defining HCA with CTNNB1 mutations, biopsy is required. Upon diagnosis, discontinuation of oral contraceptives and weight loss are recommended. Resection is indicated in all cases &gt;5 cm, in men, or with CTNNB1 mutation. For HCA 66,000 Americans diagnosed and &gt;51,000 dying from the disease each year. Pancreatic cancer is projected to be the second leading cause of death from cancer in the United States by 2030. Worldwide, pancreatic cancer is the eleventh most common can cer, with about half a million diagnoses per annum. Pancreatic cancer is the most lethal human cancer, with an overall 5-year survival of 13%. However, that situation is changing. In particular, (1) an enhanced understanding of the pathobiology and genomic landscape of pancre atic cancer is steadily giving rise to new therapeutic opportunities, (2) the integration of multimodality therapy for patients with localized disease has improved outcomes, and (3) increasingly more molecularly defined groups of patients are eligible for targeted therapy beyond cytotoxic therapy. </w:t>
      </w:r>
      <w:r w:rsidR="00A6019F" w:rsidRPr="00A6019F">
        <w:rPr>
          <w:rFonts w:ascii="Arial" w:hAnsi="Arial" w:cs="Arial"/>
        </w:rPr>
        <w:t>■</w:t>
      </w:r>
      <w:r w:rsidR="00A6019F" w:rsidRPr="00A6019F">
        <w:t xml:space="preserve">EPIDEMIOLOGY Pancreatic cancer accounts for 3% of all new cancer cases in the United States and ~8.3% of all deaths from cancer in the United States. The lifetime risk of developing pancreatic cancer is ~1.7%; however, the incidence has been increasing about 1.1% per year overall, but notably in people 30% in the first 3 years (along with a decrease in their hemoglobin A1c and blood glucose level). Physical inactivity also has been associated with an increased risk of pancreatic cancer. Other Considerations Most patients with pancreatic cancer relate that they have had developing symptoms over months to years before diagnosis. Efforts at early detection of the disease have not yet been fruitful, but this is an area of very active investigation. </w:t>
      </w:r>
      <w:r w:rsidR="00A6019F" w:rsidRPr="00A6019F">
        <w:rPr>
          <w:rFonts w:ascii="Arial" w:hAnsi="Arial" w:cs="Arial"/>
        </w:rPr>
        <w:t>■</w:t>
      </w:r>
      <w:r w:rsidR="00A6019F" w:rsidRPr="00A6019F">
        <w:t xml:space="preserve">PATHOLOGY AND MOLECULAR CONSIDERATION Location The posterior location of the pancreas in the abdomen is one of the issues that makes diagnosis more challenging (Fig. 88-1A). PART 4 Oncology and Hematology Pathology Cancers of the pancreas can be divided into neoplasms of the endocrine pancreas (Chap. 89) and those of the exocrine pan creas. The most common neoplasm of the exocrine pancreas and most lethal is ductal adenocarcinoma. These cancers arise in the head, body, or tail of the pancreas and are characterized by infiltrating desmoplas tic stromal reactions (Fig. 88-1B). Other subtypes of nonneuroendocrine pancreatic cancers include acinar cell carcinoma (tumors of the exocrine enzyme producing cell), colloid carcinoma, medullary </w:t>
      </w:r>
      <w:r w:rsidR="00A6019F" w:rsidRPr="00A6019F">
        <w:lastRenderedPageBreak/>
        <w:t xml:space="preserve">carcinoma, adenosquamous carcinoma, and other rare subtypes. Each of these is different in behavior and in their molecular characteristics and often requires other specific types of treatment. Occasionally, metastases to the pancreas occur second ary to renal, breast, lung, and urothelial carcinomas, melanoma, lym phoma, and other malignancies. Molecular Characteristics The mutational landscape of pan creatic ductal adenocarcinoma is characterized by alterations in four genes that are commonly mutated or inactivated. The most common of these is the KRAS oncogene (mutations primarily in codon 12). It is increasingly important to identify the specific mutant KRAS allele as novel drugs targeting specific alleles now exist and others are in development. KRAS mutations are seen in 90–95% of pancreatic adenocarcinomas. A subset of pancreatic cancers is termed “KRAS Stomach Splenic artery Hepatic artery Portal vein Common bile duct Pancreas A Duodenum Jejunum Spleen Kidney Superior mesenteric artery Superior mesenteric vein wildtype,” where no alteration in KRAS is observed. This form of pancreatic cancer is more frequently observed in patients 90% of invasive pancreatic adenocarcinomas. TP53 is mutated in ~75% and DPC4/SMAD4 is mutated in about half of these tumors. As a reference point, the BRCA2 gene noted in Table 88-1 is mutated in 3.5–10% of pancreatic adenocarcinomas. Precursor Lesions Most pancreatic cancers are believed to arise from pancreatic intraepithelial neoplasia (PanINs), which have vary ing degrees of dysplasia designated as PanINs 1–3 (and constitute a progression model for pancreatic cancer). Genetic alterations become more frequent as the PanIN grade increases (e.g., grade 3). Most PanIN lesions will never progress to invasive malignancy. An alternate precursor lesion is an intraductal papillary neoplasm (IPMN), which is usually noninvasive. Unfortunately, even high-grade PanIN lesions are not detectable by currently available imaging modalities. In con trast, some pancreatic adenocarcinomas arise from noninvasive cystic epithelial precursor lesions. These lesions can be seen on magnetic resonance imaging (MRI) and computed tomography (CT) imaging, and thus detection may permit early diagnosis of pancreatic cancer. As compared to main pancreatic duct IPMN, a side branch duct IPMN is more likely to be noninvasive. MRI and endoscopic ultrasound are commonly used to assess malignant potential based on risk factors such as size, growth rate, main pancreatic duct size, and the presence of mural nodularity. One other rare pancreatic tumor is the mucinous cystic neoplasm; they may be seen as incidental findings on scans and are more com mon in the body and tail of the pancreas and tend to occur in women. These lesions are less likely to progress to malignancy. Clinical signs of concern include large size (&gt;3 cm) and the presence of mural nodules and/or thickening. Even after rare progression to mucinous adeno carcinoma, they typically have a more favorable prognosis relative to typical ductal adenocarcinoma. B FIGURE 88-1 A. Note the relationship of the pancreas to the major vessels of the retroperitoneum. B. Ductal adenocarcinoma of the pancreas (black arrows), with intense stromal component (white arrows). (Part A is courtesy of Mary Kay Washington, MD, PhD, Vanderbilt University. Part B is courtesy of Haiyong Han, PhD, Translational </w:t>
      </w:r>
      <w:r w:rsidR="00A6019F" w:rsidRPr="00A6019F">
        <w:lastRenderedPageBreak/>
        <w:t xml:space="preserve">Genomics Research Institute [TGen].) 673 A B C D E F FIGURE 88-2 Selected images from contrast-enhanced computed tomography (CT) in patients with locally advanced adenocarcinoma of the pancreas. A high-quality contrast-enhanced CT scan (arterial phase in panels A–C and portal venous phase in panels D–F) is required for optimal staging of pancreas cancer. Panel A demonstrates the typical features of adenocarcinoma of the pancreas on arterial phase axial CT scans (dotted outline) with tumor encasement of the superior mesenteric artery (white arrow). Note the dilatation of the common bile duct (red arrow). Panels B (magnified coronal) and C (sagittal) show reconstruction of CT images into additional orthogonal planes with exquisite details to confirm the unresectable nature of the tumor due to vascular encasement. Panel D demonstrates the typical features of adenocarcinoma of the pancreas on portal venous phase axial CT scans in a different subject. The dotted line outlines a pancreas cancer lesion in the pancreatic head, which is encasing the portal splenic confluence (dotted outline). Panels E (white arrow) and F show the pinched appearance of the portal splenic confluence by tumor abutment and invasion of the superior mesenteric vein (white arrow) on coronal and sagittal views. Note the presence of a stent in the common bile duct (red arrow) to help relieve biliary obstruction caused by the tumor. CA, celiac axis; SMA, superior mesenteric artery. </w:t>
      </w:r>
      <w:r w:rsidR="00A6019F" w:rsidRPr="00A6019F">
        <w:rPr>
          <w:rFonts w:ascii="Arial" w:hAnsi="Arial" w:cs="Arial"/>
        </w:rPr>
        <w:t>■</w:t>
      </w:r>
      <w:r w:rsidR="00A6019F" w:rsidRPr="00A6019F">
        <w:t xml:space="preserve">CLINICAL FEATURES History and Physical A classic presentation for a patient with pancreatic cancer arising in the head of the gland is “painless” jaundice. Jaundice is visually detectable with a bilirubin of &gt;2 mg/dL, and pruritus may also occur due to bile salt deposition in the skin. However, pain is also common in newly diagnosed patients and is typically mid epigas tric (sometimes described as a “boring-like” pain) with radiation to the back (due to retroperitoneal invasion of the splanchnic nerve plexus). The pain may be exacerbated by eating or lying flat. In the presence of jaundice, light stool color from the absence of bile occurs (steatorrhea also causes malodorous stools). Other signs include the onset of diabetes (particularly with concomitant weight loss) or hyperglycemia/elevated hemoglobin A1c in the preceding 1–2 years. The association of pancreatic cancer with depression remains controversial. In addition to jaundice, physical signs of pancreatic cancer include evidence of weight loss, including loss of muscle mass, and a palpable gallbladder in the setting of biliary obstruction (Courvoisier’s sign). Migratory superficial thrombophlebitis and presentation with both deep venous and arterial thromboses can occur (Trousseau’s syndrome). Signs of late-stage disease include a lymph node palpable in the supraclavicu lar fossa (usually on the left where the thoracic duct enters the subcla vian vein). This is referred to as Virchow’s node. Occasionally, one can palpate subcutaneous metastases in the periumbilical area referred to as a Sister Mary Joseph’s node—named after one of the operating room nurses from the Mayo Clinic who noted that when she prepped that area and felt those nodules, the patient often had peritoneal metastases. The history and symptoms noted above lead to imaging as the next step, including ultrasonography (jaundice) and CT or MRI. </w:t>
      </w:r>
      <w:r w:rsidR="00A6019F" w:rsidRPr="00A6019F">
        <w:rPr>
          <w:rFonts w:ascii="Arial" w:hAnsi="Arial" w:cs="Arial"/>
        </w:rPr>
        <w:t>■</w:t>
      </w:r>
      <w:r w:rsidR="00A6019F" w:rsidRPr="00A6019F">
        <w:t xml:space="preserve">DIAGNOSTIC WORKUP Imaging A key diagnostic tool is the use of a dual-phase con trast-enhanced </w:t>
      </w:r>
      <w:r w:rsidR="00A6019F" w:rsidRPr="00A6019F">
        <w:lastRenderedPageBreak/>
        <w:t xml:space="preserve">CT using a pancreas cancer protocol, which allows arterial phase enhancement and portal venous phase enhancement and detailed visualization of tumor–blood vessel relationships to inform both resectability and staging. Figure 88-2 demonstrates such a CT scan (with vascular involvement). Figure 88-3 demonstrates the use of an 18F-glucose positron emission tomography (PET) scan that can aid in the detection of otherwise occult metastatic disease. FIGURE 88-3 Positron emission tomography scan demonstrating metastatic disease—baseline and after 6 weeks of chemotherapy with partial resolution of liver metastases. CHAPTER 88 Pancreatic Cancer 674 PART 4 Oncology and Hematology Histologic Diagnosis A histologic (tissue) diagnosis is essential and should be obtained with a Tru-Cut biopsy needle (fine-needle aspi ration cytology is an acceptable but less preferred alternative). Obtain ing adequate tissue not only secures a histologic/cytologic diagnosis but also facilitates molecular testing (next-generation sequencing for genomic alterations including KRAS) and microsatellite status. Increas ingly subsets of patients based on genomic characterization are being identified and for whom therapies are available, making the need for adequate tissue sampling increasingly relevant to patient management. A core needle (18- to 22-gauge) biopsy can be obtained via endo scopic ultrasound-guided technique for a tumor localized to the pan creas. To biopsy the liver or a lymph node, a larger (16- to 18-gauge) percutaneous needle biopsy by an interventional radiologist is typically undertaken. Serum Markers Before treatment and, ideally, once the bilirubin level has normalized (biliary obstruction is associated with elevated CA19-9), a serum sample should be obtained for level of CA19-9, carcinoembryonic antigen (CEA), and CA125 (can be helpful for the 8–15% of patients with nondetectable CA19-9–Lewis antigen nonse cretors). Trends of these tumor markers over time can inform thera peutic decision-making. </w:t>
      </w:r>
      <w:r w:rsidR="00A6019F" w:rsidRPr="00A6019F">
        <w:rPr>
          <w:rFonts w:ascii="Arial" w:hAnsi="Arial" w:cs="Arial"/>
        </w:rPr>
        <w:t>■</w:t>
      </w:r>
      <w:r w:rsidR="00A6019F" w:rsidRPr="00A6019F">
        <w:t xml:space="preserve">IMPORTANT IMMEDIATE CONSIDERATIONS IN PATIENT CARE During the life cycle of this cancer, biliary tract obstruction is a fre quent occurrence for tumors arising in the head of the gland (and the attendant risk for sepsis from the biliary tree). A metallic biliary wall stent is typically placed endoscopically to alleviate jaundice and pru ritus. If surgery is under consideration as the initial therapeutic step, biliary stent placement is not necessarily warranted; however, if neo adjuvant (preoperative) systemic therapy is planned, both a histologic/ cytologic diagnosis and placement of a biliary wall stent are required (where the latter is medically indicated). Of important note, all patients with localized pancreatic cancer require multidisciplinary evaluation by surgical, medical, and radiation oncology to optimize therapeutic decision-making. Patients with metastatic pancreatic cancer may have a hyperco agulable state and frequently have thrombophlebitis (Trousseau’s sign) and deep vein thrombosis with pulmonary emboli and/or more rarely arterial thrombotic events. Anticoagulation using either a direct oral anticoagulant or low-molecular-weight heparin is required in these setting in the absence of a contraindication to anticoagulation. Control of pain or of active cancer-related symptomatology includ ing anorexia, weight loss, and malabsorption should be proactively treated. Pancreatic enzyme replacement therapy </w:t>
      </w:r>
      <w:r w:rsidR="00A6019F" w:rsidRPr="00A6019F">
        <w:lastRenderedPageBreak/>
        <w:t xml:space="preserve">(PERT) is a critical measure to address symptoms of malabsorption, including abdominal cramping, bloating, steatorrhea, excess flatus, and weight loss. Early involvement of a supportive care team can help maximize symptom control, facilitate treatment readiness, and extend a better quality of life. </w:t>
      </w:r>
      <w:r w:rsidR="00A6019F" w:rsidRPr="00A6019F">
        <w:rPr>
          <w:rFonts w:ascii="Arial" w:hAnsi="Arial" w:cs="Arial"/>
        </w:rPr>
        <w:t>■</w:t>
      </w:r>
      <w:r w:rsidR="00A6019F" w:rsidRPr="00A6019F">
        <w:t xml:space="preserve">CLINICAL STAGING The clinical staging of pancreatic cancer according to the American Joint Commission on Cancer staging is presented in Table 88-2. Table 88-3 presents another clinical way to express extent of disease as well as therapeutic approaches (to be discussed later). For optimal staging, a laparoscopy is selectively indicated either before or at the time of definitive surgery. If metastatic disease is identi fied at laparoscopy, curative intent surgery is not undertaken. TREATMENT Pancreatic Cancer RESECTABLE DISEASE (10–20%) For all patients with localized pancreatic cancer, multidisciplinary evaluation should be undertaken. A standard approach for resect able disease (10–15% of patients; as defined in Table 88-3) is upfront surgery. Neoadjuvant therapy (systemic therapy prior to surgery) is an option for patients with resectable disease. The ratio nales for preoperative chemotherapy include the following: (1) to control micrometastatic disease; (2) to assess tumor biology and response to the selected chemotherapy regimen (this allows patients with progressive disease to avoid nontherapeutic, morbid surgery); (3) to assure delivery of systemic therapy because therapy is better tolerated in the preoperative setting and is not subject to omission of drugs or altering doses due to delayed postoperative recovery; and (4) to achieve tumor downstaging to enhance the potential for a margin-negative surgical resection. The type of surgery for patients with tumors in the pancreatic head, neck, or uncinate process is typically a pancreaticoduodenectomy with or without pylorus preservation. For tumors in the body or tail, a distal subtotal pan createctomy and splenectomy are performed. These operations may be performed using a traditional “open” surgical technique or using minimally invasive techniques. Clinical and pathologic findings of the resection are defined as either an R0 resection (no macroscopic or microscopic disease left after surgery) or an R1 resection, which refers to microscopic residual disease at the surgical margin. An R2 resection refers to gross residual disease remaining after surgery and is a highly undesirable oncologic outcome. The best outcomes are achieved in patients with a small tumor (180° and/or venous contact that does not permit resection/reconstruction), the median survival is poor (6–18 months). Complications from local disease progression can be significant and include pain, biliary and duodenal obstruc tion, vascular thromboses, varices, bleeding, and infection/sepsis. Typical treatment paradigms for locally advanced disease include systemic chemotherapy with or without radiation therapy. A pro portion of patients with locally advanced disease (~20%) may be rendered operable following neoadjuvant therapy. METASTATIC DISEASE (50–60% OF PATIENTS) The mainstay of treatment for metastatic pancreatic cancer is systemic chemotherapy. Several treatment regimens including FOLFIRINOX, gemcitabine, albumin-bound paclitaxel, and, more recently, NALIFIRINOX (nanoliposomal irinotecan, 5-fluorouracil, leucovorin, oxaliplatin; NAPOLI-3) have all </w:t>
      </w:r>
      <w:r w:rsidR="00A6019F" w:rsidRPr="00A6019F">
        <w:lastRenderedPageBreak/>
        <w:t xml:space="preserve">demonstrated a survival advantage compared to prior standards in untreated metastatic pan creatic cancer. In a previously treated setting, liposomal irinotecan and infusional 5-fluorouracil and leucovorin (NAPOLI-1) regimen has been shown to improve survival. Predictors of outcome in the Pancreatic Cancer 675 CHAPTER 88 TABLE 88-2 Definition of Primary Tumor (T) T CATEGORY T CRITERIA TX Primary tumor cannot be assessed T0 No evidence of primary tumor Tis Carcinoma in situ This includes high-grade pancreatic intraepithelial neoplasia (PanIn-3), intraductal papillary mucinous neoplasm with high-grade dysplasia, intraductal tubulopapillary neoplasm with high-grade dysplasia, and mucinous cystic neoplasm with high-grade dysplasia T1 T1a T1b T1c Tumor ≤2 cm in greatest dimension Tumor ≤0.5 cm in greatest dimension Tumor &gt;0.5 cm and 2 cm and ≤4 cm in greatest dimension T3 Tumor &gt;4 cm in greatest dimension T4 Tumor involves celiac axis, superior mesenteric artery, and/or common hepatic artery, regardless of size N CATEGORY N CRITERIA NX Regional lymph nodes cannot be assessed N0 No regional lymph node metastases N1 Metastasis in one to three regional lymph nodes N2 Metastasis in four or more regional lymph nodes M CATEGORY M CRITERIA M0 No distant metastasis M1 Distant metastasis AJCC Prognostic Stage Groups WHEN T IS… AND N IS… AND M IS… THEN THE STAGE GROUP IS…. Tis N0 M0 0 T1 N0 M0 IA T1 N1 M0 IIB T1 N2 M0 III T2 N0 M0 IB T2 N1 M0 IIB T2 N2 M0 III T3 N0 M0 IIA T3 N1 M0 IIB T3 N2 M0 III T4 Any N M0 III Any T Any N M1 IV Source: Used with permission of the American College of Surgeons, Chicago, Illinois. The original source for this information is the AJCC Cancer Staging System (2023). TABLE 88-3 Extent of Disease and Therapeutic Approach DESIGNATION (MEDIAN SURVIVAL) THERAPEUTIC APPROACHES 1. Resectable (localized): (18–23 mo) • No solid tumor contact with celiac axis, hepatic artery, or superior mesenteric artery (SMA), contact with superior mesenteric–portal veins of 180° (superior mesenteric artery, others) • Venous occlusion (superior mesenteric vein [SMV] or portal) • No extrapancreatic disease Chemotherapy Chemotherapy +/– radiation Evaluate for surgery following systemic therapy 3. Metastatic: (6–12 mo) Chemotherapy with special consideration for tumors with specific targets (e.g., mismatch repair high, BRCA1/2, BRAF, etc.) Abbreviation: mFOLFIRINOX, modified FOLFIRINOX (folinic acid, 5-fluorouracil, irinotecan, and oxaliplatin (T Conroy et al: N Engl J Med 379:2395, 2018). metastatic setting include good physical functioning (performance status), favorable nutritional status, the absence of liver metastases, lung-only metastases, and the presence of select pathogenic germ line variants. Table 88-4 details combination regimens that have further improved survival modestly. Median overall survival ranges from 6 to 12 months. However, 1-year survival is improving, with subsets of patients whose survival with metastatic disease can reach a couple of years or longer. PATIENTS WITH A SPECIFIC MOLECULAR PROFILE IN THEIR TUMOR/GERMLINE PARP inhibitors have activity in patients with pathogenic germline or somatic (tumor-based) BRCA2, BRCA1, or PALB2 (i.e., defective DNA repair proteins) variants. In addition, these tumors might be more sensitive to specific combinations of chemotherapy that include platinum agents </w:t>
      </w:r>
      <w:r w:rsidR="00A6019F" w:rsidRPr="00A6019F">
        <w:lastRenderedPageBreak/>
        <w:t xml:space="preserve">(gemcitabine and cisplatin or FOLFIRI NOX). About 1% of pancreatic cancers have microsatellite insta bility, typically with high numbers of mutations in their tumors, due to deficient mismatch repair, and these tumors are likely to benefit from immune checkpoint blockade with anti-PD-1 (pem brolizumab, nivolumab) and anti-CTLA-4 inhibitors. KRAS muta tions occur ubiquitously in pancreatic cancer. Current treatment guidelines include drugs targeting KRAS G12C (~1% of pancreatic 676 TABLE 88-4 Combination Chemotherapy Regimens That Have an Impact on Survival in Stage IV Disease STUDY DESIGN (AUTHOR/REF) Gemcitabine + erlotinib vs gemcitabine (Moore et al: J Clin Oncol 26:1960, 2007) FOLFIRINOX (folinic acid + 5-fluorouracil + irinotecan + oxaliplatin) vs gemcitabine (Conroy et al: N Engl J Med 364:1817, 2011) Nab-paclitaxel + gemcitabine vs gemcitabine (Von Hoff et al: N Eng J Med 369:1691, 2013) Nanoliposomal irinotecan, 5-fluorouracil + folinic acid vs nanoliposomal irinotecan monotherapy vs 5-fluorouracil + folinic acid (Wang-Gillam et al: Lancet 387:545, 2015) NALIRIFOX (nanoliposomal irinotecan, 5-fluorouracil, folinic acid, oxaliplatin) vs nab-paclitaxel and gemcitabine (Wainberg et al: Lancet 402:1272, 2023) PART 4 NO. OF PATIENTS 569 342 861 417 770 MEDIAN OVERALL SURVIVAL (MONTHS) 6.24 vs 5.91 (HR 0.82; 95% CI 0.69–0.99; p = .038) 11.1 vs 6.8 (HR 0.57; 95% CI 0.45–0.70; p 170,000. Gastroenteropancreatic neuroendocrine tumors comprise the majority of neuroendocrine tumors, and recent analyses suggest the incidence in this subgroup has risen proportionately and continues to rise (Fig. 89-1). These same studies have also found that overall survival durations for patients with NETs have improved significantly over time. The increasing incidence and improved survival durations for patients with NETs likely reflect, at least in part, advances in both diagnosis and treatment. While environmental or other factors leading to an increased inci dence of NETs cannot be excluded, common cancer risk factors such as tobacco or alcohol use and dietary patterns have not been clearly linked to NET development. A minority of NETs develop in the context of autosomal inherited genetic syndromes associated with mutations in specific tumor suppressor genes. The most common of these is multiple endocrine neoplasia type 1 (MEN 1), due to mutation and loss of function of the menin gene, located on chromosome 11q13 (Chap. 400). Patients 6 677 500 450 5 4 3 2 1 0 400 350 300 250 200 150 100 50 Age adjusted incidence of neuroendocrine tumors in U.S. (per 100,000) 0 Age adjusted incidence of all malignancies in the U.S. (per 100,000) A B FIGURE 89-1 Incidence of gastroenteropancreatic neuroendocrine tumors (NETs). The incidence of gastroenteropancreatic neuroendocrine tumors has been increasing over the past several decades, an observation that has been attributed in part to improved diagnosis and classification. (Adapted from Z Xu et al: Epidemiologic trends of and factors associated with overall survival for patients with gastroenteropancreatic neuroendocrine tumors in the United States. JAMA Network Open 4:e2124750, 2021, Figure 1A.) 1975 2015 differentiated), as assessed by a pathologist, and tumor grade (grades 1–3) (Table 89-1). Tumor grade closely correlates with mitotic count and Ki-67 proliferative index. Classic, well-differentiated NETs are composed of monotonous </w:t>
      </w:r>
      <w:r w:rsidR="00A6019F" w:rsidRPr="00A6019F">
        <w:lastRenderedPageBreak/>
        <w:t xml:space="preserve">sheets of small round cells with uniform nuclei and only rare mitoses. Immunocytochemical staining for chromogranins and synaptophysin is typical. Ultrastructurally, these tumors contain electron-dense neurosecretory granules containing peptides and bio active amines that may be ectopically secreted, giving rise to a range of clinical syndromes. These classic well- differentiated NETs have low-grade features and gener ally have a mitotic index of 20%. Poorly dif ferentiated high-grade tumors form the most clinically aggressive category; prognosis and treatment for these tumors differ markedly from their well-differentiated counterparts. Whole exome sequencing of sporadic pancreatic NETs has shown that the most frequently altered gene was MEN1, occurring in 44% of tumors. In addition, 43% of tumors had mutations in genes encoding two sub units of a transcription/chromatin remodeling complex consisting of DAXX (death-domain-associated protein) and ATRX (α-thalassemia/mental retardation syndrome X-linked). Mutations in genes associated with the mTOR pathway were identified in 15% of tumors. In contrast, recurrent mutations in extrapancreatic NETs appear to be rare. In one study that evaluated 180 small intestinal NETs using a combination of whole exome and more targeted genome-sequencing analysis, recurrent mutations were only observed in the CDKN1B gene (cyclin-dependent kinase inhibitor 1B [p27Kip1]) in 8% of cases. Loss of chromosome 18 is a common finding in small-bowel NETs. Small-intestinal GI carcinoids commonly have epigenetic changes; however, the clinical significance of these alterations remains uncertain. with MEN 1 are at risk for developing pancreatic NETs as well as hyperparathyroidism and pituitary adenomas; less commonly, they may develop bronchial and thymic NETs. Other inherited syndromes associated with NETs include von Hippel–Lindau disease (VHL), von Recklinghausen’s disease (neurofibromatosis type 1), and tuberous sclerosis (Bourneville’s disease). Inherited mutations in the VHL gene, located on chromosome 3p25, are associated with the development of cerebellar hemangioblastomas, renal cancer, and pheochromocytomas and, less commonly, pancreatic NETs. Mutations in neurofibromin (NF1) are associated with neurofibromatosis (von Recklinghausen’s disease); patients with neurofibromatosis are at risk of developing both pancreatic and extrapancreatic NETs. Tuberous sclerosis is caused by mutations that alter either hamartin (TSC1) or tuberin (TSC2). Both hamartin and tuberin function as inhibitors of the phosphatidylinositol 3-kinase and the mechanistic target of rapamycin (mTOR) signaling cascades, and pancreatic NETs have been reported in these patients. Rare cases of familial small intestine NETs have also been reported; in these cases, multiple synchronous tumors generally arise within the small intestine. A characteristic inherited mutation has not been iden tified to date in the majority of these cases. CLINICAL PRESENTATION AND CHAPTER 89 Gastrointestinal Neuroendocrine Tumors MANAGEMENT OF LOCALIZED PANCREATIC NEUROENDOCRINE TUMORS HISTOLOGIC CLASSIFICATION AND MOLECULAR FEATURES The histologic features of NETs vary widely and are one of the most important determinants of both clinical behavior and treatment. NETs are classified based on the degree tumor differentiation </w:t>
      </w:r>
      <w:r w:rsidR="00A6019F" w:rsidRPr="00A6019F">
        <w:lastRenderedPageBreak/>
        <w:t xml:space="preserve">(well or poorly TABLE 89-1 Histologic Classification of Neuroendocrine Tumors CLASSIFICATION Neuroendocrine tumor Neuroendocrine tumor Neuroendocrine tumor Neuroendocrine carcinoma DIFFERENTIATION Well differentiated Well differentiated Pancreatic NETs have been subcategorized as either “functional,” meaning associated with symptoms of hormone secretion, or non functional, in which case they may be clinically silent until they cause anatomic symptoms. The clinical presentation of functional pancreatic NETs depends on the type of hormone secreted and can sometimes lead to dramatic clinical presentations (Table 89-2). The most com mon functional pancreatic NETs are insulinomas, followed in inci dence by glucagonomas and gastrinomas. Pancreatic NETs secreting other hormones, including somatostatin, vasoactive intestinal pep tide (VIP), adrenocorticotropic hormone (ACTH), and parathyroid hormone (PTH), have also been described but are uncommon. Only ~20% of pancreatic NETs are associated with symptoms of hormone GRADE Low grade (grade 1) MITOTIC COUNT KI-67 20 per 10 HPF &gt;20 per 10 HPF 20% &gt;20% Abbreviation: HPF, high-power field. 678 TABLE 89-2 Clinical Presentation and Management of Secretory Syndromes Associated with Neuroendocrine Tumors CLINICAL SYMPTOMS AND MANIFESTATIONS Pancreatic Neuroendocrine Tumors Gastrinoma (generally located in “gastrinoma triangle”) Insulinoma Glucagonoma VIPoma PART 4 ACTHoma Zollinger-Ellison syndrome: gastroesophageal reflux, peptic ulcer disease, diarrhea Hypoglycemia leading to confusion, lethargy, coma; weight gain Skin rash (necrolytic migratory erythema), glucose intolerance, weight loss Verner-Morrison syndrome: watery diarrhea, hypokalemia, achlorhydria Cushing’s syndrome: hyperglycemia, weight gain, hypokalemia TREATMENT OPTIONS TO CONTROL SECRETORY SYMPTOMS Proton pump inhibitors, somatostatin analogues Diazoxide, everolimusa Somatostatin analogues Somatostatin analogues Ketoconazole, metyrapone, consider adrenalectomy Extrapancreatic Gastrointestinal Neuroendocrine Tumors Somatostatin analogues, telotristat ethyl Oncology and Hematology Typically in setting of advanced disease from small intestine or appendiceal primary tumors Carcinoid syndrome: flushing, diarrhea, right sided valvular heart disease, mesenteric fibrosis aSuccessful use of monoclonal anti-insulin receptor antibodies to treat insulin induced hypoglycemia has been reported but remains investigational. Abbreviations: ACTH, adrenocorticotropic hormone; VIP, vasoactive intestinal peptide. hypersecretion; the majority of pancreatic NETs are “nonfunctional” and are diagnosed either incidentally or after patients present with abdominal pain, weight loss, or other anatomic symptoms related to tumor bulk. </w:t>
      </w:r>
      <w:r w:rsidR="00A6019F" w:rsidRPr="00A6019F">
        <w:rPr>
          <w:rFonts w:ascii="Arial" w:hAnsi="Arial" w:cs="Arial"/>
        </w:rPr>
        <w:t>■</w:t>
      </w:r>
      <w:r w:rsidR="00A6019F" w:rsidRPr="00A6019F">
        <w:t xml:space="preserve">GASTRINOMA Patients with gastrinoma typically present with Zollinger-Ellison syn drome (ZES) (Chap. 335). The most common symptoms associated with this syndrome are abdominal pain, diarrhea, gastroesophageal reflux disease (GERD), and peptic ulcer disease. Peptic ulcer disease manifesting as multiple ulcers with associated diarrhea is a classic pre sentation. Up to 25% of patients with ZES have MEN 1, and a diagnosis of gastrinoma should prompt a family history as well as an assessment for concurrent hyperparathyroidism. Fasting hypergastrinemia is a nearly </w:t>
      </w:r>
      <w:r w:rsidR="00A6019F" w:rsidRPr="00A6019F">
        <w:lastRenderedPageBreak/>
        <w:t xml:space="preserve">universal finding in patients with gastrinoma. Importantly, however, proton pump inhibitors (PPIs) can suppress acid secretion sufficiently to cause hypergastrinemia and can confound the diagno sis. Achlorhydria, usually in the context of chronic atrophic gastritis, will also elevate serum gastrin levels but can usually be easily distin guished from gastrinoma given the absence of other evidence of acid hypersecretion. While often classified as pancreatic NETs, the majority of gastri nomas in fact arise in the “gastrinoma triangle,” an anatomic region bounded by the duodenum, pancreas, and confluence of the cystic and common bile ducts. Most gastrinomas (50–90%) in sporadic ZES arise in the duodenum. They are frequently small and may be dif ficult to localize. Imaging studies generally include either computed tomography (CT) or magnetic resonance imaging (MRI); endoscopic ultrasound or somatostatin scintigraphy may also be helpful. PPIs are generally highly effective in the treatment of symptoms related to gastrinoma and are considered the initial treatment of choice. Rapid resolution of both abdominal pain and diarrhea related to acid hypersecretion is common. Somatostatin analogues may also be helpful in controlling symptoms in refractory cases. Once symptoms are con trolled, surgical resection is generally recommended for patients with sporadic gastrinomas, both to eliminate the cause of gastrin secretion and to decrease the risk of developing metastatic disease. The tech nique used for resection depends in large part on the precise location of the tumor. In some cases where preoperative imaging is not success ful but a diagnosis is strongly suspected, exploratory laparotomy with intraoperative ultrasound may be undertaken. In gastrinoma patients who have underlying MEN 1, tumors are generally small and multiple; the role of routine surgery in this setting remains more controversial but generally is still recommended in patients with larger tumors mea suring ≥1.5–2 cm in diameter. </w:t>
      </w:r>
      <w:r w:rsidR="00A6019F" w:rsidRPr="00A6019F">
        <w:rPr>
          <w:rFonts w:ascii="Arial" w:hAnsi="Arial" w:cs="Arial"/>
        </w:rPr>
        <w:t>■</w:t>
      </w:r>
      <w:r w:rsidR="00A6019F" w:rsidRPr="00A6019F">
        <w:t xml:space="preserve">INSULINOMA Patients with insulinoma generally present with symptoms of hypogly cemia, which may include confusion, headache, disorientation, visual difficulties, irrational behavior, and even coma. In some cases, the diag nosis of insulinoma may not be immediately evident, and patients with insulinoma may initially be diagnosed with psychiatric illnesses that in retrospect were hypoglycemic symptoms. The diagnosis of insulinoma is generally confirmed with elevated fasting insulin levels in conjunc tion with elevated proinsulin and C-peptide. Fasting hypoglycemia can also be caused by severe liver disease, alcoholism, and poor nutrition. Postprandial hypoglycemia may also occur after gastric bypass surgery. Surreptitious use of insulin or hypoglycemic agents may be difficult to distinguish from an insulinoma. Evaluation of proinsulin and C-pep tide levels, both of which should be normal in patients using exogenous insulin, and measurement of sulfonylurea levels in serum or plasma are helpful in such cases. The hypoglycemia associated with insulinomas can be severe and challenging to manage. While somatostatin analogues are usually effec tive in treating symptoms of hormone hypersecretion associated with other types of NETs, they should be used with caution in patients with insulinoma. Somatostatin analogues may suppress counterregulatory hormones, such as growth </w:t>
      </w:r>
      <w:r w:rsidR="00A6019F" w:rsidRPr="00A6019F">
        <w:lastRenderedPageBreak/>
        <w:t xml:space="preserve">hormone (GH), glucagon, and catechol amines, and precipitously worsen hypoglycemia. Diazoxide has histori cally been used in the initial management of patients with insulinoma and results in inhibition of insulin release, though it can also be associ ated with side effects including sodium retention and nausea. Evero limus, in addition to its antitumor effect (see below), is effective in improving glycemic control in patients with insulinoma. The benefits of everolimus in this setting may be related both to induction of insulin resistance and a direct antitumor effect. The use of anti-insulin recep tor monoclonal antibodies may be highly effective in treating the hypo glycemia associated with insulinoma, although currently their use for this indication remains investigational Insulinomas may be difficult to localize, as they are less consistently avid on somatostatin scintigraphy than other pancreatic NETs. Insulinomas are also generally small, with the majority measuring 2 cm in size, surgical resection may still be considered. </w:t>
      </w:r>
      <w:r w:rsidR="00A6019F" w:rsidRPr="00A6019F">
        <w:rPr>
          <w:rFonts w:ascii="Arial" w:hAnsi="Arial" w:cs="Arial"/>
        </w:rPr>
        <w:t>■</w:t>
      </w:r>
      <w:r w:rsidR="00A6019F" w:rsidRPr="00A6019F">
        <w:t xml:space="preserve">NONFUNCTIONING PANCREATIC NETS As noted above, the majority of pancreatic NETs are not associated with symptoms of hormone hypersecretion and are considered “non functional.” As a result, they often remain clinically silent and either are diagnosed incidentally or are not diagnosed until widespread, metastatic disease is present resulting in anatomic symptoms. If they are localized at diagnosis, the general treatment recommendation is surgical resection; however, the management of small, asymptomatic pancreatic NETs is debated. Assuming tumors are low grade, patients with incidentally discovered, low-grade tumors measuring 2 cm in diameter, metastases pose a significant risk and surgical resection is generally recommended in patients for whom surgery is not contraindicated. CHAPTER 89 Gastrointestinal Neuroendocrine Tumors CLINICAL PRESENTATION AND MANAGEMENT OF LOCALIZED EXTRAPANCREATIC GASTROINTESTINAL NEUROENDOCRINE TUMORS Extrapancreatic GI NETs, historically called carcinoid tumors, may arise virtually anywhere in the GI tract and differ significantly in their clinical characteristics depending on their location. The most common locations for extrapancreatic NETs are the stomach, distal small intes tine, appendix, and rectum. </w:t>
      </w:r>
      <w:r w:rsidR="00A6019F" w:rsidRPr="00A6019F">
        <w:rPr>
          <w:rFonts w:ascii="Arial" w:hAnsi="Arial" w:cs="Arial"/>
        </w:rPr>
        <w:t>■</w:t>
      </w:r>
      <w:r w:rsidR="00A6019F" w:rsidRPr="00A6019F">
        <w:t xml:space="preserve">GASTRIC NETS Gastric NETs can be categorized into three groups: type 1 (associated with chronic atrophic gastritis); type 2 (associated with gastrinomas and ZES), and type 3 (sporadic, gastric NETs). Type 1 gastric NETs are the most common of the three types. In type 1 gastric NETs, chronic atrophic gastritis results in loss of acid secretion with consequent loss of the negative feedback loop on gastrin-producing cells in the antrum of the stomach. Pernicious anemia is also commonly associated with this condition; classic laboratory findings are a markedly elevated gastrin level and low levels of vitamin B12 . Unchecked gastrin secretion in these patients results in hyperplasia of the endocrine cells in the gastric fundus. A typical finding on endoscopy is diffuse endocrine cell hyperplasia with multiple gastric carcinoid tumors (Fig. 89-3). These 680 PART 4 Oncology and Hematology FIGURE 89-3 Multifocal gastric neuroendocrine tumor. (Courtesy of Christopher Huang, MD, Boston Medical Center.) tumors generally pursue a benign course and can be monitored with serial endoscopy. In cases where tumors continue to grow or become symptomatic, </w:t>
      </w:r>
      <w:r w:rsidR="00A6019F" w:rsidRPr="00A6019F">
        <w:lastRenderedPageBreak/>
        <w:t xml:space="preserve">antrectomy to remove the source of gastrin production can result in tumor regression. Type 2 tumors are rare and usually occur in the setting of gastrinoma; as with type 1 gastric NETs, elevated gastrin levels result in diffuse gastric neuroendocrine hyperplasia and multifocal gastric NETs. Resection of the gastrinoma, removing the source of gastrin production, is the treatment of choice. In contrast to type 1 and type 2 gastric NETs, type 3 gastric NETs are generally solitary, arise in the setting of normal gastrin levels, and may pursue a far more aggressive course. For early-stage, smaller tumors, endoscopic or wedge resection may be performed. For larger tumors, partial gastrectomy with lymphadenectomy is recommended. </w:t>
      </w:r>
      <w:r w:rsidR="00A6019F" w:rsidRPr="00A6019F">
        <w:rPr>
          <w:rFonts w:ascii="Arial" w:hAnsi="Arial" w:cs="Arial"/>
        </w:rPr>
        <w:t>■</w:t>
      </w:r>
      <w:r w:rsidR="00A6019F" w:rsidRPr="00A6019F">
        <w:t xml:space="preserve">NETS OF THE SMALL INTESTINE Small-bowel NETs occur most commonly in the terminal ileum and are notoriously difficult to diagnose at an early stage. One reason for this is that they arise within the muscularis, and their submucosal location makes them difficult to see during routine colonoscopy (Fig. 89-4A). Small-bowel NETs are also often multifocal; multifocal tumors appear to arise independently throughout the small intestine, although the mechanisms underlying this phenomenon remain uncertain. Small-bowel NETs are often associated with desmoplasia and mes enteric fibrosis, likely as a result of fibroblast proliferation stimulated by tumor serotonin secretion. Mesenteric fibrosis frequently results in intermittent small-bowel obstruction and, in some cases, bowel ischemia due to involvement of the mesenteric vessels. Patients may experience symptoms of intermittent abdominal pain and associated diarrhea, sometimes for months or years before diagnosis, that because of the difficulty in diagnosis are often attributed to irritable bowel syn drome. One classic finding that can aid in diagnosis is that the lymph node metastases associated with small intestine NETs are usually larger than the primary tumor and may be calcified, which, together with the tethering of the small intestine caused by the associated fibrosis, results in a classic “spoke and wheel” appearance on CT (Fig. 89-4B). Surgical resection of the primary tumor and associated metastases is recommended when feasible and is performed with curative intent when distant metastatic disease is not already present. Resection should also be considered in patients with metastatic disease experi encing intermittent obstruction or abdominal discomfort thought to be related to the primary tumor or associated mesenteric disease. Some have also advocated the routine resection of asymptomatic small-bowel primary tumors in patients with distant metastatic disease, with the rationale that this may be a way to prevent the future development of fibrosis and obstruction and preempt the development of unresectable disease due to tumor involvement of the mesenteric vessels. However, the available data on the benefits of resecting an asymptomatic primary tumor in this context are conflicting. Some studies have suggested that this practice results in an overall survival benefit, but the retrospective nature of these studies makes the data difficult to interpret given the high potential for selection bias in patients taken to surgery compared with those who were not. Other studies have suggested that prophy lactic primary tumor resection confers no survival benefit and that surgery can be safely delayed until it is indicated based on the develop </w:t>
      </w:r>
      <w:r w:rsidR="00A6019F" w:rsidRPr="00A6019F">
        <w:lastRenderedPageBreak/>
        <w:t xml:space="preserve">ment of symptoms. </w:t>
      </w:r>
      <w:r w:rsidR="00A6019F" w:rsidRPr="00A6019F">
        <w:rPr>
          <w:rFonts w:ascii="Arial" w:hAnsi="Arial" w:cs="Arial"/>
        </w:rPr>
        <w:t>■</w:t>
      </w:r>
      <w:r w:rsidR="00A6019F" w:rsidRPr="00A6019F">
        <w:t xml:space="preserve">NETS OF THE APPENDIX NETs are one of the most common tumors arising in the appendix. They are typically discovered incidentally in younger individuals undergoing appendectomy for acute appendicitis and not uncom monly are identified only at the time of pathology review. While the unexpected diagnosis of an appendiceal NET in such situations can cause considerable anxiety, in the majority of cases, the prognosis is excellent. Indeed, the clinical behavior of appendiceal NETs has been inferred from multiple large retrospective surgical series that suggest that the risk of lymph node or distant metastases from appendiceal NETs with well-differentiated histology and a tumor diameter measur ing 3 cm. For patients with larger tumors, more formal staging studies with either A B FIGURE 89-4 Small intestine neuroendocrine tumor. A. Small intestine neuroendocrine tumors arising in submucosal location. The submucosal location of small intestine neuroendocrine tumors, together with their location beyond the ileocecal valve in the terminal ileum, can make endoscopic detection challenging. B. Classic “spoke and wheel” appearance of calcified mesenteric mass associated with small intestine primary neuroendocrine tumor. Mesenteric fibrosis commonly leads to intermittent obstructive symptoms and can also lead to ischemia when the mesenteric vasculature is involved. (Fig. B: Courtesy of Christina LeBedis, MD, Boston Medical Center.) 681 cross-sectional imaging or somatostatin scintigraphy are generally recommended to assess for distant metastases, and a subsequent right colectomy to remove regional lymph nodes is performed if no distant metastases are observed. Whether right colectomy should be per formed for tumors measuring 2 cm, though uncommon, metastasize in &gt;70% of patients. When identified early, these tumors generally require a surgical resec tion. In contrast to NETs of the appendix and small intestine, hormone secretion from rectal NETs, even when metastatic, is exceedingly rare. CLINICAL PRESENTATION, DIAGNOSIS, AND EVALUATION OF PATIENTS WITH METASTATIC NEUROENDOCRINE TUMORS While patients who undergo resection of localized NETs may be at risk of developing tumor recurrence or metastatic disease, postoperative treatment has not yet been shown to alter the risk of recurrence, and systemic adjuvant therapy is not recommended following resection of well-differentiated NETs, as it is for some other cancers. Whether adju vant systemic therapy may be of benefit following resection of high grade NETs is uncertain, and an approach utilizing platinum-based chemotherapy with or without external-beam radiation, analogous to that used in small-cell carcinoma, is sometimes considered. The evaluation of patients with known or suspected metastatic disease generally includes both standard cross-sectional imaging such as CT or MRI and somatostatin scintigraphy. Somatostatin scintig raphy in this setting is based on the fact that &gt;90% of NETs express somatostatin receptors. Gallium-68 (68GA) dotatate, as well as 68GA DOTATOC and copper-64 dotatate, are all radioligands bound to a somatostatin analogue and can be used as a nuclear medicine tracer to perform positron emission tomography (PET) scanning that is highly sensitive in detecting both primary NETs and metastases (Fig. 89-5). Because of the sensitivity of </w:t>
      </w:r>
      <w:r w:rsidR="00A6019F" w:rsidRPr="00A6019F">
        <w:lastRenderedPageBreak/>
        <w:t xml:space="preserve">these approaches, false-positive results can occur due to somatostatin receptor expression in other tissues. Physi ologic uptake in the pancreatic uncinated process is common; uptake can also occur in the setting of sarcoidosis, in meningiomas, and in thyroid goiter or thyroiditis. Standard fluorodeoxyglucose (FDG) PET scans are often negative in well-differentiated NET due to their low metabolic activity but can show uptake in higher-grade tumors; conversely, rates of somatostatin expression tend to be lower in higher grade tumors, and 68GA dotatate scans may be negative in this setting. The utility of blood-based tumor markers in NETs is controversial. The circulating tumor marker chromogranin A is commonly used as a screen for the presence of NETs and also to monitor for both recur rence and progression of disease in patients with known metastases. While chromogranin A is elevated in patients with metastatic NETs, it is neither particularly sensitive nor specific. A broad range of different assays for chromogranin A have also posed challenges in interpreting results in a standardized fashion. Chromogranin A is often elevated in a number of nonmalignant conditions, including in patients with FIGURE 89-5 Gallium-68 dotatate positron emission tomography (PET) scan demonstrating a small-bowel neuroendocrine tumor and associated mesenteric mass. (Courtesy of Sara Meibom, MD, Boston Medical Center.) impaired renal function and in patients who are taking PPIs. Elevated values of chromogranin A should be interpreted with caution in patients in whom a NET is being considered but in whom a diagnosis has not been established. The overall survival durations for patients with metastatic NETs vary significantly, depending on both the primary location of the tumor and the histologic grade. Median survival durations for patients with well-differentiated NETs have markedly increased in recent years, likely reflecting both earlier diagnoses and improved treatments. For example, in early analyses of the SEER database, the median survival for patients with advanced pancreatic NETs was ~2 years; this had increased to 4 years in a more recent analysis. Similar increases were observed in patients with advanced small intestine NETs, where the median survival for patients with well-differentiated small intestine NETs exceeds 5 years. The sometimes prolonged survival of patients with NETs can make it challenging to determine at what point to initiate treatment. In patients with symptoms of hormone secretion, decisions to initiate therapy are straightforward. In asymptomatic patients, on the other hand, observation off treatment can sometimes be appropriate. Nevertheless, the natural course of NETs is ultimately to progress, and if treatment is not initiated, close monitoring is essen tial to ensure patients maximize access to available treatment options over the course of their disease. CHAPTER 89 Gastrointestinal Neuroendocrine Tumors MANAGEMENT OF SYMPTOMS OF HORMONE HYPERSECRETION AND THE CARCINOID SYNDROME Patients with advanced NETs may in some cases experience more symptoms from hormone hypersecretion than from tumor bulk. The management of hormonal symptoms associated with pancreatic NETs depends on the hormone being secreted (see above). Patients with GI NETs, particularly those with small intestine or appendiceal primaries, may develop the </w:t>
      </w:r>
      <w:r w:rsidR="00A6019F" w:rsidRPr="00A6019F">
        <w:lastRenderedPageBreak/>
        <w:t xml:space="preserve">carcinoid syndrome. Flushing and diarrhea are the two most common symptoms associated with carcinoid syndrome. The characteristic flush is of sudden onset; it is a deep red or violaceous erythema of the upper body, especially the neck and face, often associ ated with a feeling of warmth. Flushes may be precipitated by stress, alcohol, exercise, and certain foods such as cheese. Flushing episodes initially are brief, lasting 2–5 min, though later in the disease course, they may last hours. The diarrhea associated with carcinoid syndrome 682 PART 4 Oncology and Hematology Carcinoid tumor Telotristat ethyl Tryptophan Tryptophan hydroxylase Aromatic L-amino acid decarboxylase Monoamine oxidase Aldehyde dehydrogenase Secretion Excretion Hydroxytryptophan (5-HTP) Serotonin (5-HT) 5-HT stored in secretory granules 5-HT in blood 5-Hydroxyindolacetic acid (5-HIAA) 5-HIAA filtered by kidney 5-HIAA in urine FIGURE 89-6 Serotonin synthesis and secretion in neuroendocrine tumors. Tryptophan is converted to hydroxytryptophan by tryptophan hydroxylase within the tumor cell and, subsequently, to serotonin (5-HT). Serotonin is subsequently converted to 5-hydroxyindole acetic acid (5-HIAA), which can be measured in a 24-h urine collection and can facilitate the diagnosis of carcinoid syndrome. Telotristat ethyl inhibits tryptophan hydroxylase and can be used as a treatment for carcinoid syndrome. may or may not be associated with flushing and is described as watery in nature. Diarrhea can be profound, sometimes occurring in excess of 10 times daily and is one of the symptoms that most significantly interferes with activities of daily living. Less common manifestations of the carcinoid syndrome include wheezing or asthma-like symptoms. Impaired cognitive function has also been described in particularly advanced cases. The main secretory product implicated in the carcinoid syndrome is serotonin (5-HT). Serotonin is synthesized from tryptophan by the enzyme tryptophan hydroxylase (Fig. 89-6). Up to 50% of dietary tryp tophan can be used in this synthetic pathway by tumor cells, resulting in inadequate supplies for conversion to niacin; hence, some patients develop symptoms of niacin deficiency and pellagra-like lesions. Serotonin has numerous biologic effects, including the stimulation of intestinal secretion, increasing intestinal motility, and the stimulation of fibroblast growth. Other secreted products contributing to carcinoid syndrome symptoms are thought to include histamines and tachyki nins, including substance P. </w:t>
      </w:r>
      <w:r w:rsidR="00A6019F" w:rsidRPr="00A6019F">
        <w:rPr>
          <w:rFonts w:ascii="Arial" w:hAnsi="Arial" w:cs="Arial"/>
        </w:rPr>
        <w:t>■</w:t>
      </w:r>
      <w:r w:rsidR="00A6019F" w:rsidRPr="00A6019F">
        <w:t xml:space="preserve">DIAGNOSIS AND TREATMENT OF THE CARCINOID SYNDROME While the carcinoid syndrome can develop in patients with NETs from almost any site, it is most commonly associated with appendiceal or small intestine NETs. In these patients, the syndrome usually develops only after the development of hepatic metastases or retroperitoneal lesions, allowing entry of serotonin and other vasoactive substances into the systemic circulation. While serotonin levels can be measured in plasma, such measurements are frequently highly variable. Evi dence of excess serotonin secretion can be more reliably confirmed by measuring levels of the serotonin metabolite 5-hydroxyindole acetic acid (5-HIAA), either in plasma or using a 24-h urine collection. Urine collections can be challenging, and false-positive elevations may occur if the patient is eating serotonin-rich foods (e.g., salmon, eggs). As </w:t>
      </w:r>
      <w:r w:rsidR="00A6019F" w:rsidRPr="00A6019F">
        <w:lastRenderedPageBreak/>
        <w:t xml:space="preserve">a result, elevated levels of 5-HIAA are suggestive but not diagnostic of the carcinoid syndrome. Patients with NETs may also experience symptoms of carcinoid syndrome related to other secreted products, including histamine, absent evidence of serotonin secretion. Con versely, patients without NETs may also describe symptoms analogous to carcinoid syndrome but due to other causes. The symptoms associ ated with systemic mastocytosis, in particular, can be easily confused with carcinoid syndrome. The symptoms of carcinoid syndrome, including diarrhea, are generally refractory to standard antidiarrheals or other traditional medications but can often be well controlled with somatostatin analogues (Fig. 89-7). Somatostatin is a 14-amino-acid peptide that inhibits the secretion of a broad range of hormones. Due to its short half-life, administration of somatostatin itself is not therapeutically practical. Longer-acting somatostatin analogues, including octreotide and lanreotide, share an 8-amino-acid binding domain with naturally occurring somatostatin and bind primarily to somatostatin receptor subtypes 2 and 5. Both have been shown to be effective in the treatment of carcinoid syndrome. The presence of somatostatin receptors on NETs is predictive of response to somatostatin analogues and can be easily confirmed with uptake on somatostatin scintigraphy such as 68GA dotatate PET scan. Somatostatin analogue side effects are generally mild. Mild nausea, abdominal discomfort, bloating, and loose stools occur in up to one third of patients during the first month or two of treatment but usually subsequently subside. Patients with persistent symptoms of bloating or loose stools may be experiencing pancreatic insufficiency associ ated with use of somatostatin analogues; use of pancreatic enzyme supplements can ameliorate these symptoms. Mild glucose intoler ance may also occur due to inhibition of insulin secretion. One of the more significant side effects associated with somatostatin analogues is impaired gallbladder contractility, resulting in delayed gallbladder emptying, and long-term administration of somatostatin analogues has been associated with an increased risk of cholelithiasis. For this reason, patients with advanced NETs in whom surgery is planned and for whom somatostatin analogue therapy is being considered should generally also undergo prophylactic cholecystectomy. Over time, for reasons that remain uncertain, patients receiving somatostatin analogues for symptoms of hormone secretion may become refractory to treatment. Not uncommonly, such patients experience symptom exacerbation toward the final week of each treat ment cycle. Such patients may benefit from an increased frequency of administration (i.e., every 3 weeks) or use of additional short-acting octreotide for breakthrough symptoms. The association between high levels of circulating serotonin and symptoms of the carcinoid syndrome has also led to efforts aiming to directly inhibit serotonin synthesis (Fig. 89-6). This approach was first undertaken in the late 1960s with the drug para-chlorophenylalanine, which was reported to reduce symptoms of carcinoid syndrome but also caused significant central nervous system (CNS) side effects. Telotristat ethyl, a tryptophan hydroxylase inhibitor with minimal CNS penetra tion, was evaluated in a randomized trial that enrolled 135 </w:t>
      </w:r>
      <w:r w:rsidR="00A6019F" w:rsidRPr="00A6019F">
        <w:lastRenderedPageBreak/>
        <w:t xml:space="preserve">patients with persistent carcinoid syndrome–related diarrhea while receiving somatostatin analogues. Treatment with telotristat ethyl was associated with a reduction in bowel movement frequency as well as significant decreases in urinary 5-HIAA compared to placebo, consistent with its mechanism of directly inhibiting serotonin synthesis. Thus, telotristat is a treatment option for patients with carcinoid syndrome who have persistent diarrhea despite treatment with somatostatin analogues. </w:t>
      </w:r>
      <w:r w:rsidR="00A6019F" w:rsidRPr="00A6019F">
        <w:rPr>
          <w:rFonts w:ascii="Arial" w:hAnsi="Arial" w:cs="Arial"/>
        </w:rPr>
        <w:t>■</w:t>
      </w:r>
      <w:r w:rsidR="00A6019F" w:rsidRPr="00A6019F">
        <w:t xml:space="preserve">CARCINOID CRISIS Carcinoid crisis has been described in the setting of tumor manipula tion during surgery and, less commonly, after other interventions such as hepatic artery embolization or radionuclide therapy. It may also occur as a result of exogenous administration of epinephrine or during 683 Ala 14 Gly 13 Cys 12 s s Lys 11 Asn 10 Phe Phe 9 Cys Thr 8 Phe Tr p 7 Lys Ser 1 2 3 4 5 Thr Native somatostatin-14 D-Phe Cys s Phe D-Trp s Thr Cys Thr D-BNAL Lys Cys s s Tyr D-Trp Lys Thr Cys Val HOOC HOOC N 6 N HN D-Phe O Cys Tyr D-Trp s 177Lu N N COOH Thr Cys s Octreotide Lanreotide 177Lu-DOTA-Tyr3-Octreotate Lys Thr FIGURE 89-7 Somatostatin analogues. Commonly used somatostatin analogues include octreotide and lanreotide, which mirror the molecular structure of human somatostatin and bind to somatostatin receptors on neuroendocrine tumors. Somatostatin analogues inhibit tumoral hormone secretion and also have an antiproliferative effect. Radiolabeled somatostatin analogues such as 177Lu-DOTA-octreotate, shown in the figure, share a similar molecular structure and are used therapeutically. induction of anesthesia. It is most common in patients who already have significant symptoms of carcinoid syndrome and is thought to be caused by a sudden release of biologically active compounds from the tumor. Carcinoid crisis can be life-threatening and can manifest as either profound hypotension or hypertension. Prospective studies on the prevention and management of carcinoid crisis are limited; how ever, somatostatin analogues should be readily available during surgical procedures, and in some cases, continuous prophylactic intravenous administration of somatostatin analogues has been utilized as a way to mitigate risk. </w:t>
      </w:r>
      <w:r w:rsidR="00A6019F" w:rsidRPr="00A6019F">
        <w:rPr>
          <w:rFonts w:ascii="Arial" w:hAnsi="Arial" w:cs="Arial"/>
        </w:rPr>
        <w:t>■</w:t>
      </w:r>
      <w:r w:rsidR="00A6019F" w:rsidRPr="00A6019F">
        <w:t xml:space="preserve">CARCINOID HEART DISEASE Carcinoid heart disease occurs in approximately two-thirds of patients with the carcinoid syndrome. Carcinoid heart lesions are characterized by plaque-like, fibrous endocardial thickening that classically involves the right side of the heart and often causes retraction and fixation of the leaflets of the tricuspid and pulmonary valves (Fig. 89-8). The fibrosis in carcinoid heart disease is thought to be directly related to exposure of heart valve fibroblasts to high circulating levels of serotonin. Lesions FIGURE 89-8 Carcinoid heart disease. Fibrosis secondary to elevated levels of circulating serotonin classically involves the tricuspid valve, resulting in valve retraction and tricuspid regurgitation. similar to those observed in carcinoid heart disease were observed in patients receiving fenfluramine, a drug also known to increase serotonin signaling, as well as in patients receiving ergot-containing dopamine receptor agonists for Parkinson’s disease. Metabolites of fenfluramine, as well as the dopamine receptor agonists, have high affinity for serotonin receptor subtype 5-HT2B receptors, whose activa tion is known to cause fibroblast mitogenesis and which are </w:t>
      </w:r>
      <w:r w:rsidR="00A6019F" w:rsidRPr="00A6019F">
        <w:lastRenderedPageBreak/>
        <w:t xml:space="preserve">normally expressed in heart valve fibroblasts. These observations support the hypothesis that serotonin overproduction in patients with carcinoid syndrome mediates the valvular changes by activating 5-HT2B receptors in the endocardium. Tricuspid regurgitation is a nearly universal feature of carcinoid heart disease; tricuspid stenosis, pulmonary regurgitation, and pulmo nary stenosis may also occur. Left-sided heart disease occurs in 1000 patients. Reported toxicities from these series have included rare cases of acute leukemia and myelodysplastic syndrome, presumably associated with radiation exposure. Nevertheless, these studies generally support both the efficacy and safety of 177Lu-dotatate as a treatment for patients with a range of somatostatin receptor–positive NETs. </w:t>
      </w:r>
      <w:r w:rsidR="00A6019F" w:rsidRPr="00A6019F">
        <w:rPr>
          <w:rFonts w:ascii="Arial" w:hAnsi="Arial" w:cs="Arial"/>
        </w:rPr>
        <w:t>■</w:t>
      </w:r>
      <w:r w:rsidR="00A6019F" w:rsidRPr="00A6019F">
        <w:t xml:space="preserve">ALKYLATING AGENTS While the efficacy of traditional cytotoxic chemotherapy appears to be minimal in most extrapancreatic GI NETs, alkylating agents have a clear role in the treatment of advanced pancreatic NETs. Streptozocin based combination therapy was historically used as treatment standard in such patients but has largely fallen out of favor due to both toxicity concerns and a cumbersome administration schedule. Temozolomide is an orally administered alkylating agent that has largely replaced streptozocin as a backbone in combination regimens used for the treat ment of pancreatic NETs. Initial studies evaluating temozolomide in combination with a range of different agents showed that temozolomide-based combination ther apy was associated with tumor responses in 24–70% of patients. One of the most active combination regimens appeared to be temozolomide and capecitabine. This combination was subsequently compared to temozolomide alone in a prospective randomized study undertaken by the Eastern Cooperative Oncology Group (ECOG) that enrolled 144 patients with advanced pancreatic NETs. The overall response rates in the two arms were relatively similar; 33% of patients who received the combination of temozolomide and capecitabine experienced objective tumor responses as compared to 28% of the patients who received temozolomide as a single agent. However, progression-free survival was significantly longer in the combination arm (22.7 vs 14.4 months). Based on these results, the combination of temozolomide and capecitabine is now the preferred chemotherapy combination for advanced pancreatic NETs. The reason that some pancreatic NETs respond to alkylating agents while others do not is uncertain. In patients with glioblastoma, methyl ation of the promoter region for methylguanine DNA methyltransfer ase (MGMT) is associated with decreased MGMT protein expression and is highly associated with temozolomide responsiveness. MGMT is an enzyme that is responsible for repairing DNA damage induced by alkylating agents. Reduced levels of MGMT presumably impair the ability of tumor cells to repair their DNA in response to treatment and enhance the cytotoxicity of temozolomide. Several retrospective stud ies, as well as data from the prospective ECOG study, have suggested that lack of MGMT expression in pancreatic NET may be associated with responsiveness to temozolomide-based therapy, although findings have not been definitive. SMALL-MOLECULE TYROSINE KINASE INHIBITORS The highly vascular nature of NETs </w:t>
      </w:r>
      <w:r w:rsidR="00A6019F" w:rsidRPr="00A6019F">
        <w:lastRenderedPageBreak/>
        <w:t xml:space="preserve">combined with observations in preclinical models that disruption of signaling pathways associated with VEGF inhibits neuroendocrine cell growth prompted a number of clinical trials evaluating therapeutic agents that inhibit the VEGF pathway in both pancreatic and extrapancreatic NETs. The VEGF pathway is activated through the binding of VEGF to its cell surface receptor, which initiates an intracellular signaling cascade that pro motes angiogenesis as well as cell growth, proliferation, and survival. Clinical trials of VEGF pathway inhibitors in NETs have included a number of small-molecule tyrosine kinase inhibitors that, while they differ to some extent in specificity, all have in common the property targeting VEGFR2, the receptor isoform most strongly implicated in promoting angiogenesis. CHAPTER 89 Gastrointestinal Neuroendocrine Tumors Sunitinib, a multitargeted tyrosine kinase inhibitor that inhibits a range of growth factor receptors including VEGFR2, was one of the first agents in this class found to have activity in pancreatic NETs. In an initial phase 2 trial, sunitinib was administered to 109 patients with either pancreatic or extrapancreatic NET. Of 61 patients with pancre atic NET enrolled in the study, 11 had evidence of an objective tumor response. Based on these observations, sunitinib was evaluated in an international, randomized trial in which continuous administration of sunitinib (37.5 mg daily) was compared with placebo in 171 patients with advanced, progressive pancreatic NET. The median progression free survival was significantly longer in patients treated with sunitinib compared with patients treated with placebo (11.4 vs 5.5 months). Common side effects associated with sunitinib included hypertension, proteinuria, and fatigue. A second VEGFR-targeted tyrosine kinase inhibitor, surufatinib, was evaluated in a randomized trial in which 264 patients with advanced pancreatic NETs from 21 centers in China were randomized to receive either surufatinib, administered at a dose of 300 mg daily, or placebo. Patients receiving surufatinib experienced a median progression free survival duration of 10.9 months, as compared to 3.7 months in 686 patients receiving placebo, closely mirroring the results of the earlier sunitinib study. Cabozantinib, a tyrosine kinase inhibitor with activ ity against not only VEGFR but also c-MET and related growth factor receptors, was evaluated against placebo in a randomized trial led by the ALLIANCE cooperative group that included both pancreatic and extrapancreatic NETs. Among the 95 pancreatic NET patients in the study, median progression-free survival was 13.8 months for those receiving cabozantinib and 4.5 months for those receiving placebo. Other small-molecule tyrosine kinase inhibitors that have been evalu ated in smaller, single-arm studies and have shown activity in pancre atic NETs, include sorafenib, pazopanib, and axitinib. PART 4 Oncology and Hematology Small-molecule tyrosine kinase inhibitors targeting the VEGF path way have also been evaluated in patients with advanced nonpancreatic GI NET. In most of these studies, objective tumor response rates are lower than those seen in pancreatic NET, though many of these initial studies also revealed low rates of tumor progression and encouraging progression-free survival durations, suggesting that these agents had antitumor activity. Pazopanib was compared to placebo in a random ized study </w:t>
      </w:r>
      <w:r w:rsidR="00A6019F" w:rsidRPr="00A6019F">
        <w:lastRenderedPageBreak/>
        <w:t xml:space="preserve">undertaken by the ALLIANCE cooperative group, which enrolled 171 patients with nonpancreatic NETs. Patients treated with pazopanib in this study had a superior progression-free survival com pared to those who received placebo (11.6 vs 8.5 months), a difference that was statistically significant. Surufatinib was used in a randomized study of 198 patients with extrapancreatic NETs; the median progres sion-free survival was 9.2 months in patients receiving surufatinib and 3.8 months in those receiving placebo. The strongest results to date have come from a randomized study of cabozantinib (see above) that included 205 patients with extrapancreatic GI NET. In this study, median progression-free survival was 8.5 months in the cabozantinib arm as compared with 4 months in the placebo arm. Taken together with the results in the pancreatic NET cohort (above), these results provide a strong rationale for considering cabozantinib as a treatment option for patients with both advanced pancreatic and nonpancreatic GI NET. </w:t>
      </w:r>
      <w:r w:rsidR="00A6019F" w:rsidRPr="00A6019F">
        <w:rPr>
          <w:rFonts w:ascii="Arial" w:hAnsi="Arial" w:cs="Arial"/>
        </w:rPr>
        <w:t>■</w:t>
      </w:r>
      <w:r w:rsidR="00A6019F" w:rsidRPr="00A6019F">
        <w:t xml:space="preserve">mTOR INHIBITORS mTOR is an intracellular protein kinase that has been implicated in the regulation of a number of processes regulating cell growth in both normal and malignant cells. It functions as a downstream component of the PI3-AKT-mTOR pathway. This pathway is negatively regulated by the tuberous sclerosis complex, comprising TSC1 and TSC2. An association between the development of pancreatic NETs and inherited mutations in TSC2 in patients with tuberous sclerosis complex was a contributing factor to initial interest in exploring mTOR inhibition as a therapeutic approach in this setting. Following initial evidence of antitumor activity associated with everolimus (10 mg daily) in an international, multicenter, phase 2 trial of 160 patients, everolimus monotherapy (10 mg daily) was compared with best supportive care alone in the RADIANT-3 trial that enrolled 410 patients with advanced progressing pancreatic NET. While overall objective responses were uncommon, treatment with everolimus was associated with a significant prolongation in median progression-free survival (11.0 vs 4.6 months) compared to placebo, supporting its use as a standard treatment to control tumor growth in patients with advanced pancreatic NET. Common toxicities associated with evero limus are generally mild and can include stomatitis and rash; a more severe but less common side effect is pneumonitis. Everolimus was also associated with promising activity in early phase 2 studies enrolling patients with extrapancreatic NET. The first large, randomized study evaluating everolimus was the RADIANT-2 trial; 429 patients with advanced GI NETs were randomly assigned to receive octreotide LAR (30 mg intramuscularly every 28 days) with or without everolimus (10 mg daily). Treatment with everolimus in this study was associated with an improvement in median progression free survival (16.4 vs 11.3 months), but the difference in this study was of only borderline statistical significance. A second study, the RADIANT-4 study, enrolled 302 patients with advanced NETs of either GI (excluding pancreatic) or lung origin, randomizing them to receive either everolimus or placebo. In this study, treatment with octreotide was not required. As in the RADIANT-3 study, objective tumor responses were uncommon; however, median progression-free survival in patients who received everolimus was significantly longer </w:t>
      </w:r>
      <w:r w:rsidR="00A6019F" w:rsidRPr="00A6019F">
        <w:lastRenderedPageBreak/>
        <w:t xml:space="preserve">than in those who received placebo (11 vs 3.9 months). Based on the results of this study, everolimus is considered a standard treatment for control of tumor growth in extrapancreatic NETs. </w:t>
      </w:r>
      <w:r w:rsidR="00A6019F" w:rsidRPr="00A6019F">
        <w:rPr>
          <w:rFonts w:ascii="Arial" w:hAnsi="Arial" w:cs="Arial"/>
        </w:rPr>
        <w:t>■</w:t>
      </w:r>
      <w:r w:rsidR="00A6019F" w:rsidRPr="00A6019F">
        <w:t xml:space="preserve">OTHER SYSTEMIC TREATMENTS FOR CONTROL OF TUMOR GROWTH Interferon </w:t>
      </w:r>
      <w:r w:rsidR="00A6019F" w:rsidRPr="00A6019F">
        <w:rPr>
          <w:rFonts w:ascii="Aptos" w:hAnsi="Aptos" w:cs="Aptos"/>
        </w:rPr>
        <w:t>α</w:t>
      </w:r>
      <w:r w:rsidR="00A6019F" w:rsidRPr="00A6019F">
        <w:t xml:space="preserve"> has been used as a treatment for advanced NETs for sev eral decades. With the development of newer approaches, its routine use has diminished. The use of interferon α was based primarily on observations in large, retrospective series where low-dose interferon α was reported to both reduce symptoms of hormonal hypersecre tion and slow tumor progression. Interferon can be myelosuppres sive, requiring dose titration, and in some patients can induce both fatigue and depression. Antitumor activity has also been reported with oxaliplatin-based chemotherapy regimens. A combined analysis of two phase 2 trials examining oxaliplatin-fluoropyrimidine chemotherapy plus bevacizumab in advanced NET suggested antitumor activity for these regimens; the benefit appeared to be greatest in patients with intermediate-grade rather than low-grade tumors. Treatment with immune checkpoint inhibitors has been found to be effective across multiple cancer types. The role of immune check point inhibitors for the treatment of neuroendocrine tumors has not yet been clearly established and appears to depend at least in part on tumor grade. Immunohistochemical and transcriptomic profiling in well-differentiated neuroendocrine tumors has revealed only low levels of PD-1 and PD-L1 expression together with high levels of immuno suppressive gene expression in tumor-associated myeloid cells. The KEYNOTE-158 study investigated the efficacy of pembrolizumab, a monoclonal antibody targeting the checkpoint marker PD-1, in mul tiple cancers, including 107 patients with neuroendocrine tumors of various sites. The overall tumor response rate in the neuroendocrine tumor cohort was only 3.7%. Other immunotherapeutic approaches, including use of chimeric antigen receptor T cells for the treatment of neuroendocrine tumors, remain investigational. </w:t>
      </w:r>
      <w:r w:rsidR="00A6019F" w:rsidRPr="00A6019F">
        <w:rPr>
          <w:rFonts w:ascii="Arial" w:hAnsi="Arial" w:cs="Arial"/>
        </w:rPr>
        <w:t>■</w:t>
      </w:r>
      <w:r w:rsidR="00A6019F" w:rsidRPr="00A6019F">
        <w:t xml:space="preserve">SYSTEMIC THERAPY FOR HIGH-GRADE NEUROENDOCRINE CARCINOMA High-grade NETs are relatively uncommon and tend to pursue an aggressive clinical course. In contrast to well-differentiated neuroen docrine tumors, high-grade neuroendocrine carcinomas may, at least in some cases, be quite responsive to immunotherapeutic approaches. A basket trial evaluating a combination of the anti-CTLA-4 mono clonal antibody ipilimumab together with the anti-PD-1 monoclonal antibody nivolumab enrolled 32 patients with poorly differentiated nonpancreatic neuroendocrine tumors; the overall tumor response rate was 44% in this cohort. Apart from these more recent immune-based approaches, chemotherapy for advanced high-grade neuroendocrine carcinoma has historically followed a paradigm analogous to that used for small-cell carcinoma of the lung, with combinations of either cis platin or carboplatin administered together with etoposide generally considered the preferred first-line approach. One of the most impor tant elements in determining the optimal chemotherapeutic approach is assessing the Ki-67 proliferative index. A large retrospective series that evaluated 252 patients with high-grade neuroendocrine carci noma found that the activity of platinum-based therapy was </w:t>
      </w:r>
      <w:r w:rsidR="00A6019F" w:rsidRPr="00A6019F">
        <w:lastRenderedPageBreak/>
        <w:t xml:space="preserve">greatest in patients who had a Ki-67 proliferative index of 55% or higher; in these patients, the overall tumor response rate was 42%. In contrast, the overall response rate in patients in whom the Ki-67 proliferative index was 80% of patients who develop metastases and arise from the epithelial cells of the proximal tubules. Loss of chromosome 3p is uniformly seen as the earliest event in the development of these cancers. This leads to loss of heterozygosity for a number of relevant 3p genes, including VHL, PBRM1, BAP1, and SETD2, which can be functionally silenced through secondary events in the remaining allele. VHL encodes a tumor-suppressor protein that is involved in regulating the transcrip tion of vascular endothelial growth factor (VEGF) and a number of other effectors through ubiquitination of hypoxia-inducible factors (HIF). Inactivation of VHL, through upregulation of VEGF signaling, promotes tumor angiogenesis and growth, ultimately rendering clear cell RCC cells susceptible to antiangiogenesis therapy. Large-scale sequencing efforts have helped elucidate recurrent patterns of genomic evolution that correlate with distinct clinical phenotypes, e.g., varying levels of aggressiveness or specific patterns of metastatic spread. For example, early loss of chromosome 9p appears to confer a high risk for early metastatic dissemination and correlates with poor cancer-specific survival. A growing number of other RCC variants are well defined (see Table 90-2 for examples) yet can further vary by molecular features. For instance, up to 15% of RCCs are of the papillary subtype, and variant features can be distinguished by light microscopy but also molecular assays. Activating mutations in the MET oncogene or gain of chromo some 7 (where MET is located) are hallmark events of certain papil lary variants and considered actionable via targeted MET inhibitors. Tumors of the less common chromophobe subtype originate from the distal nephron. They are typically characterized by aneuploidy with common loss of an entire chromosome copy for chromosomes 1, 2, 6, 10, 13, and 17. </w:t>
      </w:r>
      <w:r w:rsidR="00A6019F" w:rsidRPr="00A6019F">
        <w:rPr>
          <w:rFonts w:ascii="Arial" w:hAnsi="Arial" w:cs="Arial"/>
        </w:rPr>
        <w:t>■</w:t>
      </w:r>
      <w:r w:rsidR="00A6019F" w:rsidRPr="00A6019F">
        <w:t xml:space="preserve">CLINICAL PRESENTATION Presenting signs and symptoms may include hematuria, flank or abdominal pain, and a palpable mass. Other symptoms are fever, weight loss, anemia, and a varicocele. Tumors are, however, commonly detected as an incidental finding on a radiograph. Widespread use of radiologic cross-sectional imaging (computed tomography [CT], magnetic resonance imaging [MRI]) contributes to earlier detection of renal masses during evaluation for other medical conditions. The increasing number of incidentally discovered low-stage tumors has contributed to an improved 5-year survival for patients with RCC and increased use of nephron-sparing surgery (partial nephrectomy). A spectrum of paraneoplastic syndromes has been associated with these malignancies, including erythrocytosis, hypercalcemia, nonmetastatic hepatic dysfunction (Stauffer’s syndrome), and acquired dysfibrino genemia. Erythrocytosis is noted at presentation in only about 3% of patients. Anemia, commonly a sign of more advanced disease, is more common. Kidney cancer was called the “internist’s tumor” since it was often discovered from the initial presentation of a paraneoplastic The standard evaluation of patients with suspected renal tumors includes a CT scan of the abdomen and pelvis, chest radiograph, and urine analysis. If metastatic disease is </w:t>
      </w:r>
      <w:r w:rsidR="00A6019F" w:rsidRPr="00A6019F">
        <w:lastRenderedPageBreak/>
        <w:t xml:space="preserve">suspected from the chest radio graph, a CT of the chest is warranted. MRI is useful in evaluating the inferior vena cava in cases of suspected tumor involvement or invasion by thrombus, or when intravenous contrast administration given with CT is prohibited by impaired renal function. In clinical practice, any solid renal masses should be considered malignant until proven otherwise; a definitive diagnosis is required. If no metastases are dem onstrated, surgery is indicated, even if the renal vein or inferior vena cava is invaded. In small tumors (particularly those of clear cell variant), the risk of impending metastatic spread is lower and surgery can poten tially be delayed. In that setting, a needle biopsy should be performed to confirm the underlying histology, and radiographic surveillance is indicated until the time of surgery. The differential diagnosis of a renal mass includes cysts, benign neoplasms (adenoma, angiomyolipoma, oncocytoma), inflammatory lesions (pyelonephritis or abscesses), and other malignancies originating in the kidney such as transitional cell carcinoma of the renal pelvis, sarcoma, lymphoma, and Wilms’ tumor or metastases from cancers originating in other organs. All of these are less common causes of renal masses than is RCC. The most common sites of distant metastases are the lungs, lymph nodes, liver, bone, and brain. These tumors may follow an unpredictable and protracted clini cal course. </w:t>
      </w:r>
      <w:r w:rsidR="00A6019F" w:rsidRPr="00A6019F">
        <w:rPr>
          <w:rFonts w:ascii="Arial" w:hAnsi="Arial" w:cs="Arial"/>
        </w:rPr>
        <w:t>■</w:t>
      </w:r>
      <w:r w:rsidR="00A6019F" w:rsidRPr="00A6019F">
        <w:t xml:space="preserve">STAGING AND PROGNOSIS Staging is based on the American Joint Committee on Cancer (AJCC) staging system (Fig. 90-1). Stage I tumors are </w:t>
      </w:r>
      <w:r w:rsidR="00A6019F" w:rsidRPr="00A6019F">
        <w:rPr>
          <w:rFonts w:ascii="Aptos" w:hAnsi="Aptos" w:cs="Aptos"/>
        </w:rPr>
        <w:t>≤</w:t>
      </w:r>
      <w:r w:rsidR="00A6019F" w:rsidRPr="00A6019F">
        <w:t xml:space="preserve">7 cm in greatest diameter and confined to the kidney; stage II tumors are &gt;7 cm and confined to the kidney; stage III tumors extend through the renal capsule but are confined to Gerota’s fascia, grossly infiltrate the renal vein, or involve regional lymph nodes (N1); and stage IV disease includes tumors that have invaded adjacent organs or involve nonregional lymph nodes or distant metastases. Sixty-five percent of patients present with stage I or II disease, 15–20% with stage III, and 15–20% with stage IV. The 5-year survival rate is currently 77% across all RCCs but varies greatly by stage. Prognostic risk models are helpful for counseling patients diagnosed with metastatic disease and for anticipating survival rates when design ing a clinical trial. A widely used prognostic model for advanced dis ease, the International Metastatic RCC Database Consortium (IMDC) risk model, incorporates six factors shown to correlate with worse sur vival: poor performance status, low hemoglobin concentration, high serum calcium, high neutrophil levels, high platelet levels, and 4 cm &gt;7 cm &gt;7 cm to ≤10 cm &gt;10 cm into major veins or perinephric tissues in renal vein, renal sinus fat, or pelvicalyceal system into vena cava into vena cava invasion beyond Gerota’s fascia Regional lymph nodes not assessed No regional lymph node involvement Regional lymph node involvement Distant Metastases M0 M1 No distant metastases Extent of Disease A natomic Stage/Prognostic Groups T1 T2 limited to kidney limited to kidney not beyond Gerota’s fascia not beyond Gerota’s fascia below diaphragm above diaphragm including contiguous extensions &amp; into ipsilateral adrenal gland Distant metastases, including nonregional lymph nodes FIGURE 90-1 Renal cell carcinoma staging. TNM, tumor-node-metastasis. TREATMENT Renal Cell Carcinoma I II III IV T1 or T2, T3 T4 Any T N0 N0 N1 N0 or N1 Any N Any N M0 </w:t>
      </w:r>
      <w:r w:rsidR="00A6019F" w:rsidRPr="00A6019F">
        <w:lastRenderedPageBreak/>
        <w:t xml:space="preserve">M0 M0 M0 M0 M1 Systemic therapy is the mainstay of care for metastatic disease. The timing of initiating such treatment should be carefully con sidered; some patients are asymptomatic at diagnosis, and with indolent behavior, it may be best to document progression before initiating treatment. Metastatic RCC is refractory to cytotoxic chemotherapy. Patients are treated with molecularly targeted agents, including targeted immunotherapies, i.e., checkpoint inhibitors. Treatments are con tinued with noncurative intent while tolerated and until disease progression is evident on cross-sectional imaging. Outcomes for patients with metastatic disease improved when increased under standing of underlying biology led to the successful development of several tyrosine kinase inhibitors (TKIs) targeting proangio genic signaling through the VEGF receptors as well as allosteric inhibitors of mammalian target of rapamycin (mTOR) signaling. Serial large-scale randomized trials demonstrated that such agents, typically orally available, could be administered sequentially and in combination. Pivotal studies, by design, defined a dedicated space for each regimen in treatment-naïve or pretreated patients (Table 90-3). LOCALIZED TUMOR The standard management for stage I or II tumors and selected cases of stage III disease is radical or partial nephrectomy. A radical nephrectomy involves en bloc removal of Gerota’s fascia and its con tents, including the kidney, and commonly the ipsilateral adrenal gland and regional lymph nodes that appear abnormal on imaging or intraoperatively. Open, laparoscopic, or robotic surgical tech niques may be used. The role of a template lymphadenectomy in patients without apparent lymphadenopathy is controversial. Exten sion into the renal vein or inferior vena cava (stage III disease) does not preclude resection, which would then include thrombectomy. Nephron-sparing approaches, i.e., open or laparoscopic partial nephrectomy, may be appropriate depending on the size and loca tion of the tumor. This approach is particularly relevant for patients with solitary kidneys, bilateral tumors, or chronic renal insuf ficiency but can also be applied electively to resect small masses for patients with normal kidney function. Radical nephrectomy carries a greater risk for chronic kidney disease and cardiovascular morbidity and mortality. Adjuvant systemic therapies, including cytokines and targeted agents, have been studied in randomized clinical trials, largely with negative results. The checkpoint inhibitor pembrolizumab is approved in patients with increased risk of recurrence following nephrectomy, where 12 months of therapy was shown to improve disease-free survival compared to placebo. For those with low risk of recurrence, the standard of care remains active surveillance after nephrectomy. METASTATIC DISEASE Surgery has a limited role for patients with metastatic disease. Long-term survival may occur in patients who relapse with a soli tary site that is removed (metastasectomy). Nephrectomy despite presence of metastases (cytoreductive nephrectomy) is considered for carefully selected patients with stage IV disease. One indica tion for this approach can be to alleviate pain or hemorrhage of a primary tumor. Radiation therapy is used for palliation of bone or brain metas tases. The type of radiotherapy most commonly used is external beam therapy, including stereotactic radiosurgery and other </w:t>
      </w:r>
      <w:r w:rsidR="00A6019F" w:rsidRPr="00A6019F">
        <w:lastRenderedPageBreak/>
        <w:t xml:space="preserve">forms of image-guided radiotherapy. Targeted immunotherapies were introduced after VEGF- and mTOR-directed agents had established standards of care in the first- and second-line setting. Nivolumab, a checkpoint inhibitor targeting PD-1, demonstrated superior overall survival compared to the mTOR inhibitor everolimus in a randomized trial in patients who had progressed on prior TKI therapy, challenging the standard approach in pretreated patients and positioning nivolumab as the new second-line agent of choice. Subsequently, immunotherapy combination regimens demonstrated efficacy in randomized trials conducted in treatment-naïve patients. In separate studies, four doublets demonstrated survival benefit over standard sunitinib therapy and changed the standard of care for untreated metastatic clear cell RCC toward two-drug, immunotherapy-containing regi mens: nivolumab in combination with the CTLA-4–directed check point inhibitor ipilimumab; the TKI axitinib together with the PD-1 inhibitor pembrolizumab; the TKI cabozantinib plus nivolumab; and the TKI lenvatinib paired with pembrolizumab. These combi nations demonstrated objective radiographic responses in 40–70% of patients, and complete radiographic disappearance of cancer is achieved in about 10% of patients. The majority of such anticancer effects were reported to be long-lasting. With an ever-growing number of approved options directed toward different molecular targets, biomarkers are urgently needed to help individualize therapeutic choices and to gain insight as to CHAPTER 90 Renal Cell Carcinoma 690 TABLE 90-3 Commonly Used Systemic Regimens for Metastatic Renal Cell Carcinoma CLASS Antiangiogenic: TKIs Immunotherapy: checkpoint inhibitor Combination therapies TKI + mTOR inhibitor PD-1 inhibitor + CTLA-4 inhibitor PD-1 inhibitor + TKI PART 4 DRUG Sunitinib Pazopanib Axitinib Cabozantinib Tivozanib Nivolumab Lenvatinib + everolimus Nivolumab + ipilimumab Pembrolizumab + axitinib Nivolumab + cabozantinib Pembrolizumab + lenvatinib FIRST FDA APPROVAL FOR RCC 2006 2009 2012 2016 2017 2021 2015 2016 2018 2019 2021 2021 CURRENTLY USED FOR Advanced RCC, first line Advanced RCC, first line Advanced RCC, pretreated Advanced RCC, pretreated with antiangiogenic therapy Advanced RCC, first line Advanced RCC, pretreated with two or more prior systemic therapies Advanced RCC, pretreated with antiangiogenic therapy Advanced RCC, pretreated with one antiangiogenic therapy Advanced intermediate-risk or poor-risk RCC, first line Advanced RCC, first line Advanced RCC, first line Advanced RCC, first line Abbreviations: CTLA-4, cytotoxic T lymphocyte-associated protein; FDA, U.S. Food and Drug Administration; mTOR, mammalian target of rapamycin; PD-1, programmed cell death-1; RCC, renal cell carcinoma; TKI, tyrosine kinase inhibitor. Oncology and Hematology whether and why treatments are working. Although a multitude of candidate biomarkers have been investigated for their predictive value in metastatic RCC, none have been validated for clinical use to date. Projected overall survival in patients starting systemic therapies for newly diagnosed metastatic disease has tripled over the past 15–20 years; this can largely be attributed to the successful drug developments discussed here. </w:t>
      </w:r>
      <w:r w:rsidR="00A6019F" w:rsidRPr="00A6019F">
        <w:rPr>
          <w:rFonts w:ascii="Arial" w:hAnsi="Arial" w:cs="Arial"/>
        </w:rPr>
        <w:t>■</w:t>
      </w:r>
      <w:r w:rsidR="00A6019F" w:rsidRPr="00A6019F">
        <w:t xml:space="preserve">GLOBAL CONSIDERATIONS Worldwide, &gt;400,000 patients are diagnosed each year with </w:t>
      </w:r>
      <w:r w:rsidR="00A6019F" w:rsidRPr="00A6019F">
        <w:lastRenderedPageBreak/>
        <w:t xml:space="preserve">malignant tumors arising from the kidney, resulting in &gt;175,000 deaths annu ally. Kidney cancer is the sixth most common cancer in men and the 10th most common cancer in women. Higher incidence is observed in developed countries, including the United States, Canada, Europe, Australia, New Zealand, and Uruguay. Lower rates are reported in Southeast Asia and Africa, though it is speculated that these rates may be underreported due to lack of disease-reporting structure and reduced access to diagnostic facilities. The incidence of kidney cancer has been steadily increasing over the past four decades. Mortality trends have stabilized in Europe and the United States, but not in less developed countries. This is likely related to differences in access to optimal therapies. Treatment guidelines for both localized and meta static renal cancer are similar between U.S. and European documents and contingent on the access to adequate health care and availability of targeted drugs to treat metastases. 91 Cancer of the Bladder and Urinary Tract Noah M. Hahn GLOBAL CONSIDERATIONS Within the United States, urothelial carcinomas of the bladder and urinary tract are most closely related to tobacco smoking history. However, within developing countries, water supplies contaminated with arsenic or schistosomiasis parasites also are major carcinogenic contributors. INTRODUCTION </w:t>
      </w:r>
      <w:r w:rsidR="00A6019F" w:rsidRPr="00A6019F">
        <w:rPr>
          <w:rFonts w:ascii="Arial" w:hAnsi="Arial" w:cs="Arial"/>
        </w:rPr>
        <w:t>■</w:t>
      </w:r>
      <w:r w:rsidR="00A6019F" w:rsidRPr="00A6019F">
        <w:t xml:space="preserve">FURTHER READING Choueiri TK et al: Adjuvant pembrolizumab after nephrectomy in renal-cell carcinoma. N Engl J Med 385:683, 2021. Choueiri TK et al: Nivolumab plus cabozantinib versus sunitinib for advanced renal-cell carcinoma. N Engl J Med 384:829, 2021. Huang J et al: A global trend analysis of kidney cancer incidence and mortality and their associations with smoking, alcohol consumption, and metabolic syndrome. Eur Urol Focus 8:200, 2022. Jonasch E et al: Belzutifan for renal cell carcinoma in von Hippel Lindau Disease. N Engl J Med 385:2036, 2021. Moch H et al: The 2022 WHO classification of tumours of the urinary system and male genital organs—Part A: renal, penile, and testicular tumours. Eur Urol 82:458, 2022. Motzer RJ et al: Molecular subsets in renal cancer determine outcome to checkpoint and angiogenesis blockade. Cancer Cell 38:803, 2020. Motzer RJ et al: Nivolumab plus ipilimumab versus sunitinib in advanced renal-cell carcinoma. N Engl J Med 378:1277, 2018. Cancers of the urinary tract including the bladder, renal pelvis, ureter, and urethra occur frequently, and they represent the second most com mon class of genitourinary cancers. Bladder cancer alone represents the sixth most common cancer diagnosis annually in the United States with 82,290 new cases and 16,710 deaths every year. Because cancers of the renal pelvis are often lumped in with all kidney cancers, the true incidence and mortality from nonbladder urinary tract cancers are less precise. While less frequent than bladder cancer, an additional 20,000 new cases and 5000 deaths are estimated every year. An accelerated understanding of the molecular underpinnings of bladder and uri nary tract cancer biology has led to a significant increase in urothelial cancer clinical trials resulting in U.S. Food and Drug Administration (FDA) approval of multiple new therapeutic agents since 2016 with more expected to follow. This chapter reviews the established, current, and emerging evidence that serves as the basis for the rapidly evolving standards of care for patients </w:t>
      </w:r>
      <w:r w:rsidR="00A6019F" w:rsidRPr="00A6019F">
        <w:lastRenderedPageBreak/>
        <w:t xml:space="preserve">with bladder and urinary tract cancers. </w:t>
      </w:r>
      <w:r w:rsidR="00A6019F" w:rsidRPr="00A6019F">
        <w:rPr>
          <w:rFonts w:ascii="Arial" w:hAnsi="Arial" w:cs="Arial"/>
        </w:rPr>
        <w:t>■</w:t>
      </w:r>
      <w:r w:rsidR="00A6019F" w:rsidRPr="00A6019F">
        <w:t xml:space="preserve">CLINICAL EPIDEMIOLOGY AND RISK FACTORS Bladder cancer typically affects older patients with a median age at diagnosis of 73 years. Males are four times more frequently affected than females. Similarly, bladder cancer is more common in Caucasians than in Asian patients. Inheritable germline genetic risk factors have been observed in up to one-seventh of patients with bladder or urinary tract cancers. However, a predominant, singular germline genetic alter ation has not been identified. Patients with defects in mismatch repair genes leading to microsatellite instability (MLH1, MSH2, MSH6, etc.) as part of the familial cancer Lynch syndrome are at particular risk of upper urinary tract cancers of the renal pelvis and ureter. Additionally, 691 patients with Cowden disease (PTEN mutations) or retinoblastoma (RB1 mutations) are at increased risk for developing bladder cancer. Historically, associations have existed between environmental toxic exposures and higher rates of developing bladder cancer. The aromatic amines benzidine and β-naphthylamine that can be present in indus trial dyes as well as arsenic that can be found in drinking water supplies in underdeveloped countries have been associated with increased blad der cancer risk. Other chemicals in the leather, paint, rubber, textiles, and printing industries have been associated with bladder cancer. Associations with exposures to hair dyes and hair sprays in workers in the hairstyling field have been suggested. Additionally, concern has been raised regarding use of the antidiabetic medication, pioglitazone, and bladder cancer risk. Extensive reviews and meta-analyses have produced differing conclusions. The data suggest a small risk of blad der cancer from long-term pioglitazone use, which has led to inclusion of bladder cancer risk within the pioglitazone prescribing information. An association between chronic inflammatory states and the develop ment of squamous bladder cancer clearly exists in underdeveloped countries in patients chronically infected with the parasitic disease schistosomiasis and in paraplegic patients with chronic indwelling catheters. Above and beyond each of these associations, however, smoking of tobacco products (cigarettes, cigars, pipes, etc.) remains the overwhelming leading risk factor for development of bladder cancer. Among new bladder cancer diagnoses, 90% of cases occur in current or former smokers. Toxicologists have estimated that &gt;70 confirmed car cinogenic toxins are present within tobacco smoke. It is estimated that one-third of bladder cancer cases could be prevented through simple modification of lifestyle choices, in particular cessation of smoking. </w:t>
      </w:r>
      <w:r w:rsidR="00A6019F" w:rsidRPr="00A6019F">
        <w:rPr>
          <w:rFonts w:ascii="Arial" w:hAnsi="Arial" w:cs="Arial"/>
        </w:rPr>
        <w:t>■</w:t>
      </w:r>
      <w:r w:rsidR="00A6019F" w:rsidRPr="00A6019F">
        <w:t xml:space="preserve">CLINICAL PRESENTATION AND DIAGNOSTIC WORKUP Occasionally, patients will present with flank pain in association with an upper tract renal pelvis or ureter cancer or due to hydronephrosis in association with a bladder tumor obstructing the orifice of the ureter within the bladder. Only in rare cases do patients present with sig nificant cachexia and widespread metastatic disease. For most patients, painless hematuria (either gross or microscopic) represents the ini tial manifestation of an underlying urinary tract cancer. In females, hematuria due to malignancy can often be mistaken for a urinary tract infection or menstrual bleeding. While treatment with antibiotics is warranted if a concurrent urinary tract </w:t>
      </w:r>
      <w:r w:rsidR="00A6019F" w:rsidRPr="00A6019F">
        <w:lastRenderedPageBreak/>
        <w:t xml:space="preserve">infection is noted on initial urinalysis, persistent hematuria requires further workup. Painless hematuria in males is almost always abnormal and should be worked up. Initial investigations in patients of either sex should include urine cytology and visual examination of the bladder by cystoscopy. Cytology is successful in identifying cancer in only 50% of individuals with high grade bladder cancers. In addition to urine cytology, radiographic eval uation of the kidneys and upper urinary tract by CT urogram should be performed. A magnetic resonance (MR) urogram may be substituted in patients with poor renal function. Additional diagnostic testing of the urine to assess for cancer-associated chromosomal changes by fluorescent in situ hybridization, increased levels of nuclear mitotic proteins, increased bladder tumor–associated antigens, or higher levels of staining on cells shed by the bladder may identify some cancers missed by traditional cytology testing. However, they may also produce abnormal results in patients who do not have cancer. For now, these adjunct molecular tests are primarily utilized in detecting recurrent cancer in patients with a prior diagnosis of urinary tract cancer. Small tumors, particularly flat noninvasive tumors of the bladder, may be detected at higher rates with the use of blue light cystoscopy or narrow band imaging cystoscopy. Both blue light and narrow-band imaging cystoscopies are now used routinely in the monitoring of patients with bladder cancer. For patients with no bladder abnormalities in whom upper tract tumors are suspected, visualization of the upper urinary tracts and renal pelvises should be performed by ureteroscopy or ret rograde pyelography. In all patients with abnormalities noted in the bladder or upper urinary tracts, complete endoscopic resection for histologic diagnosis and staging should be performed when possible via either transurethral resection of bladder tumor (TURBT) or endoscopic resection of upper tract tumors. All metastatic patients should have genomic sequencing performed on their tumor tissue, circulating tumor DNA (ctDNA), or both. The role of genomic sequencing in earlier stages of disease is evolving. </w:t>
      </w:r>
      <w:r w:rsidR="00A6019F" w:rsidRPr="00A6019F">
        <w:rPr>
          <w:rFonts w:ascii="Arial" w:hAnsi="Arial" w:cs="Arial"/>
        </w:rPr>
        <w:t>■</w:t>
      </w:r>
      <w:r w:rsidR="00A6019F" w:rsidRPr="00A6019F">
        <w:t xml:space="preserve">HISTOLOGY Urothelial carcinoma, often called transitional cell carcinoma in the past, is the most common urinary tract cancer histology and is observed in ~90% of cases. Squamous, glandular, micropapillary, plas macytoid, sarcomatoid, and other variant features can often be found in portions of urothelial carcinoma tumors; however, pure variant histologies are rare. The presence of some variant histologies includ ing micropapillary and plasmacytoid has been associated with worse surgical outcomes compared to urothelial carcinoma. Nonurothelial variant histologies including squamous cell carcinoma, adenocarci noma, small-cell carcinoma, and carcinosarcoma collectively account for ≤10% of urinary tract tumors. Examples of traditional urothelial carcinoma and some of the variant histologies are shown in Fig. 91-1. </w:t>
      </w:r>
      <w:r w:rsidR="00A6019F" w:rsidRPr="00A6019F">
        <w:rPr>
          <w:rFonts w:ascii="Arial" w:hAnsi="Arial" w:cs="Arial"/>
        </w:rPr>
        <w:t>■</w:t>
      </w:r>
      <w:r w:rsidR="00A6019F" w:rsidRPr="00A6019F">
        <w:t xml:space="preserve">MOLECULAR BIOLOGY Clinically, urothelial carcinoma of the bladder displays a biphasic phe notype characterized by (1) low-grade papillary tumors that frequently recur but rarely invade or metastasize and (2) high-grade sometimes flat tumors that invade early leading to lethal metastatic disease. In both of these phenotypes, loss of portions of chromosomes 9q and 9p by loss of heterozygosity is an early molecular </w:t>
      </w:r>
      <w:r w:rsidR="00A6019F" w:rsidRPr="00A6019F">
        <w:lastRenderedPageBreak/>
        <w:t xml:space="preserve">event, whose exact significance is not clear. Potential candidate regulatory genes in these genomic regions include CDNK2A, a cyclin-dependent kinase inhibi tor, and TSC1, a gene encoding hamartin mutated in tuberous sclerosis. Genomic investigations have demonstrated that low-grade tumors are characterized by alterations in the RAS/RAF signaling pathway with activating FGFR3 mutations or gene fusions present in 60–80% of patients. In contrast, the high-grade invasive phenotype is notable for early deleterious mutations in TP53 and RB1, alterations in CDH1 (E-cadherin), and increased expression of VEGFR2. In urothelial car cinoma of the renal pelvis and ureter, 10–20% of cases may be associ ated with Lynch syndrome hereditary defects in the MLH1, MSH2, or MSH6 mismatch repair genes, leading to microsatellite instability and frequent DNA mutations. Testing for germline mutations in these genes is recommended in patients with upper urinary tract urothelial carcinoma under the age of 60 at diagnosis, with a first-degree relative with a Lynch syndrome–associated cancer diagnosed under the age of 50, or with two first-degree relatives with a Lynch syndrome–associated cancer regardless of the age at diagnosis. CHAPTER 91 Cancer of the Bladder and Urinary Tract As genomic analysis technologies have improved, so has our under standing of the molecular biology unique to urothelial carcinoma. In 2017, the full bladder cancer results of The Cancer Genome Atlas (TCGA) project were published. This effort comprehensively analyzed gene mutations, fusions, expression, copy number variations, meth ylation, and microRNA across the genome of patients with bladder urothelial carcinoma treated with surgery. Key findings from this effort include (1) genomic alterations in genes (e.g., FGFR3, EGFR, ERBB2, ERBB3, PIK3CA, TSC1, etc.) targetable by currently approved drugs or drugs in development in 71% of patients; (2) genomic alterations in chromatin-modifying genes (KMT2D, KDM6A, KMT2C, EP300, CREBBP, etc.) in the majority of patients; (3) hypermethylation with epigenetic silencing of gene expression in one-fourth of patients; and (4) the identification by RNA sequencing of five distinct intrinsic molecular subtypes (luminal papillary, luminal infiltrated, luminal, basal squamous, and neuronal) closely resembling luminal and basal subclassifications of breast cancers. These bladder TCGA findings have led to clinical trial designs enriching for patients with specific gene mutation profiles as well as interrogation of candidate biomarkers according to intrinsic molecular subtypes. </w:t>
      </w:r>
      <w:r w:rsidR="00A6019F" w:rsidRPr="00A6019F">
        <w:rPr>
          <w:rFonts w:ascii="Arial" w:hAnsi="Arial" w:cs="Arial"/>
        </w:rPr>
        <w:t>■</w:t>
      </w:r>
      <w:r w:rsidR="00A6019F" w:rsidRPr="00A6019F">
        <w:t xml:space="preserve">STAGING AND OUTCOMES BY STAGE The staging of bladder cancer is dependent on the depth of invasion within the bladder wall, involvement of lymph nodes, and spread to 692 A PART 4 Oncology and Hematology B C D FIGURE 91-1 Bladder and urinary tract cancer histologies. A. Urothelial carcinoma. B. Squamous cell carcinoma. C. Small-cell carcinoma. D. Plasmacytoid variant. (Courtesy of Alex Baras, MD, PhD, Johns Hopkins University Department of Pathology.) surrounding and distant organs as depicted in Fig. 91-2. Approxi mately 75% of bladder cancer presents with non–muscle-invasive bladder cancer (NMIBC), 18% with disease invading into or through the muscular wall of the bladder, and only 3% with metastatic spread to distant organs. NMIBC is defined by tumors that involve only the immediate epithelial layer of cells (carcinoma in situ [CIS] </w:t>
      </w:r>
      <w:r w:rsidR="00A6019F" w:rsidRPr="00A6019F">
        <w:lastRenderedPageBreak/>
        <w:t xml:space="preserve">and Ta) or that only penetrate into the connective tissue below the urothelium (T1) but not into the muscular layer known as the muscularis propria. Muscle-invasive bladder cancer (MIBC) is defined by tumors that invade into the muscularis propria (T2), through the muscularis propria to involve the surrounding serosa (T3), or into immediately adjacent pelvic organs such as the rectum, prostate, vagina, or cervix (T4). Lymph node staging is classified according to involvement of a solitary node within the true pelvis (N1), two nodes involved in the true pelvis (N2), or involvement of the common iliac nodes (N3). Any disease that has spread beyond the common iliac nodes is considered metastatic (M1). The staging of bladder cancer is driven primarily by the T stage of the tumor, with stages 0a–II defined entirely by the T stage in the absence of nodal or metastatic disease. Involvement of regional lymph nodes in the true pelvis or along the common iliac artery qualifies as stage III disease, whereas involvement of any distant metastases qualifies as stage IV disease. Clinical outcomes of patients with bladder cancer correlate closely with staging at diagnosis with 5-year overall survival rates of 70–90% for disease confined to the bladder (stage I–II), 39–50% for disease that penetrates through the bladder or has spread to regional lymph nodes (stage III), and only 8% for disease extending to metastatic sites (stage IV). </w:t>
      </w:r>
      <w:r w:rsidR="00A6019F" w:rsidRPr="00A6019F">
        <w:rPr>
          <w:rFonts w:ascii="Arial" w:hAnsi="Arial" w:cs="Arial"/>
        </w:rPr>
        <w:t>■</w:t>
      </w:r>
      <w:r w:rsidR="00A6019F" w:rsidRPr="00A6019F">
        <w:t xml:space="preserve">TREATMENT APPROACHES Early-Stage Disease For NMIBC, removal of all visible tumors by TURBT in the operating room is considered the mainstay of surgical treatment. Risk of recurrence can be classified as low, intermediate, or high depending on the presence of features summarized in Table 91-1. For patients with low-risk disease, meta-analyses have demonstrated a 12% reduction in early relapses when a single chemotherapy treatment of mitomycin C, epirubicin, or gemcitabine was instilled directly into the bladder (intravesical therapy) within 24 hours of the TURBT. For patients with intermediate- or high-risk tumors, weekly intravesical instillations for 6 consecutive weeks of the attenuated mycobacte rium strain known as Bacille Calmette-Guérin (BCG) reduce the risk of recurrence from 50 to 29%. In addition, BCG treatment has been shown to decrease the rate of progression to MIBC by 27%. Intravesical BCG is generally well tolerated. Side effects can include dysuria, uri nary frequency, bladder spasms, hematuria, and, in rare cases (3 cm) Ta low-grade tumors in patients over age 70 (all conditions must be met for this point on Ta low-grade tumors) Abbreviation: CIS, carcinoma in situ. more challenging than primary tumors located in the bladder. Tumors possessing all of the following are considered low risk: solitary tumor, low grade, size 90% and malignant changes in &gt;70% of individuals. The high prevalence of these diseases among the elderly, who often have competing causes of morbidity and mortality, mandates a risk-adapted approach to diagnosis and treatment. This can be achieved by consid ering these diseases as a series of states. Each state represents a distinct clinical milestone for which therapy(ies) may be recommended based on disease extent, current symptoms, risk of developing symptoms, and/or the risk of death from prostate cancer in relation to death from other causes. Given the complexities and, at times, the uncertainties of optimal decision-making, patient </w:t>
      </w:r>
      <w:r w:rsidR="00A6019F" w:rsidRPr="00A6019F">
        <w:lastRenderedPageBreak/>
        <w:t xml:space="preserve">preferences are an important consid eration. For benign proliferative disorders, symptoms of bladder outlet obstruction and potential complications including urinary retention and urinary tract infection are weighed against the side effects and complications of medical or surgical intervention. For prostate malig nancies, the likelihood that a clinically significant cancer is present in the gland and the concomitant risk of symptoms or death from cancer are necessarily balanced against the risks and morbidities of the recom mended treatments. ANATOMY AND PATHOLOGY The prostate is in the pelvis and is adjacent to the rectum, the bladder, the periprostatic and dorsal vein complexes, the neurovascular bundles that are responsible for erectile function, and the urinary sphincter that is responsible for passive urinary control. The prostate is composed of branching tubuloalveolar glands arranged in lobules surrounded by fibromuscular stroma. The acinar unit includes an epithelial compartment made up of epithelial, basal, and neuroendocrine cells separated by a basement membrane and a stromal compartment that includes fibroblasts and smooth-muscle cells. Prostate-specific antigen (PSA) is produced in the epithelial cells. Both prostate epithelial cells and stromal cells express androgen receptors (ARs) and depend on androgens for growth. Testosterone, the major circulating androgen, is converted by prostatic 5α-reductase to dihydrotestosterone, a more potent androgen. The periurethral portion of the gland increases in size during puberty and after the age of 55 years due to the growth of nonma lignant cells in the transition zone of the prostate that surrounds the urethra. Most cancers develop in the peripheral zone, and cancers in this location may or may not be palpated during a digital rectal exami nation (DRE). The American Cancer Society’s estimates for prostate cancer in the United States for 2024 are 299,010 new prostate cancer cases and 35,250 deaths from prostate cancer. In the United States, prostate cancer is the most common nonskin malignancy in men and the sec ond leading cause of cancer death. The absolute number of prostate cancer deaths has decreased in the past 30 years, attributed by some to the widespread use of PSA-based detection strategies. The incidence/ mortality ratio for prostate cancer is extremely high relative to most other malignancies, and most men diagnosed with prostate cancer will not die from their disease. </w:t>
      </w:r>
      <w:r w:rsidR="00A6019F" w:rsidRPr="00A6019F">
        <w:rPr>
          <w:rFonts w:ascii="Arial" w:hAnsi="Arial" w:cs="Arial"/>
        </w:rPr>
        <w:t>■</w:t>
      </w:r>
      <w:r w:rsidR="00A6019F" w:rsidRPr="00A6019F">
        <w:t xml:space="preserve">EPIDEMIOLOGY Epidemiologic studies show that the risk of being diagnosed with pros tate cancer increases 2.5-fold if one first-degree relative is affected and even more if two or more are affected. Risk is greatest for those whose relatives are diagnosed before the age of 65. Current estimates are that 40% of early-onset and 5–10% of all prostate cancers are hereditary. Prostate cancer affects ethnic groups differently. Matched for age, African-American patients have a higher incidence and present at a more advanced stage with higher-grade, more aggressive cancers. The causes for this disparity are debated, but genetic, environmental, and societal factors are implicated. Genome-wide association studies (GWAS) have identified &gt;100 prostate cancer susceptibility loci that are estimated to explain up to 25% of prostate cancer risk. Each prostatic risk loci typically confers only a small incremental risk of cancer, but combinations are more impactful. Some mutated genes such as BRCA2, HOXB13, ATM, </w:t>
      </w:r>
      <w:r w:rsidR="00A6019F" w:rsidRPr="00A6019F">
        <w:lastRenderedPageBreak/>
        <w:t xml:space="preserve">and PALB2 clearly confer an increased risk of prostate cancer; however, that risk can be substantially modulated by presence or absence of additional genomic prostatic risk loci. Polygenic risk scores to better ascertain prostate cancer risk are under development but not routinely available for clinical care today. The prevalence of autopsy-detected cancers is relatively similar around the world, while the incidence of clinical disease varies. In part, this is due to the substantial variations in the use of PSA screening tests. Environ mental and dietary factors may play a role in prostate cancer growth and progression. High consumption of dietary fats, such as α-linoleic acid or polycyclic aromatic hydrocarbons that form when red meats are cooked, is believed to increase risk. Like breast cancer in Asians, the risk of prostate cancer in Asians increases when they move to Western environ ments. Reasons for this are poorly understood but in part likely reflect a greater probability of PSA screening tests in the Western world. Protec tive factors may include consumption of lycopene found in tomatoes and inhibitors of cholesterol biosynthesis (e.g., statin drugs). Not smoking and avoiding obesity reduce the risk of disease progression. </w:t>
      </w:r>
      <w:r w:rsidR="00A6019F" w:rsidRPr="00A6019F">
        <w:rPr>
          <w:rFonts w:ascii="Arial" w:hAnsi="Arial" w:cs="Arial"/>
        </w:rPr>
        <w:t>■</w:t>
      </w:r>
      <w:r w:rsidR="00A6019F" w:rsidRPr="00A6019F">
        <w:t>DIAGNOSIS AND TREATMENT BY CLINICAL STATE CHAPTER 92 Benign and Malignant Diseases of the Prostate The prostate cancer continuum</w:t>
      </w:r>
      <w:r w:rsidR="00A6019F" w:rsidRPr="00A6019F">
        <w:rPr>
          <w:rFonts w:ascii="Aptos" w:hAnsi="Aptos" w:cs="Aptos"/>
        </w:rPr>
        <w:t>—</w:t>
      </w:r>
      <w:r w:rsidR="00A6019F" w:rsidRPr="00A6019F">
        <w:t>from the appearance of a preneo plastic and invasive lesion that is localized to the gland to a metastatic lesion causing symptoms and, ultimately, mortality</w:t>
      </w:r>
      <w:r w:rsidR="00A6019F" w:rsidRPr="00A6019F">
        <w:rPr>
          <w:rFonts w:ascii="Aptos" w:hAnsi="Aptos" w:cs="Aptos"/>
        </w:rPr>
        <w:t>—</w:t>
      </w:r>
      <w:r w:rsidR="00A6019F" w:rsidRPr="00A6019F">
        <w:t xml:space="preserve">can span years to decades. To limit overdiagnosis of clinically insignificant cancers and for disease management in general, competing risks are considered in the context of a series of clinical states (Fig. 92-1). The states are defined operationally based on whether or not a cancer diagnosis has been established and, for those with a diagnosis, the state of the primary tumor (treated vs untreated), the presence of absence of metastases on imaging studies, and the measured level of testosterone in the blood. With this approach, an individual resides in only one state and remains in that state until progression. At each assessment, the decision to offer treatment and the specific form of treatment are based on the presence or absence of cancer-related symptoms and, if absent, the risk posed by the cancer relative to competing causes of morbidity and mortality that may be present in that individual. It follows that the more advanced the disease, the greater is the need for treatment. Individual decision-making and patient preferences are key for prostate cancer throughout the continuum. Considerable heterogeneity can be encountered in patients seeking treatment recommendations given widely varying perceptions of risks and benefits, especially for those with early-stage disease. 696 No cancer diagnosis Clinically localized disease PART 4 Rising PSA: no visible metastases: castrate Rising PSA: no visible metastases: non-castrate Clinical metastases: castrate first line Clinical metastases: non-castrate Clinical metastases: castrate second line Detectable metastases Death from cancer exceeds death from other causes FIGURE 92-1 Clinical states of prostate cancer. PSA, prostate-specific antigen. Oncology and Hematology For those without a cancer diagnosis, the decision to undergo testing to detect a cancer is based on the individual’s estimated life expectancy and, separately, the probability that </w:t>
      </w:r>
      <w:r w:rsidR="00A6019F" w:rsidRPr="00A6019F">
        <w:lastRenderedPageBreak/>
        <w:t xml:space="preserve">a clinically significant cancer may be present. For those with a prostate cancer diagnosis, the clinical states model considers the probability of developing symptoms or dying from the disease. Thus, a patient with a localized tumor that has been surgically removed remains in the state of localized disease if the PSA remains undetectable. The time within a state then becomes a measure of the efficacy of an intervention. Because many patients with active cancer are not at risk for developing metastases, symptoms, or death, the clinical states model allows a distinction between cure—the elimination of all cancer cells, the primary therapeutic objective of treatment for most cancers—and cancer control, by which the tempo of the illness is determined to be so slow or has been altered by treatment to the point where it is unlikely to cause symptoms, to metastasize, or to shorten a patient’s life expectancy. Importantly, from a patient standpoint, both outcomes can be considered equivalent therapeuti cally assuming the patient has not experienced symptoms of the dis ease or the treatment needed to control it. Even when a recurrence is documented, immediate therapy is not always necessary. Rather, as at the time of diagnosis, the need for intervention is based on the tempo of the illness as it unfolds in the individual, relative to the risk-to benefit ratio of the intervention being considered. Assessment of the future risk and tempo of the cancer, balanced with an understanding of the patient’s morbidities and life expectancy, is key to management of prostate cancer. Clinical metastases: castrate third line and treating clinically significant cancers that, left untreated, would adversely affect a patient’s quality and duration of life, against the morbidity associated with the overtreatment of clinically insignifi cant cancers highly prevalent in the general population. The balance is best approached through shared decision-making between the patient and physician; however, the complexities of the subject and the limited time available for most primary care physicians often preclude truly informed decisions. Considerations regarding whether to pursue a diagnosis include symptoms, an abnormal DRE, or more typically, a change in or elevated serum PSA. Genetic risk and family history are also relevant in the decision-making process, and those with a family history of lethal cancer represent patients of particular concern. PHYSICAL EXAMINATION The digital rectal exam (DRE) focuses on prostate size, symmetry, consistency, and abnormalities within and/or beyond the gland. Most cancers occur in the peripheral zone and may be palpated on DRE. Carcinomas are characteristically hard, nodular, irregular, and often result in an asymmetric DRE finding. Induration may also be due to benign prostatic hyperplasia (BPH) or calculi. Over all, 20–25% of patients with an abnormal DRE have prostate cancer. The DRE is a not accepted as a validated prostate cancer screening test given the frequent false positives and false negatives associated with this exam. </w:t>
      </w:r>
      <w:r w:rsidR="00A6019F" w:rsidRPr="00A6019F">
        <w:rPr>
          <w:rFonts w:ascii="Arial" w:hAnsi="Arial" w:cs="Arial"/>
        </w:rPr>
        <w:t>■</w:t>
      </w:r>
      <w:r w:rsidR="00A6019F" w:rsidRPr="00A6019F">
        <w:t>NO CANCER DIAGNOSIS Prevention No agent is currently approved for the prevention of prostate cancer. The results from several large double-blind, random ized chemoprevention trials have established 5</w:t>
      </w:r>
      <w:r w:rsidR="00A6019F" w:rsidRPr="00A6019F">
        <w:rPr>
          <w:rFonts w:ascii="Aptos" w:hAnsi="Aptos" w:cs="Aptos"/>
        </w:rPr>
        <w:t>α</w:t>
      </w:r>
      <w:r w:rsidR="00A6019F" w:rsidRPr="00A6019F">
        <w:t xml:space="preserve">-reductase inhibitors (5ARIs) as the predominant therapy to reduce the future risk of a pros tate cancer diagnosis; however, most of the prevented cancers were low risk, and those </w:t>
      </w:r>
      <w:r w:rsidR="00A6019F" w:rsidRPr="00A6019F">
        <w:lastRenderedPageBreak/>
        <w:t xml:space="preserve">cancers typically require no treatment as their natural history is indolent. No drug is approved for prostate cancer prevention. Various vitamins and supplements have been studied in large-scale prostate cancer prevention trials, but no intervention has been shown to be effective. Early Detection and Diagnosis The decision to pursue a diag nosis of prostate cancer must balance the benefit from detecting PROSTATE-SPECIFIC ANTIGEN PSA (kallikrein-related peptidase 3; KLK3) is a kallikrein-related serine protease that causes liquefaction of seminal coagulum. It is produced by both nonmalignant and malignant epithelial cells and, as such, is prostate specific, not prostate cancer specific. Serum levels of PSA may increase from prostatitis, BPH, or prostate cancer. PSA circulating in the blood is inactive and mainly occurs as a complex with the protease inhibitor α1-antichymotrypsin and as free (unbound) PSA forms. A lower free PSA is more likely to be associated with cancer at the time of biopsy. PSA levels should be undetectable after about 6 weeks if the prostate has been completely removed (radical prostatectomy). If there is no prostate, there should be no detectable PSA. Persistence of measurable serum PSA after pros tate removal is typical of recurrent cancer. PSA testing was approved by the U.S. Food and Drug Administra tion (FDA) in 1994 for early detection of prostate cancer, and the widespread use of the test has played a significant role in the propor tion of patients diagnosed with early-stage cancers: today, &gt;70–80% of 697 newly diagnosed cancers are clinically organ confined. The level of PSA in blood is strongly associated with the risk and outcome of prostate cancer. A single PSA measured at age 60 is associated (area under the curve [AUC] of 0.90) with lifetime risk of death from prostate cancer. Most (90%) prostate cancer deaths occur among patients with PSA lev els in the top quartile (&gt;2 ng/mL), although only a minority of patients with PSA &gt;2 ng/mL will develop lethal prostate cancer. Despite this and mortality rate reductions reported from large, randomized prostate cancer screening trials, routine use of the test remains controversial given both false positives and false negatives and the fact that PSA test ing may lead to the diagnosis and treatment of indolent cancers that pose little risk to the patient’s overall health. The U.S. Preventive Services Task Force (USPSTF) current guideline states, “For men aged 55 to 69 years, the decision to undergo periodic PSA-based screening for prostate cancer should be an individual one. Before deciding whether to be screened, men should have an oppor tunity to discuss the potential benefits and harms of screening with their clinician and to incorporate their values and preferences in the decision.” The USPSTF recommends against screening men aged 70 or older. The USPSTF guideline can be accessed at https://www.uspreven tiveservicestaskforce.org/uspstf/draft-update-summary/prostate-cancer screening-adults. The American Urologic Association (AUA) guidelines indicate that “clinicians should engage in shared decision-making with people for whom prostate cancer screening would be appropriate and proceed based on a person’s values and preferences.” In contrast to the USPSTF, the AUA guidelines state that “clinicians should offer prostate cancer screening beginning at age 40 to 45 years for people at increased risk of developing prostate cancer based on the following </w:t>
      </w:r>
      <w:r w:rsidR="00A6019F" w:rsidRPr="00A6019F">
        <w:lastRenderedPageBreak/>
        <w:t>factors: Black ancestry, germline mutations, strong family history of prostate cancer.” Further, “clinicians should offer regular prostate cancer screening every 2 to 4 years to people aged 50 to 69 years.” The current AUA guide lines are available at https://www.auanet.org/guidelines-and-quality/ guidelines/early-detection-of-prostate-cancer-guidelines. There is no rationale for recommending PSA screening in asymp tomatic patients with a short life expectancy. Hence, patients over the age of 70 should only be tested in selected circumstances, such as a higher than median PSA measured before age 70 or excellent overall health. In addition, because a baseline PSA is a strong predictor of the future risk of lethal prostate cancer, patients with low PSAs, for example 95% are adenocarcinomas; the rest are squamous or transitional cell tumors or, rarely, carcinosarco mas or small-cell histologies. Metastases to the prostate are rare, but colon cancers or transitional cell tumors of the bladder can invade the gland by direct extension. CHAPTER 92 Benign and Malignant Diseases of the Prostate When prostate cancer is diagnosed, a measure of histologic aggres siveness is assigned using the Gleason grading system, in which the dominant and secondary glandular histologic patterns are scored from 1 (well differentiated) to 5 (undifferentiated) and summed to give a total score of 6–10 for each tumor. The most poorly differentiated area of tumor (i.e., the area with the highest histologic grade) often determines biologic behavior. The presence or absence of perineural invasion and extracapsular spread should also be recorded. Over the years, the Gleason grading system has undergone several changes. Currently, Gleason total scores of 2–5 are no longer assigned, and in practice, the lowest total score now assigned is 6. This leads to a logical yet incorrect assumption on the part of patients that a Gleason 6 cancer is in the middle of the scale, triggering the fear that their can cer is serious and the assumption that treatment is necessary despite 698 TABLE 92-1 TNM Classification TNM (tumor, node, metastasis) Staging System for Prostate Cancera Tx T0 Primary tumor cannot be assessed No evidence of primary tumor Localized Disease T1 T1a T1b T1c T2 T2a T2b T2c Clinically inapparent tumor, neither palpable nor visible by imaging Tumor incidental histologic finding in ≤5% of resected tissue; not palpable Tumor incidental histologic finding in &gt;5% of resected tissue Tumor identified by needle biopsy (e.g., because of elevated PSA) Tumor confined within prostateb Tumor involves half of one lobe or less Tumor involves more than one half of one lobe, not both lobes Tumor involves both lobes Local Extension T3 T3a T3b PART 4 T4 Tumor extends through the prostate capsulec Extracapsular extension (unilateral or bilateral) Tumor invades seminal vesicles Tumor is fixed or invades adjacent structures other than seminal vesicles such as external sphincter, rectum, bladder, levator muscles, and/or pelvic wall Metastatic Disease N1 M1 Oncology and Hematology Positive regional lymph nodes Distant metastases aRevised from SB Edge et al (eds): AJCC Cancer Staging Manual, 7th ed. New York, Springer, 2010. bTumor found in one or both lobes by needle biopsy, but not palpable or reliably visible by imaging, is classified as T1c. cInvasion into the prostatic apex or into (but not beyond) the prostatic capsule is classified not as T3 but as T2. Abbreviation: PSA, prostate-</w:t>
      </w:r>
      <w:r w:rsidR="00A6019F" w:rsidRPr="00A6019F">
        <w:lastRenderedPageBreak/>
        <w:t xml:space="preserve">specific antigen. Gleason score 6 being favorable risk. To address these issues, a new five-grade group system has been developed: Grade group 1 (Gleason score ≤6) Grade group 2 (Gleason score 3 + 4 = 7) Grade group 3 (Gleason score 4 + 3 = 7) Grade group 4 (Gleason score 4 + 4 = 8) Grade group 5 (Gleason scores 9 and 10) The new system simplifies the grading of prostate cancer, appropri ately classifying the lowest risk as grade group 1 (rather than Gleason score 6), and accurately predicts prognosis. PROSTATE CANCER STAGING The TNM (tumor, node, metastasis) staging system includes categories for cancers that are identified solely based on an abnormal PSA (T1c), those that are palpable but clinically confined to the gland (T2), and those that have extended outside the gland (T3 and T4) (Table 92-1 and Fig. 92-2). DRE alone is inaccurate in determining the extent of disease within the gland, the presence or absence of capsular invasion, involvement of seminal vesicles, and extension of disease to lymph nodes. Unfortunately, no single test has been proven to perfectly indicate the stage or the presence of organ confined disease, seminal vesicle involvement, or lymph node spread in part due to fact that cancer cells can microscopically spread below the limits of sensitivity for any imaging test. That said, mpMRI imag ing can often reveal evidence of extracapsular spread or seminal vesicle invasion with a higher degree of accuracy than DRE, and taking MRI findings into account is typically done in staging today. Prognosis and classification for nonmetastatic prostate cancer are typically done in three broad categories (low, intermediate, and high risk). Low-risk tumors are confined to the prostate with a PSA of 50% of cores positive for cancer is unfavorable). High-risk tumors extend outside the prostate, have a PSA &gt;20 ng/mL, or are grade group 4 or 5 (Gleason 8–10). There is also a subset of high-risk tumors termed “very high risk” in which the cancer extends into the seminal vesicles (T3b) or adjacent organs, i.e., rectum or bladder (T4), or there are multiple biopsy samples with high-grade cancer. Computed tomography (CT) lacks sensitivity and specificity to detect extraprostatic extension and is inferior to MRI in visualization of lymph nodes. In general, mpMRI is superior to CT to detect cancers in the prostate, to assess local disease extent, and fused with ultrasound imaging, to guide sites to biopsy within the gland. Thus, mpMRI can be quite useful for the planning of surgery and radiation therapy. The use of prostate-specific membrane antigen (PSMA) positron emission tomography (PET) scans has radically altered the assessment of prostate cancer spread beyond the prostate. This scan is now FDA approved for patients with intermediate- and high-risk prostate cancer and is substantially more sensitive and accurate in the detection of metastases as compared to conventional imaging (including MRI). Currently, state-of-the-art staging for Gleason grade group 3 and higher patients involves PSMA PET imaging before treatment. PSMA PET scans significantly improve specificity over conventional imaging while maintaining comparable sensitivity. PSMA PET scans are not capable of detecting low-volume microscopic disease. In studies where surgically removed lymph nodes were assessed for metastatic prostate cancer, sensitivity was consistently 0.1 or 0.2 ng/mL, but as stated above, the patient </w:t>
      </w:r>
      <w:r w:rsidR="00A6019F" w:rsidRPr="00A6019F">
        <w:lastRenderedPageBreak/>
        <w:t xml:space="preserve">without a prostate should typically have no detectable PSA. Specific criteria to guide the choice of one surgical approach over another are lacking. Minimally invasive approaches offer the advantage of a shorter hospital stay and reduced blood loss. Rates of cancer control, recovery of continence, and recovery of erectile function are comparable for robotic and open surgery. The individual surgeon, rather than the surgical approach used, is most important in determining outcomes after surgery. Neoadjuvant hormonal treatment with gonadotropin-releasing hormone (GnRH) agonists/antagonists alone has also been explored to improve the outcomes of surgery for high-risk patients using a variety of definitions. The results of several large trials evaluating 3 or 8 months of androgen depletion before surgery have not been shown to improve clinically relevant outcomes. Currently, neoadju vant hormonal therapies are not considered to be standard of care for surgically treated patients. Factors associated with incontinence following radical prosta tectomy include older age and membranous urethral length, which impacts the ability to preserve the urethra beyond the apex and the distal sphincter. The skill and experience of the surgeon are also critical factors. The likelihood of recovery of erectile function is associated with younger age, quality of erections before surgery, and the absence of damage to the neurovascular bundles. In general, erectile func tion begins to return ~6 months after surgery if neurovascular tissue has been preserved. Potency is reduced by half if at least one neurovascular bundle is sacrificed. Overall, with the availability of drugs such as sildenafil, intraurethral inserts of alprostadil, and intracavernosal injections of vasodilators, many patients recover satisfactory sexual function. Radiation Therapy Radiation therapy is given by external beam, by radioactive sources implanted into the gland, or by a combina tion of the two techniques. CHAPTER 92 Benign and Malignant Diseases of the Prostate 700 Contemporary external beam intensity-modulated radiation therapy (IMRT) permits shaping of the dose and allows the delivery of higher doses to the prostate and a dramatic reduction in normal tissue exposure compared to three-dimensional conformal treat ment alone. These advances have enabled the safe administration of doses &gt;78 Gy and resulted in higher local control rates and fewer side effects. Proton beam radiation has not been demonstrated to have superior outcomes as compared to conventional radiation with IMRT. Lack of randomized studies prevents the use of routinely adopting proton beam as a standard of care. Cancer control after radiation therapy has been defined by vari ous criteria, including a decline in PSA to 10 ng/mL were 98, 90, and 89%, respectively. In a separate report of 201 patients who underwent posttreatment biopsies, 80% were negative, 17% were indetermi nate, and 3% were positive. The results did not change with longer follow-up. Brachytherapy is well tolerated, although most patients experience urinary frequency and urgency that can persist for several months. Higher complication rates are observed in patients who have undergone a prior transurethral resection of the prostate (TURP), while those with obstructive symptoms at baseline are at a higher risk for retention and persistent voiding symptoms. Proctitis has been reported in 10 months), the proportions with </w:t>
      </w:r>
      <w:r w:rsidR="00A6019F" w:rsidRPr="00A6019F">
        <w:lastRenderedPageBreak/>
        <w:t xml:space="preserve">metastatic disease at the same time intervals were 23, 32, and 53%, versus 47, 69, and 79% if the doubling time was short (50 ng/dL). The prognosis is distinct for those with metastases detected by conventional imaging versus those detected only with molecular imaging. Symptoms of metastatic disease may include pain from osseous spread, although many patients are asymptom atic despite extensive spread. Less common are symptoms related to weight loss, fatigue, malaise, lymphedema, marrow infiltration by tumor (myelophthisis), coagulopathy, blood clots, or spinal cord compression. Standard treatment is to deplete or lower androgens via ADT by medical or surgical means, the latter being the least acceptable to patients. More than 90% of male hormones originate in the testes; 50%. Duration of survival is inversely pro portional to disease extent at the time androgen depletion is first started and the nadir level of PSA at 6–8 months. Patients with nadir PSA values &gt;4 ng/mL have markedly inferior survival times and should be considered for alternative approaches. METASTATIC DISEASE: CASTRATE Castration-resistant prostate cancer (CRPC), disease that pro gresses while the measured levels of testosterone in the blood are 50 ng/mL or lower, can produce some of the most feared complica tions of the disease and is lethal for most patients. The most com mon manifestation is a rising PSA, frequently co-occurring with progression in bone. Nodal and/or visceral progression is less fre quent. Symptoms may or may not be present. Critical for manage ment is that therapeutic objectives be based on the manifestations of the disease in the individual at the time a change in therapy is being considered. As such, for the patient with symptomatic bone disease, relief of pain can be more clinically relevant than lowering the PSA. Naturally, for all patients, the central focus is delaying or preventing disease progression, symptoms, and death from disease. Through 2010, docetaxel was the only FDA-approved life- prolonging therapy for CRPC. Since then, our understanding of the biology of the disease has increased significantly, which in turn has led to improved therapies. It is now recognized that the majority of Benign and Malignant Diseases of the Prostate 703 CHAPTER 92 metastatic CRPCs continue to express the AR and remain AR sig naling dependent. For those with progression after ADT alone, the next-generation antiandrogen enzalutamide and the CYP17 inhibi tor abiraterone acetate (given in combination with prednisone) have been proven to prolong life and are FDA approved for use in CRPC in both the pre- and postchemotherapy setting. Large-scale molecular profiling efforts have led to a biologically based disease taxonomy that continues to evolve and showed a mark edly higher than expected frequency of germline (~6% of patients) and somatic BRCA (also ~6% of patients) alterations, along with other genes in the DNA damage repair pathway that have been targeted successfully with poly-ADP ribose polymerase (PARP) inhibitors of which two, olaparib and rucaparib, are FDA approved as monothera pies. Combinations of abiraterone and olaparib are FDA approved for BRCA1/BRCA2-mutated CRPC patients, and enzalutamide/talozapa rib combinations are approved for BRCA1/BRCA2-mutated patients and other DNA repair pathway mutations. Also approved are the checkpoint inhibitors pembrolizumab and </w:t>
      </w:r>
      <w:r w:rsidR="00A6019F" w:rsidRPr="00A6019F">
        <w:lastRenderedPageBreak/>
        <w:t xml:space="preserve">dostarlimab for tumors with high microsatellite instability (MSI) scores, mismatch repair gene deficiency, or patients with a high tumor mutational burden. These alterations are found in ~3% of prostate cancers. Other classes of therapy approved for selected CRPC patients based on demonstrated survival benefits include the biologic agent sipuleucel-T, the second-generation taxane cabazitaxel, the α-emitting bone-targeting radiopharmaceutical radium-223, and the PSMA-directed radionuclide therapy 177-lutetium PSMA-617. The use of 177-lutetium PSMA-617 has garnered intense interest given that this targeted form of radiation was able to extend sur vival in patients who had exhausted most conventional forms of therapy. Overall, an intense focus of current CRPC research is to understand the optimal sequence in which to utilize these agents to maximize benefit for the individual patient. Most of these agents are also being tested earlier in the course of the disease when tumor burdens are lower and the disease less heterogeneous. The result has been an increase in the frequency of late-state tumors that have undergone a lineage transformation from epithelial to alternative phenotypes (neuroendocrine and more) and are highly resistant to available therapies. Pain Management Pain secondary to osseous metastases is one of the most feared complications of the disease and a major cause of morbidity, worsened by the narcotics needed to control symptoms. Management requires accurate diagnoses because noncancer eti ologies including degenerative disease, spinal stenosis, and vertebral collapse secondary to bone loss are common. Neurologic symptoms, including those suggestive of base of skull disease or spinal cord compromise, require emergency evaluation because loss of function may be permanent if not addressed quickly. Neurologic symptoms and loss of function are best treated with external beam radiation, as are single sites of pain. Diffuse symptoms in the absence of neu rologic deficits can be treated with bone-seeking radioisotopes, such as radium-223 or the β emitter 153Sm–ethylene-diamine-tetrameth ylene-phosphonic acid (EDTMP); mitoxantrone; or other systemic therapies. Radium-223 is indicated for patients with symptoms and has been shown to prolong survival, whereas 153Sm-EDTMP and mitoxantrone are approved for the palliation of pain but have not been shown to prolong life. Abiraterone, enzalutamide, docetaxel, cabazitaxel, and Lu-177 PSMA-617 do not have a formal indication for pain but were shown to palliate pain in the registration trials that led to their approval by showing a survival benefit. Other bone-targeting agents, including bisphosphonates such as zoledronic acid and the RANK-ligand inhibitor denosumab, have been shown to reduce the frequency and development of skeletal complications including pain requiring analgesia, neurologic com promise from epidural extension of tumor, and/or the need for surgery or radiation therapy to treat symptomatic osseous disease. It is important to note that, for all of these agents, the direct effects on the tumor are limited and benefits are seen without declines in PSA or improvements on imaging. BENIGN DISEASE </w:t>
      </w:r>
      <w:r w:rsidR="00A6019F" w:rsidRPr="00A6019F">
        <w:rPr>
          <w:rFonts w:ascii="Arial" w:hAnsi="Arial" w:cs="Arial"/>
        </w:rPr>
        <w:t>■</w:t>
      </w:r>
      <w:r w:rsidR="00A6019F" w:rsidRPr="00A6019F">
        <w:t xml:space="preserve">BENIGN PROSTATIC HYPERPLASIA BPH is a pathologic process that contributes to the development of lower urinary tract symptoms (LUTS) in patients. LUTS, arising from lower urinary tract dysfunction, are </w:t>
      </w:r>
      <w:r w:rsidR="00A6019F" w:rsidRPr="00A6019F">
        <w:lastRenderedPageBreak/>
        <w:t xml:space="preserve">further subdivided into obstruc tive symptoms (urinary hesitancy, straining, weak stream, terminal dribbling, prolonged voiding, incomplete emptying) and irritative symptoms (urinary frequency, urgency, urge incontinence, small voided volumes). LUTS and other sequelae of BPH are not just due to a mass effect but are also likely due to a combination of the prostatic enlargement and age-related detrusor dysfunction. Diagnostic Procedures and Treatment LUTS are generally measured using a validated, reproducible index that is designed to determine disease severity and response to therapy—the AUA’s Symp tom Index (AUASI), also adopted as the International Prostate Symp tom Score (IPSS) (Table 92-2). Serial AUASI is particularly useful in TABLE 92-2 AUA Symptom Index QUESTIONS TO BE ANSWERED AUA SYMPTOM SCORE (CIRCLE 1 NUMBER ON EACH LINE) NOT AT ALL LESS THAN 1 TIME IN 5 LESS THAN HALF THE TIME ABOUT HALF THE TIME MORE THAN HALF THE TIME ALMOST ALWAYS Over the past month, how often have you had a sensation of not emptying your bladder completely after you finished urinating? 0+ 1 2 3 4 5 Over the past month, how often have you had to urinate again less than 2 h after you finished urinating? 0 1 2 3 4 5 Over the past month, how often have you found you stopped and started again several times when you urinated? 0 1 2 3 4 5 Over the past month, how often have you found it difficult to postpone urination? 0 1 2 3 4 5 Over the past month, how often have you had a weak urinary stream? 0 1 2 3 4 5 Over the past month, how often have you had to push or strain to begin urination? 0 1 2 3 4 5 Over the past month, how many times did you most typically get up to urinate from the time you went to bed at night until the time you got up in the morning? (None) (1 time) (2 times) (3 times) (4 times) (5 times) Sum of 7 circled numbers (AUA Symptom Score): ____ Abbreviation: AUA, American Urological Association. Source: Modified with permission from MJ Barry et al: The American Urological Association symptom index for benign prostatic hyperplasia. The Measurement Committee of the American Urological Association. J Urol 148:1549, 1992. 704 following patients as they are treated with various forms of therapy. Asymptomatic patients do not require treatment regardless of the size of the gland, while those with an inability to urinate, gross hematuria, recurrent infection, or bladder stones require evaluation and treat ment. In patients with symptoms, uroflowmetry can identify those with normal flow rates who are unlikely to benefit from treatment, and bladder ultrasound can identify those with high postvoid residuals who may need intervention. Pressure-flow (urodynamic) studies detect pri mary bladder dysfunction. Cystoscopy is recommended if hematuria is documented and to assess the urinary outflow tract before surgery. Imaging of the upper tracts is advised for patients with hematuria, a history of calculi, or prior urinary tract problems. PART 4 Oncology and Hematology Symptomatic relief is the most common reason patients seek treat ment for BPH, and therefore, symptomatic relief is usually the goal of therapy for BPH. α-Adrenergic receptor antagonists are thought to treat the dynamic aspect of BPH by reducing sympathetic tone of the blad der outlet, thereby decreasing resistance and improving urinary flow. 5ARIs are thought to treat the static aspect of BPH by reducing </w:t>
      </w:r>
      <w:r w:rsidR="00A6019F" w:rsidRPr="00A6019F">
        <w:lastRenderedPageBreak/>
        <w:t xml:space="preserve">prostate volume and having a similar, albeit delayed effect. 5ARIs have also proven beneficial in the prevention of BPH progression, as measured by prostate volume, the risk of developing acute urinary retention, and the risk of having BPH-related surgery. The use of an alpha-adrenergic receptor antagonist and a 5ARI as combination therapy seeks to provide symptomatic relief while preventing progression of BPH. Another class of medications that has shown improvement in LUTS secondary to BPH is phosphodiesterase-5 (PDE5) inhibitors, used currently in the treatment of erectile dysfunction. All four of the PDE5 inhibitors available in the United States—sildenafil, vardenafil, tadalafil, and avanafil—appear to be effective in the treatment of LUTS secondary to BPH. The use of PDE5 inhibitors is not without con troversy, however, given the fact that short-acting phosphodiesterase inhibitors such as sildenafil need to be dosed separately from alpha blockers such as tamsulosin because of potential hypotensive effects. Symptoms due to BPH often coexist with symptoms due to overac tive bladder, and the most common pharmacologic agents for the treat ment of overactive bladder symptoms are anticholinergics. This has led to multiple studies evaluating the efficacy of anticholinergics for the treatment of LUTS secondary to BPH. Surgical therapy is now considered second-line therapy and is usu ally reserved for patients after a trial of medical therapy. The goal of surgical therapy is to reduce the size of the prostate, effectively reduc ing resistance to urine flow. Surgical approaches include TURP, trans urethral incision, or removal of the gland via a retropubic, suprapubic, or perineal approach. Also used are transurethral ultrasound–guided laser-induced prostatectomy (TULIP), stents, and hyperthermia. </w:t>
      </w:r>
      <w:r w:rsidR="00A6019F" w:rsidRPr="00A6019F">
        <w:rPr>
          <w:rFonts w:ascii="Arial" w:hAnsi="Arial" w:cs="Arial"/>
        </w:rPr>
        <w:t>■</w:t>
      </w:r>
      <w:r w:rsidR="00A6019F" w:rsidRPr="00A6019F">
        <w:t xml:space="preserve">FURTHER READING Bergengren O et al: 2022 Update on prostate cancer epidemiology and risk factors: A systematic review. Eur Urol 84:191, 2023. Deek MP et al: Multi-institutional analysis of metastasis-directed ther apy with or without androgen deprivation therapy in oligometastatic castration-sensitive prostate cancer. Eur Urol Oncol 7:1403, 2024. Donovan JL et al: Patient-reported outcomes 12 years after localized prostate cancer treatment. NEJM Evid 2:EVIDoa2300018, 2023. Erra tum in: NEJM Evid 2:EVIDx2300122, 2023. Eastham JA et al: Clinically localized prostate cancer: AUA/ASTRO Guideline. J Urol 208:505, 2022. Fendler WP et al: Assessment of 68Ga-PSMA-11 PET accuracy in localizing recurrent prostate cancer: A prospective single-arm clinical trial. JAMA Oncol 5:856, 2019. Haile ES et al: Medical management of benign prostatic hyperplasia. Cleve Clin J Med 91:163, 2024. Hamdy FC et al: Fifteen-year outcomes after monitoring, surgery, or radiotherapy for prostate cancer. N Engl J Med 388:1547, 2023. Hugosson J et al: Prostate cancer screening with PSA and MRI fol lowed by targeted biopsy only. N Engl J Med 387:2126, 2022. Hussain M et al: Survival with olaparib in metastatic castration- resistant prostate cancer. N Engl J Med 383:2345, 2020. Kasivisvanathan V et al: MRI-targeted or standard biopsy for prostate-cancer diagnosis. N Engl J Med 378:1767, 2018. Merseburger AS et al: Genomic testing in patients with metastatic castration-resistant prostate vancer: A pragmatic guide for clinicians. Eur Urol 79:519, 2021. Morgan TM et al: Salvage therapy for prostate cancer: AUA/ASTRO/ SUO guideline part I: Introduction </w:t>
      </w:r>
      <w:r w:rsidR="00A6019F" w:rsidRPr="00A6019F">
        <w:lastRenderedPageBreak/>
        <w:t xml:space="preserve">and treatment decision-making at the time of suspected biochemical recurrence after radical prostatec tomy. J Urol 211:509, 2024. Pinsky PF, Parnes H: Screening for prostate cancer. N Engl J Med 388:1405, 2023. Roach M 3rd et al: Prostate cancer, race, and health disparity: What we know. Cancer J 29:328, 2023. Sartor O et al: Lutetium-177-PSMA-617 for metastatic castration resistant prostate cancer. N Engl J Med 385:1091, 2021. Virgo KS et al: Initial management of noncastrate advanced, recurrent, or metastatic prostate cancer: ASCO guideline update. J Clin Oncol 39:1274, 2021. Testicular Cancer 93 David J. Vaughn Testicular germ cell tumors (GCTs) represent 95% of all testicular neo plasms. Non-GCTs of the testis are much less common. Approximately 5% of GCTs arise in extragonadal locations including the mediastinum, retroperitoneum, and pineal gland. Treatment for testicular GCTs is determined by pathology and stage. The development of effective chemotherapy for this disease represents a landmark achievement in oncology. About 95% of newly diagnosed patients with testicular GCTs will be cured. For this reason, testicular cancer has been called “a model for a curable neoplasm.” INCIDENCE AND GLOBAL CONSIDERATIONS In 2023, </w:t>
      </w:r>
      <w:r w:rsidR="00A6019F" w:rsidRPr="00A6019F">
        <w:rPr>
          <w:rFonts w:ascii="Cambria Math" w:hAnsi="Cambria Math" w:cs="Cambria Math"/>
        </w:rPr>
        <w:t>∼</w:t>
      </w:r>
      <w:r w:rsidR="00A6019F" w:rsidRPr="00A6019F">
        <w:t xml:space="preserve">9200 cases of testicular GCTs will be diagnosed in the United States, with 470 deaths. The incidence of testicular GCTs appears to be increasing worldwide. The disease has the highest incidence in Scandinavia, Western Europe, and Australia/New Zealand. Africa and Asia have the lowest incidence. The incidence in the United States and the United Kingdom is intermediate. While a distinct biology related to geography is not apparent, several countries have reported a migration to earlier stage disease in part related to public awareness and earlier diagnosis. </w:t>
      </w:r>
      <w:r w:rsidR="00A6019F" w:rsidRPr="00A6019F">
        <w:rPr>
          <w:rFonts w:ascii="Arial" w:hAnsi="Arial" w:cs="Arial"/>
        </w:rPr>
        <w:t>■</w:t>
      </w:r>
      <w:r w:rsidR="00A6019F" w:rsidRPr="00A6019F">
        <w:t>EPIDEMIOLOGY Testicular GCT is the most common malignancy diagnosed in adoles cent and young adult males (defined as age 15</w:t>
      </w:r>
      <w:r w:rsidR="00A6019F" w:rsidRPr="00A6019F">
        <w:rPr>
          <w:rFonts w:ascii="Aptos" w:hAnsi="Aptos" w:cs="Aptos"/>
        </w:rPr>
        <w:t>–</w:t>
      </w:r>
      <w:r w:rsidR="00A6019F" w:rsidRPr="00A6019F">
        <w:t xml:space="preserve">39 years). The incidence in patients over 50 is increasing. Testicular GCT is most commonly diagnosed in Caucasians. The disease is much less commonly seen in African Americans. Testicular GCTs have an estimated heritability of almost 50%. Interestingly, the risk of GCT is higher in male siblings than in offspring of the patient. Although epidemiologic studies have been performed attempting to identify a relationship with environmental exposures, no conclusive causal links have been established. Risk Factors The strongest risk factors for testicular GCT include a prior history of the disease, cryptorchidism, and a history of testicular germ cell neoplasia in situ. Patients with a prior history of testicular GCT have a 1–2% risk of developing a contralateral GCT. These are 705 more commonly metachronous than synchronous. Men with crypt orchidism have approximately a four- to sixfold increased risk of developing testicular GCT. Orchidopexy before puberty decreases but does not eliminate this risk. Interestingly, the contralateral descended testis is also at risk for this disease. Men undergoing infertility evalu ation in which a testicular biopsy demonstrates germ cell neoplasia in situ have a significant risk of developing GCT. Although scrotal ultrasound of patients with testicular GCT may demonstrate testicular microcalcifications that may be related to germ cell neoplasia in situ, the significance of testicular microcalcifications in the general popula tion is unclear. </w:t>
      </w:r>
      <w:r w:rsidR="00A6019F" w:rsidRPr="00A6019F">
        <w:rPr>
          <w:rFonts w:ascii="Arial" w:hAnsi="Arial" w:cs="Arial"/>
        </w:rPr>
        <w:t>■</w:t>
      </w:r>
      <w:r w:rsidR="00A6019F" w:rsidRPr="00A6019F">
        <w:t xml:space="preserve">BIOLOGY The </w:t>
      </w:r>
      <w:r w:rsidR="00A6019F" w:rsidRPr="00A6019F">
        <w:lastRenderedPageBreak/>
        <w:t xml:space="preserve">primordial germ cell is the cell of origin for GCTs. Most malignant GCTs arise from in situ neoplasia. The molecular events that result in the development of germ cell neoplasia in situ and subsequent malig nant GCT have not been fully determined. However, genetic analysis of GCTs has demonstrated an excess copy number of isochromosome 12p (i[12p]) in most cases. Several genome-wide association studies have identified multiple independent loci associated with testicular GCT risk. The strongest of these is the KITLG (KIT ligand) locus on chromosome 12. These loci contribute significantly to the heritable risk of this disease. </w:t>
      </w:r>
      <w:r w:rsidR="00A6019F" w:rsidRPr="00A6019F">
        <w:rPr>
          <w:rFonts w:ascii="Arial" w:hAnsi="Arial" w:cs="Arial"/>
        </w:rPr>
        <w:t>■</w:t>
      </w:r>
      <w:r w:rsidR="00A6019F" w:rsidRPr="00A6019F">
        <w:t xml:space="preserve">PATHOLOGY GCTs are either seminomas or nonseminomas. For a tumor to be considered a seminoma, it must be 100% seminoma. Any mixed GCT should be approached as a nonseminomatous GCT. Seminomas repre sent </w:t>
      </w:r>
      <w:r w:rsidR="00A6019F" w:rsidRPr="00A6019F">
        <w:rPr>
          <w:rFonts w:ascii="Cambria Math" w:hAnsi="Cambria Math" w:cs="Cambria Math"/>
        </w:rPr>
        <w:t>∼</w:t>
      </w:r>
      <w:r w:rsidR="00A6019F" w:rsidRPr="00A6019F">
        <w:t xml:space="preserve">50% of cases. Seminomas arise most commonly in patients in the fourth decade of life. Seminomas may contain syncytiotrophoblastic cells, which may secrete </w:t>
      </w:r>
      <w:r w:rsidR="00A6019F" w:rsidRPr="00A6019F">
        <w:rPr>
          <w:rFonts w:ascii="Aptos" w:hAnsi="Aptos" w:cs="Aptos"/>
        </w:rPr>
        <w:t>β</w:t>
      </w:r>
      <w:r w:rsidR="00A6019F" w:rsidRPr="00A6019F">
        <w:t xml:space="preserve">-human chorionic gonadotropin (hCG). Seminomas do not secrete </w:t>
      </w:r>
      <w:r w:rsidR="00A6019F" w:rsidRPr="00A6019F">
        <w:rPr>
          <w:rFonts w:ascii="Aptos" w:hAnsi="Aptos" w:cs="Aptos"/>
        </w:rPr>
        <w:t>α</w:t>
      </w:r>
      <w:r w:rsidR="00A6019F" w:rsidRPr="00A6019F">
        <w:t xml:space="preserve">-fetoprotein (AFP). Seminomas are exqui sitely sensitive to both chemotherapy and radiation therapy. Nonsemi nomatous GCTs are most commonly diagnosed in the third decade of life. The histologic subtypes include embryonal carcinoma, yolk sac tumor, choriocarcinoma, and teratoma. Embryonal carcinoma is the most undifferentiated nonseminomatous GCT subtype with the poten tial to differentiate into the other subtypes. Embryonal carcinoma may secrete AFP, hCG, both, or neither. Yolk sac tumor often secretes AFP. Choriocarcinoma is an aggressive subtype, often secreting hCG at very high levels. These nonseminomatous GCT subtypes are all considered chemotherapy sensitive. Teratoma is composed of somatic cell types that are derived from two or more germinal layers (endoderm, meso derm, and ectoderm). Teratomas are classified as mature, in which cell types resemble normal adult somatic tissue; immature, in which cell types resemble fetal somatic tissue; and malignant, in which the cell types have undergone malignant transformation into the malignant counterpart of the somatic tissue. Teratomas are chemotherapy resis tant and must be treated surgically. </w:t>
      </w:r>
      <w:r w:rsidR="00A6019F" w:rsidRPr="00A6019F">
        <w:rPr>
          <w:rFonts w:ascii="Arial" w:hAnsi="Arial" w:cs="Arial"/>
        </w:rPr>
        <w:t>■</w:t>
      </w:r>
      <w:r w:rsidR="00A6019F" w:rsidRPr="00A6019F">
        <w:t xml:space="preserve">INITIAL PRESENTATION Signs and Symptoms Although a painless testicular mass is pathognomonic of a GCT, most patients present with testicular swell ing, firmness, discomfort, or a combination of these. The differential diagnosis may include epididymitis or orchitis, and a trial of antibacte rials may be considered. Patients with retroperitoneal metastases may complain of back or flank pain. Patients may have cough, shortness of breath, or hemoptysis because of lung metastases. In patients with elevation of serum hCG, gynecomastia may be present. Diagnostic delay is not uncommon and may be associated with a more advanced stage at diagnosis. Physical Examination Careful examination of the affected testis and the contralateral normal testis should be performed. Many tumors will have a hard consistency to palpation. Some patients may show testicular atrophy. Evaluation for supraclavicular lymphadenopathy, gynecomastia, and abdominal mass should be performed. Inguinal lymphadenopathy is rare. Most patients with lung metastases will have normal auscultation of the lungs. Diagnostic Testing If a firm testicular mass is identified, a </w:t>
      </w:r>
      <w:r w:rsidR="00A6019F" w:rsidRPr="00A6019F">
        <w:lastRenderedPageBreak/>
        <w:t xml:space="preserve">scrotal ultrasound should be performed. Patients with suspected epididymitis or orchitis who do not respond to antibiotics should also undergo scrotal ultrasound. Scrotal ultrasound should include both testicles. On ultrasound, a testicular GCT is hypoechoic and may be multifocal. A solid mass identified on ultrasound should be considered malignant until otherwise proven. Transscrotal aspiration or biopsy of a testicular mass should never be performed. Such scrotal violation may result in tumor seeding of the scrotum or inguinal lymph nodes. Serum Tumor Markers Serum AFP, hCG, and lactate dehydro genase (LDH) should be measured in patients suspected of testicular GCT. AFP is elevated in </w:t>
      </w:r>
      <w:r w:rsidR="00A6019F" w:rsidRPr="00A6019F">
        <w:rPr>
          <w:rFonts w:ascii="Cambria Math" w:hAnsi="Cambria Math" w:cs="Cambria Math"/>
        </w:rPr>
        <w:t>∼</w:t>
      </w:r>
      <w:r w:rsidR="00A6019F" w:rsidRPr="00A6019F">
        <w:t>60</w:t>
      </w:r>
      <w:r w:rsidR="00A6019F" w:rsidRPr="00A6019F">
        <w:rPr>
          <w:rFonts w:ascii="Aptos" w:hAnsi="Aptos" w:cs="Aptos"/>
        </w:rPr>
        <w:t>–</w:t>
      </w:r>
      <w:r w:rsidR="00A6019F" w:rsidRPr="00A6019F">
        <w:t>70% of patients who present with non seminomatous GCTs. Seminomas never secrete AFP. A patient with a seminoma with elevation of AFP should be approached as having a nonseminomatous GCT. The half-life of AFP is 5</w:t>
      </w:r>
      <w:r w:rsidR="00A6019F" w:rsidRPr="00A6019F">
        <w:rPr>
          <w:rFonts w:ascii="Aptos" w:hAnsi="Aptos" w:cs="Aptos"/>
        </w:rPr>
        <w:t>–</w:t>
      </w:r>
      <w:r w:rsidR="00A6019F" w:rsidRPr="00A6019F">
        <w:t xml:space="preserve">7 days. A falsely elevated AFP may be seen in patients with hepatic disease or a condi tion called hereditary persistence of AFP, in which patients may have baseline AFP levels that are mildly elevated. hCG may be elevated in both nonseminomatous GCTs as well as seminomas. Patients with cho riocarcinoma may have markedly elevated levels of hCG. The half-life for hCG is 24–36 h. False-positive elevation of hCG may be seen sec ondary to hypogonadism, marijuana use, or because of interfering sub stances measured by the assay. LDH is a nonspecific marker for GCT. Its principal use is to help in the assessment of the risk classification of a patient with metastatic disease. Although elevation of serum tumor markers supports the diagnosis of a testicular GCT, most patients with seminoma and up to a third of patients with nonseminomatous GCTs do not have elevated levels. Serum microRNA (miR)-371a-3 has been identified as a promising biomarker for GCT, and validation studies are ongoing. </w:t>
      </w:r>
      <w:r w:rsidR="00A6019F" w:rsidRPr="00A6019F">
        <w:rPr>
          <w:rFonts w:ascii="Arial" w:hAnsi="Arial" w:cs="Arial"/>
        </w:rPr>
        <w:t>■</w:t>
      </w:r>
      <w:r w:rsidR="00A6019F" w:rsidRPr="00A6019F">
        <w:t xml:space="preserve">INITIAL MANAGEMENT Inguinal Orchiectomy Prompt referral to urology should be performed if a testicular GCT is suspected. The initial treatment for most patients suspected of having a testicular GCT is radical ingui nal orchiectomy with removal of the testicle and spermatic cord to the level of the internal inguinal ring. In patients who present with metastatic disease and the diagnosis of GCT is certain, orchiectomy may be deferred until completion of chemotherapy. Although some institutions perform testis-sparing surgery in select patients, the gold standard remains radical inguinal orchiectomy. Pathologic examina tion of the entire testicle is important, since testicular GCTs may be multifocal. Given the rarity of this cancer, review by an experienced pathologist is essential for accurate tumor classification. Serum tumor markers should be obtained before and after orchiectomy. CHAPTER 93 Testicular Cancer Staging The staging of testicular GCT is based on an understanding of the pattern of spread. The initial spread is by the lymphatic route to the retroperitoneal lymph nodes. A left-sided testicular GCT spreads first to the primary landing zone of left paraaortic lymph nodes inferior to the left renal vessels. A right-sided testicular GCT spreads first to the primary landing zone of the aortocaval nodes inferior to the right renal vessels. Nodal metastases may extend into the iliac regions. If scrotal violation occurred, inguinal lymph node metastases may be seen. Subsequent lymphatic spread is to the retrocrural, mediastinal, and </w:t>
      </w:r>
      <w:r w:rsidR="00A6019F" w:rsidRPr="00A6019F">
        <w:lastRenderedPageBreak/>
        <w:t xml:space="preserve">supraclavicular lymph nodes. Hematogenous spread to the lung is the next most com mon site of metastasis. Metastases to the liver, bone, and brain are less common. Patients with newly diagnosed testicular GCTs should undergo computed tomography (CT) scan of the abdomen and pelvis. Chest x-ray should be performed. CT scan of the chest is performed if retroperitoneal metastases are present or if lung nodules are identified on chest x-ray. Bone scan and magnetic resonance imaging (MRI) of the brain are not routinely performed unless clinically indicated. Positron emission tomography (PET) has little role in the initial staging of testicular GCTs. 706 The American Joint Committee on Cancer tumor-node-metastasis (TNM) staging classification is used. There are three main stages of testicular GCT. Stage I is limited to the testis; stage II involves the ret roperitoneal lymph nodes; and stage III includes lymph node involve ment beyond the retroperitoneum and/or distant metastatic disease. </w:t>
      </w:r>
      <w:r w:rsidR="00A6019F" w:rsidRPr="00A6019F">
        <w:rPr>
          <w:rFonts w:ascii="Arial" w:hAnsi="Arial" w:cs="Arial"/>
        </w:rPr>
        <w:t>■</w:t>
      </w:r>
      <w:r w:rsidR="00A6019F" w:rsidRPr="00A6019F">
        <w:t xml:space="preserve">STAGE-BASED MANAGEMENT Treatment of testicular GCT is based on two factors: (1) whether the tumor is seminoma or nonseminomatous GCT and (2) the stage of the patient. This is summarized in Fig. 93-1. PART 4 Oncology and Hematology Stage I </w:t>
      </w:r>
      <w:r w:rsidR="00A6019F" w:rsidRPr="00A6019F">
        <w:rPr>
          <w:rFonts w:ascii="Aptos" w:hAnsi="Aptos" w:cs="Aptos"/>
        </w:rPr>
        <w:t>•</w:t>
      </w:r>
      <w:r w:rsidR="00A6019F" w:rsidRPr="00A6019F">
        <w:t> </w:t>
      </w:r>
      <w:r w:rsidR="00A6019F" w:rsidRPr="00A6019F">
        <w:t xml:space="preserve">SEMINOMA About 70% of newly diagnosed patients with seminoma present with stage I disease. This is defined as no evidence of metastatic disease on imaging of the chest, abdomen, and pelvis. Approximately 15% of patients with stage I seminoma have metastatic disease at the microscopic level, usually in the retroperito neum. Historically, patients with stage I seminoma were treated with a course of adjuvant radiation therapy to the paraaortic lymph nodes. While still an option, this is not usually performed because of concerns for late radiation-induced secondary malignancies. Active surveillance is the most common approach elected by these patients following orchiectomy. With active surveillance, interval physical examination and CT scan of the abdomen are performed. For the 15% of patients who develop metastatic disease during active surveillance, treatment is curative in nearly all. A third option for clinical stage I seminoma is adjuvant chemotherapy with carboplatin monotherapy for one or two cycles. While effective in decreasing the risk of recurrence, most patients are cured by orchiectomy alone, and therefore, the additional treatment is unnecessary. In addition, long-term data on toxicity are not available. NONSEMINOMATOUS GCTS About 40% of newly diagnosed patients with nonseminomatous GCTs present with stage I disease. Because nonseminomatous GCTs have an increased potential for invasion and metastasis, spread to the retroperitoneum and beyond is more com mon than with seminoma. If pre-orchiectomy serum tumor markers are elevated, these must normalize after orchiectomy to be considered stage I. Patients with persistently elevated or rising serum tumor mark ers after orchiectomy have stage IS disease and should be treated with cisplatin-based chemotherapy. If the tumor is limited to testis without lymphovascular invasion, the risk of recurrence is approximately 20%. However, if the tumor has high-risk features including lymphovascular invasion, invasion of the spermatic cord, or invasion of the scrotum, the risk of recurrence is </w:t>
      </w:r>
      <w:r w:rsidR="00A6019F" w:rsidRPr="00A6019F">
        <w:rPr>
          <w:rFonts w:ascii="Cambria Math" w:hAnsi="Cambria Math" w:cs="Cambria Math"/>
        </w:rPr>
        <w:t>∼</w:t>
      </w:r>
      <w:r w:rsidR="00A6019F" w:rsidRPr="00A6019F">
        <w:t xml:space="preserve">50% or higher. Historically, a prophylactic retroperitoneal lymph node dissection (RPLND) was performed. This </w:t>
      </w:r>
      <w:r w:rsidR="00A6019F" w:rsidRPr="00A6019F">
        <w:lastRenderedPageBreak/>
        <w:t>surgery is not only diagnostic but also therapeutic. In fact, most patients who undergo prophylactic RPLND will never require chemo therapy. While still an option, this approach subjects many patients to unnecessary major abdominal surgery. RPLND is also associated with a small risk of retrograde ejaculation due to nerve injury, and nerve-sparing techniques have been developed. Active surveillance is frequently performed especially for patients without lymphovascular invasion. Most patients who relapse will be treated with cisplatin-based chemotherapy and achieve cure rates approaching 100%. Active sur veillance can also be employed for patients with higher risk features, although the risk of progression is significantly higher. For this rea son, some advocate adjuvant cisplatin-based chemotherapy with BEP (bleomycin, etoposide, cisplatin) for one cycle for these patients. Other centers favor a prophylactic RPLND. Almost all patients who present with stage I nonseminomatous GCTs will achieve cure. Stage II •</w:t>
      </w:r>
      <w:r w:rsidR="00A6019F" w:rsidRPr="00A6019F">
        <w:t> </w:t>
      </w:r>
      <w:r w:rsidR="00A6019F" w:rsidRPr="00A6019F">
        <w:t xml:space="preserve">SEMINOMA Approximately 15–20% of newly diag nosed patients with seminoma present with stage II disease. Patients are subgrouped into IIA, IIB, or IIC based on the size of the retroperi toneal nodes (≤2 cm, &gt;2 to 5 cm, or &gt;5 cm, respectively). Patients with stage IIA disease are usually treated with “dogleg” radiation therapy (referring to the shape of the radiation field), which includes the para aortic and ipsilateral iliac nodes. Cisplatin-based chemotherapy may also be considered. Stage IIB disease is treated with cisplatin-based chemotherapy or, in select patients, radiation therapy. Most patients treated with radiation therapy who relapse will subsequently be cured with cisplatin-based chemotherapy. RPLND has been considered in select patients with stage IIA and nonbulky stage IIB seminoma in an effort to avoid chemotherapy and radiation therapy. For patients with stage IIC disease, cisplatin-based chemotherapy should be used. NSGCTS Approximately 15% of newly diagnosed patients with non seminomatous GCTs present with clinical stage II disease. Patients with stage IIA disease may be treated with primary RPLND. Alternatively, these patients may be treated with cisplatin-based chemotherapy. Patients with stage IIB and IIC disease are best initially managed with cisplatin-based chemotherapy. Stage III Patients who present with stage III GCT (seminoma or nonseminomatous GCT) are treated with cisplatin-based chemother apy. These patients are classified into good-, intermediate-, or poor-risk categories using the International Germ Cell Consensus Classification system, which is based on clinical factors including histology, site of primary, the presence of nonpulmonary visceral metastatic disease, and the level of postorchiectomy serum tumor markers (Table 93-1). Most patients with stage III GCT present with good-risk disease and &gt;90% will be cured. The remainder present with intermediate-risk or poor-risk disease associated with 5-year survival rates of </w:t>
      </w:r>
      <w:r w:rsidR="00A6019F" w:rsidRPr="00A6019F">
        <w:rPr>
          <w:rFonts w:ascii="Cambria Math" w:hAnsi="Cambria Math" w:cs="Cambria Math"/>
        </w:rPr>
        <w:t>∼</w:t>
      </w:r>
      <w:r w:rsidR="00A6019F" w:rsidRPr="00A6019F">
        <w:t xml:space="preserve">80% and 50%, respectively. Select patients with rapidly progressive metastatic disease and life-threatening symptoms such as hemoptysis in whom there is a high clinical suspicion of GCT should emergently initiate cisplatin-based chemotherapy, even without a tissue diagnosis. Chemotherapy The development of cisplatin-based chemotherapy represents an important advance in cancer medicine. Through a series of carefully </w:t>
      </w:r>
      <w:r w:rsidR="00A6019F" w:rsidRPr="00A6019F">
        <w:lastRenderedPageBreak/>
        <w:t xml:space="preserve">performed clinical trials with the aim of maximizing cure while minimizing the extent of treatment, the chemotherapy approach to the treatment of these patients has been standardized. Patients with good-risk metastatic GCT are treated with either three cycles of BEP or four cycles of etoposide and cisplatin (EP). Patients with intermediate- and poor-risk metastatic disease are treated with either four cycles of BEP or four cycles of etoposide, ifosfamide, and cisplatin (VIP). Maintain ing dose and schedule is important, as dose modifications and delays have been associated with inferior outcomes. Serum tumor markers should be monitored throughout treatment and should normalize during or after treatment. Cisplatin-based chemotherapy is associated with myelosuppression, nausea and vomiting, and alopecia. Cisplatin may result in nephrotoxicity, ototoxicity, and peripheral neuropathy. Bleomycin may result in pulmonary toxicity, and risk factors for this include age &gt;40, renal failure, tobacco use, and the cumulative dose of bleomycin received. For patients at increased risk of bleomycin induced pneumonitis, non–bleomycin-containing regimens as noted above may be given. Cisplatin-based chemotherapy is also associated with sterility. Approximately 30% of newly diagnosed testicular GCT patients have severe oligospermia or azoospermia. For the remainder with normal baseline spermatogenesis who receive cisplatin-based chemotherapy, all will be azoospermic at the completion of therapy. Approximately 80% of these patients will recover spermatogenesis over a period of several years. For this reason, prechemotherapy sperm banking should be offered to all patients treated with chemotherapy. Postchemotherapy Surgery Upon completion of cisplatin-based chemotherapy, many patients with normalized serum tumor markers will have radiographic evidence of residual masses. In approximately half of patients with nonseminomatous GCT, the residual mass is composed of necrosis and/or fibrosis. About 40% will have residual teratoma, and only 10% will have residual viable nonteratomatous GCT. Unfortunately, radiographic imaging cannot accurately differen tiate between these entities. For this reason, nonseminomatous GCT patients with residual masses after chemotherapy undergo resection of all sites of disease. This most commonly includes a postchemotherapy RPLND. However, thoracotomy and neck dissection are required in some patients. Given the complexity of this surgery, patients should be referred to highly experienced centers. If the patients are found to have residual necrosis or teratoma, no additional therapy is required. Stage 1 707 Testis Seminoma Stage IA Testis only, no lymphovascular invasion Active surveillance; or Adjuvant carboplatin × 1 or 2 cycles; or Adjuvant para-aortic RT NSGCT Active surveillance; or Nerve-sparing RPLND; or Adjuvant BEP × 1 cycle Stage IB Testis only, with lymphovascular invasion or invasion of spermatic cord or scrotum Stage IS Elevated serum tumor markers post orchiectomy A Active surveillance; or Adjuvant carboplatin × 1 or 2 cycles; or Adjuvant para-aortic RT BEP × 3 cycles; or EP × 4 cycles Stage 2 Lymph nodes Seminoma Stage IIA N1: nodes ≤ 2 cm Testis Para-aortic and ipsilateral iliac RT; or BEP × 3 cycles or EP × 4 cycles; Nerve-sparing RPLND in select patients NSGCT Active surveillance; or Adjuvant BEP × 1 cycle; or Nerve-sparing RPLND </w:t>
      </w:r>
      <w:r w:rsidR="00A6019F" w:rsidRPr="00A6019F">
        <w:lastRenderedPageBreak/>
        <w:t xml:space="preserve">BEP × 3 cycles; or EP × 4 cycles Nerve-sparing RPLND; or BEP × 3 cycles or EP × 4 cycles Stage IIB N2: nodes &gt; 2 to 5 cm Stage IIC N3: nodes &gt; 5 cm B BEP × 3 cycles or EP × 4 cycles; or Para-aortic and ipsilateral iliac RT BEP × 3 cycles or EP × 4 cycles BEP × 3 cycles or EP × 4 cycles +/ postchemotherapy RPLND BEP × 3 cycles or EP × 4 cycles +/ postchemotherapy RPLND CHAPTER 93 Testicular Cancer FIGURE 93-1 Stage-based management of testicular germ cell tumor. 708 Stage 3 Lungs Liver Lymph nodes Brain PART 4 Testis Seminoma Stage IIIA (good-risk) BEP × 3 cycles; or EP × 4 cycles NSGCT Bone BEP × 3 cycles; or EP × 4 cycles; +/– Postchemotherapy surgery Oncology and Hematology Stage IIIB (intermediate-risk) BEP × 4 cycles; or VIP × 4 cycles BEP × 4 cycles; or VIP × 4 cycles +/– Postchemotherapy surgery Stage IIIC (poor-risk) N/A BEP × 4 cycles; or VIP × 4 cycles +/– Postchemotherapy surgery Abbreviations: BEP, bleomycin, etoposide, cisplatin; EP, etoposide, cisplatin; N/A, not applicable; NSGCT, nonseminomatous germ cell tumor; RPLND, retroperitoneal lymph node dissection; RT, radiation therapy; VIP, etoposide, ifosfamide, cisplatin. C FIGURE 93-1 (Continued) TABLE 93-1 International Germ Cell Consensus Classification System RISK GROUP SEMINOMA Good Any primary site; and normal AFP, any hCG, any LDH; and nonpulmonary visceral metastases absent Intermediate Any primary site; and normal AFP, any hCG, any LDH; and nonpulmonary visceral metastases present Poor N/A NSGCT Gonadal or retroperitoneal primary; and nonpulmonary visceral metastases absent; and AFP 10,000 ng/mL HCG &gt;50,000 mIU/mL LDH &gt;10 × ULN Abbreviations: AFP, α-fetoprotein; hCG, human chorionic gonadotropin; LDH, lactate dehydrogenase; N/A, not applicable; NSGCT, nonseminomatous germ cell tumor; ULN, upper limit normal. Nonpulmonary visceral metastases include liver, bone, and brain. Source: Reproduced with permission from International Germ Cell Cancer Collaborative Group: International Germ-Cell Consensus Classification: A prognostic factor based staging system for metastatic germ cell tumors. J Clin Oncol 15:594, 1997. However, for patients with residual viable nonteratomatous GCT, two additional cycles of chemotherapy may be considered. It should be noted that in most centers, patients with minimal residual tumors defined as retroperitoneal lymph nodes of ≤1 cm forego postchemo therapy RPLND. Patients who experience normalization of serum tumor markers with first-line chemotherapy but have enlarging tumors, most often cystic masses in the retroperitoneum, may have “growing teratoma syndrome.” These patients are best approached with surgery. For patients with metastatic seminoma, most residual masses are necrotic and do not harbor viable tumor. Patients with residual masses of 3 cm or less may be observed without surgery. For patients with residual masses &gt;3 cm, fluorodeoxyglucose (FDG)-PET may be used to distinguish necrosis from viable seminoma and identify patients who should be considered for postchemotherapy surgery or short interval imaging. </w:t>
      </w:r>
      <w:r w:rsidR="00A6019F" w:rsidRPr="00A6019F">
        <w:rPr>
          <w:rFonts w:ascii="Arial" w:hAnsi="Arial" w:cs="Arial"/>
        </w:rPr>
        <w:t>■</w:t>
      </w:r>
      <w:r w:rsidR="00A6019F" w:rsidRPr="00A6019F">
        <w:t>RELAPSED DISEASE Approximately 20</w:t>
      </w:r>
      <w:r w:rsidR="00A6019F" w:rsidRPr="00A6019F">
        <w:rPr>
          <w:rFonts w:ascii="Aptos" w:hAnsi="Aptos" w:cs="Aptos"/>
        </w:rPr>
        <w:t>–</w:t>
      </w:r>
      <w:r w:rsidR="00A6019F" w:rsidRPr="00A6019F">
        <w:t xml:space="preserve">30% of patients with metastatic GCTs treated with cisplatin-based chemotherapy will not achieve durable disease control. Most of these patients will experience disease progression within 2 years following completion of chemotherapy. </w:t>
      </w:r>
      <w:r w:rsidR="00A6019F" w:rsidRPr="00A6019F">
        <w:lastRenderedPageBreak/>
        <w:t xml:space="preserve">The International Prognostic Factors Study Group developed a risk stratification classification sys tem for patients in first relapse. Contributors to a worsened prognosis include NSGCT histology, extragonadal primary, incomplete response to first-line chemotherapy, time to relapse of 3 months or less, level of serum tumor markers at relapse, and the presence of nonpulmonary visceral metastatic disease. 709 Patients in first relapse may be treated with either conventional dose salvage chemotherapy or high-dose salvage chemotherapy with autologous stem cell rescue. There is controversy concerning which approach is optimal. Some institutions advocate for risk stratification, with more favorable prognosis patients receiving conventional-dose chemotherapy and worse prognosis patients receiving high-dose che motherapy. The most commonly utilized conventional-dose regimen includes paclitaxel, ifosfamide, and cisplatin (TIP). High-dose chemo therapy consists of initial salvage therapy followed by stem cell harvest and then two or three cycles of high-dose carboplatin and etoposide (CE) with stem cell rescue. A large retrospective analysis has com pared conventional-dose salvage chemotherapy to high-dose salvage chemotherapy in patients in first relapse. This study reports a more favorable outcome with high-dose salvage chemotherapy across nearly all risk groups. However, given the retrospective nature of this study and the controversy concerning optimal approaches, an international randomized trial comparing conventional-dose chemotherapy (TIP) to high-dose chemotherapy with autologous stem cell rescue (TI-CE) has completed accrual and results are forthcoming. Some patients who experience disease progression after conven tional-dose salvage chemotherapy may successfully be treated with high-dose salvage chemotherapy with autologous stem cell rescue. Patients with disease progression after high-dose salvage chemo therapy may be treated with subsequent chemotherapy regimens that include gemcitabine/oxaliplatin, gemcitabine/paclitaxel, epirubicin/ cisplatin, and oral etoposide. While these patients may benefit from third-line chemotherapy, few will achieve durable disease control. Select patients with relapsed but resectable disease may be candidates for salvage or so-called “desperation” surgery. Studies of molecularly targeted agents and immune checkpoint inhibitors in this population have to date been generally disappointing. Patients who experience disease progression &gt;2 years after chemo therapy are considered to have “late relapse.” Late relapse appears to have a different biology than early relapse. These patients tend to have more chemotherapy-resistant disease. Patients with late relapse usu ally have nonseminomatous GCT with elevation of serum AFP. Many of these patients experience recurrence in the retroperitoneum many years after first-line chemotherapy, and this likely represents residual retroperitoneal disease that was not controlled after first-line therapy. These patients are best approached with salvage surgery. </w:t>
      </w:r>
      <w:r w:rsidR="00A6019F" w:rsidRPr="00A6019F">
        <w:rPr>
          <w:rFonts w:ascii="Arial" w:hAnsi="Arial" w:cs="Arial"/>
        </w:rPr>
        <w:t>■</w:t>
      </w:r>
      <w:r w:rsidR="00A6019F" w:rsidRPr="00A6019F">
        <w:t xml:space="preserve">EXTRAGONADAL GERM CELL TUMORS Approximately 5% of patients who present with GCTs have extrago nadal primaries. These mainly originate in the mediastinum or retro peritoneum. Patients suspected of extragonadal GCT should undergo scrotal ultrasound to exclude a gonadal primary. Extragonadal semi nomas </w:t>
      </w:r>
      <w:r w:rsidR="00A6019F" w:rsidRPr="00A6019F">
        <w:lastRenderedPageBreak/>
        <w:t xml:space="preserve">have a similar excellent prognosis as their gonadal counterparts and are approached the same. Mediastinal nonseminomatous GCTs are classified as poor risk and are treated with either four cycles of BEP or four cycles of VIP. These patients frequently require postchemotherapy thoracic surgery for residual disease. For this reason, some advocate avoiding bleomycin in this patient population. Klinefelter’s syndrome is associated with an increased risk of mediastinal nonseminomatous GCTs. Rarely, mediastinal nonseminomatous GCTs are associated with hematologic disorders including acute myeloid leukemia. Nonsemi nomatous GCTs arising in the retroperitoneum do not have a worse prognosis than their gonadal counterparts. Many patients who present with extragonadal GCTs will undergo core needle biopsy for diagno sis. However, select patients with extragonadal tumors and definitive elevation of serum tumor markers may initiate chemotherapy without a tissue diagnosis. Cancers of unknown primary are defined as histologically proven metastatic malignancy in which the primary site is not obvious. A subgroup of patients with cancer of unknown primary have occult GCTs. Male gender, age 13,270 deaths. Sporadic (not familial) epithelial tumors of the ovary have a peak incidence in women in their fifties and sixties, although age at presentation ranges from the third decade to the eight ies and nineties. Ovarian cancer risk has been linked to an interactive mixture of epidemiologic, environmental, and genetic factors. Nul liparity, obesity, diet, infertility treatments, talc exposure, and possibly hormone replacement therapy have all been linked to an increase in risk. Protective factors include the use of oral contraceptives, multipar ity, tubal ligation, aspirin use, and breast-feeding. Other epidemiologic factors such as the historical use of perineal talc agents remain contro versial. The mechanisms underlying the various protective factors are largely unknown, but it is increasingly clear that dysplasia and in situ cancers are seen within the fallopian tube and probably are the original site for a large percentage of cancers. Genetics and Pathogenesis Ovarian cancers are divided into type 1 cancers and the more aggressive type 2 variant. The type 1 can cers are characterized by low-grade histology and generally indolent behavior. These tumors include the low malignant potential tumors, low-grade endometrial and mucinous histologies, and clear cell can cers (which are more aggressive). Genetic alterations in type 1 cancers include mutations in KRAS, BRAF, PTEN, and PIK3CA. In contrast, type 2, high-grade serous epithelial ovarian cancers show serial genetic changes in the fallopian tube with loss of BRCA1/2 function and TP53 mutation leading to intraepithelial cancer in the luminal epithelium. Following these early genetic events, additional mutations in these transformed cells lead to tumor cell shedding, metastasis, and invasion. These type 2, poorly differentiated, serous cancer cells can then spread to the ovaries and the peritoneal cavity, aided by the ovarian cancer cell’s expression of MUC16 and binding to mesothelin-expressing cells. Genetically, type 2 serous ovarian cancer is classically a disease characterized by loss of TP53 (95%) and BRCA1/2 function in nearly all cases. Widespread amplifications and deletions rather than single-gene point mutations or common gene fusions are also present. Low preva </w:t>
      </w:r>
      <w:r w:rsidR="00A6019F" w:rsidRPr="00A6019F">
        <w:lastRenderedPageBreak/>
        <w:t xml:space="preserve">lence but statistically recurrent somatic mutations in seven other genes including NF1, RB1, and CDK12 were also seen. The most common heritable abnormality linked to ovarian cancer is a germline mutation in either BRCA1 (chromosome 17q12–21) or BRCA2 (chromosome 13q12–13). These genes are essential parts of the homologous DNA repair machinery for double-stranded DNA break repair. Individuals inheriting a single copy of a mutant allele have an increased lifetime risk of breast (46–87% for BRCA1; 38–84% for BRCA2) and ovarian cancer (39–63% for BRCA1; 16.5–27% for BRCA2). Many of these women have a family history that includes multiple cases of breast and/ or ovarian cancer at an early age. Male breast cancer, pancreatic cancer, and prostate cancer are also linked to familial BRCA2 mutations. The most common malignancy in women carrying germline BRCA1/2 mutations is breast carcinoma, although women harboring germline BRCA1 mutations also have a marked increased risk of developing ovarian malignancies in their forties and fifties. Women harboring a mutation in BRCA2 have a lower penetrance of ovarian cancer with onset typically in their fifties or sixties. Other uncommon germline mutations of other genes encoding proteins linked to homologous DNA repair (e.g., PALB2) can also contribute to cancer risk, although the frequency of mutation and magnitude of risk increment are much lower. Germline BRCA1/2 testing is recommended for all incident epi thelial ovarian cancers to detect probands to identify relatives for early therapeutic intervention. Women with these high-risk germline muta tions are advised to undergo prophylactic removal of fallopian tubes and ovaries after completing childbearing, ideally before age 40. Early prophylactic salpingo-oophorectomy is highly protective. Salpingo oophorectomy also appears to protect these women from subsequent breast cancer (risk reduction 50%). Prophylactic salpingectomy is almost certainly the key part of any surgical prophylaxis strategy for ovarian cancer prevention. Although less common, women with type II Lynch syndrome caused by mutations in one of the DNA mismatch repair genes (MSH2, MLH1, MLH6, PMS1, PMS2) are at risk for ovarian and endometrial cancer. Like BRCA1/2-related cancers, these cancers develop earlier than sporadic ovarian cancer. Neoplasms of the ovary tend to be painless unless they undergo torsion. Nonspecific gastrointestinal symptoms like bloating and early satiety are common at presentation, probably related to compression of local organs or due to symptoms from metastatic disease. Women with ovarian tumors also may have an increased incidence of symptoms including pelvic discomfort, bloating, and perhaps changes in urinary or bowel pattern. Unfortunately, these same symptoms are common in primary care and are frequently dismissed by either the woman or her health care team until later stages of disease. The pathogenic factors and timing of spread beyond the ovary are still not well understood. The most common symptoms at presentation of advanced disease include a period of progressive complaints of nausea, early satiety, bloating, indigestion, constipation, and abdominal pain. Signs include the rapid increase in abdominal girth due to the accumulation of ascites that typically alerts the patient and her physician that the concurrent gas trointestinal symptoms are likely </w:t>
      </w:r>
      <w:r w:rsidR="00A6019F" w:rsidRPr="00A6019F">
        <w:lastRenderedPageBreak/>
        <w:t xml:space="preserve">associated with malignant pathology. Radiologic evaluation typically demonstrates a complex adnexal mass with ascites, carcinomatosis, and pelvic, para-aortic, and mesenteric adenopathy in advanced disease. Positron emission tomography (PET) scans are generally not required. Laboratory evaluation often demon strates a markedly elevated serum CA-125, the shed mucin component (MUC16) associated with, but not specific for, ovarian cancer. Ovarian cancers are divided into four stages, with stage I tumors confined to the ovary, stage II malignancies confined to the pelvis, and stage III con fined to the peritoneal cavity and retroperitoneal nodes (Table 94-1). These three stages are subdivided, with the most common presenta tion, stage IIIC, defined as tumors with bulky intraperitoneal disease or positive lymph node involvement. About 70% of women present with stage III disease. Stage IV disease includes women with parenchymal metastases (liver, lung, spleen) or, alternatively, abdominal wall or pleu ral disease. The 30% of patients not presenting with stage III disease are roughly evenly distributed among the other stages. Screening Advanced ovarian cancer is a highly lethal condition. It is curable in early stages but seldom curable in advanced stages; hence, screening continues to be of considerable interest. Early-stage tumors often secrete excessive amounts of normal proteins that can be measured in the serum such as CA-125, mesothelin, and HE-4. Never theless, the incidence of ovarian cancer in the middle-aged female pop ulation is very low, with only ~1 in 2000 women between the ages of 50 and 60 carrying an asymptomatic and undetected tumor. Large, well designed screening studies, even in the mutated BRCA1/2 families, have thus far failed to decrease ovarian cancer mortality in prospective testing. Circulating DNA approaches have also been unsuccessful so far. Screening for ovarian cancer is currently not recommended outside 711 TABLE 94-1 Staging and Survival in Gynecologic Malignancies STAGE OVARIAN 0 I II III IV — Confined to ovary Confined to pelvic organs Intra-abdominal spread to omentum, diaphragm, or lymph nodes Spread outside abdominal cavity, parenchymal spread, and pleural effusion cytology 5-YEAR SURVIVAL, % ENDOMETRIAL — 88–95 70–80 20–40 10–20 Confined to corpus Involves corpus and cervix Extends outside the uterus but not outside the true pelvis Extends outside the true pelvis or involves the bladder or rectum of a clinical trial, but a careful history for familial cancers and directed genetic testing for susceptibility genes are definitely appropriate. TREATMENT Ovarian Cancer Epithelial ovarian cancer can be divided into distinct “disease states” for the purpose of treatment selection, as shown in Fig. 94-1. Detection by ultrasonography generally can identify a complex ovarian mass as “suspicious,” but surgery by a skilled gynecologic oncologist remains the preferred initial diagnostic and therapeutic option for an isolated adnexal mass or a more involved picture of peritoneal involvement. The amount of residual visible cancer at the end of a primary operation is strongly predictive of outcome and is paired with histology, grade, and stage to determine prognosis and treatment. Metastatic disease to the ovary can be seen from primary tumors of the colon, appendix, stomach (Krukenberg tumors), and breast. Needle biopsy of adnexal masses is contraindicated to avoid malignant </w:t>
      </w:r>
      <w:r w:rsidR="00A6019F" w:rsidRPr="00A6019F">
        <w:lastRenderedPageBreak/>
        <w:t xml:space="preserve">contamination of the peritoneal cavity with malignant cells. Typically, women undergo laparoscopic evaluation 5-YEAR SURVIVAL, % CERVIX Carcinoma in situ &gt;90 ~75 45–60 ~20 Confined to uterus Invades beyond uterus but not to pelvic wall Extends to pelvic wall and/ or lower third of vagina, or hydronephrosis Invades mucosa of bladder or rectum or extends beyond the true pelvis 5-YEAR SURVIVAL, % 100 85 65 35 7 and unilateral salpingo-oophorectomy for diagnostic purposes. If pathology reveals a primary ovarian malignancy or the laparoscopy proves disseminated disease is present, then the procedure should be followed by a total hysterectomy, removal of the remaining tube and ovary, omentectomy, and pelvic node sampling along with biopsies of the peritoneal cavity and diaphragms. This extensive surgical procedure is performed because ~30% of tumors that, by visual inspection, appear to be confined to the ovary have already disseminated to the peritoneal cavity and/or surrounding lymph nodes. As with axillary dissections in breast cancer, node sampling is diagnostic, but full lymphadenectomy appears to provide little or no additional therapeutic advantage over nodal sampling. The tar get outcome of an ovarian cancer surgery is always an R0 resection (no visible residual cancer). The less favorable “optimal resection” (no residual disease &gt;1 cm in size) is still clinically useful, and the prognosis of those patients is much better than that of patients who are left with &gt;1 cm of disease at the end of surgery. These “suboptimally debulked” patients derive very little benefit from their surgery. If large deposits of unresectable residual tumor are anticipated, the surgery should be delayed until after several cycles of neoadjuvant chemotherapy. Such “interval debulking” surgery Cure of Disease Primary Treatment Diagnostic surgery Primary debulking Interval debulking Platinum complex + taxane Chemotherapy First Remission Maintenance Consolidation HRD abnormal -&gt; Poly-(ADP-ribose) polymerase inhibitor for 2 y HRD wild type No treatment Platinum-Sensitive Relapse • Interval surgery Subsequent Remission • Maintenance therapy with poly-(ADP-ribose) polymerase inhibitors • Carboplatin with either liposomal doxorubicin, paclitaxel, or gemcitabine Platinum-Resistant/Recurrent Disease • Bevacizumab Persistent cancer following platinum treatment or recurrence within 6 months of last platinum dose Single-agent treatment with or without bevacizumab: Liposomal doxorubicin, topotecan, docetaxel, weekly paclitaxel, gemcitabine, vinorelbine, pemetrexed, etoposide, bevacizumab, mirvetuximab, soravtansine Investigational therapy Death From Disease FIGURE 94-1 Disease states model of epithelial ovarian cancer and its treatment. Each box represents a relatively homogenous group of patients who share a palette of potential treatment choices and have a similar prognosis. The arrows indicate that a single patient may move from one state to another during the course of her illness, and the choice of treatments will become different in her new disease state. HRD, homologous recombination deficiency. CHAPTER 94 Gynecologic Malignancies 712 achieves similar results to primary surgery with diminished surgical morbidity and more timely chemotherapy. Patients without gross residual disease (R0 resection) after resection have a median sur vival in excess of 60 months, compared to 28–42 months </w:t>
      </w:r>
      <w:r w:rsidR="00A6019F" w:rsidRPr="00A6019F">
        <w:lastRenderedPageBreak/>
        <w:t xml:space="preserve">for those left with macroscopic tumor or those undergoing interval debulk ing, regardless of treatment strategy. After appropriate surgical treatment, primary chemotherapy will consist of combination treatment with paclitaxel and carbo platin. Primary chemotherapy can be delivered intravenously, or alternatively, some therapy can be directly administered into the peritoneal cavity via an indwelling catheter. The intraperitoneal approach is technically more difficult and is increasingly replaced by carboplatin and paclitaxel, which appears to offer similar results. Although interest in immunotherapy or chemoimmunotherapy has been high, immunotherapeutics have not yet improved primary chemotherapy. PART 4 Oncology and Hematology With optimal debulking surgery and platinum-based chemo therapy, 70% of women who present with advanced-stage tumors show tumor reduction, and 40–50% experience a complete remis sion with normalization of their CA-125, computed tomography (CT) scans, and physical examination. For women with evidence of functional homologous DNA repair defects, administration of oral poly-ADP ribose polymerase inhibitors (PARPi) such as nirapa rib, olaparib, or rucaparib will improve survival outcomes when administered at the completion of intravenous chemotherapy as consolidation. These drugs substantially delay recurrence and pro vide survival advantages as well. In the majority of patients, disease still recurs within 1–4 years from the completion of their primary therapy. CA-125 levels often increase as a first sign of relapse, and CT scan findings are eventually confirmatory. Recurrent disease is often successfully managed for years but rarely cured, despite a growing panel of chemotherapeutic agents and antibody-drug con jugates. Additional surgical therapy does not appear to extend sur vival in randomized trials. Patients with a treatment-free interval are often best treated with additional platinum doublets, combining carboplatin with liposomal doxorubicin, gemcitabine, or a taxane. Eventually all women who experience relapse develop chemother apy-refractory disease. Refractory ascites, poor bowel motility, and obstruction or tumor-infiltrated aperistaltic bowel are all common premorbid events. Limited surgery to relieve intestinal obstruction, localized radiation therapy to relieve pressure or pain from masses, or palliative chemotherapy may be helpful. Agents with &gt;15% response rates include gemcitabine, topotecan, liposomal doxorubi cin, and bevacizumab. Five-year survival correlates with the stage of disease: stage I, 90–95%; stage II, 70–80%; stage III, 25–40%; stage IV, 10–15% (Table 94-1). Prognosis is improved by lower histologic grade and presence of BRCA1 or BRCA2 germline mutation. </w:t>
      </w:r>
      <w:r w:rsidR="00A6019F" w:rsidRPr="00A6019F">
        <w:rPr>
          <w:rFonts w:ascii="Arial" w:hAnsi="Arial" w:cs="Arial"/>
        </w:rPr>
        <w:t>■</w:t>
      </w:r>
      <w:r w:rsidR="00A6019F" w:rsidRPr="00A6019F">
        <w:t xml:space="preserve">UNCOMMON OVARIAN TUMORS Low Malignant Potential Tumors (Borderline Tumors) These type 1 tumors are found in younger women (age 30–50 years) and are indolent in behavior, and few of these patients will succumb to their tumors (10-year survival may approach 98%), although recur rence is not uncommon. Certain features, such as micropapillary histology and microinvasion, are linked to more aggressive behavior. Tumors of low malignant potential have different mutations includ ing mutations BRAF or KRAS and cyclin-dependent kinase inhibitor (CDKN) 2A/2B deletion. Borderline tumor patients are managed pri marily by surgery, but targeted therapy for the RAS/RAF </w:t>
      </w:r>
      <w:r w:rsidR="00A6019F" w:rsidRPr="00A6019F">
        <w:lastRenderedPageBreak/>
        <w:t xml:space="preserve">pathway and hormonal treatments sometimes have benefit. Stromal Tumors Approximately 7% of ovarian neoplasms are stromal tumors, with ~1800 cases expected each year in the United States. Ovarian stromal tumors or sex cord tumors are most common in women in their fifties or sixties, but tumors can present at any age. These tumors arise from the mesenchymal components of the ovary, including both steroid-producing cells and fibroblasts. Most of these tumors are indolent tumors with limited metastatic potential and pres ent as unilateral solid masses. These tumors primarily are discovered by the detection of an abdominal mass, sometimes with abdominal pain due to ovarian torsion, intratumoral hemorrhage, or rupture. Rarely, stromal tumors can produce estrogen and present with breast tender ness as well as precocious puberty in children, menstrual disturbances in reproductively active women, or postmenopausal bleeding. In some women, estrogen-associated secondary malignancies, such as endo metrial or breast cancer, may present as synchronous malignancies. Sertoli-Leydig tumors often present with hirsutism and virilization due to increased production of androgens. Hormonally inert tumors include fibromas, which present as solitary masses often in association with ascites and occasionally hydrothorax, also known as Meigs’s syn drome. A subset of these tumors presents in individuals with a variety of inherited disorders that predispose them to mesenchymal neoplasia including Ollier’s disease (juvenile granulosa cell tumors) and Peutz Jeghers syndrome (ovarian sex cord tumors). The treatment of these tumors is primarily complete surgical resection, without adjuvant che motherapy. Chemotherapy with carboplatin and paclitaxel is generally reserved for either unresectable or multiply recurrent tumors. Germ Cell Tumors of the Ovary Germ cell tumors, like their counterparts in the testis, are cancers of germ cells. These totipotent cells contain the programming for differentiation to essentially all tis sue types, and hence, the germ cell tumors include a histologic menag erie of bizarre tumors, including benign teratomas (dermoid cysts) and a variety of malignant tumors, such as dysgerminoma, immature teratomas, yolk sac malignancies, and choriocarcinomas. Benign tera toma (or dermoid cyst) is the most common germ cell neoplasm of the ovary and often presents in young women. These tumors include a complex mixture of differentiated tissue including tissues from all three germ layers. In older women, these differentiated tumors can develop malignant transformation, most commonly squamous cell carcinomas. Malignant germ cell tumors include dysgerminomas, yolk sac tumors, immature teratomas, and embryonal and choriocarcinomas. Germ cell tumors can present at all ages, but the peak age of presentation tends to be in adolescents. Typically, these tumors will become large ovarian masses, which eventually present as palpable low abdominal or pelvic masses. Like sex cord tumors, torsion or hemorrhage may present urgently or emergently as acute abdominal pain. Some germ cell tumors produce elevated levels of human chorionic gonadotropin (hCG) or α-fetoprotein (AFP). Unlike epithelial ovarian cancer, these tumors have a higher proclivity for nodal or hematogenous metastases. Germ cell tumors typically present in women who are of </w:t>
      </w:r>
      <w:r w:rsidR="00A6019F" w:rsidRPr="00A6019F">
        <w:lastRenderedPageBreak/>
        <w:t xml:space="preserve">childbearing age, and because bilateral tumors are uncommon (except in dysgermi noma, 10–15%), the typical treatment is unilateral oophorectomy or salpingo-oophorectomy with lymph node sampling. Most commonly, women with advanced malignant germ cell tumors typically receive bleomycin, etoposide, and cisplatin (BEP) chemotherapy, in an analo gous fashion to the treatment of testicular cancers. In the majority of these women, even those with advanced-stage disease, cure is expected. Dysgerminoma is the ovarian counterpart of testicular seminoma and is highly curable. Although the tumor is highly radiation-sensitive, radiation produces infertility in many patients. BEP chemotherapy is as effective or more so without causing infertility. FALLOPIAN TUBE CANCER Transport of the egg to the uterus occurs through the fallopian tube, with the distal ends of these tubes composed of fimbriae that drape about the ovarian surface and capture the egg as it erupts from the ovarian cortex. As described above, the majority of type 2 ovarian cancers are now thought to arise from the tubal epithelium. Fallopian tube malignancies are typically of serous histology and share the same biology and recommended treatment approaches as serous ovar ian cancer. These tumors often present as clinically isolated adnexal masses, but like ovarian cancer, these tumors spread relatively early throughout the peritoneal cavity. Fallopian tubal cancers have a natural history and treatment that are essentially identical to ovarian cancer (Table 94-1). CERVICAL CANCER 713 </w:t>
      </w:r>
      <w:r w:rsidR="00A6019F" w:rsidRPr="00A6019F">
        <w:rPr>
          <w:rFonts w:ascii="Arial" w:hAnsi="Arial" w:cs="Arial"/>
        </w:rPr>
        <w:t>■</w:t>
      </w:r>
      <w:r w:rsidR="00A6019F" w:rsidRPr="00A6019F">
        <w:t xml:space="preserve">ETIOLOGY AND GENETICS Cervical cancer is the second most common and the most lethal malignancy in women worldwide. Infection with high-risk strains of human papillomavirus (HPV) is the primary neoplastic-initiating event in the vast majority of women with invasive cervical cancer. This double-stranded DNA virus infects epithelium near the transformation zone of the cervix where underlying columnar epithelium becomes squamous epithelium. More than 60 types of HPV are known, with ~20 types having the ability to generate high-grade dysplasia and malignancy. HPV16 and 18 are the types most frequently associated with high-grade dysplasia, but types 31, 33, 35, 52, and 58 are also considered to be high-risk variants. The large majority of sexually active adults are exposed to HPV, and most women clear the infection without specific intervention. The 8-kb HPV genome encodes seven early genes, most notably E6 and E7, which can bind to RB and p53, respectively. High-risk types of HPV encode E6 and E7 molecules that are particularly effective at inhibiting the normal cell cycle checkpoint functions of these regulatory proteins, leading to immortalization but not full transformation of cervical epithelium. A minority of women will fail to clear the infection, with subsequent HPV integration into the host genome. Over as little as a few months to several years, some of these persistently infected women develop worsening dysplasia, a premalignant condition that, untreated, can progress to cervical carci noma. Complete transformation to cancer occurs over a period of years and almost certainly requires the acquisition of other genetic mutations within the infected and immortalized epithelium. In 2024, more than half a million new cases of cervical cancer will occur worldwide, with an estimated &gt;300,000 deaths. Cancer incidence is particularly high in women </w:t>
      </w:r>
      <w:r w:rsidR="00A6019F" w:rsidRPr="00A6019F">
        <w:lastRenderedPageBreak/>
        <w:t xml:space="preserve">residing in Central and South America, the Caribbean, and southern and eastern Africa. The mortality rate is disproportionately high in Africa. In the United States, an estimated 13,960 women will be diagnosed with cervical cancer in 2024 and ~4300 women will die of the disease. In the integrated genomic characterization of cervical cancer by The Cancer Genome Atlas (TCGA), integration of HPV sequences was found in all of the HPV18-linked cancers and over three-quarters of the HPV16 cancers. The cervical tumors also showed a charac teristic APOBEC (apolipoprotein B mRNA editing enzyme, catalytic polypeptide-like; a family of cytidine deaminases that edit DNA and are endogenous mutagenic enzymes) pattern of mutagenesis, with ERBB3, CASP8, and TGFRB2 identified as significantly mutated genes presumably linked to progression from dysplasia to carcinoma. In the much smaller number of HPV-negative cancers, which are more com mon in older women, mutations in oncogenes KRAS, ARID1A, and PTEN were frequently seen. The clinical behavior of these cancers is likely to be different. </w:t>
      </w:r>
      <w:r w:rsidR="00A6019F" w:rsidRPr="00A6019F">
        <w:rPr>
          <w:rFonts w:ascii="Arial" w:hAnsi="Arial" w:cs="Arial"/>
        </w:rPr>
        <w:t>■</w:t>
      </w:r>
      <w:r w:rsidR="00A6019F" w:rsidRPr="00A6019F">
        <w:t xml:space="preserve">HPV INFECTION AND PREVENTION The Pap smear is the primary detection method for asymptomatic preinvasive cervical dysplasia of squamous epithelial lining during a gynecologic exam. Because the progression from dysplasia to cervi cal cancer takes several years, annual (or longer interval) screening and prevention strategies that detect precancerous dysplasia and carcinoma in situ can be implemented successfully. Annual or bian nual cervical scraping for cytology (Pap smear) is highly effective in reducing the incidence of cervical cancer by early detection and subsequent surgical treatment of premalignant disease. The incorpo ration of HPV testing by polymerase chain reaction (PCR) or other molecular techniques increases the sensitivity of detecting cervical pathology but at the cost of lower sensitivity in that it identifies many women with transient infections who require no specific medical intervention. Unfortunately, both the collection of a Pap smear and its cytologic evaluation require infrastructure beyond the means of many middle- and low-income countries. High-throughput, low-technology prevention strategies and point-of-care testing are needed to identify and treat women bearing high-risk cervical dysplasia to prevent cancer development. A primary prevention strategy relies on HPV vaccines. In the United States, the Gardasil-9 vaccine protects against HPV types 6, 11, 16, 18, 31, 33, 45, 52, and 58. Vaccination of girls and women between ages 9 and 45 years is recommended with three injections (0, 2, and 6 months). Vaccination before the initiation of sexual activity dra matically reduces the rate of high-risk HPV infection and subsequent dysplasia. Vaccination of both boys and girls is increasingly considered to reduce the risk of HPV-induced cancers of the pharynx. Vaccinated women are still at risk for HPV infection and still benefit from standard Pap smear screening. </w:t>
      </w:r>
      <w:r w:rsidR="00A6019F" w:rsidRPr="00A6019F">
        <w:rPr>
          <w:rFonts w:ascii="Arial" w:hAnsi="Arial" w:cs="Arial"/>
        </w:rPr>
        <w:t>■</w:t>
      </w:r>
      <w:r w:rsidR="00A6019F" w:rsidRPr="00A6019F">
        <w:t xml:space="preserve">CLINICAL PRESENTATIONS Risk Factors Clinical risk factors include the prevalence of high risk HPV subtypes in the population and HPV infection–linked features such as a high number of sexual partners, early age of first intercourse, and history of venereal disease. Smoking is a cofactor; heavy smokers have a higher risk of dysplasia with HPV infection. HIV infection, especially when associated with low CD4+ T-cell counts, is </w:t>
      </w:r>
      <w:r w:rsidR="00A6019F" w:rsidRPr="00A6019F">
        <w:lastRenderedPageBreak/>
        <w:t xml:space="preserve">associated with a higher rate of high-grade dysplasia and likely a shorter latency period between infection and invasive disease. Histo logically, the majority (80%) of cervical malignancies are squamous cell carcinomas associated with HPV, but adenocarcinomas are also HPV related, and both arise in the transitional zone of the endocervi cal canal; the lesions in the canal or cervical glands may not be seen by visual inspection of the cervix and can be missed by Pap smear screening. Other malignancies, such as vulvar cancer, anal cancer, and, increasingly, pharyngeal cancer, are also linked to HPV infection. Diagnosis of Cervical Cancer Early cancer of the cervix is asymptomatic, and this biology underlies the recommendations for routine gynecologic care. Larger, invasive carcinomas often have symptoms or signs including postcoital spotting or intermenstrual cycle bleeding or menometrorrhagia. Foul-smelling or persistent yellow discharge may also be present. Symptoms such as pelvic or sacral pain suggest lateral extension into the pelvic nerve plexus by either the primary tumor or a pelvic node metastasis and indicate advanced-stage disease. Likewise, flank pain from hydronephrosis from ureteral compression or deep-venous thrombosis from iliac vessel compression suggests either extensive nodal disease or direct extension of the primary tumor to the pelvic sidewall. The most common finding upon physical exam is a visible tumor on the cervix, but deeper tumors in the cervical os and glands should be considered. Larger tumors may be identified by inspection and biopsied directly. Staging of cervical cancer is performed by expert clinical exam. Stage I cervical tumors are confined to the cervix, whereas stage II tumors extend into the upper vagina or paracervical soft tissue (Fig. 94-2). Stage III tumors extend to the lower vagina or the pelvic sidewalls, whereas stage IV tumors invade the bladder or rectum or have spread to distant sites. While radiographic studies are not part of the formal clinical staging of cervical cancer, treatment planning requires them for appropriate therapy. CT can detect hydronephrosis indicative of pelvic sidewall disease but is not accurate at evaluating other pelvic structures. Mag netic resonance imaging (MRI) is more accurate at estimating uterine extension and paracervical extension of disease into soft tissues typi cally bordered by broad and cardinal ligaments that support the uterus in the central pelvis. Very small stage I cervical tumors can be treated with a variety of surgical procedures, but minimally invasive surgery has inferior outcome compared to standard open hysterectomy. In young women desiring to maintain fertility, radical trachelectomy removes the cervix with subsequent anastomosis of the upper vagina to the uterine corpus; however, subsequent pregnancies may be more problematic. Patients with large stage I cervical tumors (4 cm) confined to the cervix and all stage II to IV patients are treated with radiation therapy in combination with cisplatin-based immunochemotherapy with concurrent PD-1 blockers. This multimodality treatment can offer the patient with advanced-stage disease a 40–80% chance of cure depending on the clinical circumstances. Immunotherapy with PD-1 blockade, cisplatin, paclitaxel, bevacizumab, and tisotumab vedotin are generally considered as appropriate palliative choices for metastatic CHAPTER 94 Gynecologic Malignancies </w:t>
      </w:r>
      <w:r w:rsidR="00A6019F" w:rsidRPr="00A6019F">
        <w:lastRenderedPageBreak/>
        <w:t xml:space="preserve">714 Stage Staging of cervix cancer 0 I II III IV Extent of tumor 5-year survival Stage at presentation PART 4 Carcinoma in situ 100% Uterine cavity Fallopian tube Uterine wall Internal os External os Confined to cervix 85% 47% Fundus Vagina Cervix Disease beyond cervix but not to pelvic wall or lower 1/3 of vagina 65% 28% Corpus IIA IIB Disease to pelvic wall or lower 1/3 vagina 35% 21% IIIA Invades bladder, rectum or metastasis 7% 4% Pelvic side wall IIIB FIGURE 94-2 Anatomic display of the stages of cervix cancer defined by location, extent of tumor, frequency of presentation, and 5-year survival. Oncology and Hematology cervical cancer patients. Secondary chemotherapy confers minimal improvement in most patients. Additional immunotherapies targeting HPV antigens are potential avenues for improved outcomes in recur rent, unresectable cancers of the cervix. UTERINE CANCER </w:t>
      </w:r>
      <w:r w:rsidR="00A6019F" w:rsidRPr="00A6019F">
        <w:rPr>
          <w:rFonts w:ascii="Arial" w:hAnsi="Arial" w:cs="Arial"/>
        </w:rPr>
        <w:t>■</w:t>
      </w:r>
      <w:r w:rsidR="00A6019F" w:rsidRPr="00A6019F">
        <w:t xml:space="preserve">EPIDEMIOLOGY Several different tumor types arise in the uterine corpus. Most tumors arise in the glandular lining and are endometrial adenocarcinomas. Benign (leiomyomas) and malignant smooth muscle tumors (leiomyo sarcomas) can also arise in the uterus and have very different clinical features. The endometrioid histologic subtype is the most common gynecologic malignancy in the United States. In 2024, the American Cancer Society predicted that 66,200 new cancers of the uterine corpus are expected in 2024 with 13,030 resulting deaths. Development of these tumors is a multistep process, with estrogen playing an impor tant early role in driving endometrial gland proliferation. Relative overexposure to this class of hormones is the principal risk factor for the subsequent development of endometrioid tumors. In contrast, pro gestins drive glandular maturation and are protective. Hence, women with high endogenous or pharmacologic exposure to estrogens, espe cially if unopposed by progesterone, are at higher risk for endometrial cancer. Obese women, women treated with postmenopausal estrogens, or women with estrogen-producing tumors are at higher risk for endo metrial cancer. In addition, long-term treatment with tamoxifen, which has antiestrogenic effects in breast tissue but can show weak estrogenic effects in uterine epithelium, is associated with an increased risk of endometrial cancer. events that underlie less common endo metrial cancers such as clear cell and papillary serous tumors of the uterine corpus are not well understood. </w:t>
      </w:r>
      <w:r w:rsidR="00A6019F" w:rsidRPr="00A6019F">
        <w:rPr>
          <w:rFonts w:ascii="Arial" w:hAnsi="Arial" w:cs="Arial"/>
        </w:rPr>
        <w:t>■</w:t>
      </w:r>
      <w:r w:rsidR="00A6019F" w:rsidRPr="00A6019F">
        <w:t>PATHOLOGY Approximately 75</w:t>
      </w:r>
      <w:r w:rsidR="00A6019F" w:rsidRPr="00A6019F">
        <w:rPr>
          <w:rFonts w:ascii="Aptos" w:hAnsi="Aptos" w:cs="Aptos"/>
        </w:rPr>
        <w:t>–</w:t>
      </w:r>
      <w:r w:rsidR="00A6019F" w:rsidRPr="00A6019F">
        <w:t xml:space="preserve">80% of endometrial cancers are adenocarcinomas and have been characterized as type 1 (estrogen linked) endometrial cancers and type 2 cancers that have less clear associations with estrogens (clear cell cancers, serous cancers, and mucinous cancers). Endo metrial serous cancers show TP53 loss of function and behave clinically more like ovarian cancers with high risk for sys temic recurrence. Prognosis for endome trial cancer depends on stage, histologic grade, and depth of myometrial invasion. </w:t>
      </w:r>
      <w:r w:rsidR="00A6019F" w:rsidRPr="00A6019F">
        <w:rPr>
          <w:rFonts w:ascii="Arial" w:hAnsi="Arial" w:cs="Arial"/>
        </w:rPr>
        <w:t>■</w:t>
      </w:r>
      <w:r w:rsidR="00A6019F" w:rsidRPr="00A6019F">
        <w:t xml:space="preserve">CLINICAL PRESENTATION The majority of women with tumors of the uterine corpus present with post menopausal vaginal bleeding due to shedding of the malignant endometrial lining. Premenopausal women often will present with atypical bleeding between typical menstrual cycles. These signs typically bring a woman to the attention of health care providers, and the majority of women have early-stage disease in which </w:t>
      </w:r>
      <w:r w:rsidR="00A6019F" w:rsidRPr="00A6019F">
        <w:lastRenderedPageBreak/>
        <w:t xml:space="preserve">the tumor is confined to the uterine corpus and, consequently, have a high cure rate. Diagnosis is typically established by endometrial biopsy. Type 1 tumors may spread to pelvic or para-aortic lymph nodes and are gen erally subjected to sentinel lymph node biopsy at the time of primary surgery. Serous tumors tend to have patterns of spread similar to high grade serous ovarian cancer, and patients may present with omental/ peritoneal disease and sometimes ascites. Some women presenting with uterine sarcomas will present with pelvic pain. Uterine sarcomas (carcinosarcomas and leiomyosarcomas) commonly are found by detection of symptomatic large pelvic masses that may not be associ ated with dysfunctional vaginal bleeding. TREATMENT Uterine Cancer Genetics Women with a germline mutation in one of a series of DNA mismatch repair genes associated with the Lynch syndrome, also known as hereditary nonpolyposis colon cancer (HNPCC) syndrome, are at increased risk for endometrioid endometrial carcinoma. These individuals have germline mutations in MSH2, MLH1, and, in rare cases, PMS1 and PMS2. Individuals who carry these mutations typi cally have a family history of cancer and are at markedly increased risk for colon cancer and modestly increased risk for ovarian cancer and a variety of other tumors. Middle-aged women with HNPCC carry a 4% annual risk of endometrial cancer and a relative overall risk of ~200 fold as compared to age-matched women without HNPCC. In sporadic cancers, secondary events such as mutation of the PI3K gene or the loss of the PTEN tumor-suppressor gene likely serve as secondary genetic “hits” in the carcinogenesis related to estrogenic excess. The molecular Most women with endometrial cancer have disease that is local ized to the uterus (75% are stage I, Table 94-1), and definitive treatment typically involves a hysterectomy with removal of the ovaries and fallopian tubes. The resection of lymph nodes does not improve outcome, but sentinel node resection provides important staging and prognostic information. Node involvement defines stage IIIC disease, which is treated with immunochemotherapy. Tumor grade and depth of invasion are two key prognostic vari ables in early-stage tumors, and women with low-grade and/or minimally invasive tumors (40 years, RT and chemotherapy. Targeting mutant IDH with inhibi tors such as vorasidenib to delay progression and transformation to higher grade may become an effective strategy in low-grade oligoden droglioma. Patients with oligodendrogliomas have a median survival in excess of 10 years. Grade 3 oligodendrogliomas present in the fourth and fifth decades as variably enhancing tumors. They are more responsive to therapy than grade 3 astrocytomas. Treatment involves maximal safe resection followed by RT and PCV or temozolomide chemotherapy. Median survival of patients is in excess of 10 years. Glioblastoma Glioblastomas account for the majority of high-grade astrocytomas and are now defined by the absence of IDH mutations. With the new WHO classification, grade 2 and 3 astrocytomas without the classic histologic features of glioblastoma (necrosis and endothe lial proliferation) but harboring molecular features of glioblastoma 719 FIGURE 95-2 Postgadolinium T1 MRI of a large cystic left frontal glioblastoma. (epidermal growth factor amplification, combined with whole chromo </w:t>
      </w:r>
      <w:r w:rsidR="00A6019F" w:rsidRPr="00A6019F">
        <w:lastRenderedPageBreak/>
        <w:t xml:space="preserve">some 7 gain and 10 loss, or telomerase reverse transcriptase [TERT] promoter mutations) are considered molecular glioblastomas. Glioblastomas are the most common malignant primary brain tumor, with &gt;12,000 cases diagnosed each year in the United States. Patients usually present in the sixth and seventh decades of life with headache, seizures, or focal neurologic deficits. The tumors appear as ring-enhancing masses with central necrosis and surrounding edema (Fig. 95-2). These are highly infiltrative tumors, and the areas of increased T2/FLAIR signal surrounding the main tumor mass contain invading tumor cells. Treatment involves maximal surgical resection followed by involved-field external-beam RT (6000 cGy in thirty 200-cGy fractions) with concomitant temozolomide, followed by 6 months of adjuvant temozolomide. With this regimen, median survival is increased to 15–18 months compared to only 12 months with RT alone, and 5-year survival is ~10%. Efforts to increase the dose of RT locally using brachytherapy or stereotactic radiosurgery (SRS) have failed to improve the outcome, and these treatments are not recommended. Patients whose tumor contains the DNA repair enzyme O6-methylguanine-DNA methyltransferase (MGMT) are relatively resistant to temozolomide and have a worse prognosis compared to those whose tumors contain low levels of MGMT as a result of silenc ing of the MGMT gene by promoter hypermethylation. Implantation of biodegradable polymers containing carmustine chemotherapy into the tumor bed after resection of the tumor or addition of tumor treat ing fields (scalp electrodes delivering low-intensity electric currents) produces a modest improvement in survival. For elderly patients aged &gt;65–70 years, a hypofractionated RT regi men of 40 Gy over 3 weeks with temozolomide is well tolerated and likely leads to similar outcomes as the 6-week standard RT regimen. Despite optimal therapy, glioblastomas invariably recur. Treatment options for recurrent disease may include reoperation, reirradiation, and treatment with bevacizumab and standard chemotherapeutic regi mens. Bevacizumab, a humanized vascular endothelial growth factor (VEGF) monoclonal antibody, has activity in recurrent glioblastoma, increasing progression-free survival but not overall survival and reduc ing peritumoral edema and glucocorticoid use (Fig. 95-3). Immune checkpoint inhibitors have been successful in a variety of solid tumors but have failed to demonstrate substantial activity in glioblastoma. A recent phase 3 trial comparing bevacizumab with nivolumab in recur rent glioblastoma demonstrated an identical median overall survival A B FIGURE 95-3 Postgadolinium T1 MRI of a recurrent glioblastoma before (A) and after (B) administration of bevacizumab. Note the decreased enhancement and mass effect. of approximately 10 months in the two arms, with similar toxicities. Treatment decisions for patients with recurrent glioblastoma must be made on an individual basis, taking into consideration such factors as previous therapy, time to relapse, performance status, and quality of life. Whenever feasible, patients should be enrolled in clinical trials. Novel therapies undergoing evaluation in patients with glioblastoma include targeted molecular agents directed at receptor tyrosine kinases and signal transduction pathways; immunotherapy using vaccines, </w:t>
      </w:r>
      <w:r w:rsidR="00A6019F" w:rsidRPr="00A6019F">
        <w:lastRenderedPageBreak/>
        <w:t xml:space="preserve">novel checkpoint inhibitors, or chimeric antigen receptor (CAR) T cells; oncolytic viruses; antiangiogenic agents; chemotherapeutic agents that cross the blood-brain barrier more effectively than cur rently available drugs; and infusion of radiolabeled drugs and targeted toxins into the tumor and surrounding brain by means of convection enhanced delivery. The most important adverse prognostic factors in patients with glioblastomas are older age, unmethylated MGMT promoter, poor Karnofsky performance status, and unresectable tumor. CHAPTER 95 Primary and Metastatic Tumors of the Nervous System 720 Gliosarcomas are a variant of glioblastoma containing both an astro cytic and a sarcomatous component and are treated in the same way as glioblastomas. </w:t>
      </w:r>
      <w:r w:rsidR="00A6019F" w:rsidRPr="00A6019F">
        <w:rPr>
          <w:rFonts w:ascii="Arial" w:hAnsi="Arial" w:cs="Arial"/>
        </w:rPr>
        <w:t>■</w:t>
      </w:r>
      <w:r w:rsidR="00A6019F" w:rsidRPr="00A6019F">
        <w:t xml:space="preserve">PEDIATRIC-TYPE DIFFUSE HIGH-GRADE GLIOMA Pediatric-type diffuse high-grade gliomas (HGGs) are clinically and biologically distinct and are further classified based on their location, which also corresponds to specific molecular alterations. These tumors are typical in younger patients, including young adults, and prior to the recognition of these specific molecular drivers, many pediatric-type HGGs, which do not harbor IDH mutations, were often diagnosed and treated as glioblastoma. Diffuse Midline Glioma, H3K27-Altered These tumors arise PART 4 Oncology and Hematology from midline structures including the pons, thalamus, or spinal cord and have an infiltrative appearance, often without contrast enhance ment on MRI. They harbor mutations in the H3F3A gene, resulting in lysine-to-methionine substitution in amino acid residue 27 (K27M). H3K27-altered glioma can occur both in children and adults and car ries a poor prognosis regardless of grade. As gross total resection is not feasible in these tumors, treatment mostly consists of RT, while sys temic therapy options remain limited in efficacy. The median overall survival is about 1 year. Diffuse Hemispheric Glioma, H3 G34-Mutant Another HGG that preferentially occurs in young adults is the diffuse hemispheric glioma with the histone variant H3.3 glycine to arginine or valine (H3.3-G34R/V) mutation. These tend to occur in a hemispheric loca tion, and the progression remains poor, with median overall survival of 18–22 months. No standard-of-care treatment exists for these tumors, which are often treated similar to GBM with RT and chemotherapy. </w:t>
      </w:r>
      <w:r w:rsidR="00A6019F" w:rsidRPr="00A6019F">
        <w:rPr>
          <w:rFonts w:ascii="Arial" w:hAnsi="Arial" w:cs="Arial"/>
        </w:rPr>
        <w:t>■</w:t>
      </w:r>
      <w:r w:rsidR="00A6019F" w:rsidRPr="00A6019F">
        <w:t xml:space="preserve">PEDIATRIC-TYPE LOW-GRADE GLIOMA While most common in pediatric patients, pediatric-type low-grade gli omas can also arise in young and older adults. They include avian myelo blastosis viral oncogene (MYB)-altered or MYB proto-oncogene like 1 (MYBL1)-altered diffuse gliomas and mitogen-activated protein kinase (MAPK)-altered diffuse gliomas (commonly v-Raf murine sarcoma viral oncogene homolog B [BRAF] or fibroblast growth factor receptor [FGFR] alterations). Gross total resection can be curative in many cases, and systemic therapy can provide durable response with oral BRAF or MAPK inhibitors when a targetable mutation or fusion is found. </w:t>
      </w:r>
      <w:r w:rsidR="00A6019F" w:rsidRPr="00A6019F">
        <w:rPr>
          <w:rFonts w:ascii="Arial" w:hAnsi="Arial" w:cs="Arial"/>
        </w:rPr>
        <w:t>■</w:t>
      </w:r>
      <w:r w:rsidR="00A6019F" w:rsidRPr="00A6019F">
        <w:t xml:space="preserve">CIRCUMSCRIBED ASTROCYTOMA AND OTHER GLIONEURONAL TUMORS These tumors regroup several histologies of more circumscribed tumors, with a typically more indolent natural history. Pilocytic astro cytomas (WHO grade 1) are the most common tumor of childhood. They occur typically in the cerebellum but may also be found elsewhere in the neuraxis, including the optic </w:t>
      </w:r>
      <w:r w:rsidR="00A6019F" w:rsidRPr="00A6019F">
        <w:lastRenderedPageBreak/>
        <w:t xml:space="preserve">nerves and brainstem. Frequently they appear as cystic lesions with an enhancing mural nodule. Often, they have BRAF fusions or mutations. These are well-demarcated lesions that are potentially curable if they can be resected completely. Subependymal giant cell astrocytomas (SEGAs) are usually found in the ventricular wall of patients with tuberous sclerosis, discussed later. Gangliogliomas and pleomorphic xanthoastrocytomas occur in young adults. They behave as more indolent forms of grade 1 gliomas and are usually treated with surgery. Frequently they will have BRAF V600E mutations, which can be targeted with BRAF inhibitors. </w:t>
      </w:r>
      <w:r w:rsidR="00A6019F" w:rsidRPr="00A6019F">
        <w:rPr>
          <w:rFonts w:ascii="Arial" w:hAnsi="Arial" w:cs="Arial"/>
        </w:rPr>
        <w:t>■</w:t>
      </w:r>
      <w:r w:rsidR="00A6019F" w:rsidRPr="00A6019F">
        <w:t xml:space="preserve">EPENDYMOMAS Ependymomas are tumors derived from ependymal cells that line the ventricular surface. They arise in three different compartments and are classified according to location as supratentorial, posterior fossa, or spinal ependymomas. Further molecular stratification within each location (supratentorial ependymoma with ZFTA or YAP1 oncogenic fusion; posterior fossa A or posterior fossa B; and spinal with or with out MYCN amplification) and grading can help guide management. Children typically present with posterior fossa ependymoma followed by supratentorial ependymoma. Although adults can have intracranial ependymomas, they occur more commonly in the spine, especially in the filum terminale of the spinal cord where they have a myxopapillary histology. Ependymomas that can be completely resected are poten tially curable. Partially resected ependymomas will recur and require irradiation. The less common anaplastic ependymoma is more aggres sive and is treated with resection and RT; chemotherapy has limited efficacy. Subependymomas are slow-growing benign lesions arising in the wall of ventricles that often do not require treatment. </w:t>
      </w:r>
      <w:r w:rsidR="00A6019F" w:rsidRPr="00A6019F">
        <w:rPr>
          <w:rFonts w:ascii="Arial" w:hAnsi="Arial" w:cs="Arial"/>
        </w:rPr>
        <w:t>■</w:t>
      </w:r>
      <w:r w:rsidR="00A6019F" w:rsidRPr="00A6019F">
        <w:t xml:space="preserve">PRIMARY CENTRAL NERVOUS SYSTEM LYMPHOMA Primary central nervous system lymphoma (PCNSL) is a rare non Hodgkin’s lymphoma accounting for 60 years. As a result, full-dose RT is frequently omitted, but there may be a role for reduced-dose RT. The anti-CD20 monoclonal antibody rituximab is often incorporated into the chemotherapy regimen, although there are studies questioning its benefit. For some patients, high dose chemotherapy with autologous stem cell rescue may offer the best chance of preventing relapse. At least 50% of patients will eventually develop recurrent disease. Treatment options include RT for patients who have not had prior irradiation, retreatment with methotrexate, and other chemotherapeutic agents such as temo zolomide and pemetrexed. High-dose chemotherapy with autolo gous stem cell rescue may be appropriate in selected patients with relapsed disease. Bruton’s tyrosine kinase (BTK) inhibitors such as ibrutinib, immunomodulatory drugs such as pomalidomide and lenalidomide, and immune checkpoint inhibitors have shown promising preliminary activity and are being evaluated in clinical trials, as are CAR-T cells. PCNSL IN IMMUNOCOMPROMISED PATIENTS PCNSL in immunocompromised patients often produces multiple ring-enhancing lesions that can be difficult to differentiate from metastases or infections such as toxoplasmosis. The diagnosis is usually established by examination of the CSF for cytology and EBV DNA; toxoplasmosis serologic testing; brain PET imaging for hypermetabolism of the lesions, which, although nonspecific, can </w:t>
      </w:r>
      <w:r w:rsidR="00A6019F" w:rsidRPr="00A6019F">
        <w:lastRenderedPageBreak/>
        <w:t xml:space="preserve">be consistent with tumor; and, if necessary, brain biopsy. Since the advent of highly active antiretroviral drugs, the incidence of HIV-related PCNSL has declined. These patients are preferably treated with high-dose methotrexate-based regimens and initiation of highly active antiretroviral therapy; WBRT is reserved for those who cannot tolerate systemic chemotherapy. In organ transplant recipients, reduction of immunosuppression may improve outcome. </w:t>
      </w:r>
      <w:r w:rsidR="00A6019F" w:rsidRPr="00A6019F">
        <w:rPr>
          <w:rFonts w:ascii="Arial" w:hAnsi="Arial" w:cs="Arial"/>
        </w:rPr>
        <w:t>■</w:t>
      </w:r>
      <w:r w:rsidR="00A6019F" w:rsidRPr="00A6019F">
        <w:t xml:space="preserve">MEDULLOBLASTOMA Medulloblastomas are the most common malignant brain tumor of childhood, accounting for ~20% of all primary CNS tumors among chil dren. They arise from granule cell progenitors or from multipotent pro genitors from the ventricular zone. Approximately 5% of children with medulloblastoma have an inherited syndrome, such as Gorlin, Turcot, or Li-Fraumeni, which predisposes to the development of medulloblas toma. Histologically, medulloblastomas are highly cellular tumors with abundant dark staining, round nuclei, and rosette formation (Homer Wright rosettes). In the 2016 WHO pathologic classification, they have been divided into four molecular subgroups: (1) WNT-activated (pri marily affects children and has the best outcome); (2) SHH-activated (affects adults, infants, and children, with the younger patients having the better outcome and adults doing poorly); (3) non-WNT/non-SHH, group 3 (frequently has disseminated CNS disease at diagnosis and has the worst outcome); and (4) non-WNT/non-SHH, group 4 (30% have metastases at diagnosis, but 5-year progression-free survival is 95%). Regardless of subtype, patients present with headache, ataxia, and signs of brainstem involvement. On MRI, they appear as densely enhanc ing tumors in the posterior fossa, sometimes associated with hydro cephalus. Treatment involves maximal surgical resection, craniospinal irradiation, and chemotherapy with agents such as cisplatin, lomustine, cyclophosphamide, and vincristine. Approximately 70% of patients overall have long-term survival but usually at the cost of significant neu rocognitive impairment. A major goal of current research is to improve survival while minimizing long-term complications, and clinical trials are now being designed for specific molecular subgroups. </w:t>
      </w:r>
      <w:r w:rsidR="00A6019F" w:rsidRPr="00A6019F">
        <w:rPr>
          <w:rFonts w:ascii="Arial" w:hAnsi="Arial" w:cs="Arial"/>
        </w:rPr>
        <w:t>■</w:t>
      </w:r>
      <w:r w:rsidR="00A6019F" w:rsidRPr="00A6019F">
        <w:t xml:space="preserve">PINEAL REGION TUMORS A large variety of tumors can arise in the region of the pineal gland. These typically present with headache, visual symptoms, and hydroceph alus. Patients may have Parinaud’s syndrome characterized by impaired upgaze and accommodation. Some pineal tumors such as pineocytomas and benign teratomas can be treated by surgical resection. Germinomas respond to irradiation, whereas pineoblastomas and nongerminomatous germ cell tumors require craniospinal RT and chemotherapy. EXTRINSIC “BENIGN” TUMORS </w:t>
      </w:r>
      <w:r w:rsidR="00A6019F" w:rsidRPr="00A6019F">
        <w:rPr>
          <w:rFonts w:ascii="Arial" w:hAnsi="Arial" w:cs="Arial"/>
        </w:rPr>
        <w:t>■</w:t>
      </w:r>
      <w:r w:rsidR="00A6019F" w:rsidRPr="00A6019F">
        <w:t xml:space="preserve">MENINGIOMA Meningiomas are diagnosed with increasing frequency as more people undergo neuroimaging for various indications. They are now the most common primary brain tumor, accounting for ~35% of the total. Their incidence increases with age. They tend to be more common in women and in patients with neurofibromatosis type 2 (NF2). They also occur more commonly in patients with a history of cranial irradiation. Meningiomas arise from the dura mater and are composed of neoplastic meningothelial (arachnoidal cap) cells. They are most com monly located over the cerebral convexities, </w:t>
      </w:r>
      <w:r w:rsidR="00A6019F" w:rsidRPr="00A6019F">
        <w:lastRenderedPageBreak/>
        <w:t xml:space="preserve">especially adjacent to the sagittal sinus, but they can also occur in the skull base and along the dorsum of the spinal cord. Meningiomas are classified by the WHO into three histologic grades of increasing aggressiveness: grade I (benign), grade II (atypical), and grade III (malignant). Many meningiomas are found incidentally following neuroimaging for unrelated reasons. They can also present with headaches, seizures, or focal neurologic deficits. On imaging studies, they have a charac teristic appearance usually of a densely enhancing extra-axial tumor arising from the dura (Fig. 95-5). Typically they have a dural tail, con sisting of thickened, enhanced dura extending like a tail from the mass. The main differential diagnosis of meningioma is a dural metastasis. If the meningioma is small and asymptomatic, no intervention is necessary and the lesion can be observed with serial MRI studies. Larger, symptomatic lesions should be resected. If complete resection is achieved, the patient is cured. Incompletely resected tumors tend to recur, although the rate of recurrence can be very slow with grade I tumors. Tumors that cannot be resected or can only be partially removed may benefit from external-beam RT or SRS. These treatments may also be helpful in patients whose tumor has recurred after surgery. Hormonal therapy and chemotherapy are currently unproven. Rarer tumors that resemble meningiomas include hemangiopericy tomas and solitary fibrous tumors. Since they share similar molecular alterations (NAB2-STAT6 fusion), the 2016 WHO classification intro duced the combined term solitary fibrous tumor/hemangiopericytoma for this entity. These tumors are treated with surgery and RT but have a higher propensity to recur locally or metastasize systemically. CHAPTER 95 Primary and Metastatic Tumors of the Nervous System </w:t>
      </w:r>
      <w:r w:rsidR="00A6019F" w:rsidRPr="00A6019F">
        <w:rPr>
          <w:rFonts w:ascii="Arial" w:hAnsi="Arial" w:cs="Arial"/>
        </w:rPr>
        <w:t>■</w:t>
      </w:r>
      <w:r w:rsidR="00A6019F" w:rsidRPr="00A6019F">
        <w:t xml:space="preserve">SCHWANNOMA These are generally benign tumors arising from the Schwann cells of cranial and spinal nerve roots. The most common schwannomas, termed vestibular schwannomas or acoustic neuromas, arise from the vestibular portion of the eighth cranial nerve and account for ~9% of primary brain tumors. Patients with NF2 have a high incidence of vestibular schwannomas that are frequently bilateral. Schwannomas arising from other cranial nerves, such as the trigeminal nerve (cranial nerve V), occur with much lower frequency. Neurofibromatosis type 1 722 </w:t>
      </w:r>
      <w:r w:rsidR="00A6019F" w:rsidRPr="00A6019F">
        <w:rPr>
          <w:rFonts w:ascii="Arial" w:hAnsi="Arial" w:cs="Arial"/>
        </w:rPr>
        <w:t>■</w:t>
      </w:r>
      <w:r w:rsidR="00A6019F" w:rsidRPr="00A6019F">
        <w:t xml:space="preserve">PITUITARY TUMORS These are discussed in detail in Chap. 392. </w:t>
      </w:r>
      <w:r w:rsidR="00A6019F" w:rsidRPr="00A6019F">
        <w:rPr>
          <w:rFonts w:ascii="Arial" w:hAnsi="Arial" w:cs="Arial"/>
        </w:rPr>
        <w:t>■</w:t>
      </w:r>
      <w:r w:rsidR="00A6019F" w:rsidRPr="00A6019F">
        <w:t>CRANIOPHARYNGIOMAS Craniopharyngiomas are rare, usually suprasellar, partially calcified, solid, or mixed solid-cystic benign tumors that arise from remnants of Rathke</w:t>
      </w:r>
      <w:r w:rsidR="00A6019F" w:rsidRPr="00A6019F">
        <w:rPr>
          <w:rFonts w:ascii="Aptos" w:hAnsi="Aptos" w:cs="Aptos"/>
        </w:rPr>
        <w:t>’</w:t>
      </w:r>
      <w:r w:rsidR="00A6019F" w:rsidRPr="00A6019F">
        <w:t xml:space="preserve">s pouch. They have a bimodal distribution, occurring pre dominantly in children but also between the ages of 55 and 65 years. They present with headaches, visual impairment, and impaired growth in children and hypopituitarism in adults. Treatment involves surgery, RT, or a combination of the two. The papillary subtype of craniopha ryngiomas often has BRAF V600E mutations and can be treated with RAF/MEK inhibitors. </w:t>
      </w:r>
      <w:r w:rsidR="00A6019F" w:rsidRPr="00A6019F">
        <w:rPr>
          <w:rFonts w:ascii="Arial" w:hAnsi="Arial" w:cs="Arial"/>
        </w:rPr>
        <w:t>■</w:t>
      </w:r>
      <w:r w:rsidR="00A6019F" w:rsidRPr="00A6019F">
        <w:t xml:space="preserve">OTHER BENIGN TUMORS PART 4 Oncology and Hematology Epidermoid Cysts These consist of squamous epithelium sur rounding a keratin-filled cyst. They are usually found in the cerebel lopontine angle and the intrasellar and suprasellar regions. They may present with headaches, cranial nerve abnormalities, seizures, or hydrocephalus. MRI demonstrates an extra-axial lesion with charac teristics </w:t>
      </w:r>
      <w:r w:rsidR="00A6019F" w:rsidRPr="00A6019F">
        <w:lastRenderedPageBreak/>
        <w:t xml:space="preserve">that are similar to CSF but have restricted diffusion. Treatment involves surgical resection. FIGURE 95-5 Postgadolinium T1 MRI demonstrating multiple meningiomas along the falx and left parietal cortex. (NF1) is associated with an increased incidence of schwannomas of the spinal nerve roots. Vestibular schwannomas may be found incidentally on neuroim aging or present with progressive unilateral hearing loss, dizziness, tinnitus, or, less commonly, symptoms resulting from compression of the brainstem and cerebellum. On MRI, they appear as densely enhancing lesions, enlarging the internal auditory canal and often extending into the cerebellopontine angle (Fig. 95-6). The differential diagnosis includes meningioma. Very small, asymptomatic lesions can be observed with serial MRIs. Larger lesions should be treated with surgery or SRS. The optimal treatment will depend on the size of the tumor, symptoms, and the patient’s preference. In patients with small vestibular schwannomas and relatively intact hearing, early surgical intervention increases the chance of preserving hearing. FIGURE 95-6 Postgadolinium MRI of a right vestibular schwannoma. The tumor can be seen to involve the internal auditory canal. Dermoid Cysts Like epidermoid cysts, dermoid cysts arise from epithelial cells that are retained during closure of the neural tube. They contain both epidermal and dermal structures such as hair follicles, sweat glands, and sebaceous glands. Unlike epidermoid cysts, these tumors usually have a midline location. They occur most frequently in the posterior fossa, especially the vermis, fourth ventricle, and supra sellar cistern. On MRI, dermoid cysts resemble lipomas, demonstrating T1 hyperintensity and variable signal on T2. Symptomatic dermoid cysts can be treated with surgery. Colloid Cysts These usually arise in the anterior third ventricle and may present with headaches, hydrocephalus, and, very rarely, sud den death. Surgical resection is curative, or a third ventriculostomy may relieve the obstructive hydrocephalus and be sufficient therapy. NEUROCUTANEOUS SYNDROMES (PHAKOMATOSES) A number of genetic disorders are characterized by cutaneous lesions and an increased risk of brain tumors. Most of these disorders have an autosomal dominant inheritance with variable penetrance. </w:t>
      </w:r>
      <w:r w:rsidR="00A6019F" w:rsidRPr="00A6019F">
        <w:rPr>
          <w:rFonts w:ascii="Arial" w:hAnsi="Arial" w:cs="Arial"/>
        </w:rPr>
        <w:t>■</w:t>
      </w:r>
      <w:r w:rsidR="00A6019F" w:rsidRPr="00A6019F">
        <w:t>NEUROFIBROMATOSIS TYPE 1 (von RECKLINGHAUSEN</w:t>
      </w:r>
      <w:r w:rsidR="00A6019F" w:rsidRPr="00A6019F">
        <w:rPr>
          <w:rFonts w:ascii="Aptos" w:hAnsi="Aptos" w:cs="Aptos"/>
        </w:rPr>
        <w:t>’</w:t>
      </w:r>
      <w:r w:rsidR="00A6019F" w:rsidRPr="00A6019F">
        <w:t>S DISEASE) NF1 is an autosomal dominant disorder with variable penetrance and an incidence of ~1 in 2600</w:t>
      </w:r>
      <w:r w:rsidR="00A6019F" w:rsidRPr="00A6019F">
        <w:rPr>
          <w:rFonts w:ascii="Aptos" w:hAnsi="Aptos" w:cs="Aptos"/>
        </w:rPr>
        <w:t>–</w:t>
      </w:r>
      <w:r w:rsidR="00A6019F" w:rsidRPr="00A6019F">
        <w:t xml:space="preserve">3000. Approximately one-half of cases are familial; the remainder are caused by new mutations arising in patients with unaffected parents. The NF1 gene is located on chromo some 17q11.2 and encodes neurofibromin, a guanosine triphosphatase (GTPase) activating protein (GAP) that is a negative regulator of the RAS–mitogen-activated protein (MAP) kinase signaling pathway, which includes the downstream kinase MEK. It is a classic tumor suppressor, and biallelic loss can result in a variety of nervous system tumors including neurofibromas, plexiform neurofibromas, optic nerve gliomas, astrocytomas, and meningiomas. In addition to neuro fibromas, which appear as multiple, soft, rubbery cutaneous tumors, other cutaneous manifestations of NF1 include café-au-lait spots and axillary freckling. NF1 is also associated with hamartomas of the iris termed Lisch nodules, pheochromocytomas, pseudoarthrosis of </w:t>
      </w:r>
      <w:r w:rsidR="00A6019F" w:rsidRPr="00A6019F">
        <w:lastRenderedPageBreak/>
        <w:t xml:space="preserve">the tibia, scoliosis, epilepsy, and intellectual disability. The MEK inhibi tor selumetinib has activity against inoperable plexiform neurofibro mas and is the only treatment that targets the dysregulated signaling pathway. </w:t>
      </w:r>
      <w:r w:rsidR="00A6019F" w:rsidRPr="00A6019F">
        <w:rPr>
          <w:rFonts w:ascii="Arial" w:hAnsi="Arial" w:cs="Arial"/>
        </w:rPr>
        <w:t>■</w:t>
      </w:r>
      <w:r w:rsidR="00A6019F" w:rsidRPr="00A6019F">
        <w:t xml:space="preserve">NEUROFIBROMATOSIS TYPE 2 NF2 is less common than NF1, with an incidence of 1 in 25,000 40,000. It is an autosomal dominant disorder with full penetrance. As with NF1, approximately one-half of cases arise from new mutations. 723 The NF2 gene on 22q encodes a cytoskeletal protein, merlin (moesin, ezrin, radixin-like protein), that functions as a tumor suppressor. NF2 is characterized by bilateral vestibular schwannomas in &gt;90% of patients, multiple meningiomas, and spinal ependymomas and astro cytomas. Treatment of bilateral vestibular schwannomas can be chal lenging because the goal is to preserve hearing for as long as possible. These patients may also have diffuse schwannomatosis that may affect the cranial, spinal, or peripheral nerves; posterior subcapsular lens opacities; and retinal hamartomas. </w:t>
      </w:r>
      <w:r w:rsidR="00A6019F" w:rsidRPr="00A6019F">
        <w:rPr>
          <w:rFonts w:ascii="Arial" w:hAnsi="Arial" w:cs="Arial"/>
        </w:rPr>
        <w:t>■</w:t>
      </w:r>
      <w:r w:rsidR="00A6019F" w:rsidRPr="00A6019F">
        <w:t>TUBEROUS SCLEROSIS (BOURNEVILLE DISEASE) This is an autosomal dominant disorder with an incidence of ~1 in 5000</w:t>
      </w:r>
      <w:r w:rsidR="00A6019F" w:rsidRPr="00A6019F">
        <w:rPr>
          <w:rFonts w:ascii="Aptos" w:hAnsi="Aptos" w:cs="Aptos"/>
        </w:rPr>
        <w:t>–</w:t>
      </w:r>
      <w:r w:rsidR="00A6019F" w:rsidRPr="00A6019F">
        <w:t xml:space="preserve">10,000 live births. It is caused by mutations in either the TSC1 gene, which encodes a protein termed hamartin, or the TSC2 gene, which encodes the protein tuberin. Hamartin forms a complex with tuberin, which inhibits cellular signaling through the mammalian tar get of rapamycin (mTOR), and acts as a negative regulator of the cell cycle. Patients with tuberous sclerosis may have seizures, intellectual disability, adenoma sebaceum (facial angiofibromas), shagreen patch, hypomelanotic macules, periungual fibromas, renal angiomyolipomas, and cardiac rhabdomyomas. These patients have an increased inci dence of subependymal nodules, cortical tubers, and SEGAs. Patients frequently require anticonvulsants for seizures. SEGAs do not always require therapeutic intervention, but the most effective therapy is with the mTOR inhibitors sirolimus or everolimus, which often decrease seizures as well as SEGA size. TUMORS METASTATIC TO THE BRAIN Brain metastases arise from hematogenous spread and frequently origi nate from a lung primary or are associated with pulmonary metastases. Most metastases develop at the gray matter–white matter junction in the watershed distribution of the brain where intravascular tumor cells lodge in terminal arterioles. The distribution of metastases in the brain approximates the proportion of blood flow such that ~85% of all metastases are supratentorial and 15% occur in the posterior fossa. The most common sources of brain metastases are lung and breast carcino mas; melanoma has the greatest propensity to metastasize to the brain, being found in 80% of patients at autopsy (Table 95-4). Other tumor types such as ovarian and esophageal carcinoma rarely metastasize to the brain. Prostate and breast cancers also have a propensity to metas tasize to the dura and can mimic meningioma. Leptomeningeal metas tases are common from hematologic malignancies and also breast and lung cancers. Spinal cord compression primarily arises in patients with prostate and breast cancer, tumors with a strong propensity to metas tasize to the axial skeleton. </w:t>
      </w:r>
      <w:r w:rsidR="00A6019F" w:rsidRPr="00A6019F">
        <w:rPr>
          <w:rFonts w:ascii="Arial" w:hAnsi="Arial" w:cs="Arial"/>
        </w:rPr>
        <w:t>■</w:t>
      </w:r>
      <w:r w:rsidR="00A6019F" w:rsidRPr="00A6019F">
        <w:t xml:space="preserve">DIAGNOSIS OF METASTASES Brain metastases are best visualized on MRI, where they usually appear as well-circumscribed lesions (Fig. 95-7). The amount of perilesional </w:t>
      </w:r>
      <w:r w:rsidR="00A6019F" w:rsidRPr="00A6019F">
        <w:lastRenderedPageBreak/>
        <w:t xml:space="preserve">edema can be highly variable, with large lesions causing minimal edema and sometimes very small lesions causing extensive edema. Enhance ment may be in a ring pattern or diffuse. Occasionally, intracranial TABLE 95-4 Frequency of Nervous System Metastases for Common Primary Tumors BRAIN (%) Lung Breast Melanoma Prostate GIT Renal Lymphoma Sarcoma Other 41 19 10 1 7 LM (%) 17 57 12 1 — 3 5 cm and ≤10 cm in greatest dimension Tumor &gt;10 cm and ≤15 cm in greatest dimension Tumor &gt;15 cm in greatest dimension No regional lymph node metastasis or unknown lymph node status Regional lymph node metastasis No distant metastasis Distant metastasis T1; N0; M0; G1 T2, T3, T4; N0; M0; G1 T1; N0; M0; G2/3 T1A, T2; N0; M0; G2/3 T3, T4; N0; M0; G2/3 Any T; N1; M0; any G Any T; any N; M1; any G Soft tissue sarcomas tend to grow along fascial planes, with the surrounding soft tissues compressed to form a pseudocapsule that gives the sarcoma the appearance of a well-encapsulated lesion. This is invariably deceptive because “shelling out,” or marginal exci sion, of such lesions results in a 50–90% probability of local recur rence. Wide excision with a negative margin, incorporating the biopsy site, is the standard surgical procedure for local disease. The adjuvant use of radiation therapy and/or chemotherapy improves the local control rate and permits the use of limb-sparing surgery with a local control rate (85–90%) comparable to that achieved by radical excisions and amputations. Limb-sparing approaches are indicated except when negative margins are not obtainable, when the risks of radiation are prohibitive, or when neurovascular struc tures are involved so that resection will result in serious functional consequences to the limb. RADIATION THERAPY External-beam radiation therapy is an adjuvant to limb-sparing surgery for improved local control. Preoperative radiation therapy allows the use of smaller fields and smaller doses but results in a higher rate of wound complications. Postoperative radiation therapy must be given to larger fields, because the entire surgical bed must be encompassed, and in higher doses to compensate for hypoxia in the operated field. This results in a higher rate of late complications. Brachytherapy or interstitial therapy, in which the radiation source is inserted into the tumor bed, is comparable in efficacy (except in low-grade lesions), less time consuming, and less expensive. With the advent of stereotactic body radiotherapy (SBRT), the role of radiation therapy in oligometastatic disease in various vis ceral sites is evolving. ADJUVANT CHEMOTHERAPY Chemotherapy is the mainstay of treatment for Ewing’s sarcomas/ primitive neuroectodermal tumors (PNETs) and rhabdomyosar comas. Meta-analysis of 14 randomized trials in non-small-cell sarcomas revealed a significant improvement in local control and disease-free survival in favor of doxorubicin-based chemotherapy. Overall survival improvement was 4% for all sites and 7% for the extremity site. An updated meta-analysis including four additional trials with doxorubicin and ifosfamide combination reported a statistically significant 6% survival advantage in favor of chemo therapy. A chemotherapy regimen including an anthracycline and ifosfamide with growth factor support improved overall survival by 19% for high-risk (high-grade, ≥5 cm primary, or locally recurrent) Soft Tissue and Bone Sarcomas and Bone Metastases 729 </w:t>
      </w:r>
      <w:r w:rsidR="00A6019F" w:rsidRPr="00A6019F">
        <w:lastRenderedPageBreak/>
        <w:t xml:space="preserve">CHAPTER 96 extremity soft tissue sarcomas. Long-term follow-up of a trial evaluating neoadjuvant use of the same combination confirms survival advantage and reports a 10-year survival of 61%. A more contemporary randomized trial compared the standard anthra cycline and ifosfamide combination to specific histology-tailored chemotherapy as an active control and confirmed superiority of the standard regimen. ADVANCED DISEASE Metastatic soft tissue sarcomas are largely incurable, but up to 20% of patients who achieve a complete response become long-term sur vivors. The therapeutic intent, therefore, is to produce a complete remission with chemotherapy (8 cm in greatest dimension T3 Discontinuous tumors in the primary bone site Regional lymph nodes (N) NX Regional lymph nodes cannot be assessed N0 No regional lymph node metastasis N1 Regional lymph node metastasis Distant metastasis (M) MX Distant metastasis cannot be assessed M0 No distant metastasis M1 Distant metastasis M1a Lung M1b Other distant sites Histologic grade (G) GX Grade cannot be assessed G1 Well differentiated—low grade G2 Moderately differentiated—low grade G3 Poorly differentiated—high grade G4 Undifferentiated—high grade (Ewing’s is always classed G4) Stage Grouping Stage IA T1 N0 M0 G1,2 low grade Stage IB T2 N0 M0 G1,2 low grade Stage IIA T1 N0 M0 G3,4 high grade Stage IIB T2 N0 M0 G3,4 high grade Stage III T3 N0 M0 Any G Stage IVA Any T N0 M1a Any G Stage IVB Any T N1 Any M Any G Any T Any N M1b Any G 730 </w:t>
      </w:r>
      <w:r w:rsidR="00A6019F" w:rsidRPr="00A6019F">
        <w:rPr>
          <w:rFonts w:ascii="Arial" w:hAnsi="Arial" w:cs="Arial"/>
        </w:rPr>
        <w:t>■</w:t>
      </w:r>
      <w:r w:rsidR="00A6019F" w:rsidRPr="00A6019F">
        <w:t>EWING</w:t>
      </w:r>
      <w:r w:rsidR="00A6019F" w:rsidRPr="00A6019F">
        <w:rPr>
          <w:rFonts w:ascii="Aptos" w:hAnsi="Aptos" w:cs="Aptos"/>
        </w:rPr>
        <w:t>’</w:t>
      </w:r>
      <w:r w:rsidR="00A6019F" w:rsidRPr="00A6019F">
        <w:t>S SARCOMA PART 4 Oncology and Hematology Ewing</w:t>
      </w:r>
      <w:r w:rsidR="00A6019F" w:rsidRPr="00A6019F">
        <w:rPr>
          <w:rFonts w:ascii="Aptos" w:hAnsi="Aptos" w:cs="Aptos"/>
        </w:rPr>
        <w:t>’</w:t>
      </w:r>
      <w:r w:rsidR="00A6019F" w:rsidRPr="00A6019F">
        <w:t>s sarcoma, which constitutes ~10</w:t>
      </w:r>
      <w:r w:rsidR="00A6019F" w:rsidRPr="00A6019F">
        <w:rPr>
          <w:rFonts w:ascii="Aptos" w:hAnsi="Aptos" w:cs="Aptos"/>
        </w:rPr>
        <w:t>–</w:t>
      </w:r>
      <w:r w:rsidR="00A6019F" w:rsidRPr="00A6019F">
        <w:t xml:space="preserve">15% of all bone sarcomas, is common in adolescence and has a peak incidence in the second decade of life. It typically involves the diaphyseal region of long bones and also has an affinity for flat bones. The plain radiograph may show a charac teristic “onion peel” periosteal reaction with a generous soft tissue mass, which is better demonstrated by CT or MRI. This mass is composed of sheets of monotonous, small, round, blue cells and can be confused with lymphoma, embryonal rhabdomyosarcoma, and small-cell carcinoma. The presence of p30/32, the product of the mic-2 gene (which maps to the pseudoautosomal region of the X and Y chromosomes), is a cell-sur face marker for Ewing’s sarcoma (and other members of the Ewing fam ily of tumors, previously also called PNETs). Most PNETs arise in soft tissues; they include peripheral neuroepithelioma, Askin’s tumor (chest wall), and esthesioneuroblastoma. The classic cytogenetic abnormality associated with this disease is a reciprocal translocation of the long arms of chromosomes 11 and 22, t(11;22), which creates a chimeric gene product of unknown function with components from the fli-1 gene on chromosome 11 and ews on chromosome 22. This disease is very aggres sive, and it is therefore considered a systemic disease. Common sites of metastases are lung, bones, and bone marrow. Systemic chemotherapy is the mainstay of therapy, often being used before surgery. Doxoru bicin, cyclophosphamide or ifosfamide, etoposide, and vincristine are active drugs. Topotecan or irinotecan in combination with an alkylating agent is often used in relapsed patients. Local treatment for the primary tumor includes surgical resection, usually with limb salvage or radiation therapy. Overall cure rates approach 60–70% for localized tumors. adolescents in the </w:t>
      </w:r>
      <w:r w:rsidR="00A6019F" w:rsidRPr="00A6019F">
        <w:lastRenderedPageBreak/>
        <w:t xml:space="preserve">second decade of life, and </w:t>
      </w:r>
      <w:r w:rsidR="00A6019F" w:rsidRPr="00A6019F">
        <w:rPr>
          <w:rFonts w:ascii="Cambria Math" w:hAnsi="Cambria Math" w:cs="Cambria Math"/>
        </w:rPr>
        <w:t>∼</w:t>
      </w:r>
      <w:r w:rsidR="00A6019F" w:rsidRPr="00A6019F">
        <w:t>10% occur in the third decade of life. Osteosarcomas in the fifth and sixth decades of life are frequently secondary to either radiation therapy or transformation in a preexisting benign condition, such as Paget</w:t>
      </w:r>
      <w:r w:rsidR="00A6019F" w:rsidRPr="00A6019F">
        <w:rPr>
          <w:rFonts w:ascii="Aptos" w:hAnsi="Aptos" w:cs="Aptos"/>
        </w:rPr>
        <w:t>’</w:t>
      </w:r>
      <w:r w:rsidR="00A6019F" w:rsidRPr="00A6019F">
        <w:t>s disease. Males are affected 1.5</w:t>
      </w:r>
      <w:r w:rsidR="00A6019F" w:rsidRPr="00A6019F">
        <w:rPr>
          <w:rFonts w:ascii="Aptos" w:hAnsi="Aptos" w:cs="Aptos"/>
        </w:rPr>
        <w:t>–</w:t>
      </w:r>
      <w:r w:rsidR="00A6019F" w:rsidRPr="00A6019F">
        <w:t xml:space="preserve">2 times as often as females. Osteosarcoma has a predilection for metaphyses of long bones; the most common sites of involvement are the distal femur, proximal tibia, and proximal humerus. The classifica tion of osteosarcoma is complex, but 75% of osteosarcomas fall into the “classic” category, which includes osteoblastic, chondroblastic, and fibroblastic osteosarcomas. The remaining 25% are classified as “variants” on the basis of (1) clinical characteristics, as in the case of osteosarcoma of the jaw, postradiation osteosarcoma, or Paget’s osteo sarcoma; (2) morphologic characteristics, as in the case of telangiectatic osteosarcoma, small-cell osteosarcoma, or epithelioid osteosarcoma; or (3) location, as in parosteal or periosteal osteosarcoma. Diagnosis usu ally requires a synthesis of clinical, radiologic, and pathologic features. Patients typically present with pain and swelling of the affected area. A plain radiograph reveals a destructive lesion with a moth-eaten appear ance, a spiculated periosteal reaction (sunburst appearance), and a cuff of periosteal new bone formation at the margin of the soft tissue mass (Codman’s triangle). A CT scan of the primary tumor is best for defin ing bone destruction and the pattern of calcification, whereas MRI is better for defining intramedullary and soft tissue extension. A chest radiograph and CT scan are used to detect lung metastases. Metastases to the bony skeleton should be imaged by a bone scan or by fluoro deoxyglucose positron emission tomography (FDG-PET). Almost all osteosarcomas are hypervascular and PET-avid. Pathologic diagnosis is established either with a core-needle biopsy, where feasible, or with an open biopsy with an appropriately placed incision that does not com promise future limb-sparing resection. Most osteosarcomas are high grade. The most important predictive factor for long-term survival is response to chemotherapy. Preoperative chemotherapy followed by limb-sparing surgery (which can be accomplished in &gt;80% of patients) followed by postoperative chemotherapy is standard management. The effective drugs are doxorubicin, ifosfamide, cisplatin, and high-dose methotrexate with leucovorin rescue. The various combinations of these agents that have been used have all been about equally success ful. Long-term survival rates in extremity osteosarcoma range from 60 to 80%. Osteosarcoma is radioresistant; radiation therapy has no role in the routine management. UPS is considered a part of the spectrum of osteosarcoma and is managed similarly. A randomized trial has shown improved progression-free survival with regorafenib compared to placebo. </w:t>
      </w:r>
      <w:r w:rsidR="00A6019F" w:rsidRPr="00A6019F">
        <w:rPr>
          <w:rFonts w:ascii="Arial" w:hAnsi="Arial" w:cs="Arial"/>
        </w:rPr>
        <w:t>■</w:t>
      </w:r>
      <w:r w:rsidR="00A6019F" w:rsidRPr="00A6019F">
        <w:t>CHONDROSARCOMA Chondrosarcoma, which constitutes ~20</w:t>
      </w:r>
      <w:r w:rsidR="00A6019F" w:rsidRPr="00A6019F">
        <w:rPr>
          <w:rFonts w:ascii="Aptos" w:hAnsi="Aptos" w:cs="Aptos"/>
        </w:rPr>
        <w:t>–</w:t>
      </w:r>
      <w:r w:rsidR="00A6019F" w:rsidRPr="00A6019F">
        <w:t xml:space="preserve">25% of all bone sarcomas, is a tumor of adulthood and old age, with a peak incidence in the fourth to sixth decades of life. It has a predilection for the flat bones, especially the shoulder and pelvic girdles, but can also affect the diaphyseal por tions of long bones. Chondrosarcomas can arise de novo or as a malig nant transformation of an enchondroma or, rarely, of the cartilaginous cap of an osteochondroma. Chondrosarcomas have an indolent natural history and typically </w:t>
      </w:r>
      <w:r w:rsidR="00A6019F" w:rsidRPr="00A6019F">
        <w:lastRenderedPageBreak/>
        <w:t xml:space="preserve">present as pain and swelling. Radiographically, the lesion may have a lobular appearance with mottled or punctate or annular calcification of the cartilaginous matrix. It is difficult to distinguish low-grade chondrosarcoma from benign lesions by x-ray or histologic examination. The diagnosis is therefore influenced by clinical history and physical examination. A new onset of pain, signs of inflammation, and progressive increase in the size of the mass sug gest malignancy. The histologic classification is complex, but most tumors fall within the classic category. Like other bone sarcomas, high grade chondrosarcomas spread to the lungs. Most chondrosarcomas are resistant to chemotherapy, and surgical resection of primary or recurrent tumors, including pulmonary metastases, is the mainstay of therapy with the exception of two histologic variants. Dedifferentiated chondrosarcoma has a high-grade osteosarcoma or a UPS component that responds to chemotherapy. Mesenchymal chondrosarcoma, a rare variant composed of a small-cell element, also is responsive to systemic chemotherapy and is treated like Ewing’s sarcoma. TUMORS METASTATIC TO BONE Bone is a common site of metastasis for carcinomas of the prostate, breast, lung, kidney, bladder, and thyroid and for lymphomas and sarcomas. Prostate, breast, and lung primaries account for 80% of all bone metastases. Metastatic tumors of bone are more common than primary bone tumors. Tumors usually spread to bone hematogenously, but local invasion from soft tissue masses also occurs. In descending order of frequency, the sites most often involved are the vertebrae, proximal femur, pelvis, ribs, sternum, proximal humerus, and skull. Bone metastases may be asymptomatic or may produce pain, swelling, nerve root or spinal cord compression, pathologic fracture, or myelo phthisis (replacement of the marrow). Symptoms of hypercalcemia may be noted in cases of bony destruction. Pain is the most frequent symptom. It usually develops gradually over weeks, is usually localized, and often is more severe at night. When patients with back pain develop neurologic signs or symptoms, emergency evaluation for spinal cord compression is indicated (Chap. 80). Bone metastases exert a major adverse effect on quality of life in cancer patients. Cancer in the bone may produce osteolysis, osteogenesis, or both. Osteolytic lesions result when the tumor produces substances that can directly elicit bone resorption (vitamin D–like steroids, prostaglan dins, or parathyroid hormone–related peptide) or cytokines that can induce the formation of osteoclasts (interleukin 1 and tumor necrosis factor). Osteoblastic lesions result when the tumor produces cytokines that activate osteoblasts. In general, purely osteolytic lesions are best detected by plain radiography, but they may not be apparent until they are &gt;1 cm. These lesions are more commonly associated with hyper calcemia and with the excretion of hydroxyproline-containing peptides indicative of matrix destruction. When osteoblastic activity is promi nent, the lesions may be readily detected using radionuclide bone scan ning (which is sensitive to new bone formation), and the radiographic appearance may show increased bone density or sclerosis. Osteoblastic lesions are associated with higher serum levels of alkaline phosphatase and, if extensive, may produce hypocalcemia. Although some tumors may produce </w:t>
      </w:r>
      <w:r w:rsidR="00A6019F" w:rsidRPr="00A6019F">
        <w:lastRenderedPageBreak/>
        <w:t xml:space="preserve">mainly osteolytic lesions (e.g., kidney cancer) and oth ers mainly osteoblastic lesions (e.g., prostate cancer), most metastatic lesions produce both types of lesion and may go through stages where one or the other predominates. In older patients, particularly women, it may be necessary to distinguish metastatic disease of the spine from osteoporosis. In 731 osteoporosis, the cortical bone may be preserved, whereas cortical bone destruction is usually noted with metastatic cancer. TREATMENT Metastatic Bone Disease Treatment of metastatic bone disease depends on the underlying malignancy and the symptoms. Some metastatic bone tumors are curable (lymphoma, Hodgkin’s lymphoma), and others are treated with palliative intent. Pain may be relieved by local radiation therapy. Hormonally responsive tumors are responsive to hormone inhibition (antiandrogens for prostate cancer, antiestrogens for breast cancer). Strontium-89, samarium-153, and radium-223 are bone-seeking radionuclides that can exert antitumor effects and relieve symptoms. Denosumab, a monoclonal antibody that binds to RANK ligand, inhibits osteoclastic activity and increases bone mineral density. Bisphosphonates such as pamidronate may relieve pain and inhibit bone resorption, thereby maintaining bone min eral density and reducing risk of fractures in patients with osteo lytic metastases from breast cancer and multiple myeloma. Careful monitoring of serum electrolytes and creatinine is recommended. Monthly administration prevents bone-related clinical events and may reduce the incidence of bone metastases in women with breast cancer. When the integrity of a weight-bearing bone is threatened by an expanding metastatic lesion that is refractory to radiation therapy, prophylactic internal fixation is indicated. Overall survival is related to the prognosis of the underlying tumor. Bone pain at the end of life is particularly common; an adequate pain relief regimen including sufficient amounts of narcotic analgesics is required. The management of hypercalcemia is discussed in Chap. 422. </w:t>
      </w:r>
      <w:r w:rsidR="00A6019F" w:rsidRPr="00A6019F">
        <w:rPr>
          <w:rFonts w:ascii="Arial" w:hAnsi="Arial" w:cs="Arial"/>
        </w:rPr>
        <w:t>■</w:t>
      </w:r>
      <w:r w:rsidR="00A6019F" w:rsidRPr="00A6019F">
        <w:t xml:space="preserve">FURTHER READING Alvarez RA et al: Optimization of the therapeutic approach to patients with sarcoma: Delphi consensus. Sarcoma 2019:4351308, 2019. Ballinger ML et al: Monogenic and polygenic determinants of sarcoma risk: An international genetic study. Lancet Oncol 17:1261, 2016. Beird HC et al: Osteosarcoma. Nat Rev Dis Primers 8:77, 2022. Gounder M et al: Nirogacestat, a γ-secretase inhibitor for desmoid tumors. N Engl J Med 388:898, 2023. Meyer M, Seetharam M: First-line therapy for metastatic soft tissue sarcoma. Curr Treat Options Oncol 20:6, 2019. Pasquali S, Gronchi A: Neoadjuvant chemotherapy in soft tissue sarcomas: Latest evidence and clinical implications. Ther Adv Med Oncol 9:415, 2017. Patel S, Reichardt P: An updated review of the treatment landscape for advanced gastrointestinal stromal tumors. Cancer 127:2185, 2021. Ratan R, Patel SR: Chemotherapy for soft tissue sarcoma. Cancer 122:2952, 2016. Wagner MJ et al: Chemotherapy for bone sarcoma in adults. J Oncol Pract 12:208, 2016. 97 Carcinoma of Unknown Primary Kanwal Raghav, James L. Abbruzzese Carcinoma (or cancer) of unknown primary (CUP) is a biopsy-proven malignancy for which the anatomic site of origin remains unidenti fied after a standardized detailed diagnostic evaluation. CUP is one of the 10 most frequently </w:t>
      </w:r>
      <w:r w:rsidR="00A6019F" w:rsidRPr="00A6019F">
        <w:lastRenderedPageBreak/>
        <w:t xml:space="preserve">diagnosed cancers globally, accounting for 3–5% of all malignancies. Most investigators limit CUP to epithelial or undifferentiated cancers and do not include lymphomas, metastatic melanomas, and metastatic sarcomas because these cancers have spe cific histology and stage-based management guidelines, even in the absence of a primary site. CUP can occur in patients of all age groups including adolescents and young adults. The emergence of sophisticated imaging, robust immunohisto chemistry (IHC), and genomic and proteomic tools has challenged the “unknown” designation. Additionally, effective targeted therapies in several cancers and tissue-agnostic biomarker-driven therapies have endorsed a change in paradigm from empiricism to a personal ized approach to CUP management. The reasons cancers present as CUP remain unclear. One hypothesis is that the primary tumor either regresses after seeding the metastasis or remains so small that it is not detected. It is possible that CUP falls on the continuum of cancer presentation where the primary has been contained or eliminated by the natural body defenses, including the immune system. Alterna tively, CUP may represent a specific malignant event that results in an increase in metastatic spread or survival relative to the primary. Whether the CUP metastases truly define a clone that is genetically and phenotypically unique to this diagnosis remains to be determined. Since liver is a common site of CUP presentation, intrahepatic chol angiocarcinoma (ICC) can be often misdiagnosed as CUP. Of note, the incidence of ICC is increasing, whereas at the same time, that of CUP is declining. Improvements in diagnostic technologies including next generation sequencing and other molecular techniques and awareness among clinicians to differentiate the two are possibly contributing to an increased recognition and incidence of ICC. CUP BIOLOGY Studies looking for unique signature abnormalities in CUP tumors have not been positive. Abnormalities in chromosomes 1 and 12 and other complex cytogenetic abnormalities have been reported. Aneu ploidy has been described in 70% of CUP patients with metastatic adenocarcinoma or undifferentiated carcinoma. The overexpression of various genes, including RAS, BCL2 (40%), HER2 (11%), and P53 (26–53%), has been identified in CUP samples, but they are found in many other malignancies. The extent of angiogenesis in CUP relative to that in metastases from known primaries has also been evaluated, but no consistent findings have emerged. Although current comprehen sive genomic profiling efforts may help identify targeted therapeutic approaches to improve outcomes for this disease as discussed below, they have failed thus far to reveal a distinct molecular signature. More comprehensive and integrated multiomic efforts are needed to provide insights into CUP biology through recognition of molecular aberra tions that specifically drive metastatic growth. CHAPTER 97 Carcinoma of Unknown Primary APPROACH TO THE PATIENT Carcinoma (or Cancer) of Unknown Primary Initial CUP evaluation has two goals: search for the primary or “putative primary” tumor based on clinicopathologic evaluation of the metastases and determine the extent of disease. Focused evaluation directed by clinicopathologic cues allows for judicious and efficient use of diagnostic tests. Obtaining a thorough medical history from CUP patients is </w:t>
      </w:r>
      <w:r w:rsidR="00A6019F" w:rsidRPr="00A6019F">
        <w:lastRenderedPageBreak/>
        <w:t xml:space="preserve">essential, including paying particular attention to risk factors, prior surgeries, and family medical history to assess potential hereditary cancers. Adequate physical examina tion, including a digital rectal examination in men and breast and pelvic examinations in women, should be performed based on clini cal presentation. Finally, all patients with CUP, in the absence of contraindication, must undergo a computed tomography (CT) scan of chest, abdomen, and pelvis as a part of their standard workup. </w:t>
      </w:r>
      <w:r w:rsidR="00A6019F" w:rsidRPr="00A6019F">
        <w:rPr>
          <w:rFonts w:ascii="Arial" w:hAnsi="Arial" w:cs="Arial"/>
        </w:rPr>
        <w:t>■</w:t>
      </w:r>
      <w:r w:rsidR="00A6019F" w:rsidRPr="00A6019F">
        <w:t xml:space="preserve">ROLE OF SERUM TUMOR MARKERS AND CYTOGENETICS Most tumor markers, including carcinoembryonic antigen (CEA), CA-125, CA 19-9, and CA 15-3, are nonspecific and not helpful in determining the primary site. Men who present with adenocarcinoma 732 and predominant osteoblastic metastasis should undergo a prostate specific antigen (PSA) test. In patients with undifferentiated or poorly differentiated carcinoma (especially with a midline tumor), elevated β-human chorionic gonadotropin (β-hCG) and α fetoprotein (AFP) levels suggest the possibility of an extragonadal germ cell (testicular) tumor. With the availability of advanced IHC, cytogenetic studies are rarely needed. </w:t>
      </w:r>
      <w:r w:rsidR="00A6019F" w:rsidRPr="00A6019F">
        <w:rPr>
          <w:rFonts w:ascii="Arial" w:hAnsi="Arial" w:cs="Arial"/>
        </w:rPr>
        <w:t>■</w:t>
      </w:r>
      <w:r w:rsidR="00A6019F" w:rsidRPr="00A6019F">
        <w:t xml:space="preserve">ROLE OF IMAGING STUDIES In the absence of contraindications, a baseline intravenous (IV) con trast CT scan of the chest, abdomen, and pelvis is the standard of care. This helps to search for the primary tumor, evaluate the extent of disease, and select the most accessible biopsy site. With precise imag ing and reporting, latent primary cancers, defined as appearance of a new primary cancer after a latent period of several months to years, is uncommon and seen in ≤5% of CUP patients, usually in patients with very indolent presentations and/or highly responsive metastatic cancers that allows a latent primary to emerge (grow) over time. PART 4 Oncology and Hematology Mammography should be performed in women who present with metastatic adenocarcinoma, especially in those with isolated axillary lymphadenopathy. Magnetic resonance imaging (MRI) of the breast can be considered in patients with axillary adenopathy and suspected occult primary breast carcinoma following a negative mammography and ultrasound. The results of these imaging modalities can influence surgical management; a negative MRI of the breast predicts a low tumor yield at mastectomy. A conventional workup for a squamous cell carcinoma and cervical CUP (neck lymphadenopathy with no known primary tumor) includes a CT scan or MRI and invasive studies, including indirect and direct laryngoscopy, bronchoscopy, and upper endoscopy. Ipsilateral (or bilat eral) staging tonsillectomy has been recommended for these patients. 18-Fluorodeoxyglucose positron emission tomography (18-FDG-PET) scans are useful in this patient population and may help guide the biopsy; determine the extent of disease; facilitate the appropriate treat ment, including planning radiation fields; and help with disease sur veillance. Several studies have evaluated the utility of PET in patients with squamous cervical CUP, and head and neck primary tumors were identified in ~21–30%. The diagnostic contribution of PET to the evaluation of other CUP presentations (outside of the neck adenopathy indication) remains controversial and is not routinely recommended. PET-CT can be help ful for patients with bone metastases and those deemed candidates for aggressive </w:t>
      </w:r>
      <w:r w:rsidR="00A6019F" w:rsidRPr="00A6019F">
        <w:lastRenderedPageBreak/>
        <w:t xml:space="preserve">multimodality therapy (surgical intervention/radiation) such as patients with solitary metastatic disease because the identifica tion of disease in addition to the solitary metastatic site may affect treatment planning. Invasive studies, including upper endoscopy, colonoscopy, and bronchoscopy, should be limited to symptomatic patients or those with laboratory, imaging, or pathologic abnormalities that suggest that these techniques will result in a high yield in finding a primary cancer. TABLE 97-1 Major Histologies in Carcinoma (Cancer) of Unknown Primary HISTOLOGY Well to moderately differentiated adenocarcinoma Squamous cell cancer Poorly differentiated adenocarcinoma, poorly differentiated carcinoma Neuroendocrine PROPORTION, % 60 5 30 2 Undifferentiated malignancy </w:t>
      </w:r>
      <w:r w:rsidR="00A6019F" w:rsidRPr="00A6019F">
        <w:rPr>
          <w:rFonts w:ascii="Arial" w:hAnsi="Arial" w:cs="Arial"/>
        </w:rPr>
        <w:t>■</w:t>
      </w:r>
      <w:r w:rsidR="00A6019F" w:rsidRPr="00A6019F">
        <w:t xml:space="preserve">ROLE OF PATHOLOGIC STUDIES 3 A detailed pathologic examination of the most accessible biopsied tissue specimen is mandatory in CUP patients. Pathologic evaluation typically consists of hematoxylin and eosin stains and IHC tests. The importance of adequate tissue acquisition cannot be overemphasized in CUP. In addition to pathologic evaluation, tissue is also needed for molecular profiling, which can aid in identifying biomarkers suggest ing the primary site for effective therapeutics including targeted agents, immunotherapy, and clinical trials. Light Microscopy Evaluation Adequate tissue obtained prefer ably by excisional biopsy or core needle biopsy (instead of only a fine needle aspiration) is stained with hematoxylin and eosin and subjected to light microscopic examination. On light microscopy, 60–65% of CUP is adenocarcinoma, and 5% is squamous cell carcinoma. The remaining 30–35% is poorly differentiated adenocarcinoma, poorly differentiated carcinoma, or poorly differentiated neoplasm. A small percentage of lesions are diagnosed as neuroendocrine cancers (2%), mixed tumors (adenosquamous or sarcomatoid carcinomas), or undif ferentiated neoplasms (Table 97-1). Role of IHC Analysis IHC stains are peroxidase-labeled antibod ies against specific tumor antigens that are used to define tumor lin eage. The number of available IHC stains is ever-increasing. However, a tiered and uniform approach to tissue evaluation in the CUP setting is lacking. For CUP cases, more is not necessarily better, and IHC stains should be used in conjunction with the patient’s clinical presen tation and imaging studies to select the best therapy. Communication between the clinician and pathologist is essential. No stain is 100% sensitive or specific, and under-/overinterpretation should be avoided. Poor differentiation, even in known primary tumors, decreases sensi tivity of hallmark IHC markers. PSA and thyroglobulin tissue markers, which are positive in prostate and thyroid cancer, respectively, are two of the most specific markers. However, these cancers rarely present as CUP, so the yield of these tests may be low. Figure 97-1 delineates a simple algorithm for immunohistochemical staining in CUP cases. Table 97-2 lists additional tests that may be useful to further define the tumor lineage. A more comprehensive algorithm may improve the diagnostic accuracy but can make the process complex and increase CK7 CK20 CK7+ CK20+ Urothelial tumors Ovarian mucinous adenocarcinoma Pancreatic adenocarcinoma Cholangiocarcinoma CK7+ CK20 CK7– CK20+ Lung adenocarcinoma Breast carcinoma Thyroid carcinoma </w:t>
      </w:r>
      <w:r w:rsidR="00A6019F" w:rsidRPr="00A6019F">
        <w:lastRenderedPageBreak/>
        <w:t xml:space="preserve">Endometrial carcinoma Cervical carcinoma Salivary gland carcinoma Cholangiocarcinoma Pancreatic carcinoma Colorectal carcinoma Merkel cell carcinoma CK7– CK20 Hepatocellular carcinoma Renal cell carcinoma Prostate carcinoma Squamous cell and small cell lung carcinoma Head and neck carcinoma FIGURE 97-1 Approach to cytokeratin (CK7 and CK20) markers used in adenocarcinoma of unknown primary. 733 TABLE 97-2 Select Immunohistochemical Stains Useful in the Diagnosis of CUP LIKELY PRIMARY PROFILE Breast Ovarian/müllerian Lung adenocarcinoma Germ cell Prostate Intestinal Neuroendocrine Sarcoma Renal Hepatocellular carcinoma Melanoma Urothelial Mesothelioma COMMONLY CONSIDERED IHC TO ASSIST IN DIFFERENTIAL DIAGNOSIS OF CUPa ER, GCDFP-15, mammaglobin, HER2/neu, GATA3 ER, WT1, CK7, PAX8, PAX2 TTF-1; nuclear staining, napsin A, SP-A1 β-hCG, AFP, OCT3/4, CKIT, CD30 (embryonal), SALL4 CK7, CK20, CDX-2, CEA PSA, α-methylacyl CoA racemase/P504S (AMACR/ P504S), P501S (prostein), PSMA, NKX3-1 Chromogranin, synaptophysin, CD56 Desmin (desmoid tumors), factor VIII (angiosarcomas), CD31, smooth muscle actin (leiomyosarcoma), MyoD1 (rhabdomyosarcoma) RCC, CD10, PAX8, CD10 Hep Par-1, Arg-1, glypican-3 S100, SOX-10, vimentin, HMB-45, tyrosinase, melan-A CK7, CK20, thrombomodulin, uroplakin III Calretinin, WT1, D2-40, mesothelin Lymphoma SCC LCA, CD3, CD4, CD5, CD20, CD45 p63, p40 (lung SCC), CK5/6 aPatterns emerging from coexpression of stains are better than individual stains to suggest putative primary site. Even with optimization, no IHC panel is 100% sensitive or specific (e.g., ovarian mucinous carcinoma can exhibit positivity with intestinal markers). Abbreviations: AFP, α fetoprotein; Arg-1, arginase-1; β-hCG, β-human chorionic gonadotropin; CEA, carcinoembryonic antigen; CUP, carcinoma of unknown primary; ER, estrogen receptor; GCDFP-15, gross cystic disease fibrous protein-15; IHC, immunohistochemistry; LCA, leukocyte common antigen; PSA, prostate specific antigen; PSMA, prostate-specific membrane antigen; SCC, squamous cell carcinoma; SP-A1, surfactant protein A precursor; TTF, thyroid transcription factor; WT, Wilms’ tumor. cost. With the use of IHC markers, electron microscopic analysis, which is time-consuming and expensive, is rarely performed today. There are &gt;20 subtypes of cytokeratin (CK) intermediate filaments with different molecular weights and differential expression in various cell types and cancers. Monoclonal antibodies to specific CK subtypes have been used to help classify tumors according to their site of origin; commonly used CK stains in adenocarcinoma CUP are CK7 and CK20. CK7 is found in tumors of the lung, ovary, endometrium, breast, and upper gastrointestinal tract including pancreaticobiliary cancers, whereas CK20 is normally expressed in the gastrointestinal epithelium, urothelium, and Merkel cells. The nuclear CDX-2 transcription fac tor, which is the product of a homeobox gene necessary for intestinal organogenesis, is often used to aid in the diagnosis of gastrointestinal adenocarcinomas. However, CDX-2 positivity can be seen with enteric or mucinous differentiation in tumors from diverse primary sites (e.g., mucinous ovarian cancers). Thyroid transcription factor 1 (TTF-1) nuclear staining is frequently positive in lung and </w:t>
      </w:r>
      <w:r w:rsidR="00A6019F" w:rsidRPr="00A6019F">
        <w:lastRenderedPageBreak/>
        <w:t xml:space="preserve">thyroid cancers. Approximately 68% of adeno carcinomas and 25% of squamous cell lung cancers stain positive for TTF-1, which helps differentiate a lung primary tumor from metastatic adenocarcinoma in a pleural effusion, the mediastinum, or the lung parenchyma. Gross cystic disease fibrous protein-15 (GCDFP-15), a 15-kDa monomer protein, is a marker of apocrine differentiation that is detected in 62–72% of breast carcinomas. GATA3 is being increasingly used in the CUP setting when there is concern for a breast primary and can be particularly useful as a marker for metastatic breast carcinoma, especially triple-negative and metaplastic carcinomas, which lack spe cific endocrine markers of mammary origin. UROIII, high-molecular weight cytokeratin, thrombomodulin, and CK20 are the markers used to diagnose lesions of urothelial origin. IHC performs the best when used in groups that give rise to patterns that are strongly indicative of certain profiles. For example, the TTF-1/ CK7+ and CK20+/CDX-2+/CK7− phenotypes have been reported as very suggestive of lung and lower gastrointestinal cancer profiles, respectively. Despite their practical utility, these patterns have not been validated prospectively in CUP patients. IHC is not without its limitations; several factors affect tissue antigenicity (antigen retrieval, specimen processing, and fixation), interpretation of stains in tumor (nuclear, cytoplasmic, membrane) versus normal tissue, inter- and intraobserver variability, variable performance of different antibodies said to recognize the same antigen, and tissue heterogeneity and inad equacy (given small biopsy sizes). Communication with the patholo gist is critical to determine if acquisition of additional tissue will be beneficial in the pathologic evaluation. Pathologic features should not always supersede clinical or radiologic findings when considering testing for biomarkers of therapeutic response (e.g., epidermal growth factor receptor [EGFR], ALK mutations, human epidermal growth fac tor receptor 2 [HER2]). Role of Cancer Classifier Molecular Profiling In the absence of a known primary, developing therapeutic strategies for CUP is chal lenging. The current diagnostic yield with imaging and immunochem istry is ~20–30% for CUP patients. To reduce diagnostic uncertainty, sophisticated molecular analytics have been applied to CUP samples. These include gene expression profiling, messenger RNA (mRNA), microRNA, and genetic and epigenetic profiling to classify CUP. Gene expression profiles are most commonly generated using quan titative reverse transcriptase polymerase chain reaction (RT-PCR) or DNA microarray. Neural network programs are then used to develop predictive algorithms from the gene expression profiles. Typically, a training set of gene profiles from known cancers (preferably from metastatic sites) is used to train the software. Comprehensive gene expression databases that have become available for common malig nancies are then applied to CUP samples, and the program can then be used to predict the putative origin of a CUP sample. mRNA- or microRNA-based tissue of origin cancer classifier assays have also been studied in prospective and retrospective CUP trials. Other assays such as DNA methylation profiling predicted a primary cancer in 87% of 216 CUP patients. Incorporation of machine learning and next generation sequencing has furthered </w:t>
      </w:r>
      <w:r w:rsidR="00A6019F" w:rsidRPr="00A6019F">
        <w:lastRenderedPageBreak/>
        <w:t xml:space="preserve">prediction of these classifiers. Despite the sophistication of the cancer classifier molecular assays, most of the CUP studies have evaluated assay performance, although the challenge with validating the accuracy of an assay for CUP is that, by definition, the primary cancer diagnosis cannot be verified. Thus, current estimates of tissue of origin test accuracy have relied on indirect metrics, including comparison with pathology/IHC, clini cal presentation, appearance of latent primaries, and autopsies. Using these measures, the assays suggest a plausible primary in ~70–80% of patients studied. Three outcomes-based studies have been performed. First, a single-arm study reported a median survival of 12.5 months for patients who received assay-directed site-specific therapy. Second, a phase 2 trial of site-specific therapy, including molecularly targeted therapy, based on predicted tumor site from an algorithm using gene expression and alteration profile showed a 1-year survival of 53.1%. However, two randomized clinical trials evaluating site-specific therapy directed by gene expression profiling versus empirical chemotherapy with either paclitaxel plus carboplatin or gemcitabine plus cisplatin failed to show a significant improvement in survival with this approach. Firm conclusions of therapeutic impact cannot be drawn from these studies given the sample size, design, statistical biases, confounding variables including use of subsequent lines of (empiric) therapy, and heterogeneity of the CUP cancers. Additional studies are needed to bet ter understand the clinical impact of tissue of origin profiling tools and how these assays complement IHC and help guide therapy. CHAPTER 97 Carcinoma of Unknown Primary Role of Next-Generation Sequencing A significant push is being made toward personalized medicine across all cancer types with the goal of identifying driver mutation(s) in a patient who can be treated with targeted agents independent of the site of origin. A retrospective study of 200 CUP tumor specimens reported on genomic 734 Squamous cell CUP Disseminated, visceral metastases Directed invasive tests as needed C in good performance status patients. RT as indicated. PART 4 Metastatic inguinal adenopathy Perineal exam, anoscopy if needed. Pelvic examination in women. PET is optional. If localized, lymph node dissection, followed by local RT in select patients Metastatic cervical adenopathy Triple endoscopy, consider tonsillectomy. CT neck and chest. PET is optional. If no extra-cervical disease—neck dissection followed by adjuvant RT vs RT alone. C for bulky disease. FIGURE 97-3 Treatment algorithm for squamous cell carcinoma of unknown primary (CUP). C, chemotherapy; CT, computed tomography; PET, positron emission tomography; RT, radiation. Oncology and Hematology alterations using the hybrid capture–based FoundationOne assay. The authors reported that a large number of CUP samples (85%) harbored at least one clinically relevant genomic alteration with the potential to influence and personalize therapy. The mean number of genomic alter ations was 4.2 per tumor, and the most common genetic alterations included TP53 (55%), KRAS (20%), CDKN2A (19%), and ARID1A (11%). The adenocarcinoma CUP tumors were more frequently driven by genetic alterations in the receptor tyrosine kinase (RTK)/Ras/mitogen activated protein kinase (MAPK) signaling pathway than </w:t>
      </w:r>
      <w:r w:rsidR="00A6019F" w:rsidRPr="00A6019F">
        <w:lastRenderedPageBreak/>
        <w:t xml:space="preserve">nonadeno carcinoma CUP tumors. Although druggable genetic lesions seen in CUP are comparable to those in known primary cancer databases, whether molecularly stratified approaches for CUP will successfully improve outcomes remains to be seen and clinical trials are needed. In a single-arm phase 2 study of 97 patients with molecularly targeted therapy, five patients were found to have targetable EGFR mutations. Of these, four patients were treated with afatinib, an anti-EGFR drug, and two patients achieved a progression-free survival of &gt;6 months. It is anticipated that second- and third-generation drugs targeting EGFR mutations are likely to be even more effective. The emerging use of assays looking for circulating tumor DNA (ctDNA), so-called liquid biopsies, has been increasingly useful within known tumor types and has stirred interest in their potential utility in CUP (Chap. 503). Ongoing histology and cellular-context agnostic prospective clinical trials are studying the presence of actionable mutations and matching patients to the right targeted drug. As this strategy gains traction, CUP would be a natural fit for genomic alteration–based targeted therapy independent of tumor site. Established tumor-agnostic therapies such as immune checkpoint inhibitors (pembrolizumab) for microsatellite instability high (MSI-H) or deficient mismatch repair (dMMR) tumors or tumors with high tumor mutation burden (TMB) and NTRK inhibi tors for NTRK fusion–positive tumors can help a small minority of CUP patients. TREATMENT Carcinoma (or Cancer) of Unknown Primary GENERAL CONSIDERATIONS The treatment of CUP continues to evolve, albeit slowly. The median survival of most patients with disseminated CUP is ~6–10 months. Systemic chemotherapy is the primary treatment modality in most patients with disseminated disease, but the careful integration of surgery, radiation therapy, and even periods of observation is important in the overall management of this condition (Figs. 97-2 and 97-3). Prognostic factors include performance status, site and number of metastases, response to chemotherapy, and serum lactate dehydrogenase (LDH) levels. Culine and colleagues developed a prognostic model using performance status and serum LDH levels, which allowed the assignment of patients into two subgroups with divergent outcomes. Raghav and colleagues developed a prognostic nomogram to provide individualized survival estimates for patients with CUP based on baseline gender, Eastern Cooperative Oncology Adenocarcinoma Poorly differentiated adenocarcinoma CUP IHC to suggest “favored” primary Isolated axillary nodes in women Breast MRI if mammogram and ultrasound are negative MRI (+). Breast surgery or radiation. C and/or hormonal therapy for breast cancer. Bone-only metastases in men (blastic) If PSA not elevated, C or RT as indicated Check PSA (in tumor and serum). If elevated, Rx as prostate cancer. Solitary site of metastasis If resectable, resect with or without prior C or CRT. If unresectable, C, RT, or CRT depending on location of tumor Peritoneal carcinoma If not suggestive of primary peritoneal, GI workup for primary. C, if good performance status. MRI (–). No surgery, consider radiation. C for breast cancer. If suggestive of primary peritoneal cancer, treat as ovarian cancer Disseminated cancer, 2 or more sites involved C, if good performance status FIGURE 97-2 Treatment algorithm </w:t>
      </w:r>
      <w:r w:rsidR="00A6019F" w:rsidRPr="00A6019F">
        <w:lastRenderedPageBreak/>
        <w:t xml:space="preserve">for adenocarcinoma and poorly differentiated adenocarcinoma of unknown primary (CUP). C, chemotherapy; CRT, chemoradiation; GI, gastrointestinal; IHC, immunohistochemistry; MRI, magnetic resonance imaging; PSA, prostate-specific antigen; RT, radiation. 735 Group performance status, histology, number of metastatic sites, and neutrophil-lymphocyte ratio. Future prospective trials using this prognostic model are warranted. Clinically, some CUP diagno ses fall into a favorable prognostic subset. Others, including those with disseminated CUP, have a more unfavorable prognosis. TREATMENT OF FAVORABLE CUP SUBSETS Women with Isolated Axillary Adenopathy Women with isolated axillary adenopathy with adenocarcinoma or carcinoma are usually treated for stage II or III breast cancer based on pathologic findings. These patients should undergo a breast MRI if mammogram and ultrasound are negative. Radiation therapy to the ipsilateral breast is indicated if the MRI of the breast is positive. Chemotherapy and/ or hormonal therapy are indicated based on patient’s age (pre menopausal or postmenopausal), nodal disease bulk, and hormone receptor and HER2 status (Chap. 84). It is important to verify that the pathology suggests a breast cancer profile (morphology, IHC breast markers including estrogen receptor, mammaglobin, GCDFP-15, GATA3, HER2 gene expression) before embarking on a breast cancer therapeutic program. Women with Peritoneal Carcinomatosis The term primary peri toneal papillary serous carcinoma (PPSC) has been used to describe CUP with carcinomatosis with the pathologic and laboratory (elevated CA-125 antigen) characteristics of ovarian cancer but no ovarian primary tumor identified on transvaginal sonography or laparotomy. Studies suggest that ovarian cancer and PPSC, which are both of müllerian origin, have similar gene expression profiles. Like patients with ovarian cancer, patients with PPSC are candi dates for cytoreductive surgery, followed by adjuvant taxane- and platinum-based chemotherapy. In one retrospective study of 258 women with peritoneal carcinomatosis who had undergone cytoreductive surgery and chemotherapy, 22% of patients had a complete response to chemotherapy; the median survival duration was 18 months (range 11–24 months). However, not all peritoneal carcinomatosis in women is PPSC. Careful pathologic evaluation can help diagnose a colon cancer profile (CDX-2+, CK20+, CK7−) or a pancreaticobiliary cancer or even a mislabeled peritoneal mesothe lioma (calretinin, D2-40 positive; BerEp4, MOC-31 negative). Poorly Differentiated Carcinoma with Midline Adenopathy (Chap. 93) Men with poorly differentiated or undifferentiated carcinoma who present with midline adenopathy should be evalu ated for extragonadal germ cell malignancy. If diagnosed and treated as such, they often experience a good response to treatment with platinum-based combination chemotherapy. Response rates of &gt;50% have been noted, and long-term survival rates of 10–15% have been reported. Older patients, especially smokers, who present with mediastinal adenopathy are more likely to have a lung or head and neck cancer profile. Neuroendocrine Cancer (Chap. 89) Low-grade neuroendocrine tumor (NET) often has an indolent course, and treatment decisions are based on symptoms and tumor bulk. Urine 5-HIAA and serum chromogranin may be elevated and </w:t>
      </w:r>
      <w:r w:rsidR="00A6019F" w:rsidRPr="00A6019F">
        <w:lastRenderedPageBreak/>
        <w:t xml:space="preserve">can be followed as markers. Often the patient is treated with somatostatin analogues alone for hormone-related symptoms (diarrhea, flushing, nausea). Specific local therapies or systemic therapy would only be indicated if the patient is symptomatic with local pain secondary to significant growth of the metastasis or the hormone-related symptoms are not controlled with endocrine therapy. Novel therapy options have demonstrated benefit in patients with low-grade NET, including sunitinib (which targets the vascular endothelial growth factor pathway), everolimus (which inhibits the mammalian target of rapamycin), and lutetium-177 dotatate (a somatostatin peptide receptor radioligand). Patients with high-grade NET are treated with platinum-based doublet therapy; 20–25% show a complete response, and up to 10% patients with limited/oligo presentations survive for &gt;5 years. Some degree of neuroendocrine differentiation can be seen in diverse poorly differentiated carcinomas. Squamous Cell Carcinoma Presenting as Neck Adenopathy Patients with early-stage squamous cell carcinoma involving the cervical lymph nodes are candidates for node dissection and radiation therapy, which can result in long-term survival. The role of che motherapy in these patients is undefined, although chemoradiation therapy or induction chemotherapy is often used and is beneficial in bulky N2/N3 lymph node disease. Solitary Metastatic Sites Patients with solitary metastases can also experience good treatment outcomes. Some patients who pres ent with locoregional disease are candidates for aggressive trimo dality (chemotherapy, radiation, and surgery) management—both prolonged disease-free survival and, occasionally, cure are possible. Men with Blastic Skeletal Metastases and Elevated PSA (Chap. 92) Blastic bone-only metastasis is a rare presentation, and elevated serum PSA or tumor staining with PSA may provide con firmatory evidence of prostate cancer in these patients. Those with elevated levels are candidates for hormonal or other therapy for prostate cancer, although it is important to rule out other primary tumors (lung most common). MANAGEMENT OF DISSEMINATED CUP Patients who present with liver, brain, and adrenal metastatic disease usually have a poor prognosis. Patients with peritoneal carcinomatosis secondary to metastatic adenocarcinoma have a broad differential diagnosis, which includes mainly gastrointestinal cancers including gastric, appendiceal, colon, and pancreaticobili ary cancers. Traditionally, platinum-based combination chemotherapy regi mens have been used to treat CUP. Several broadly used regimens have been studied in the past two decades; these include paclitaxel carboplatin, gemcitabine-cisplatin, gemcitabine-oxaliplatin, and irinotecan and fluoropyrimidine-based therapies. These chemo therapeutic agents used as empiric regimens have shown response rates of 25–40%, and their use obtains median survival times of 6–13 months. Outside of favorable subsets, there is a small group of patients with a “definitive” IHC profile. These patients usually have a single diagnosis based on their clinicopathologic presentation and are often treated for the putative primary tumor. This does not guar antee a response, although it increases the probability of response when select drugs are chosen from a class of drugs known to be effective in </w:t>
      </w:r>
      <w:r w:rsidR="00A6019F" w:rsidRPr="00A6019F">
        <w:lastRenderedPageBreak/>
        <w:t xml:space="preserve">that cancer type. Efforts should be made to search for biomarkers of response to tumor-agnostic effective therapies such as immunotherapy for MSI-H/dMMR tumors. Patients who do not fall into those categories are candidates for broad-spectrum platinum-based regimens, clinical trials, and additional trial-based genomic and proteomic tests. Today, we do not have many effective drugs for several CUP cancer profiles, and treatments overlap for some cancers. Immunotherapy has been an area of active interest due to robust and durable responses in cancers with known prima ries and has shown some activity in CUP. However, biomarkers of response and immune-sensitive subsets need to be defined within CUP. SUMMARY Patients with CUP should undergo a directed diagnostic search for the primary tumor based on clinical and pathologic data. Subsets of patients have prognostically favorable disease, as defined by clinical or histologic criteria, and may substantially benefit from aggressive treatment; in these patients, prolonged survival can be expected. How ever, for most patients who present with advanced CUP, the prognosis remains poor with early resistance to available cytotoxic therapy. The current focus has shifted away from empirical chemotherapeutic trials to understanding the metastatic phenotype, tissue of origin profiling in select patients, and next-generation sequencing to identify actionable mutations in CUP patients. As novel therapies evolve in cancers with known primaries, investigations to assess their value in CUP will likely have a positive impact on management of CUP patients. CHAPTER 97 Carcinoma of Unknown Primary 736 </w:t>
      </w:r>
      <w:r w:rsidR="00A6019F" w:rsidRPr="00A6019F">
        <w:rPr>
          <w:rFonts w:ascii="Arial" w:hAnsi="Arial" w:cs="Arial"/>
        </w:rPr>
        <w:t>■</w:t>
      </w:r>
      <w:r w:rsidR="00A6019F" w:rsidRPr="00A6019F">
        <w:t xml:space="preserve">FURTHER READING ENDOCRINE PARANEOPLASTIC Gatalica Z et al: Comprehensive analysis of cancers of unknown pri mary for the biomarkers of response to immune checkpoint blockade therapy. Eur J Cancer 94:179, 2018. Hayashi H et al: Randomized phase II trial comparing site-specific treatment based on gene expression profiling with carboplatin and paclitaxel for patients with cancer of unknown primary site. J Clin Oncol 37:570, 2019. Hayashi H et al: Site-specific and targeted therapy based on molecu lar profiling by next-generation sequencing for cancer of unknown primary site: A nonrandomized phase 2 clinical trial. JAMA Oncol 6:1, 2020. Huey R et al: Feasibility and value of genomic profiling in cancer of unknown primary: Real-world evidence from prospective profiling study. J Natl Cancer Inst 115:994, 2023. Kato S et al: Utility of genomic analysis in circulating tumor DNA from patients with carcinoma of unknown primary. Cancer Res 77: 4238, 2017. PART 4 Oncology and Hematology National Comprehensive Cancer Network: Occult Primary (Cancer of Unknown Primary) version 2.2017, October 2016. https:// www.nccn.org/guidelines/guidelines-detail?category=1&amp;id=1451. Raghav K et al: Cancer of unknown primary in adolescents and young adults: Clinicopathological features, prognostic factors and survival outcomes. PLoS One 11:e0154985, 2016. Raghav K et al: Development and validation of a novel nomogram for individualized prediction of survival in cancer of unknown primary. Clin Cancer Res 27:3414, 2021. Raghav K et al: Efficacy of pembrolizumab in patients with advanced cancer of unknown primary (CUP): A phase 2 non-randomized clini cal trial. J Immunother Cancer 10:e004822, 2022. Ross JS et al: Comprehensive genomic profiling of carcinoma of </w:t>
      </w:r>
      <w:r w:rsidR="00A6019F" w:rsidRPr="00A6019F">
        <w:lastRenderedPageBreak/>
        <w:t xml:space="preserve">unknown primary site: New routes to targeted therapies. JAMA Oncol 1:40, 2015. Varadhachary GR, Raber MN: Cancer of unknown primary site. N Engl J Med 371:757, 2014. 98 Paraneoplastic Syndromes: Endocrinologic/Hematologic J. Larry Jameson, Dan L. Longo Neoplastic cells can produce a variety of substances that can alter the physiology of hormonal, hematologic, dermatologic, rheumatologic, renal, and neurologic systems. Paraneoplastic syndromes refer to the disorders that accompany benign or malignant tumors but are not directly related to mass effects or invasion. Tumors of neuroendo crine origin, such as small-cell lung carcinoma (SCLC) and carci noids, are common causes of paraneoplastic syndromes, but these syndromes are associated with many types of tumors that produce peptide hormones, cytokines, and growth factors and induce the production of antibodies. Studies of the prevalence of paraneoplastic syndromes indicate that they are more common than is generally appreciated. The signs, symptoms, and metabolic alterations associ ated with paraneoplastic disorders are easily overlooked in the con text of a malignancy and its treatment. Consequently, atypical clinical manifestations in a patient with cancer should prompt consideration of a paraneoplastic syndrome. The most common hormonal and hematologic syndromes associated with underlying neoplasia will be discussed here. SYNDROMES Etiology Hormones can be produced from eutopic or ectopic sources. Eutopic refers to the expression of a hormone from its normal tissue of origin, whereas ectopic refers to hormone production from an atypical tissue source. For example, adrenocorticotropic hormone (ACTH) is expressed eutopically by the corticotrope cells of the anterior pituitary, but it can be expressed ectopically in SCLC. Many hormones are produced at low levels from tissues other than the clas sic endocrine source. Thus, ectopic expression is often a quantitative change rather than an absolute change in tissue expression. Neverthe less, the term ectopic expression is firmly entrenched and conveys the abnormal physiology associated with hormone production by neoplas tic cells. In addition to high levels of hormones, ectopic expression is often characterized by abnormal regulation of hormone production (e.g., defective feedback control in ectopic ACTH) and peptide pro cessing (resulting in large, unprocessed precursor peptide such as proopiomelanocortin [POMC]). Many different molecular mechanisms can cause ectopic hormone production. In rare instances, genetic rearrangements account for aberrant hormone expression. For example, translocation of the para thyroid hormone (PTH) gene can result in high levels of PTH expres sion in tissues other than the parathyroid gland because the genetic rearrangement brings the PTH gene under the control of atypical regulatory elements. A related phenomenon is well documented in many forms of leukemia and lymphoma, in which somatic genetic rear rangements confer a growth advantage and alter cellular differentiation and function. Although genetic rearrangements cause selected cases of ectopic hormone production, this mechanism is rare, as many tumors are associated with excessive production of numerous peptides. Cellu lar dedifferentiation probably underlies most cases of ectopic hormone production. Many cancers are poorly </w:t>
      </w:r>
      <w:r w:rsidR="00A6019F" w:rsidRPr="00A6019F">
        <w:lastRenderedPageBreak/>
        <w:t xml:space="preserve">differentiated, and certain tumor products, such as human chorionic gonadotropin (hCG), PTH–related protein (PTHrP), and α-fetoprotein, are characteristic of gene expres sion at earlier developmental stages. In contrast, the propensity of certain cancers to produce particular hormones (e.g., squamous cell carcinomas produce PTHrP) suggests that dedifferentiation is partial or that selective pathways are derepressed. These expression profiles probably reflect epigenetic modifications that alter transcriptional repression, microRNA expression, and other pathways that govern cell differentiation. Ectopic hormone production might be considered merely epiphe nomenon associated with cancer if it did not cause clinical manifes tations. Excessive and unregulated production of hormones such as ACTH, PTHrP, and vasopressin can lead to substantial morbidity and complicate the cancer treatment plan. Moreover, the paraneoplastic endocrinopathies may be a presenting clinical feature of underlying malignancy and prompt the search for an unrecognized tumor. General features that confirm cancer-associated ectopic hormone syndromes include: (1) excess hormone production from an atypical tissue source; (2) documentation of tumor hormone production based on immunostaining, mRNA production, or hormone secretion in vitro; (3) hormone gradient across the tumor vascular supply; and (4) resolution or decline of hormone levels after reduction of tumor mass. Imaging studies, including computed tomography (CT), magnetic resonance imaging (MRI), positron emission tomography (PET), and octreotide scintigraphy also play an important role in the detection and characterization of tumors associated with paraneoplastic syndromes, particularly when endocrine clinical manifestations precede a cancer diagnosis (i.e., ectopic ACTH in lung cancer). Treatment of the under lying tumor is the mainstay of all paraneoplastic endocrine syndromes. Depending on the hormone produced, specific therapies can be used (see below) to ameliorate symptoms but rarely influence overall sur vival or cancer progression. A large number of paraneoplastic endocrine syndromes have been described, linking overproduction of particular hormones with specific types of tumors. However, certain recurring syndromes emerge from this group (Table 98-1). The most common paraneoplastic endocrine Paraneoplastic Syndromes: Endocrinologic/Hematologic 737 CHAPTER 98 TABLE 98-1 Paraneoplastic Syndromes Caused by Ectopic Hormone Production PARANEOPLASTIC SYNDROME ECTOPIC HORMONE TYPICAL TUMOR TYPESa Common Hypercalcemia of malignancy Parathyroid hormone–related protein (PTHrP) Squamous cell (head and neck, lung, skin), breast, genitourinary, gastrointestinal; osteolytic metastases 1,25-Dihydroxyvitamin D Lymphomas Parathyroid hormone (PTH) (rare) Lung, ovary Prostaglandin E2 (PGE2 ) (rare) Renal, lung Syndrome of inappropriate antidiuretic hormone secretion (SIADH) Vasopressin Lung (squamous, small cell), gastrointestinal, genitourinary, breast, ovary Cushing’s syndrome Adrenocorticotropic hormone (ACTH) Lung (small cell, bronchial carcinoid, adenocarcinoma, squamous), thymus, pancreatic islet, medullary thyroid carcinoma, pheochromocytoma Corticotropin-releasing hormone (CRH) (rare) Pancreatic islet, carcinoid, lung, prostate Ectopic expression of </w:t>
      </w:r>
      <w:r w:rsidR="00A6019F" w:rsidRPr="00A6019F">
        <w:lastRenderedPageBreak/>
        <w:t xml:space="preserve">gastric inhibitory peptide (GIP), luteinizing hormone (LH)/human chorionic gonadotropin (hCG), other G protein–coupled receptors (rare) Macronodular adrenal hyperplasia Less Common Non–islet cell hypoglycemia Insulin-like growth factor type II (IGF-II) Mesenchymal tumors, sarcomas, adrenal, hepatic, gastrointestinal, kidney, prostate Insulin (rare) Cervix (small-cell carcinoma) Male feminization hCGb Testis (embryonal, seminomas), germinomas, choriocarcinoma, lung, hepatic, pancreatic islet Diarrhea or intestinal hypermotility Calcitoninc Lung, colon, breast, medullary thyroid carcinoma Vasoactive intestinal peptide (VIP) Pancreas, pheochromocytoma, esophagus Rare Oncogenic osteomalacia Fibroblast growth factor 23 (FGF23) or phosphatonin Hemangiopericytomas, osteoblastomas, fibromas, sarcomas, giant cell tumors, prostate, lung Acromegaly Growth hormone–releasing hormone (GHRH) Pancreatic islet, bronchial, and other carcinoids Growth hormone (GH) Lung, pancreatic islet Hyperthyroidism Thyroid-stimulating hormone (TSH) Hydatidiform mole, embryonal tumors, struma ovarii Hypertension Renin Juxtaglomerular tumors, kidney, lung, pancreas, ovary Consumptive hypothyroidism Type 3 deiodinase Hepatic and other hemangiomas Cancer immunotherapy associated autoimmune diseases Autoimmune hormone deficiencies Thyroiditis, Graves’ disease Cancers treated with immunotherapy, particularly anti–CTLA-4, PD-1, PD-L1 aOnly the most common tumor types are listed. For most ectopic hormone syndromes, an extensive list of tumors has been reported to produce one or more hormones. bhCG is produced eutopically by trophoblastic tumors. Certain tumors produce disproportionate amounts of the hCG α or hCG β subunit. High levels of hCG rarely cause hyperthyroidism because of weak binding to the TSH receptor. cCalcitonin is produced eutopically by medullary thyroid carcinoma and is used as a tumor marker. Abbreviations: CTLA-4, cytotoxic T lymphocyte-associated protein-4; PD-1, programmed cell death protein 1; PD-L1, programmed death ligand 1. syndromes include hypercalcemia from overproduction of PTHrP and other factors, hyponatremia from excess vasopressin, and Cushing’s syndrome from ectopic ACTH. </w:t>
      </w:r>
      <w:r w:rsidR="00A6019F" w:rsidRPr="00A6019F">
        <w:rPr>
          <w:rFonts w:ascii="Arial" w:hAnsi="Arial" w:cs="Arial"/>
        </w:rPr>
        <w:t>■</w:t>
      </w:r>
      <w:r w:rsidR="00A6019F" w:rsidRPr="00A6019F">
        <w:t xml:space="preserve">HYPERCALCEMIA CAUSED BY ECTOPIC PRODUCTION OF PTHRP (See also Chap. 422). Etiology Humoral hypercalcemia of malignancy (HHM) occurs in up to 20% of patients with cancer. HHM is most common in cancers of the lung, head and neck, skin, esophagus, breast, and genitourinary tract and in multiple myeloma and lymphomas, as well as metastases associated with these, and other cancers. There are several distinct humoral causes of HHM, but it is caused most commonly by overpro duction of PTHrP. In addition to acting as a circulating humoral factor, bone metastases (e.g., breast, multiple myeloma) may produce PTHrP and other chemokines, leading to local osteolysis and hypercalcemia. PTHrP may also affect the initiation and progression of tumors by act ing through pro-survival and chemokine pathways. PTHrP is structurally related to PTH and binds to the PTH receptor, explaining the similar biochemical features of HHM and hyperpara thyroidism. PTHrP plays a key physiologic role in skeletal development and regulates cellular proliferation and differentiation in other tissues, including skin, bone marrow, breast, and hair follicles. </w:t>
      </w:r>
      <w:r w:rsidR="00A6019F" w:rsidRPr="00A6019F">
        <w:lastRenderedPageBreak/>
        <w:t xml:space="preserve">The mecha nism of PTHrP induction in malignancy is incompletely understood; however, tumor-bearing tissues commonly associated with HHM nor mally produce PTHrP during development or cell renewal. Hypometh ylation of the PTHLH locus, which encodes PTHrP, suggests a role for epigenetic factors in upregulating PTHrP production. PTHrP expres sion is stimulated by hedgehog pathways and Gli transcription factors that are active in many malignancies. Transforming growth factor β (TGF-β), which is produced by many tumors, also stimulates PTHrP. Mutations in certain oncogenes, such as Ras, also can activate PTHrP expression, as does loss of the tumor suppressor, p53. In addition to its role in HHM, the PTHrP pathway may also provide a potential target for therapeutic intervention to impede cancer growth. Another relatively common cause of HHM is excess production of 1,25-dihydroxyvitamin D. Like granulomatous disorders associated with hypercalcemia, lymphomas can produce an enzyme that converts 25-hydroxyvitamin D to the more active 1,25-dihydroxyvitamin D, leading to enhanced gastrointestinal calcium absorption. Other causes of HHM include tumor-mediated production of osteolytic cytokines and inflammatory mediators. Clinical Manifestations The typical presentation of HHM is a patient with a known malignancy who is found to be hypercalcemic on routine laboratory tests. Less often, hypercalcemia is the initial present ing feature of malignancy. Particularly when calcium levels are mark edly increased (&gt;3.5 mmol/L [&gt;14 mg/dL]), patients may experience fatigue, mental status changes, polyuria, dehydration, or symptoms of 738 nephrolithiasis. Hypercalcemia can shorten ST segments and QT inter vals, as well as bundle branch blocks and bradyarrhythmias. Diagnosis Features that favor HHM, as opposed to primary hyper parathyroidism, include known malignancy, recent onset of hypercal cemia, and very high serum calcium levels. Like hyperparathyroidism, hypercalcemia caused by PTHrP is accompanied by hypercalciuria and hypophosphatemia. Patients with HHM typically have metabolic alkalosis rather than hyperchloremic acidosis, as is seen in hyperpara thyroidism. In contrast to PTH, PTHrP does not appear to stimulate 1-α-hydroxylase and 1,25-dihydroxyvitamin D levels. Measurement of PTH is useful to exclude primary hyperparathyroidism; the PTH level should be suppressed in HHM. An elevated PTHrP level confirms the diagnosis, and it is increased in ~80% of hypercalcemic patients with cancer. 1,25-Dihydroxyvitamin D levels may be increased in patients with lymphoma. TREATMENT Humoral Hypercalcemia of Malignancy PART 4 Oncology and Hematology The management of HHM begins with removal of excess calcium in the diet, medications, or intravenous (IV) solutions. Saline rehydration (typically 200–500 mL/h) is used to dilute serum calcium and promote calciuresis; exercise caution in patients with cardiac, hepatic, or renal insufficiency. Forced diuresis with furo semide (20–80 mg IV in escalating doses) or other loop diuretics can enhance calcium excretion but provides relatively little value except in life-threatening hypercalcemia. When used, loop diuret ics should be administered only after complete rehydration and with careful monitoring of fluid balance. Oral phosphorus (e.g., 250 mg Neutra-Phos 3–4 times daily) should be given </w:t>
      </w:r>
      <w:r w:rsidR="00A6019F" w:rsidRPr="00A6019F">
        <w:lastRenderedPageBreak/>
        <w:t xml:space="preserve">until serum phosphorus is &gt;1 mmol/L (&gt;3 mg/dL). Bisphosphonates such as zoledronate (4–8 mg IV), pamidronate (60–90 mg IV), and etidro nate (7.5 mg/kg per day orally [PO] for 3–7 consecutive days) can reduce serum calcium within 1–2 days and suppress calcium release for several weeks. Bisphosphonate infusions can be repeated, or oral bisphosphonates can be used for chronic treatment. Denosumab (120 mg subcutaneously [SC] weekly for 4 weeks and then monthly) can be used in patients who do not respond adequately to bisphos phonates. It acts as a decoy receptor for RANK ligand to mitigate stimulation of osteoclasts. Cinacalcet (30 mg PO bid to 90 mg PO qid) stimulates calcium-sensing receptors to suppress PTH secre tion and is therefore applicable in parathyroid carcinoma and rare cases of ectopic PTH-producing tumors. Hypercalcemia associated with lymphomas, multiple myeloma, or leukemia may respond to glucocorticoid treatment (e.g., prednisone 40–100 mg PO in four divided doses). Dialysis should be considered in severe hypercal cemia when saline hydration and bisphosphonate treatments are not possible or are too slow in onset. Previously used agents such as calcitonin and mithramycin have little utility now that bisphospho nates and other agents are available. </w:t>
      </w:r>
      <w:r w:rsidR="00A6019F" w:rsidRPr="00A6019F">
        <w:rPr>
          <w:rFonts w:ascii="Arial" w:hAnsi="Arial" w:cs="Arial"/>
        </w:rPr>
        <w:t>■</w:t>
      </w:r>
      <w:r w:rsidR="00A6019F" w:rsidRPr="00A6019F">
        <w:t xml:space="preserve">ECTOPIC VASOPRESSIN: TUMOR-ASSOCIATED SYNDROME OF INAPPROPRIATE ANTIDIURETIC HORMONE (See also Chap. 56). Etiology Vasopressin is an antidiuretic hormone normally pro duced by the posterior pituitary gland. Ectopic vasopressin production by tumors is a common cause of the syndrome of inappropriate antidi uretic hormone (SIADH), occurring in at least half of patients with SCLC. SIADH also can be caused by a number of nonneoplastic condi tions, including central nervous system (CNS) trauma, infections, and medications (Chap. 398). Compensatory responses to SIADH, such as decreased thirst, may mitigate the development of hyponatremia. How ever, with prolonged production of excessive vasopressin, the osmostat controlling thirst and hypothalamic vasopressin secretion may become reset. In addition, intake of free water, orally or intravenously, can quickly worsen hyponatremia because of reduced renal diuresis. Tumors with neuroendocrine features, such as SCLC and carcinoids, are the most common sources of ectopic vasopressin production, but it also occurs in other forms of lung cancer and with CNS lesions, head and neck cancer, and genitourinary, gastrointestinal, and ovarian cancers. The mechanism of activation of the vasopressin gene in these tumors is unknown, but the frequent concomitant expression of the adjacent oxytocin gene suggests derepression of this locus. Clinical Manifestations Most patients with ectopic vasopressin secretion are asymptomatic and are identified because of the presence of hyponatremia on routine chemistry testing. Symptoms may include weakness, lethargy, nausea, confusion, depressed mental status, and seizures. The severity of symptoms reflects the rapidity of onset as well as the severity of hyponatremia. Hyponatremia usually develops slowly but may be exacerbated by the administration of IV fluids or the insti tution of new medications. Diagnosis The diagnostic features of ectopic vasopressin produc tion are the same as those of other causes of SIADH (Chaps. 56 and 398). Hyponatremia and reduced serum osmolality occur in the set ting of an </w:t>
      </w:r>
      <w:r w:rsidR="00A6019F" w:rsidRPr="00A6019F">
        <w:lastRenderedPageBreak/>
        <w:t xml:space="preserve">inappropriately normal or increased urine osmolality. Urine sodium excretion is normal or increased unless volume depletion is present. Other causes of hyponatremia should be excluded, including renal, adrenal, or thyroid insufficiency. Physiologic sources of vaso pressin stimulation (CNS lesions, pulmonary disease, nausea), adaptive circulatory mechanisms (hypotension, heart failure, hepatic cirrho sis), and medications, including many chemotherapeutic agents, also should be considered as possible causes of hyponatremia. Vasopressin measurements are not usually necessary to make the diagnosis. TREATMENT Ectopic Vasopressin: Tumor-Associated SIADH Most patients with ectopic vasopressin production develop hypo natremia over several weeks or months. The disorder should be corrected gradually unless mental status is altered or there is risk of seizures. Rapid correction can cause brain dehydration and central pontine myelinolysis. Treatment of the underlying malignancy may reduce ectopic vasopressin production, but this response is slow if it occurs at all. Fluid restriction to less than urine output, plus insensible losses, is often sufficient to correct hyponatremia partially. However, strict monitoring of the amount and types of liquids consumed or administered intravenously is required for fluid restriction to be effective. Salt tablets and saline are not helpful unless volume depletion is also present. Demeclocycline (150–300 mg orally 3–4 times daily) can be used to inhibit vasopressin action on the renal distal tubule, but its onset of action is relatively slow (1–2 weeks), and it has largely been supplanted by newer vasopres sin receptor antagonists. The vaptan class of drugs acts by inhibiting vasopressin receptors (V1A , V1B , V2 ) in the renal collecting ducts. Nonpeptide V2-receptor antagonists, tolvaptan (15 mg PO daily) or conivaptan (20–120 mg PO bid or 10–40 mg IV), are particu larly effective when used in combination with fluid restriction in euvolemic hyponatremia. Severe hyponatremia (Na 22 pmol/L (&gt;100 pg/mL). A sup pressed ACTH level excludes this diagnosis and indicates an ACTH independent cause of Cushing’s syndrome (e.g., adrenal or exogenous glucocorticoid). In contrast to pituitary sources of ACTH, most ectopic sources of ACTH do not respond to glucocorticoid suppression. There fore, high-dose dexamethasone (8 mg PO) suppresses 8:00 a.m. serum cortisol (50% decrease from baseline) in ~80% of pituitary ACTH producing adenomas but fails to suppress ectopic ACTH in ~90% of cases. Bronchial and other carcinoids are well-documented exceptions to these general guidelines, as these ectopic sources of ACTH may exhibit feedback regulation indistinguishable from pituitary adeno mas, including suppression by high-dose dexamethasone, and ACTH responsiveness to adrenal blockade with metyrapone. If necessary, petrosal sinus catheterization can be used to evaluate a patient with ACTH-dependent Cushing’s syndrome when the source of ACTH is unclear. After CRH stimulation, a 3:1 petrosal sinus:peripheral ACTH ratio strongly suggests a pituitary ACTH source. Imaging studies (CT or MRI) are also useful in the evaluation of suspected carcinoid lesions, allowing biopsy and characterization of hormone production using special stains. If available, PET scans or octreotide scintigraphy may identify some sources of ACTH production. TREATMENT Cushing’s Syndrome Caused by </w:t>
      </w:r>
      <w:r w:rsidR="00A6019F" w:rsidRPr="00A6019F">
        <w:lastRenderedPageBreak/>
        <w:t xml:space="preserve">Ectopic ACTH Production The morbidity associated with the ectopic ACTH syndrome can be substantial. Patients may experience depression or personality changes because of extreme cortisol excess. Metabolic derange ments, including diabetes mellitus and hypokalemia, can worsen fatigue. Poor wound healing and predisposition to infections can complicate the surgical management of tumors, and opportunis tic infections caused by organisms such as Pneumocystis carinii and mycoses are often the cause of death in patients with ectopic ACTH production. These patients have increased risk of venous thromboembolism, reflecting the combination of malignancy and altered coagulation factor profiles. Depending on prognosis and treatment plans for the underlying malignancy, measures to reduce cortisol levels are often indicated. Treatment of the underlying malignancy may reduce ACTH levels but is rarely sufficient to reduce cortisol levels to normal. Adrenalectomy is not practical for most of these patients but should be considered during surgery for the malignancy or if the underlying tumor is not resectable and the prognosis is otherwise favorable (e.g., carcinoid). Medical therapy with ketoconazole (300–600 mg PO bid), metyrapone (250–500 mg PO every 6 h), mitotane (3–6 g PO in four divided doses, tapered to maintain low cortisol production), etomidate (0.1–0.3 mg/kg/h IV), or other agents that block steroid synthesis or action is often the most practical strategy for managing the hypercorti solism associated with ectopic ACTH production. Glucocorticoid replacement should be provided to prevent adrenal insufficiency (Chap. 398). Unfortunately, many patients eventually progress despite medical blockade. Mifepristone (200–1000 mg PO qd) inhibits both glucocorticoid and progesterone receptors, has rapid onset of action, and improves glucose intolerance and hypertension in a subset of patients. ACTH-neutralizing antibodies and ACTH recep tor blockers are under investigation, as are selective inhibitors of the glucocorticoid receptor. </w:t>
      </w:r>
      <w:r w:rsidR="00A6019F" w:rsidRPr="00A6019F">
        <w:rPr>
          <w:rFonts w:ascii="Arial" w:hAnsi="Arial" w:cs="Arial"/>
        </w:rPr>
        <w:t>■</w:t>
      </w:r>
      <w:r w:rsidR="00A6019F" w:rsidRPr="00A6019F">
        <w:t xml:space="preserve">TUMOR-INDUCED HYPOGLYCEMIA CAUSED BY EXCESS PRODUCTION OF INSULIN-LIKE GROWTH FACTOR TYPE II (See also Chap. 418) Mesenchymal tumors, hemangiopericytomas, hepatocellular tumors, adrenal carcinomas, and a variety of other large tumors have been reported to produce excessive amounts of insulin like growth factor type II (IGF-II) precursor, which binds weakly to insulin receptors and more strongly to IGF-I receptors, leading to insulin-like actions. The gene encoding IGF-II resides on chromosome 11p15, a locus that is normally imprinted (that is, expression is exclu sively from a single parental allele). Biallelic expression of the IGF-II gene occurs in a subset of tumors, suggesting loss of methylation and loss of imprinting as a mechanism for gene induction. In addition to increased IGF-II production, IGF-II bioavailability is increased due to complex alterations in circulating binding proteins. Increased IGF-II suppresses growth hormone (GH) and insulin, resulting in reduced IGF binding protein 3 (IGFBP-3), IGF-I, and acid-labile subunit (ALS). The reduction in ALS and IGFBP-3, which normally sequester IGF-II, causes it to be displaced to a small circulating complex that has greater access to insulin target tissues. For this reason, circulating IGF-II levels may not be markedly increased despite causing hypoglycemia. In addi tion to IGF-II–mediated hypoglycemia, </w:t>
      </w:r>
      <w:r w:rsidR="00A6019F" w:rsidRPr="00A6019F">
        <w:lastRenderedPageBreak/>
        <w:t xml:space="preserve">tumors may occupy enough of the liver to impair gluconeogenesis. CHAPTER 98 Paraneoplastic Syndromes: Endocrinologic/Hematologic In most cases, a tumor causing hypoglycemia is clinically apparent (usually &gt;10 cm in size), and hypoglycemia develops in association with fasting. As with other causes of hypoglycemia, patients may 740 present with sweating, tremors, palpitations, confusion, seizures, or coma. The diagnosis is made by documenting low serum glucose and suppressed insulin levels in association with symptoms of hypoglyce mia. Serum IGF-II levels may not be increased (IGF-II assays may not detect IGF-II precursors), but an elevated IGF-II/IGF-I ratio greater than 10:1 is suggestive. Increased IGF-II mRNA expression is found in most of these tumors. Any medications associated with hypoglycemia should be eliminated. Treatment of the underlying malignancy, if pos sible, may reduce the predisposition to hypoglycemia. Frequent meals and IV glucose, especially during sleep or fasting, are often necessary to prevent hypoglycemia. Glucagon, recombinant GH, and glucocorti coids have also been used to enhance glucose production. Antibodies that inhibit IGF-II action are under development. </w:t>
      </w:r>
      <w:r w:rsidR="00A6019F" w:rsidRPr="00A6019F">
        <w:rPr>
          <w:rFonts w:ascii="Arial" w:hAnsi="Arial" w:cs="Arial"/>
        </w:rPr>
        <w:t>■</w:t>
      </w:r>
      <w:r w:rsidR="00A6019F" w:rsidRPr="00A6019F">
        <w:t xml:space="preserve">HUMAN CHORIONIC GONADOTROPIN PART 4 Oncology and Hematology hCG is composed of </w:t>
      </w:r>
      <w:r w:rsidR="00A6019F" w:rsidRPr="00A6019F">
        <w:rPr>
          <w:rFonts w:ascii="Aptos" w:hAnsi="Aptos" w:cs="Aptos"/>
        </w:rPr>
        <w:t>α</w:t>
      </w:r>
      <w:r w:rsidR="00A6019F" w:rsidRPr="00A6019F">
        <w:t xml:space="preserve"> and </w:t>
      </w:r>
      <w:r w:rsidR="00A6019F" w:rsidRPr="00A6019F">
        <w:rPr>
          <w:rFonts w:ascii="Aptos" w:hAnsi="Aptos" w:cs="Aptos"/>
        </w:rPr>
        <w:t>β</w:t>
      </w:r>
      <w:r w:rsidR="00A6019F" w:rsidRPr="00A6019F">
        <w:t xml:space="preserve"> subunits and can be produced as intact hormone, which is biologically active, or as uncombined biologically inert subunits. Ectopic production of intact hCG occurs most often in association with testicular embryonal tumors, germ cell tumors, extragonadal germinomas, lung cancer, hepatoma, and pancreatic islet tumors. Eutopic production of hCG occurs with trophoblastic malignancies. hCG α subunit production is particularly common in lung cancer and pancreatic islet cancer. In men, high hCG levels stimulate steroidogenesis and aromatase activity in testicular Leydig cells, resulting in increased estrogen production and the development of gynecomastia. Precocious puberty in boys or gynecomastia in men should prompt measurement of hCG and consideration of a testicular tumor or another source of ectopic hCG production. Most women are asymptomatic. hCG is easily measured. Treatment should be directed at the underlying malignancy. </w:t>
      </w:r>
      <w:r w:rsidR="00A6019F" w:rsidRPr="00A6019F">
        <w:rPr>
          <w:rFonts w:ascii="Arial" w:hAnsi="Arial" w:cs="Arial"/>
        </w:rPr>
        <w:t>■</w:t>
      </w:r>
      <w:r w:rsidR="00A6019F" w:rsidRPr="00A6019F">
        <w:t xml:space="preserve">ONCOGENIC OSTEOMALACIA Hypophosphatemic oncogenic osteomalacia, also called tumor-induced osteomalacia (TIO), is caused by excessive production of fibroblast growth factor 23 (FGF23), previously referred to as phosphotonin. Oncogenic osteomalacia is characterized by markedly reduced serum phosphorus and renal phosphate wasting, leading to muscle weakness, bone pain, and osteomalacia. Serum calcium and PTH levels are normal. FGF23 inhibits the renal conversion of 25-hydroxyvitamin D to 1,25-dihydroxyvitamin D, resulting in low levels of 1,25-dihydroxyvitamin D. Oncogenic osteo malacia is usually caused by benign mesenchymal tumors, such as hemangiopericytomas, fibromas, and giant cell tumors, often of the skeletal extremities or head. It has also been described in sarcomas and in patients with prostate or lung cancer. Resection of the tumor reverses the disorder, confirming its humoral basis. FGF23 levels are increased in some, but not all, patients with osteogenic osteomalacia. FGF23 forms a ternary complex with the klotho protein and renal FGF receptors to reduce renal phosphate reabsorption. Treatment involves </w:t>
      </w:r>
      <w:r w:rsidR="00A6019F" w:rsidRPr="00A6019F">
        <w:lastRenderedPageBreak/>
        <w:t xml:space="preserve">removal of the tumor, if possible, and supplementation with phosphate and vitamin D. Octreotide treatment reduces phosphate wasting in some patients with tumors that express somatostatin receptor subtype 2. Octreotide scans may also be useful in detecting these tumors. A human monoclonal antibody against FGF23, burosumab (0.5 mg/kg every 4 weeks) has been approved for the treatment of osteogenic osteomala cia. If needed, it can be increased to 2 mg/kg every 2 weeks. Burosumab improves metabolic features of the disease and may improve bone structure and fracture risk, but these outcomes are still being evaluated. The calcium-sensing receptor agonist cinacalcet has been effective in some patients, apparently by reducing PTH-mediated phosphaturia. FGF receptor inhibitors hold promise as future therapies targeted either to pathways that stimulate FGR23 production (e.g., FGFR1) or inhibit its action (e.g., FGF23 receptor). </w:t>
      </w:r>
      <w:r w:rsidR="00A6019F" w:rsidRPr="00A6019F">
        <w:rPr>
          <w:rFonts w:ascii="Arial" w:hAnsi="Arial" w:cs="Arial"/>
        </w:rPr>
        <w:t>■</w:t>
      </w:r>
      <w:r w:rsidR="00A6019F" w:rsidRPr="00A6019F">
        <w:t>CONSUMPTIVE HYPOTHYROIDISM Newborns with hepatic hemangiomas can develop a rare form of hypo thyroidism caused by overexpression of type 3 deiodinase (D3), an enzyme that degrades and inactivates thyroxine (T4 ) and triiodothyro nine (T3 ). The very high expression of D3 and consumption of thyroid hormones apparently outstrip the thyroid gland</w:t>
      </w:r>
      <w:r w:rsidR="00A6019F" w:rsidRPr="00A6019F">
        <w:rPr>
          <w:rFonts w:ascii="Aptos" w:hAnsi="Aptos" w:cs="Aptos"/>
        </w:rPr>
        <w:t>’</w:t>
      </w:r>
      <w:r w:rsidR="00A6019F" w:rsidRPr="00A6019F">
        <w:t xml:space="preserve">s rate of hormone production. The disorder is characterized by low T4 , low T3 , high TSH, and markedly elevated reverse T3 (rT3 ), reflecting the degradation of T4 to rT3 . In addition to treating the underlying hemangioma (rarely other tumor types), patients are treated with l-thyroxine replacement, titrated to normalize TSH. Steroids and propranolol may provide ben efit, perhaps by inhibiting growth factor pathways thought to stimulate D3 production. </w:t>
      </w:r>
      <w:r w:rsidR="00A6019F" w:rsidRPr="00A6019F">
        <w:rPr>
          <w:rFonts w:ascii="Arial" w:hAnsi="Arial" w:cs="Arial"/>
        </w:rPr>
        <w:t>■</w:t>
      </w:r>
      <w:r w:rsidR="00A6019F" w:rsidRPr="00A6019F">
        <w:t xml:space="preserve">CANCER IMMUNOTHERAPY-ASSOCIATED ENDOCRINOPATHIES (SEE ALSO CHAPS. 78, 401) Although not strictly a paraneoplastic endocrine syndrome, the intro duction of cancer immunotherapies, particularly immune checkpoint inhibitors (i.e., anti–CTLA-4, PD-1, PD-L1), is associated with a high incidence (~10%) of autoimmune endocrine disease. Hypophysitis and autoimmune thyroid diseases are most common, but autoimmune diabetes mellitus, adrenal insufficiency, hypoparathyroidism, and dia betes insipidus also occur. The mechanism of these autoimmune side effects remains unclear. CTLA-4 is expressed in the pituitary gland, likely explaining predisposition to anti–CTLA-4–associated hypophy sitis. Genetic predisposition and underlying endocrine autoimmunity likely play a role in thyroid and other endocrinopathies, becoming exacerbated following checkpoint inhibitor–induced immune activa tion. Autoimmune endocrine disease can emerge in the early weeks of immunotherapy but can also present after several months. At present, screening and prophylactic treatment are not routinely recommended. However, clinicians should be attuned to clinical or laboratory features of these disorders as they can be challenging to identify during can cer management. Treatment is similar to that of individual hormone deficiencies (Chaps. 391, 395, and 398). These endocrinopathies are generally irreversible and require lifelong hormone replacement. HEMATOLOGIC SYNDROMES The elevation of granulocyte, platelet, and eosinophil counts in most patients with myeloproliferative disorders is caused by the prolif eration of the myeloid elements due </w:t>
      </w:r>
      <w:r w:rsidR="00A6019F" w:rsidRPr="00A6019F">
        <w:lastRenderedPageBreak/>
        <w:t xml:space="preserve">to the underlying disease rather than to a paraneoplastic syndrome. The paraneoplastic hematologic syndromes in patients with solid tumors are less well characterized than are the endocrine syndromes because the ectopic hormone(s) or cytokines responsible have not been identified in most of these tumors (Table 98-2). The extent of the paraneoplastic syndromes parallels the course of the cancer. With very rare exception, red cell, white cell, or platelet numbers are self-limited and not associated with symptomatic abnormalities. In some circumstances, elevations in platelet counts can be a marker that influences prognosis. By far, the most consequential hematologic abnormality in cancer patients is hypercoagulability. </w:t>
      </w:r>
      <w:r w:rsidR="00A6019F" w:rsidRPr="00A6019F">
        <w:rPr>
          <w:rFonts w:ascii="Arial" w:hAnsi="Arial" w:cs="Arial"/>
        </w:rPr>
        <w:t>■</w:t>
      </w:r>
      <w:r w:rsidR="00A6019F" w:rsidRPr="00A6019F">
        <w:t xml:space="preserve">ERYTHROCYTOSIS Ectopic production of erythropoietin by cancer cells causes most para neoplastic erythrocytosis. The ectopically produced erythropoietin TABLE 98-2 Paraneoplastic Hematologic Syndromes SYNDROME Erythrocytosis Granulocytosis Thrombocytosis Eosinophilia PROTEINS Erythropoietin IL-6 Thrombophlebitis Unknown CANCERS TYPICALLY ASSOCIATED WITH SYNDROME Renal cancers, hepatocarcinoma, cerebellar hemangioblastomas G-CSF, GM-CSF, IL-6 Lung cancer, gastrointestinal cancer, ovarian cancer, genitourinary cancer, Hodgkin’s disease Lung cancer, gastrointestinal cancer, breast cancer, ovarian cancer, lymphoma IL-5 Lymphoma, leukemia, lung cancer Lung cancer, pancreatic cancer, gastrointestinal cancer, breast cancer, genitourinary cancer, ovarian cancer, prostate cancer, lymphoma Abbreviations: G-CSF, granulocyte colony-stimulating factor; GM-CSF, granulocyte macrophage colony-stimulating factor; IL, interleukin. </w:t>
      </w:r>
      <w:r w:rsidR="00A6019F" w:rsidRPr="00A6019F">
        <w:rPr>
          <w:rFonts w:ascii="Arial" w:hAnsi="Arial" w:cs="Arial"/>
        </w:rPr>
        <w:t>■</w:t>
      </w:r>
      <w:r w:rsidR="00A6019F" w:rsidRPr="00A6019F">
        <w:t xml:space="preserve">EOSINOPHILIA 741 stimulates the production of red blood cells (RBCs) in the bone mar row and raises the hematocrit. Other lymphokines and hormones produced by cancer cells may stimulate erythropoietin release but have not been proved to cause erythrocytosis. Most patients with erythrocytosis have an elevated hematocrit (&gt;52% in men, &gt;48% in women) that is detected on a routine blood count. Approximately 3% of patients with renal cell cancer, 10% of patients with hepatoma, and 15% of patients with cerebellar heman gioblastomas have erythrocytosis. In most cases, the erythrocytosis is asymptomatic. Patients with erythrocytosis due to a renal cell cancer, hepatoma, or CNS cancer should have measurement of red cell mass. If the red cell mass is elevated, the serum erythropoietin level should be measured. Patients with a cancer that has been associated with erythrocytosis, ele vated erythropoietin levels, and no other explanation for erythrocytosis (e.g., hemoglobinopathy that causes increased O2 affinity; Chaps. 66 and 103) have the paraneoplastic syndrome. TREATMENT Erythrocytosis Successful resection of the cancer usually resolves the erythrocy tosis. If the tumor cannot be resected or treated effectively with radiation therapy or chemotherapy, phlebotomy may control any symptoms or risk related to erythrocytosis. </w:t>
      </w:r>
      <w:r w:rsidR="00A6019F" w:rsidRPr="00A6019F">
        <w:rPr>
          <w:rFonts w:ascii="Arial" w:hAnsi="Arial" w:cs="Arial"/>
        </w:rPr>
        <w:t>■</w:t>
      </w:r>
      <w:r w:rsidR="00A6019F" w:rsidRPr="00A6019F">
        <w:t>GRANULOCYTOSIS Approximately 30% of patients with solid tumors have granulocytosis (granulocyte count &gt;8000/</w:t>
      </w:r>
      <w:r w:rsidR="00A6019F" w:rsidRPr="00A6019F">
        <w:rPr>
          <w:rFonts w:ascii="Aptos" w:hAnsi="Aptos" w:cs="Aptos"/>
        </w:rPr>
        <w:t>μ</w:t>
      </w:r>
      <w:r w:rsidR="00A6019F" w:rsidRPr="00A6019F">
        <w:t xml:space="preserve">L). In about half of patients with granu locytosis and cancer, the granulocytosis has an identifiable nonpara neoplastic etiology (e.g., infection, tumor necrosis, glucocorticoid administration). The other patients have </w:t>
      </w:r>
      <w:r w:rsidR="00A6019F" w:rsidRPr="00A6019F">
        <w:lastRenderedPageBreak/>
        <w:t xml:space="preserve">proteins in urine and serum that stimulate the growth of bone marrow cells. Tumors and tumor cell lines from patients with lung, ovarian, and bladder cancers have been documented to produce granulocyte colony-stimulating factor (G-CSF), granulocyte-macrophage colony-stimulating factor (GM CSF), and/or interleukin 6 (IL-6). However, the etiology of granulocy tosis has not been characterized in most patients. Patients with granulocytosis are nearly all asymptomatic, and the differential white blood cell count does not have a shift to immature forms of neutrophils. Granulocytosis occurs in 40% of patients with lung and gastrointestinal cancers, 20% of patients with breast cancer, 30% of patients with brain tumors and ovarian cancers, 20% of patients with Hodgkin’s disease, and 10% of patients with renal cell carcinoma. Patients with advanced-stage disease are more likely to have granulo cytosis than are those with early-stage disease. Paraneoplastic granulocytosis does not require treatment. The granulocytosis resolves when the underlying cancer is treated. </w:t>
      </w:r>
      <w:r w:rsidR="00A6019F" w:rsidRPr="00A6019F">
        <w:rPr>
          <w:rFonts w:ascii="Arial" w:hAnsi="Arial" w:cs="Arial"/>
        </w:rPr>
        <w:t>■</w:t>
      </w:r>
      <w:r w:rsidR="00A6019F" w:rsidRPr="00A6019F">
        <w:t>THROMBOCYTOSIS Some 35% of patients with thrombocytosis (platelet count &gt;400,000/</w:t>
      </w:r>
      <w:r w:rsidR="00A6019F" w:rsidRPr="00A6019F">
        <w:rPr>
          <w:rFonts w:ascii="Aptos" w:hAnsi="Aptos" w:cs="Aptos"/>
        </w:rPr>
        <w:t>μ</w:t>
      </w:r>
      <w:r w:rsidR="00A6019F" w:rsidRPr="00A6019F">
        <w:t xml:space="preserve">L) have an underlying diagnosis of cancer. IL-6, a candidate molecule for the etiology of paraneoplastic thrombocytosis, stimulates the produc tion of platelets in vitro and in vivo. Some patients with cancer and thrombocytosis have elevated levels of IL-6 in plasma. Another can didate molecule is thrombopoietin, a peptide hormone that stimulates megakaryocyte proliferation and platelet production. The etiology of thrombocytosis has not been established in most cases. Patients with thrombocytosis are nearly all asymptomatic. Throm bocytosis is not clearly linked to thrombosis in patients with cancer. Thrombocytosis is present in 40% of patients with lung and gas trointestinal cancers; 20% of patients with breast, endometrial, and ovarian cancers; and 10% of patients with lymphoma. Patients with thrombocytosis are more likely to have advanced-stage disease and have a poorer prognosis than do patients without thrombocytosis. In ovarian cancer, IL-6 has been shown to directly promote tumor growth. Paraneoplastic thrombocytosis does not require treatment other than treatment of the underlying tumor. Eosinophilia is present in ~1% of patients with cancer. Tumors and tumor cell lines from patients with lymphomas or leukemia may produce IL-5, which stimulates eosinophil growth. Activation of IL-5 transcription in lymphomas and leukemias may involve translocation of the long arm of chromosome 5, to which the genes for IL-5 and other cytokines map. Patients with eosinophilia are typically asymptomatic. Eosinophilia is present in 10% of patients with lymphoma, 3% of patients with lung cancer, and occasional patients with cervical, gastrointestinal, renal, and breast cancer. Patients with markedly elevated eosinophil counts (&gt;5000/μL) can develop shortness of breath and wheezing. A chest radiograph may reveal diffuse pulmonary infiltrates from eosinophil infiltration and activation in the lungs. TREATMENT Eosinophilia Definitive treatment is directed at the underlying malignancy. Tumors should be resected or treated with radiation or chemo therapy. In most patients who develop shortness of breath related to eosinophilia, symptoms resolve with the use of oral or inhaled glucocorticoids. IL-5 antagonists exist but have not been evaluated in </w:t>
      </w:r>
      <w:r w:rsidR="00A6019F" w:rsidRPr="00A6019F">
        <w:lastRenderedPageBreak/>
        <w:t xml:space="preserve">this clinical setting. </w:t>
      </w:r>
      <w:r w:rsidR="00A6019F" w:rsidRPr="00A6019F">
        <w:rPr>
          <w:rFonts w:ascii="Arial" w:hAnsi="Arial" w:cs="Arial"/>
        </w:rPr>
        <w:t>■</w:t>
      </w:r>
      <w:r w:rsidR="00A6019F" w:rsidRPr="00A6019F">
        <w:t xml:space="preserve">THROMBOPHLEBITIS AND DEEP VENOUS THROMBOSIS Deep venous thrombosis and pulmonary embolism are the most common thrombotic conditions in patients with cancer. Migratory or recurrent thrombophlebitis may be the initial manifestation of cancer. Nearly 15% of patients who develop deep venous thrombosis or pulmonary embolism have a diagnosis of cancer (Chap. 122). The coexistence of peripheral venous thrombosis with visceral carcinoma, particularly pancreatic cancer, is called Trousseau’s syndrome. Pathogenesis Patients with cancer are predisposed to thromboem bolism because they are often at bed rest or immobilized, and tumors may obstruct or slow blood flow. Postoperative deep venous throm bosis is twice as common in cancer patients who undergo surgery. Chronic IV catheters also predispose to clotting. In addition, clotting may be promoted by release of procoagulants or cytokines from tumor cells or associated inflammatory cells or by platelet adhesion or aggre gation. The specific molecules that promote thromboembolism have not been identified. Chemotherapeutic agents, particularly those associated with endo thelial damage, can induce venous thrombosis. The annual risk of venous thrombosis in patients with cancer receiving chemotherapy is about 11%, sixfold higher than the risk in the general population. Bleomycin, l-asparaginase, nitrogen mustard, thalidomide analogues, cisplatin-based regimens, and high doses of busulfan and carmustine are all associated with an increased risk. CHAPTER 98 Paraneoplastic Syndromes: Endocrinologic/Hematologic In addition to cancer and its treatment causing secondary thrombo sis, primary thrombophilic diseases may be associated with cancer. For example, the antiphospholipid antibody syndrome is associated with a wide range of pathologic manifestations (Chap. 369). About 20% of patients with this syndrome have cancers. Among patients with cancer and antiphospholipid antibodies, 35–45% develop thrombosis. Clinical Manifestations Patients with cancer who develop deep venous thrombosis usually develop swelling or pain in the leg, and physical examination reveals tenderness, warmth, and redness. Patients who present with pulmonary embolism develop dyspnea, chest pain, and syncope, and physical examination shows tachycardia, cyanosis, and hypotension. Some 5% of patients with no history of cancer who have a diagnosis of deep venous thrombosis or pulmonary embolism will have a diagnosis of cancer within 1 year. The most common cancers associated with thromboembolic episodes include lung, pan creatic, gastrointestinal, breast, ovarian, and genitourinary cancers; lymphomas; and brain tumors. Patients with cancer who undergo 742 surgical procedures requiring general anesthesia have a 20–30% risk of deep venous thrombosis. Diagnosis The diagnosis of deep venous thrombosis in patients with cancer is made by impedance plethysmography or bilateral compression ultrasonography of the leg veins. Patients with a noncom pressible venous segment have deep venous thrombosis. If compres sion ultrasonography is normal and there is a high clinical suspicion for deep venous thrombosis, venography should be done to look for a luminal filling defect. Elevation of d-dimer is not as predictive of deep venous thrombosis in patients with cancer as it is in </w:t>
      </w:r>
      <w:r w:rsidR="00A6019F" w:rsidRPr="00A6019F">
        <w:lastRenderedPageBreak/>
        <w:t xml:space="preserve">patients without cancer; elevations are seen in people over age 65 years without concom itant evidence of thrombosis, probably as a consequence of increased thrombin deposition and turnover in aging. PART 4 Oncology and Hematology Patients with symptoms and signs suggesting a pulmonary embo lism should be evaluated with a chest radiograph, electrocardiogram, arterial blood gas analysis, and ventilation-perfusion scan. Patients with mismatched segmental perfusion defects have a pulmonary embolus. Patients with equivocal ventilation-perfusion findings should be evaluated as described above for deep venous thrombosis in their legs. If deep venous thrombosis is detected, they should be antico agulated. If deep venous thrombosis is not detected, they should be considered for a pulmonary angiogram. Patients without a diagnosis of cancer who present with an initial episode of thrombophlebitis or pulmonary embolus need no additional tests for cancer other than a careful history and physical examination. In light of the many possible primary sites, diagnostic testing in asymp tomatic patients is wasteful. However, if the clot is refractory to standard treatment or is in an unusual site, or if the thrombophlebitis is migra tory or recurrent, efforts to find an underlying cancer are indicated. TREATMENT Thrombophlebitis and Deep Venous Thrombosis Patients with cancer and a diagnosis of deep venous thrombosis or pulmonary embolism should be treated initially with IV unfraction ated heparin or low-molecular-weight heparin for at least 5 days, and warfarin should be started within 1 or 2 days. The warfarin dose should be adjusted so that the international normalized ratio (INR) is 2–3. Patients with proximal deep venous thrombosis and a relative contraindication to heparin anticoagulation (hemorrhagic brain metastases or pericardial effusion) should be considered for placement of a filter in the inferior vena cava (Greenfield filter) to prevent pulmonary embolism. Warfarin should be administered for 3–6 months. An alternative approach is to use low-molecular weight heparin for 6 months. The new oral anticoagulants (factor Xa and thrombin inhibitors) are attractive because they do not require close monitoring of the prothrombin time and are not affected by dietary factors. Oral apixaban (10 mg bid for 7 days fol lowed by 5 mg bid for 6 months) is noninferior to dalteparin in the treatment of cancer patients who develop deep vein thrombosis or pulmonary embolism. Patients with cancer who undergo a major surgical procedure should be considered for heparin prophylaxis or pneumatic boots. Breast cancer patients undergoing chemotherapy and patients with implanted catheters should be considered for prophylaxis. Guidelines recommend that hospitalized patients with cancer and patients receiving a thalidomide analogue receive pro phylaxis with low-molecular-weight heparin or low-dose aspirin. Use of prophylaxis routinely during chemotherapy is controversial. Risk is affected by type of cancer, type of therapy, blood counts, and body mass index (all taken into account in the Khorana risk score; Table 98-3). Studies of Khorana high-risk patients with cancer using rivaroxaban and apixaban as clot prophylaxis have resulted in a 50% reduction in risk with a level of bleeding of about 5%. How ever, prophylaxis is not routinely recommended by the American Society of Clinical Oncology. TABLE 98-3 </w:t>
      </w:r>
      <w:r w:rsidR="00A6019F" w:rsidRPr="00A6019F">
        <w:lastRenderedPageBreak/>
        <w:t xml:space="preserve">Khorana Risk Score for Venous Thromboembolism in Cancer Patients PATIENT CHARACTERISTICS Site of cancer Very high risk (stomach, pancreas) High risk (lung, lymphoma, gynecologic, genitourinary excluding prostate) Prechemotherapy platelet count ≥350,000/μL Hemoglobin level 11,000/μL BMI ≥35 kg/m2 RISK SCORE (POINTS) 0 1–2 ≥3 RISK CATEGORY Low Intermediate High RISK SCORE POINTS 2 1 1 1 1 1 RATES OF sVTE ACCORDING TO SCORES (%) 0.3–0.8 1.8–2.0 6.7–7.1 Abbreviations: BMI, body mass index; sVTE, symptomatic venous thromboembolism. Source: Reproduced from AJM Muñoz et al: Clinical guide SEOM on venous thromboembolism in cancer patients. Clin Transl Oncol 16:1079-1090, 2014. MISCELLANEOUS REMOTE EFFECTS OF CANCER Patients with cancer can develop paraneoplastic autoimmune disor ders (e.g., thrombocytopenia) and dysfunction of organs not directly invaded or involved with the cancer (rheumatologic and renal abnor malities are among the most frequent). The pathogenesis of these disorders is undefined, but often, the conditions reverse if the tumor is removed or successfully treated. Cutaneous paraneoplastic syndromes are discussed in Chap. 61. Neurologic paraneoplastic syndromes are discussed in Chap. 99. </w:t>
      </w:r>
      <w:r w:rsidR="00A6019F" w:rsidRPr="00A6019F">
        <w:rPr>
          <w:rFonts w:ascii="Arial" w:hAnsi="Arial" w:cs="Arial"/>
        </w:rPr>
        <w:t>■</w:t>
      </w:r>
      <w:r w:rsidR="00A6019F" w:rsidRPr="00A6019F">
        <w:t xml:space="preserve">FURTHER READING Agnelli G et al: Apixaban for the treatment of venous thromboembo lism associated with cancer. N Engl J Med 382:1599, 2020. Asonitis N et al: Diagnosis, pathophysiology and management of hypercalcemia in malignancy: A review of the literature. Horm Metab Res 51:770, 2019. Catani MV et al: The “Janus face” of platelets in cancer. Int J Mol Sci 21:788, 2020. Dynkevich Y et al: Tumors, IGF-2, and hypoglycemia: Insights from the clinic, the laboratory, and the historical archive. Endocr Rev 34:798, 2013. Feelders RA et al: Advances in the medical treatment of Cushing’s syndrome. Lancet Diabetes Endocrinol 7:300, 2019. Farge D et al: 2022 international clinical practice guidelines for the treatment and prophylaxis of thromboembolism in patients with cancer, including COVID19. Lancet Oncol 23:e334, 2022. Hattersley R et al: Endocrine complications of immunotherapies: A review. Clin Med 21:e212, 2021. Jan de Beur SM et al: Burosumab for the treatment of tumor-induced osteomalacia. J Bone Miner Res 36:627, 2021. Lin RJ et al: Paraneoplastic thrombocytosis: The secrets of tumor self promotion. Blood 124:184, 2014. Onyema MC et al: Endocrine abnormality in paraneoplas tic syndrome. Best Pract Res Clin Endocrinol Metab 36:101621, 2022. Pelosof LC, Gerber DE: Paraneoplastic syndromes: An approach to diagnosis and treatment. Mayo Clin Proc 85:838, 2010. Workeneh BT et al: Hyponatremia in the cancer patient. Kidney Int 98:870, 2020. Paraneoplastic Neurologic Syndromes and Autoimmune Encephalitis 743 CHAPTER 99 Paraneoplastic Neurologic Syndromes and Autoimmune Encephalitis Josep Dalmau, Francesc Graus 99 Paraneoplastic neurologic disorders (PNDs) are cancer-related syn dromes that can affect any part of the nervous system (Table 99-1). Initially defined as syndromes of unknown cause, currently most PNDs are considered to have an autoimmune pathogenesis triggered by the underlying cancer. In 60% of patients, the neurologic symptoms pre cede the cancer diagnosis. Clinically disabling PNDs occur in 0.5–1% of all cancer patients, but they affect 2–3% of patients with neuroblas toma or small-cell lung cancer (SCLC) and 30–50% of patients </w:t>
      </w:r>
      <w:r w:rsidR="00A6019F" w:rsidRPr="00A6019F">
        <w:lastRenderedPageBreak/>
        <w:t xml:space="preserve">with thymoma. PATHOGENESIS Most PNDs are mediated by immune responses triggered by neuro nal proteins ectopically expressed by tumors (e.g., SCLC and other cancers) or as a result of altered immunologic responses caused by some types of tumors such as thymomas or lymphomas. In PNDs of the central nervous system (CNS), many antibody-associated immune responses have been identified. These antibodies react with neurons and the patient’s tumor, and their detection in serum or cerebrospinal fluid (CSF) variably predicts the presence of cancer. According to the frequency of an underlying tumor, these antibodies are classified as high risk (&gt;70% probability of an underlying tumor; Table 99-2); inter mediate risk (30–70% probability of an underlying tumor; Table 99-3), and low risk (70% Probability of an Underlying Cancer), Syndromes, and Associated Tumors ANTIBODYa ASSOCIATED NEUROLOGIC SYNDROME(S) TUMORS Anti-Hu (ANNA1) Encephalomyelitis, sensory neuronopathy SCLC Anti-Yo (PCA1) Rapidly progressive cerebellar syndrome Ovary, breast Anti-Ri (ANNA2) Cerebellar degeneration, opsoclonus, brainstem encephalitis Breast, gynecologic, SCLC Anti-CRMP5 (CV2) Encephalomyelitis, chorea, optic neuritis, uveitis, peripheral neuropathy SCLC, thymoma, other Anti-Tr (DNER) Rapidly progressive cerebellar syndrome Hodgkin’s lymphoma Anti-Ma proteins Limbic, hypothalamic, brainstem encephalitis Testicular (Ma2), other (Ma) Anti-PCA2 (MAP1B) Sensorimotor neuropathy, rapidly progressive cerebellar syndrome, and encephalomyelitis SCLC, non-SCLC, breast cancer Anti-Kelch-like protein 11 Brainstem encephalitis, ataxia, sensorineural hearing loss Seminoma, germ cell tumor, teratoma, Anti-amphiphysinb Stiff-person syndrome, encephalomyelitis Breast, SCLC Anti-SOX1 LEMS, rapidly progressive cerebellar syndrome with and without LEMS SCLC aAll the antibodies of this table are against intracellular antigens, except for Tr (DNER), which is a cell-surface protein. bAmphiphysin is likely exposed to the cell surface during synaptic vesicle endocytosis. Abbreviations: CRMP, collapsin response-mediator protein; DNER, delta/notch-like epidermal growth factor-related receptor; LEMS, Lambert-Eaton myasthenic syndrome; MAP1B, microtubule associated protein 1B; PCA, Purkinje cell antigen; SCLC, small-cell lung cancer. TABLE 99-3 Intermediate-Risk Antibodies (30–70% Probability of an Underlying Cancer), Syndromes, and Associated Tumors ANTIBODYa NEUROLOGIC SYNDROME TUMOR TYPE WHEN ASSOCIATED Anti-NMDARb Anti-NMDAR encephalitis Teratoma in young women (children and men rarely have tumors) Anti-AMPARb Limbic encephalitis with relapses SCLC, thymoma, breast Anti-GABAB Rc Limbic encephalitis with early and prominent seizures SCLC Anti-Caspr2b Morvan syndrome Thymoma Anti-mGluR5b Autoimmune encephalitis without distinctive features Hodgkin lymphoma Anti-VGCCb LEMS, cerebellar degeneration SCLC aAll the antibodies of this table are against neuronal cell-surface proteins. bA direct pathogenic role of these antibodies has been demonstrated in cultured neurons or animal models. cThese antibodies are strongly suspected to be pathogenic. Abbreviations: AMPAR, α-amino-3-hydroxy-5-methyl-4-isoxazolepropionic acid receptor; Caspr2, contactin-associated protein-like 2; GABAB R, γ-aminobutyric acid B </w:t>
      </w:r>
      <w:r w:rsidR="00A6019F" w:rsidRPr="00A6019F">
        <w:lastRenderedPageBreak/>
        <w:t xml:space="preserve">receptor; LEMS, Lambert-Eaton myasthenic syndrome; mGluR, metabotropic glutamate receptor; NMDAR, N-methyl-d-aspartate receptor; SCLC, small-cell lung cancer; VGCC, voltage-gated calcium channel. 744 TABLE 99-4 Low-Risk Antibodies (50% of cases, the MRI shows increased medial temporal lobe FLAIR changes characteristic of limbic encephalitis (similar to Fig. 99-2A). In rare instances, patients develop cerebellar symptoms and opsoclonus. Fifty percent of patients have SCLC or a neuroendocrine tumor of the lung. The outcome is substan tially better in patients without cancer. Encephalitis with glycine receptor (GlyR) antibodies usually manifests with a syndrome characterized by progressive encephalomyelitis with rigidity and myoclonus (PERM) or stiff-person spectrum of symptoms. The disease usually occurs in adults and rarely in children. About 20% of adult patients have a concurrent underlying tumor (thymoma, B-cell lymphoma, or breast or lung cancer) or past history of cancer (thymoma, breast cancer, Hodgkin’s lymphoma, or melanoma). Encephalitis with metabotropic glutamate receptor 5 (mGluR5) anti bodies is characterized by nonspecific clinical features of encephalitis (confusion, agitation, memory loss, delusions, paranoid ideation, hallucinations, psychosis, or seizures) without distinctive MRI changes and frequent association with Hodgkin’s lymphoma. The encephalitis is highly responsive to immunotherapy and treatment of the tumor. Encephalitis with antibodies against dopamine-2 receptor has been reported in children with basal ganglia encephalitis manifesting with abnormal movements (coarse tremor, parkinsonism, chorea, ocu logyric crises) along with psychiatric features, lethargy, drowsiness, brainstem dysfunction, or ataxia. The disorder is extremely rare and is not associated with cancer. Encephalitis with leucine-rich glioma-inactivated 1 (LGI1) antibod ies predominates in patients older than 50 years (65% male) and frequently presents with short-term memory loss and seizures (limbic encephalopathy), along with hyponatremia and sleep dysfunction. The MRI often shows increased FLAIR signal in one or both medial temporal lobes. In about 40% of patients, these symptoms are preceded by faciobrachial dystonic seizures, which consist of sudden, short lasting, mainly distal muscle contractions involving the arm, face, or leg. These are unilateral but can independently affect both sides and occur multiple times during the day or night. About 15% of patients present with rapidly progressive cognitive decline, resembling a rap idly progressive dementia. Less than 5% of patients have thymoma. An association with the human leukocyte antigen (HLA) haplotypes DRB1*07:01, DQB1*02:02, DQA1*02:01, and DRB4 has been identi fied. All symptoms, including faciobrachial dystonic seizures, respond to immunotherapy, although about two-thirds of patients are left with memory or cognitive deficits. Despite the improvement with initial immunotherapy, video-polysomnography or prolonged electroen cephalogram studies frequently uncover persistent alterations (facio brachial dystonic seizures, other seizures, rapid eye movement [REM] sleep behavior disorder) only detectable during sleep. These altera tions, which might contribute to residual memory or cognitive deficits, respond to additional or prolonged immunotherapy. Encephalitis with </w:t>
      </w:r>
      <w:r w:rsidR="00A6019F" w:rsidRPr="00A6019F">
        <w:lastRenderedPageBreak/>
        <w:t xml:space="preserve">contactin-associated protein-like 2 (Caspr2) anti bodies predominates in patients older than 50 years and is associated with a form of encephalitis with three or more of the following core symptoms: encephalopathy (which can be similar to limbic encephali tis), cerebellar symptoms, peripheral nervous system hyperexcitability, dysautonomia, insomnia, neuropathic pain, and weight loss. Patients with Morvan syndrome, which includes clinical features of encephalitis (confusion, hallucinations, prominent sleep dysfunction, or “agrypnia excitata”), autonomic alterations, and peripheral nerve hyperexcitabil ity or neuromyotonia, usually have Caspr2 antibodies. About 20% of patients with Caspr2 antibody–associated syndromes have thymoma; this percentage is higher (~50%) in patients with Morvan syndrome. An association of Caspr2 antibody–associated syndromes with HLA DRB1*11.01 has been reported. Encephalitis with dipeptidyl-peptidase-like protein-6 (DPPX) anti bodies is usually preceded or develops concurrently with diarrhea, other gastrointestinal symptoms, and substantial loss of weight that 749 often suggest the presence of a gastrointestinal disease. Neurologic symptoms include agitation, hallucinations, paranoid delusions, and features of CNS hyperexcitability such as hyperekplexia, tremor, myoc lonus, nystagmus, or seizures. Some patients develop a clinical picture similar to progressive encephalomyelitis with rigidity and myoclonus. The few patients reported with an associated tumor usually had B-cell neoplasms. Encephalitis with antibodies against neurexin 3 alpha does not have distinctive clinical features; the experience is limited, and the disorder does not appear to be associated with cancer. Anti-IgLON5 disease is a chronic or subacute encephalopathy that characteristically is associated with REM and non-REM (NREM) parasomnia along with obstructive sleep apnea that may be preceded or accompanied by bulbar symptoms (mainly dysphagia and stridor due to vocal cord palsy), unsteadiness, movement disorders (chorea, craniofacial dyskinesias), oculomotor dysfunction, and, in less than half of cases, cognitive decline. The median age of the patients is in the early 60s, and men and women are equally affected. The sleep disorder is characterized by abnormal sleep initiation with undifferentiated NREM sleep associated with frequent vocalizations and quasi-purposeful movements. Brain MRI is unrevealing or demonstrates minor changes of unclear clinical relevance; the CSF is usually normal or may show transient lymphocytic pleocytosis. It is not associated with cancer but shows a strong association with the HLA-DRB1*10:01 and HLA DQB1*05 haplotypes, which are present in 60% of patients. The response to immunotherapy is poor. In some patients, neuropathologic studies show a neuronal tauopathy predominantly involving the hypo thalamus and tegmentum of the brainstem; however, not all autopsy studies show deposits of hyperphosphorylated tau, and in some patients, mild inflammatory infiltrates have been identified. With the exception of patients with anti-IgLON5 disease, who rarely respond to treatment, most patients with autoimmune or paraneoplas tic encephalopathies associated with antibodies against cell-surface or synaptic proteins respond to immunotherapy and treatment of the tumor (if appropriate). Although there are no specific standardized treatment protocols, the </w:t>
      </w:r>
      <w:r w:rsidR="00A6019F" w:rsidRPr="00A6019F">
        <w:lastRenderedPageBreak/>
        <w:t xml:space="preserve">most frequent approach is similar to that indi cated for anti-NMDAR encephalitis and consists of progressive escala tion of immunotherapy using first a combination of glucocorticoids, IVIg, and plasma exchange, and then, if there is no response, rituximab or cyclophosphamide. Encephalitis with MOG antibodies can present with a clinical picture suggestive of autoimmune encephalitis related to neuronal antibodies. Most patients with MOG antibody–associated syndromes are children and young adults who present with optic neuritis, myelitis, brainstem (mainly pons) and cerebellar symptoms, or acute disseminated enceph alomyelitis (ADEM). About 85% of patients with these syndromes respond to immunotherapy, although relapses occur in about 30% of cases. Besides these syndromes, there is a small group of adults and children who present with unilateral or bilateral cortical encephalitis, and their response to treatment is variable. In children, two pheno types of poor prognosis include ADEM-like relapses progressing to leukodystrophy-like features and extensive cortical encephalitis evolv ing to atrophy (Fig. 99-2D). In general, MOG antibody syndromes are not associated with tumors. </w:t>
      </w:r>
      <w:r w:rsidR="00A6019F" w:rsidRPr="00A6019F">
        <w:rPr>
          <w:rFonts w:ascii="Arial" w:hAnsi="Arial" w:cs="Arial"/>
        </w:rPr>
        <w:t>■</w:t>
      </w:r>
      <w:r w:rsidR="00A6019F" w:rsidRPr="00A6019F">
        <w:t xml:space="preserve">PARANEOPLASTIC CEREBELLAR DEGENERATION This disorder is often preceded by a prodrome that may include dizzi ness, oscillopsia, blurry or double vision, nausea, and vomiting. A few days or weeks later, patients develop dysarthria, gait and limb ataxia, and variable dysphagia. The examination usually shows downbeating nystagmus and, rarely, opsoclonus. Brainstem dysfunction or upgoing toes may occur. Early in the course, MRI studies are usually normal; later, the MRI reveals cerebellar atrophy. The disorder results from extensive degeneration of Purkinje cells, with variable involvement of other cerebellar cortical neurons, deep cerebellar nuclei, and spinocer ebellar tracts. The tumors more frequently involved are SCLC, cancer of the breast and ovary, and Hodgkin’s lymphoma. Anti-Yo (PCA1) antibodies in patients with breast or gynecologic cancers typically are associated with prominent or pure cerebellar degeneration. A variable degree of cerebellar dysfunction can be asso ciated with virtually any of the antibodies and PND of the CNS shown in Table 99-2. A number of single case reports have described neuro logic improvement after tumor removal, plasma exchange, IVIg, cyclo phosphamide, rituximab, or glucocorticoids. However, most patients with paraneoplastic cerebellar degeneration and any of the antibodies shown in Table 99-2 do not improve with treatment; an exception are the cerebellar syndromes associated with antibodies against surface antigens (e.g., Tr antibodies and Hodgkin’s lymphoma, VGCC antibod ies and SCLC), which are more responsive to immunotherapy. Antibody-associated cerebellar symptoms can also occur without cancer association. The most common is cerebellar ataxia with anti bodies against GAD65 (an intracellular synaptic protein). The median age at diagnosis is 60 years and 75% of cases are women. Concurrent organ-specific autoimmune diseases, mainly type 1 diabetes, are pres ent in 80% of patients. The clinical course is chronic, but in 40% of patients, the presentation is subacute (18 million cancer survivors, representing approximately 5% of the total population. The prevalence is sharply increasing and is projected to reach 22 million by 2032 and 26 million by 2040. Almost 70% of patients </w:t>
      </w:r>
      <w:r w:rsidR="00A6019F" w:rsidRPr="00A6019F">
        <w:lastRenderedPageBreak/>
        <w:t xml:space="preserve">have lived for at least 5 years since their diagnosis, and nearly half of survivors have lived longer than 10 years. Despite the magnitude of the growing problem, the core issues related to cancer survivorship remain understudied and continue to evolve with emerg ing therapies. Most studies are descriptive with fewer studies focused on the prevention and treatment of complications. Cancer survivorship TABLE 100-1 Toxicities by Organ System ORGAN SYSTEM LONG-TERM EFFECTS LATE EFFECTS Cardiovascular Congestive heart failure Coronary artery disease Arrhythmias Peripheral vascular disease Myocarditis Cardiac valvular disease Pericardial disease Hypertension Pulmonary Interstitial pneumonitis Pulmonary fibrosis Radiation recall pneumonitis Immunologic Recurrent infections Second malignancies Autoimmune disease Myelodysplasia Opportunistic infections Endocrine Gonadal dysfunction Infertility Premature ovarian failure Fractures Hypothyroidism Diabetes mellitus Diabetes insipidus Osteoporosis Hypopituitarism Neurologic Peripheral neuropathy Cognitive impairment Autonomic dysfunction Hearing loss Gastrointestinal Chronic diarrhea Small-bowel obstruction Malabsorption Intestinal stricture Genitourinary Chronic renal failure Ureteral stricture Bladder dysfunction Hemorrhagic cystitis Hydronephrosis Nephrotic syndrome Psychological Anxiety Fear of cancer recurrence Depression Posttraumatic stress disorder Substance abuse disorders Sexual dysfunction Cancer-related fatigue Psychosocial dysfunction Financial hardship remains an area that is ripe for further discovery, including improved risk-assessment tools, a deeper understanding of the pathophysiology and influence of genetics on host susceptibility, emerging biomarkers, and evidence-based clinical practice management guidelines. Our primary understanding of the long-term impact of cancer treatment originated from survivors of childhood malignancies who are often cured after treatment with a combination of chemotherapy, radiation, and surgery. Modern 5-year survival rates for children and adolescents are &gt;80%, with a goal of maintaining high cure rates while minimizing late effects. The cause-specific mortality following initial treatment of Hodgkin’s lymphoma includes nearly 40% of deaths attributed to nonlymphoma causes. Indeed, more patients diagnosed with Hodgkin’s lymphoma die from treatment-related late toxicity than from Hodgkin’s lymphoma. More recently, improvements in the tolerability of cancer therapy and in supportive care have allowed a greater number of patients with comorbid conditions and advanced age to receive treatment, which has increased the rate of treatment related morbidity. Approximately 67% of current cancer survivors are older than age 65, which carries a higher risk of treatment-related deaths from heart or lung complications, immunologic dysfunction, or adverse effects of drugs. Treatment paradigms for cancer continuously evolve, however, and newer treatments including targeted agents and immunotherapy have introduced unique long-term effects, particularly when these agents are administered indefinitely (Table 100-2 lists the potential long-term effects of specific cancer treatments). The com plexities of cancer survivorship and the importance of longitudinal care of cancer patients are recognized as vital components to compre hensive cancer care. Still, the primary goal </w:t>
      </w:r>
      <w:r w:rsidR="00A6019F" w:rsidRPr="00A6019F">
        <w:lastRenderedPageBreak/>
        <w:t xml:space="preserve">of cancer therapy remains long-term disease control, and the treating physician must maintain Cancer Survivorship and the Long-Term Impact of Cancer and Its Treatment 753 CHAPTER 100 TABLE 100-2 Toxicities by Type of Therapy THERAPY TYPE LONG-TERM EFFECT Radiation Second malignancies, coronary artery disease, pericardial disease, cardiac valvular disease, peripheral vascular disease, hypopituitarism, infertility, hypothyroidism, reduced bone density, intestinal or ureteral strictures Chemotherapy and Hormonal Agents Anthracyclines (doxorubicin, daunorubicin) Congestive heart failure, acute leukemia, cognitive impairment Alkylating agents (cyclophosphamide, ifosfamide, melphalan) Myelodysplasia, acute leukemia, impaired T-cell function, infertility, congestive heart failure, pulmonary fibrosis Antimetabolites (5-flurouracil, fludarabine, gemcitabine) Coronary artery disease, myelodysplasia, interstitial pneumonitis, cognitive impairment Glycopeptide antibiotics (bleomycin) Pulmonary fibrosis Platinum agents (cisplatin, carboplatin, oxaliplatin) Peripheral neuropathy, hearing loss, renal tubular dysfunction, interstitial pneumonitis, second malignancies Vinca alkaloids (vincristine, vinblastine) Peripheral neuropathy Taxanes (paclitaxel, docetaxel) Peripheral neuropathy, interstitial pneumonitis, cognitive impairment Aromatase inhibitors (anastrozole, letrozole, fulvestrant) Vasomotor symptoms, fractures Antiandrogens (apalutamide, bicalutamide, darolutamide, enzalutamide, flutamide, nilutamide) Sexual dysfunction Immunotherapy Agents Immune checkpoint inhibitors (nivolumab, pembrolizumab, cemiplimab, avelumab, durvalumab, atezolizumab, dostarlimab, ipilimumab) Autoimmune conditions, myocarditis, pericarditis, peripheral neuropathy Bispecific T-cell engagers (mosunetuzumab, glofitamab, epcoritamab) Recurrent infections CAR-T therapy Acute leukemia, myelodysplasia, T-cell lymphoma, peripheral neuropathy, recurrent infections Targeted Agents Antibody-drug conjugates (brentuximab, polatuzumab, gemtuzumab) Interstitial pneumonitis, peripheral neuropathy, sinusoidal obstruction syndrome Immunomodulatory agents (thalidomide, lenalidomide, pomalidomide) Second malignancies, prolonged neutropenia, peripheral neuropathy Proteasome inhibitors (bortezomib, carfilzomib, ixazomib) Peripheral neuropathy, congestive heart failure HER2 inhibitors (trastuzumab, neratinib, capivasertib) Congestive heart failure, interstitial pneumonitis BTK inhibitors (ibrutinib, acalabrutinib, zanubrutinib) Opportunistic infections, atrial and ventricular arrhythmias, hypertension ALK inhibitors (alectinib, brigatinib, ceritinib, lorlatinib, crizotinib) Atrial and ventricular arrhythmias, interstitial pneumonitis CDK inhibitors (palbociclib, ribociclib, abemaciclib) Hepatitis, colitis Bcr-Abl inhibitors (imatinib, dasatinib, nilotinib, bosutinib) Coronary artery disease, pleural effusions, pulmonary hypertension, peripheral vascular disease, nephrotic syndrome FLT3 inhibitors (quizartinib) Hypertension Anti-VEGF agents (bevacizumab, pazopanib, sunitinib, sorafenib, axitinib) Hypertension, myocardial ischemia, QTc prolongation, pulmonary hypertension, thrombosis MEK inhibitors (selumetinib, trametinib, cobimetinib) Retinopathy, hypertension, congestive heart failure BRAF inhibitors (dabrafenib) Hyperglycemia, secondary skin cancers, </w:t>
      </w:r>
      <w:r w:rsidR="00A6019F" w:rsidRPr="00A6019F">
        <w:lastRenderedPageBreak/>
        <w:t xml:space="preserve">hypertension, congestive heart failure proper perspective when considering these relative risks. The fear of long-term complications should not prevent the application of effective cancer treatment, particularly when delivered with curative intent. In a sense, managing long-term effects is a privilege only afforded those fortunate enough to overcome the initial threat to life represented by the cancer diagnosis. CARDIOVASCULAR DYSFUNCTION The long-term risks of cardiovascular disease after anthracycline chemotherapy and radiation that involves the mediastinum are well characterized and include arrhythmias, myocarditis, hypertension, congestive heart failure (CHF), and pericardial disease along with late effects of premature coronary artery disease, peripheral vascular disease, and cardiac valvular complications. It is estimated that one in eight childhood cancer survivors will experience a life-threatening cardiovascular event within 30 years after initial exposure, and car diovascular disease is the most common cause of noncancer death in this population. Newer targeted agents and immunotherapy have introduced additional cardiovascular risks. A new discipline of cardio oncology has emerged to address the increased risk of cardiovascular complications of cancer treatment in a multidisciplinary fashion and to better characterize individuals at high risk for treatment-related cardiac toxicities, develop surveillance strategies, and improve the management of long-term effects. Radiation therapy, particularly mediastinal radiation that encom passes the heart, causes interstitial myocardial fibrosis, pericarditis, valvular disease, and premature coronary artery disease. Repeated or high (&gt;6000 cGy) radiation doses are associated with greater risk, as is concurrent cardiotoxic chemotherapy exposure. Symptoms of acute pericarditis peak about 9 months after treatment and include dyspnea, chest pain, and fever. Chronic constrictive pericarditis and cardiac valvular diseases including aortic insufficiency and mitral regurgita tion may develop 5–10 years following radiation therapy. Radiation is associated with premature coronary artery disease and peripheral vascular disease and a markedly increased risk of late effects such as myocardial infarction and thromboembolic stroke. Three-dimensional conformal techniques and newer particles including proton beams may more precisely spare normal tissue, but these are not widely available and the degree to which they will decrease long-term cardiovascular effects is unknown. The myocardial toxicity of anthracyclines is dose-dependent and is associated with the pathognomonic finding of myofibrillar dropout on endomyocardial biopsy. Anthracycline cardiotoxicity occurs through a root mechanism of chemical free radical damage. Fe3+-doxorubicin 754 risk of these immune-related toxicities, and no clear pattern of which patients are most susceptible has emerged. Chimeric antigen receptor T-cell (CAR-T) therapies are associ ated with cytokine release syndromes (CRS), which can be severe and associated with arrhythmias or CHF. Multiple cytokines including interleukin (IL) 1, IL-2, tumor necrosis factor (TNF) α, and IL-6 acti vate prostaglandins, and levels of IL-6 are associated with more severe CRS, possibly due to the recruitment of additional T cells. Inhibitors of IL-6 such as tocilizumab are commonly used to treat CRS and prevent complications. PULMONARY </w:t>
      </w:r>
      <w:r w:rsidR="00A6019F" w:rsidRPr="00A6019F">
        <w:lastRenderedPageBreak/>
        <w:t xml:space="preserve">DYSFUNCTION PART 4 Oncology and Hematology Radiation-induced lung injury presents in early phases as acute pneumonitis at 4 weeks following treatment, but it can evolve into pulmonary fibrosis. Risk factors include advanced age, smoking, poor performance status, preexisting compromised pulmonary function, and radiation volume and dose. It occurs most commonly in patients with lung cancer, mediastinal lymphoma, and breast cancer, and the incidence is decreasing due to advances in radiation delivery tech niques. Fever, cough, pleuritic chest pain, and dyspnea on exertion are characteristic symptoms, and the severity may be out of proportion to the lung volume irradiated. Fine, high-pitched “Velcro rales” may be an accompanying physical finding. The diffusion capacity of the lungs for carbon dioxide (DlCO ) is the most sensitive measure of pulmonary complexes damage DNA, nuclear and cytoplasmic membranes, and mitochondria. Approximately 5% of patients receiving &gt;450–550 mg/m2 total dose of doxorubicin will develop CHF, but it can also develop at substantially lower doses in some patients. Regimens that use continu ous infusion of doxorubicin or liposomally encapsulated doxorubicin are associated with less cardiotoxicity. Genome-wide association stud ies have identified multiple genetic polymorphisms associated with a higher risk of cardiotoxicity, but the ability to risk-stratify is limited. Additional risk factors include age &gt;60 years, smoking, hypertension, diabetes, chronic renal failure, and previous cardiovascular disease. Anthracycline-related CHF is often irreversible and carries a high rate of morbidity and mortality, making prevention crucial. Baseline screening with straining imaging echocardiography in patients who are at high risk of cardiac complications is recommended. A patient who develops symptoms suggestive of CHF should have therapy held and undergo additional testing. High-sensitivity troponins are emerg ing biomarkers that may predict cardiotoxicity, but further validation is needed. Prophylactic use of cardioprotective medications such as beta blockers, angiotensin-converting enzyme inhibitors, or statins is not yet routine. Inhibitors of the human epidermal growth factor receptor 2 (HER2) (e.g., trastuzumab, lapatinib, neratinib, capivasertib) are also associated with CHF. These targeted agents are used in combination with chemo therapy as both adjuvant therapy and as treatment of metastatic breast cancer. In contrast to anthracyclines, cardiotoxicity is not dose related, is usually reversible, is not associated with pathologic changes on car diac myofibrils, and has a different biochemical mechanism inhibiting intrinsic cardiac repair mechanisms. Monitoring for cardiac toxicity is typically performed every three or four doses using echocardiograms, and treatment is interrupted when ejection fractions significantly decline from baseline. Other potentially cardiotoxic chemotherapy agents include alkylating agents (cyclophosphamide, ifosfamide) at high doses and 5-flurouracil. Tyrosine kinase inhibitors (TKIs) are novel classes of molecularly targeted anticancer agents that have become routinely applicable across a variety of malignancies. Although the overall tolerability of these drugs is often better than chemotherapy, they are frequently adminis tered indefinitely and to older patients, which introduces new notions of </w:t>
      </w:r>
      <w:r w:rsidR="00A6019F" w:rsidRPr="00A6019F">
        <w:lastRenderedPageBreak/>
        <w:t xml:space="preserve">cumulative long-term effects. These agents also carry risks of cardio vascular toxicities including CHF, atrial and ventricular arrhythmias, prolongation of the QT interval, and pulmonary and systemic hyper tension. Other small-molecule inhibitors that have been associated with CHF include Bcr-Abl inhibitors (bosutinib, dasatinib, ponatinib, nilotinib), anti–vascular endothelial growth factor (VEGF) agents (pazopanib, sunitinib, sorafenib, axitinib, lenvatinib, nintedanib), MEK inhibitors (trametinib), and proteasome inhibitors (carfilzomib). Systemic hypertension is commonly associated with anti-VEGF agents, ponatinib, and trametinib, whereas dasatinib has a well-documented association with pulmonary hypertension. Bruton tyrosine kinase (BTK) inhibitors, including ibrutinib, acalabrutinib, and zanubrutinib, have all been associated with atrial fibrillation as well as ventricular arrythmias. As more of these small-molecule inhibitors become widely used, additional monitoring for long-term and late effects should be incorporated into the routine surveillance of oncologists, cardiologists, cardio-oncologists, and primary care providers. Immunotherapy agents have emerged as anticancer therapies used in a variety of cancers. Immune checkpoint inhibitors (ICI) have been associated with a number of important cardiovascular toxicities including pericardial disease, vasculitis, and fulminant myocarditis. The mechanism of these toxicities is T cell mediated, and the toxici ties often respond to rapid initiation of high-dose glucocorticoids, but they can be severe or fatal if not recognized promptly. Patients with definite myocarditis on endomyocardial biopsy may have normal find ings on cardiac magnetic resonance imaging (MRI) and only a rise in troponin levels, highlighting the need for a high index of suspicion for this potential complication. Patients who develop ICI-mediated myo carditis should have the drug halted immediately, and it should not be restarted after recovery. Combinations of multiple ICIs increase the functional impairment, and ground-glass infiltrates often correspond with relatively sharp edges to the irradiated volume, although the pneu monitis may progress beyond the field. The mechanism of lung injury is a direct effect of radiation that leads to increased capillary perme ability and pulmonary edema. Damage to type I and II pneumocytes leads to surfactant loss and the transudation of serum proteins into the alveoli. Cytokines including TNF-α are released from the damaged lung cells and attract inflammatory cells to the alveoli and interstitial space. The late phases of injury are caused by reactive oxygen species that stimulate collagen production and may lead to fibrosis. Trans forming growth factor β (TGF-β) is particularly important in stimulat ing collagen synthesis and may represent a therapeutic target. Up to 10% of patients will develop chemotherapy-induced pulmo nary toxicity that can manifest as both long-term and delayed effects in cancer survivors. Bleomycin generates activated free radical oxygen species and causes pneumonitis associated with a radiographic or interstitial ground-glass appearance diffusely throughout both lungs, often worse in the lower lobes. A nonproductive cough may be an early sign. This toxicity is dose-related and dose-limiting. The DlCO is a sensitive measure of toxicity and recovery, and a baseline value is generally obtained before administering bleomycin therapy. Doses are </w:t>
      </w:r>
      <w:r w:rsidR="00A6019F" w:rsidRPr="00A6019F">
        <w:lastRenderedPageBreak/>
        <w:t xml:space="preserve">stopped if the baseline DlCO falls 25% or more. Additive or syn ergistic risk factors include age, prior lung disease, and concomitant use of other chemotherapy, lung irradiation, and high concentrations of inspired oxygen. Other commonly used chemotherapeutic agents notable for pulmonary toxicity include gemcitabine, irinotecan, meth otrexate, fludarabine, and the antibody-drug conjugates brentuximab and fam-trastuzumab deruxtecan, which can cause interstitial lung disease. Most of these toxicities are idiosyncratic and not dose-related. The pathogenesis for pulmonary toxicity is related to direct injury to pneumocytes, oxidative stress, and the release of cytokines that recruit additional inflammatory cells. High-dose alkylating agents, cyclo phosphamide, ifosfamide, and melphalan are frequently used in the hematopoietic stem cell transplant setting, which may result in severe pulmonary fibrosis and/or pulmonary venoocclusive disease. Radiation-induced lung injury and chemotherapy-induced pneu monitis are generally glucocorticoid responsive. Prednisone 1 mg/kg is often used to control acute symptoms and prevent pulmonary dys function with a slow taper over months. Antibiotics, bronchodilators, oxygen, and diuretics may all play an important role in management of pneumonitis, and consultation with a pulmonologist should be under taken. Relapses can occur after an initial response to glucocorticoids, and refractory cases may respond to alternative immunosuppressive agents such as azathioprine or cyclosporine. No effective therapy exists 755 for pulmonary fibrosis, and the treatment is primarily supportive with supplemental oxygen. Pulmonary toxicity resulting from targeted anticancer agents including small-molecule inhibitors and immunotherapy agents can be potentially life-threatening and often leads to drug discontinuation. Noninfectious pneumonitis is associated with cough, dyspnea, and infiltrates on chest imaging and has been reported to be associated with anti-VEGF agents (sunitinib, sorafenib), epidermal growth factor receptor (EGFR) inhibitors (cetuximab, afatinib), and the ALK inhibi tor crizotinib. The antibody-drug conjugate brentuximab vedotin may also cause severe pulmonary toxicity. The onset of drug-induced pneu monitis can be rapid, and prompt use of glucocorticoids is important once infectious causes are excluded. Severe pneumonitis is a reason to discontinue the offending drug permanently. IMMUNE SYSTEM DYSFUNCTION A significant risk of most anticancer treatment is cumulative effects on the host immune system leading to a higher risk of second malignan cies and impaired long-term immune health. Second malignancies in cancer survivors are a major cause of death, and up to 20% of all cancer diagnoses now occur in cancer survivors. The risk of second malignancies is related to genetic susceptibility, environmental expo sures, and specific cancer treatments. Often, the risk factors that led to the primary cancer remain, and a risk of a second malignancy persists. Genetic cancer syndromes (e.g., multiple endocrine neoplasia or Li Fraumeni, Lynch’s, Cowden’s, and Gardner’s syndromes) are examples of genetically based second malignancies of specific types, and specific cancer treatments do not increase the risk of secondary malignancies. Genetic disorders that result in DNA repair deficiencies including ataxia-telangiectasia, Bloom’s syndrome, </w:t>
      </w:r>
      <w:r w:rsidR="00A6019F" w:rsidRPr="00A6019F">
        <w:lastRenderedPageBreak/>
        <w:t xml:space="preserve">and Fanconi’s anemia greatly increase the lifetime risk of cancers as well as the risks associated with DNA-damaging agents. Importantly, the risk of treatment-related sec ond malignancies is greatly increased when radiation is combined with chemotherapy, and for such combined-therapy treatment approaches, it is important to establish the necessity of each component in the treat ment program. Patients receiving radiation have a lifelong risk of second malig nancies that is 1–2% in the second decade following treatment but increases to &gt;25% after 25 years and does not appear to plateau. The risk of second malignancies from radiation is dose-dependent and often occurs within the treatment field. Common radiation-related solid tumors include central nervous system (CNS), breast, bladder, colon, stomach, liver, lung, and thyroid cancers and sarcomas, which are often aggressive and have a poor prognosis. The age of the patient when they receive radiation affects their risk, and younger patients are more vulnerable to second malignancies. An example of an organ-, age-, and sex-dependent radiation-induced secondary malignancy is breast cancer, in which the risk is small with radiation in women aged older than 30 years but increases about 20-fold over baseline in women aged younger than 30 years. Females with Hodgkin’s lymphoma who receive radiation have a cumulative risk of 25% for developing breast cancer at 30 years after treatment. Chemotherapy is significantly associated with two second malig nancies: acute leukemia and myelodysplastic syndromes. Two types of secondary leukemia have been described; in patients treated with alkylating agents, acute myeloid leukemia is associated with deletions in chromosome 5 or 7 and complex karyotypes and often is preceded by myelodysplasia. The lifetime risk is about 1–5%, is increased by radiation therapy, and increases with age. The incidence of these leu kemias peaks at 5–8 years after therapy, with risk returning close to baseline at 10 years. The other type of acute myeloid leukemia is related to therapy with topoisomerase inhibitors, is associated with chromo some 11q23 translocations, has an incidence of 9 g/m2 and with high-intensity therapy, such as that used in hematopoietic stem cell transplantation. All patients should be counseled on the potential impact on fertility, and sperm, oocyte, and embryo cryopreservation are now routinely performed prior to therapy in patients of child-bearing age. Some evidence suggests that gonadotropin-releasing hormone agonists given concurrently with chemotherapy may improve the resumption of menses, but long-term data on fertility preservation are lacking and this should not replace oocyte harvesting. In vitro fertilization can be helpful to couples with chemotherapy-induced infertility. Combination chemotherapy and aromatase inhibitors can impair bone health, and older patients may be more susceptible to these effects. Due to the combined risk of age-related osteoporosis and the effect of therapy, the risk of fractures in patients over the age of 70 years may be as high as 5–10% within a few years of finishing therapy. The risk of low bone mineral density is highest in certain high-risk groups including childhood cancer survivors, breast cancer patients, and those who have undergone hematopoietic stem cell transplant. ICIs that target CTLA-4 and PD-1 have led to serious chronic tox icities including the breaking of self-tolerance and the </w:t>
      </w:r>
      <w:r w:rsidR="00A6019F" w:rsidRPr="00A6019F">
        <w:lastRenderedPageBreak/>
        <w:t xml:space="preserve">autoimmune destruction of certain endocrine organs, particularly the thyroid and adenohypophysis (anterior pituitary). Hypophysitis is more commonly reported in association with CTLA-4 inhibitors, whereas thyroid dys function is more common with PD-1 inhibitors. Most immune-related toxicities occur within 8–12 weeks of starting treatment, but they can occur at any time during treatment or even after therapy has stopped. Patients with autoimmune thyroiditis or hypophysitis require lifelong hormone replacement, and early recognition is important. TKIs have been associated with various endocrine-related toxicities, with hypothyroidism being the most common. Virtually all glands can be affected by TKIs, however, and adrenal insufficiency, growth retardation, increased bone turnover, and hypogonadism have all been reported. Growth deceleration is problematic in children, par ticularly when treatment is initiated before puberty. The mechanism is postulated to be related to disruptions in growth hormone signaling or inhibition of the insulin-like growth factor 1 (IGFR-1) receptor. Endocrine effects that have been reported to be associated with other small-molecule inhibitors include alterations in bone remodeling, reduced calcium and vitamin D levels, thyroid dysfunction, gonadal dysfunction, adrenal dysfunction, and altered glucose metabolism. Thyroid function tests should be monitored periodically while patients are on these targeted agents, and replacement hormones and/or vita mins should be prescribed as necessary. Careful consideration should be made to keep patients on therapy with limited dose reduction or interruption while managing the symptoms of glandular dysfunction. NEUROLOGIC DYSFUNCTION Delayed radiation CNS toxicity occurs weeks to months following therapy; is associated with nausea, drowsiness, hypersomnia, and ataxia; and is pathologically associated with reversible demyelination. Chronic, late radiation injury occurs 9 months to up to 10 years fol lowing therapy, and dysfunction increases over time. Diffuse radia tion injury is associated with global CNS neurologic dysfunction and diffuse white matter changes on computed tomography (CT) or MRI. Pathologically, small vessel changes are prominent and focal necro sis is common. Prophylactic cranial irradiation in both childhood and adult leukemias/lymphomas has largely been abandoned due to the acute and long-term effects of therapy. Glucocorticoids may be symptomatically useful for acute toxicities but do not alter the course. Psychostimulants such as methylphenidate may improve attention and executive functioning in childhood survivors. In children and adolescent cancers, younger age, higher cranial irradiation dose, larger brain volumes irradiated, and longer treatment times are associated with worse neurocognitive outcomes. In adult cancers, patients over the age of 60 who receive whole-brain radiation therapy are at high risk for neurocognitive impairment after therapy. Genetic polymorphisms may be associated with an increased risk of neurocognitive problems, and emerging evidence suggests polymor phisms in the folate pathway, oxidative stress genes, and enzymes that regulate both catecholamines and deamination of amines are associ ated with individual risk. The most common chemotherapy-related neurologic toxicities that manifest in cancer survivors are </w:t>
      </w:r>
      <w:r w:rsidR="00A6019F" w:rsidRPr="00A6019F">
        <w:lastRenderedPageBreak/>
        <w:t xml:space="preserve">peripheral neuropathy and cognitive impairment. Vinca alkaloids produce a characteristic “stocking-glove” neuropathy with pain, numbness, and tingling and increased sensi tivity to temperature advancing to loss of motor function, which is highly dose related. Distal sensorimotor polyneuropathy prominently involves loss of deep tendon reflexes with initially loss of pain and tem perature sensation, followed by proprioceptive and vibratory loss. The mechanism is axonal degeneration leading to myelin loss with some contribution of alterations in neurotransmitter signaling. Risk factors for peripheral neuropathy include preexisting neuropathies, diabetes mellitus, and older age. Genetic predictors and biomarkers to identify patients at the highest risk are the subject of ongoing research. The most effective management is prevention of acute toxicities resulting in permanent damage. This requires careful patient history and physi cal examination by experienced oncologists to decide when the drug must be stopped or reduced to prevent permanent damage, which can have a profound effect on the ability to deliver further therapy. Milder toxicity often slowly completely resolves after treatment discontinua tion. Cisplatin is associated with sensorimotor neuropathy and hearing loss, especially at doses &gt;400 mg/m2, requiring audiometry in patients with preexisting hearing compromise. Carboplatin is often substituted in such cases given its lesser effect on hearing. Chemotherapy-related cognitive impairment, or “chemo brain,” occurs in nearly 35% of all cancer survivors and has a profound impact on functional ability and the health-related quality of life after therapy. It is clinically associated with impaired memory, learning, attention, executive functioning, and speed of information processing. The mechanisms are postulated to involve alterations in neurodegen eration, immune dysregulation, and cytokine production. No effective therapy has been identified, although regular exercise and cognitive rehabilitation are associated with improved symptoms. Most symptoms improve within a year of therapy, but symptoms can persist in 10–20% of patients for extended periods of time. Antibody-drug conjugates (ADCs) are novel therapies in which a monoclonal antibody targeted to a tumor antigen is attached to a potent anticancer agent via a chemical linker. Often, these agents are associ ated with significant central and peripheral neurotoxicity, as has been described with agents such as brentuximab vedotin and pertuzumab. 757 These neuropathies often emerge during treatment similar to those seen with chemotherapy and are dose dependent. Early recognition of treatment-emergent neuropathy induced by ADCs mandates dose interruption or modification to less frequent dosing schedules in order for patients to remain on therapy. ICIs have been associated with auto immune complications and unique neurologic manifestations such as optic neuritis that may be reversible after glucocorticoids. Newer molecularly targeted agents and immunotherapy have also been associated with neurologic dysfunction and may exacerbate persistent neuropathy from prior therapy. Proteasome inhibitors are associated with neuropathic pain and motor neuropathy that can occur immediately or be delayed in onset. The proposed mechanism is through enhanced oxidative stress on neural cells. Subcutaneous administration of these agents is associated with less </w:t>
      </w:r>
      <w:r w:rsidR="00A6019F" w:rsidRPr="00A6019F">
        <w:lastRenderedPageBreak/>
        <w:t xml:space="preserve">peripheral neu ropathy than intravenous infusions. Immunotherapy agents such as CAR-T therapies and bispecific monoclonal antibodies targeting both T cells and B cells are associated with significant acute neurotoxicity known as immune effector cell–associated neurotoxicity syndrome (ICANS). Symptoms of ICANS include confusion, encephalopathy, seizures, and cerebellar symptoms. These symptoms are hypothesized to be related to the CRS associated with these therapies and often are time limited. However, a minority of patients treated with these agents will have persistent central and neurologic dysfunction for which man agement is mainly supportive. Management guidelines to prevent and treat ICANS have been developed and include rapid delivery of gluco corticoids during the acute onset of symptoms along with supportive care. Notably, treatment with IL-6 receptor antagonists such as tocili zumab, which are effective for decreasing the severity of CRS, is largely ineffective at preventing neurologic toxicities. Progressive multifocal leukoencephalopathy (PML) is a rare but serious brain infection that is caused by the JC virus and has been reported as a rare complication of treatment with rituximab, ibrutinib, and PI3K inhibitors. The inflam matory response to the virus presents as unifocal or multifocal hyper intense lesions involving the subcortical white matter that are best seen on T2/fluid-attenuated inversion recovery (FLAIR) images on MRI. Treatment is supportive and includes removal of the offending agent. HEPATIC AND GASTROINTESTINAL DYSFUNCTION Long-term hepatic damage from standard chemotherapy regimens is rare. High-dose chemotherapy alone or with radiation therapy in preparative regimens for bone marrow transplantation may result in venoocclusive disease of the liver. This potentially lethal complication classically presents with anicteric ascites, elevated alkaline phospha tase, and hepatosplenomegaly. Pathologically, there is venous conges tion, epithelial cell proliferation, and hepatocyte atrophy progressing to frank fibrosis. Frequent monitoring of liver function tests during any chemotherapy is necessary to avoid both idiosyncratic and expected toxicities. Hepatic radiation damage depends on dose, volume, frac tionation, preexisting liver disease, and synchronous or metachronous chemotherapy. In general, radiation doses to the liver &gt;1500 cGy can produce hepatic dysfunction with a steep dose-injury curve. Radiation induced liver disease closely mimics hepatic venoocclusive disease. Novel targeted agents including immunotherapy agents have intro duced a number of hepatic and gastrointestinal toxicities that occur during the course of treatment and persist as long-term toxicities including hepatitis, colitis, malabsorption, and chronic diarrhea. Early signs of serious liver injury should lead to discontinuation of the offending agent as dose reductions do not reliably reduce further liver injury. The mechanisms for colitis or hepatitis associated with these targeted agents are not completely understood but are hypothesized to be T cell mediated, and prompt initiation of glucocorticoids is often effective. Diarrhea with or without severe colitis can be associated with virtually all targeted agents through a variety of mechanisms including BCR-ABL inhibitors, BTK inhibitors, EGFR inhibitors, MEK inhibitors, CDK inhibitors, and immunomodulatory agents. Even if the diarrhea is </w:t>
      </w:r>
      <w:r w:rsidR="00A6019F" w:rsidRPr="00A6019F">
        <w:lastRenderedPageBreak/>
        <w:t xml:space="preserve">not severe, the impact associated with indefinite treatment greatly interferes with the quality of life and often leads to discon tinuation of targeted therapy. Immunomodulatory agents including lenalidomide are associated with late onset of diarrhea that is caused by bile acid malabsorption and often responds to bile acid sequestrants. ICIs are associated with colitis and hepatitis that may be responsive to prompt initiation of glucocorticoids that may require a long taper over many months. RENAL AND BLADDER DYSFUNCTION Cisplatin produces reversible decrements in renal function but may also produce severe irreversible toxicity in the presence of preexisting renal disease and may predispose to additional damage with subse quent therapy. Cyclophosphamide and ifosfamide are prodrugs pri marily activated in the liver with cleavage products (acrolein) that can produce hemorrhagic cystitis. This can be prevented with the free radi cal scavenger MESNA (mercaptoethane sulfonate), which is required for ifosfamide administration. Hemorrhagic cystitis is most commonly an acute toxicity but may become a chronic and recurrent problem as long as 20 years after therapy. A number of targeted agents, including anti-VEGF agents, FLT3 inhibitors, and BTK inhibitors, are associated with systemic hyperten sion, which can lead to late effects or a progressive decline in renal function. Pharmacovigilance studies have recently identified a link between the chronic use of BCR-ABL inhibitors and the late effects of chronic renal failure and the nephrotic syndrome. Renal dysfunc tion following ICIs is uncommon, but acute interstitial nephritis can occur. Similar to other immune-related toxicities, this acute toxicity requires prompt use of glucocorticoids to avoid long-term effects on renal function. PSYCHOLOGICAL DYSFUNCTION AND SOCIOECONOMIC IMPACT OF SURVIVORSHIP The diagnosis and treatment of cancer can introduce psychological effects that continue throughout life. Cancer survivors are at increased risk for anxiety, depression, attention problems, and posttraumatic stress syndromes. Many cancer patients experience intrusive or debili tating concerns about cancer recurrence following therapy. In addi tion, these patients may experience socioeconomic stressors that affect employment, insurance, and relationships and lead to financial and/ or sexual difficulties. Survivors of childhood cancers are less likely to graduate from college or gain full-time employment than their peers and are more likely to engage in risky health behaviors such as sub stance abuse and excessive alcohol use. The long-term psychosocial effects of treatment are greatest in patients who undergo CNS-directed therapies and intensive combination chemotherapy regimens. One of the most challenging long-term effects of cancer therapy is cancer related fatigue (CRF) that occurs in up to 60% of patients during treat ment and may persist as physical, cognitive, or emotional exhaustion for years after therapy. The precise etiology of CRF is unclear, but it has a strong association with impaired sleep and lower physical activ ity. Patients with CRF have higher levels of proinflammatory cytokines such as IL-1, IL-6, and C-reactive protein, which may be therapeutic targets. Oncologists should ask about physical, emotional, and cogni tive issues explicitly with patients and provide appropriate counseling or support systems. The overall risk of </w:t>
      </w:r>
      <w:r w:rsidR="00A6019F" w:rsidRPr="00A6019F">
        <w:lastRenderedPageBreak/>
        <w:t xml:space="preserve">suicidal ideation and suicide is low but is greater in cancer patients and survivors than age-matched controls. Tailored cognitive-behavioral therapy may improve the anxi ety and posttraumatic stress associated with cancer survivorship. Psy chostimulants including methylphenidate and modafinil are modestly effective at treating the symptoms associated with CRF, but further studies are needed. CHAPTER 100 Cancer Survivorship and the Long-Term Impact of Cancer and Its Treatment CANCER SURVIVORSHIP CARE PLANS Survivorship starts at the time of diagnosis and continues indefinitely. Prevention of late effects may be improved with the implementation of risk-stratification tools prior to therapy. After therapy is initiated, focused surveillance plans for late effects are critical for early detec tion and implementation of interventions but also must include risk stratification to avoid unnecessary surveillance testing that leads to overdiagnosis and/or psychological distress. Survivorship care has 758 Rowland JH et al: Survivorship science at the NIH: Lessons learned from grants funded in fiscal year 2016. J Natl Cancer Inst 111:109, 2019. Shapiro CL: Cancer survivorship. N Engl J Med 379:2438, 2018. Shapiro CL et al: ReCAP: ASCO core curriculum for cancer survivor ship education. J Oncol Pract 12:e08, 2016. Shree T et al: Impaired immune health in survivors of diffuse large B-cell lymphoma. J Clin Oncol 38:1664, 2020. Turcotte LM et al: Risk, risk factors, and surveillance of subsequent malignant neoplasms in survivors of childhood cancer: A review. J Clin Oncol 36:2145, 2018. Section 2 Hematopoietic Disorders PART 4 Oncology and Hematology 101 Hematopoietic Stem Cells David T. Scadden, Dan L. Longo traditionally been performed by oncologists, but the magnitude of the problem mandates that primary care providers and preventive medi cine specialists be trained in the follow-up of treated cancer patients in remission or undergoing chronic therapy. All former cancer patients should undergo surveillance for recurrence and second malignancies and be monitored for long-term effects of treatment; however, nearly all recurrences are detected because of symptoms. Health promotion and disease prevention with age- and sex-specific routine screening tests (e.g., colonoscopy, Pap smears, mammography, human papillo mavirus vaccination, dual-energy x-ray absorptiometry scans) should be a focus of survivorship care along with psychosocial well-being. Annual mammography should start no later than 10 years after breast radiation. Patients receiving radiation fields encompassing thyroid tis sue should have regular thyroid examinations and TSH testing. Local ized pain or palpable abnormality in a previously radiated field should prompt radiographic evaluation. Patients treated with alkylating agents or topoisomerase inhibitors should have a complete blood count every 6–12 months, and cytopenias, abnormal cells on peripheral smear, or macrocytosis should be evaluated with bone marrow biopsy and aspi rate and include cytogenetics, flow cytometry, or fluorescence in situ hybridization (FISH) studies as appropriate. As the population of cancer survivors increases and patients live longer, cancer survivorship has become increasingly important, and the Institute of Medicine and National Research Council have pub lished a monograph entitled From Cancer Patient to Cancer Survivor: Lost in Transition. The monograph proposes a plan </w:t>
      </w:r>
      <w:r w:rsidR="00A6019F" w:rsidRPr="00A6019F">
        <w:lastRenderedPageBreak/>
        <w:t xml:space="preserve">that would inform clinicians caring for cancer survivors of the complete details of patients’ previous treatments, complications thereof, signs and symptoms of late effects, and recommended screening and follow-up procedures. OUTLOOK Survivorship care is a burgeoning problem facing oncologists today. The challenge is to develop cancer treatments that maximize clini cal benefit including cure of disease while also mitigating the risks of long-term toxicity. As cancer treatments continue to improve, the prevalence of cancer survivors increases along with an increase in life expectancy. Further, since emerging therapies often have improved tolerability profiles, a greater number of patients with advanced age or comorbid medical conditions will become cancer survivors with per sistent treatment-related toxicities. As treatment paradigms continue to evolve, the nature and biologic basis for toxicities will change and phar macovigilance of new therapies is critical. Advances in genomic medi cine may allow for more risk-stratified personalized care. The choice of therapy needs to be tailored to the type of cancer, expected outcomes, and patient-related risk factors for both acute and long-term toxicities. After therapy is complete, longitudinal monitoring of the health and health-related quality of life of cancer survivors is critical since the inci dence of late effects of treatment does not appear to plateau over time. Acknowledgment We would like to acknowledge the contribution of Carl E. Freter who coauthored a previous version of this chapter; material from his chapter was retained in this version. </w:t>
      </w:r>
      <w:r w:rsidR="00A6019F" w:rsidRPr="00A6019F">
        <w:rPr>
          <w:rFonts w:ascii="Arial" w:hAnsi="Arial" w:cs="Arial"/>
        </w:rPr>
        <w:t>■</w:t>
      </w:r>
      <w:r w:rsidR="00A6019F" w:rsidRPr="00A6019F">
        <w:t xml:space="preserve">FURTHER READING Armenian SH et al: Cardiovascular disease in survivors of childhood cancer: Insights into epidemiology, pathophysiology, and prevention. J Clin Oncol 36:2135, 2018. Brinkman TM et al: Psychological symptoms, social outcomes, socioeconomic attainment, and health behaviors among survivors of childhood cancer: Current state of the literature. J Clin Oncol 36:2190, 2018. Chow EJ et al: New agents, emerging late effects, and the development of precision survivorship. J Clin Oncol 36:2231, 2018. Ehrhardt MJ et al: Health care transitions among adolescents and young adults with cancer. J Clin Oncol 42:743, 2024. Lustberg MB et al: Mitigating long-term and delayed adverse events associated with cancer treatment: Implications for survivorship. Nat Rev Clin Oncol 20:527, 2023. All of the cell types in the blood and some cells in every tissue of the body are derived from hematopoietic (hemo: blood; poiesis: creation) stem cells. If the hematopoietic stem cell is damaged and can no longer function (e.g., due to a nuclear accident), a person would survive 2–4 weeks in the absence of extraordinary support measures. With the clinical use of hematopoietic stem cells, tens of thousands of lives are saved each year (Chap. 119). Stem cells produce hundreds of billions of blood cells daily from a stem cell pool that is estimated to be only 20,000–200,000. How stem cells do this, how they persist for many decades despite the production demands, and how they may be better used in clinical care are important issues in medicine. The study of blood cell production has become a paradigm for how other tissues may be organized and regulated. Basic research in hema topoiesis includes defining stepwise molecular changes accompanying functional changes in maturing cells, aggregating cells into functional subgroups, and </w:t>
      </w:r>
      <w:r w:rsidR="00A6019F" w:rsidRPr="00A6019F">
        <w:lastRenderedPageBreak/>
        <w:t xml:space="preserve">demonstrating hematopoietic stem cell regulation by a specialized microenvironment; these concepts are worked out in hematology and offer models for other tissues. Moreover, these con cepts may not be restricted to normal tissue function but extend to malignancy. CARDINAL FUNCTIONS OF HEMATOPOIETIC STEM CELLS All stem cell types have two cardinal functions: self-renewal and dif ferentiation (Fig. 101-1). Stem cells exist to generate, maintain, and repair tissues. They function successfully if they can replace a wide variety of shorter-lived mature cells over prolonged periods. The pro cess of self-renewal (see below) assures that a stem cell population can be sustained over time. Without self-renewal, the stem cell pool would become exhausted and tissue maintenance would not be possible. The process of differentiation leads to production of the effectors of tissue function: mature cells. Without proper differentiation, the integrity of tissue function would be compromised and organ failure or neoplasia would ensue. In the blood, mature cells have variable average life spans, ranging from hours for mature neutrophils to a few months for red blood cells to many years for memory lymphocytes. However, the stem cell pool is the central, durable source of all blood and immune cells, maintaining a capacity to produce a broad range of cells from a single cell source, yet keeping itself vigorous over decades of life. As an individual stem cell divides, it has the capacity to accomplish one of three division outcomes: two stem cells, two cells destined for differentiation, or one stem cell and one differentiating cell. The former two outcomes are the Self-renewal Stem cell 759 calcium-sensing receptor are important in the process of stem cells getting from the circulation to where they engraft in the bone marrow. This is particularly true in the developmental move from fetal liver to bone marrow. Stem cell Differentiation Differentiated cells FIGURE 101-1 Signature characteristics of the stem cell. Stem cells have two essential features: the capacity to differentiate into a variety of mature cell types and the capacity for self-renewal. Intrinsic factors associated with self-renewal include expression of Bmi-1, Gfi-1, PTEN, STAT5, Tel/Atv6, p21, p18, MCL-1, Mel-18, RAE28, and HoxB4. Extrinsic signals for self-renewal include Notch, Wnt, SHH, angiogenin, and Tie2/Ang-1. Based mainly on murine studies, hematopoietic stem cells express the following cell surface molecules: CD34, Thy-1 (CD90), c-Kit receptor (CD117), CD133, CD164, and c-Mpl (CD110, also known as the thrombopoietin receptor). result of symmetric cell division, whereas the latter indicates a different outcome for the two daughter cells—an event termed asymmetric cell division. The relative balance for these types of outcomes may change during development and under particular kinds of demands on the stem cell pool. </w:t>
      </w:r>
      <w:r w:rsidR="00A6019F" w:rsidRPr="00A6019F">
        <w:rPr>
          <w:rFonts w:ascii="Arial" w:hAnsi="Arial" w:cs="Arial"/>
        </w:rPr>
        <w:t>■</w:t>
      </w:r>
      <w:r w:rsidR="00A6019F" w:rsidRPr="00A6019F">
        <w:t xml:space="preserve">DEVELOPMENTAL BIOLOGY OF HEMATOPOIETIC STEM CELLS During development, blood cells are produced at different sites. Initially, the yolk sac provides oxygen-carrying red blood cells and many of the macrophage-like cells that are resident in tissues: cells like microglia in the brain. The placenta and several sites of intraembryonic blood cell production then become involved in sequential order. These move from the genital ridge at a site where the aorta, gonadal tissue, and mesonephros are emerging to the fetal liver and then, in the sec ond trimester, to the bone marrow </w:t>
      </w:r>
      <w:r w:rsidR="00A6019F" w:rsidRPr="00A6019F">
        <w:lastRenderedPageBreak/>
        <w:t xml:space="preserve">and spleen. As the location of stem cells changes, the cells they produce also change. The yolk sac provides red cells expressing embryonic hemoglobins and tissue-resident mac rophages. Intraembryonic sites of hematopoiesis generate stem cells, red cells, platelets, and the circulating cells of innate immunity. The production of the cells of adaptive immunity occurs then as well but becomes robust as the thymus forms and the bone marrow is colonized in the second trimester. Stem cell proliferation remains high, even in the bone marrow, until shortly after birth, when it appears to dramati cally decline. The cells in the bone marrow are thought to arrive by the bloodborne transit of cells from the fetal liver after calcification of the long bones has begun. The presence of stem cells in the circulation is not unique to a time window in development, however, as hemato poietic stem cells circulate throughout life. The time that stem cells spend freely circulating appears to be brief (measured in minutes in the mouse), but the stem cells that do circulate are functional and can be used for transplantation. The number of stem cells that circulate can be increased in a number of ways to facilitate their harvest and transfer to the same or a different host. In the adult, the role for CXCR4 is in retention of stem cells in the bone marrow as well as getting them there. Interrupting that retention process through specific molecular blockers of the CXCR4/CXCL12 interaction, cleavage of CXCL12, or downregulation of the CXCR4 receptor can result in the release of stem cells into the circulation. This process is an increasingly important aspect of recovering stem cells for therapeutic use as it has permitted the harvesting process to be done by leukapheresis rather than bone marrow punctures in the operating room. Granulocyte colony-stimulating factor and plerixafor, a mac rocyclic compound that can block CXCR4, are both used clinically to mobilize marrow hematopoietic stem cells for transplant. </w:t>
      </w:r>
      <w:r w:rsidR="00A6019F" w:rsidRPr="00A6019F">
        <w:rPr>
          <w:rFonts w:ascii="Arial" w:hAnsi="Arial" w:cs="Arial"/>
        </w:rPr>
        <w:t>■</w:t>
      </w:r>
      <w:r w:rsidR="00A6019F" w:rsidRPr="00A6019F">
        <w:t xml:space="preserve">HEMATOPOIETIC STEM CELL MICROENVIRONMENT The concept of a specialized microenvironment, or stem cell niche, was first proposed to explain why cells derived from the bone marrow of one animal could be used in transplantation and again be found in the bone marrow of the recipient. This niche is more than just a housing site for stem cells, however. It is an anatomic location where regula tory signals are provided that allow the stem cells to thrive, to expand if needed, and to provide varying amounts of descendant daughter cells. In addition, unregulated growth of stem cells may be problematic based on their undifferentiated state and self-renewal capacity. Thus, the niche also regulates the number of stem cells produced. In this manner, the niche has the dual function of serving as a site of nurture but imposing limits for stem cells: in effect, acting as both a nutritive and constraining home. The niche for blood stem cells changes with each of the sites of blood production during development, but for most of human life, it is located in the bone marrow. Within the bone marrow, the perivascular space particularly in regions of trabecular bone serves as a niche. The mesenchymal and endothelial cells of the marrow microvessels pro duce kit ligand and CXCL12, both known to be important for hema topoietic stem cells. Other cell types, such as sympathetic neurons, nonmyelinating Schwann cells, macrophages, megakaryocytes, </w:t>
      </w:r>
      <w:r w:rsidR="00A6019F" w:rsidRPr="00A6019F">
        <w:lastRenderedPageBreak/>
        <w:t xml:space="preserve">osteo clasts, and osteoblasts, have been shown to regulate stem cells, some by direct and others by indirect effects. Extracellular matrix proteins like osteopontin and heparan sulfates also affect stem cell function. The endosteal region appears to be particularly important for transplanted cells, in part because many of the mesenchymal cells and sinusoidal blood vessels of the central marrow are disrupted by the conditioning regimens used to prepare a patient for transplantation. The function ing of the niche as a supportive context for stem cells is of obvious importance for maintaining hematopoiesis and in transplantation. An active area of study involves determining whether the niche is altered in disease as experimental models have shown that mutations in niche cells can lead to myeloid malignancies. CHAPTER 101 Hematopoietic Stem Cells </w:t>
      </w:r>
      <w:r w:rsidR="00A6019F" w:rsidRPr="00A6019F">
        <w:rPr>
          <w:rFonts w:ascii="Arial" w:hAnsi="Arial" w:cs="Arial"/>
        </w:rPr>
        <w:t>■</w:t>
      </w:r>
      <w:r w:rsidR="00A6019F" w:rsidRPr="00A6019F">
        <w:t xml:space="preserve">EXCESS CAPACITY OF HEMATOPOIETIC STEM CELLS </w:t>
      </w:r>
      <w:r w:rsidR="00A6019F" w:rsidRPr="00A6019F">
        <w:rPr>
          <w:rFonts w:ascii="Arial" w:hAnsi="Arial" w:cs="Arial"/>
        </w:rPr>
        <w:t>■</w:t>
      </w:r>
      <w:r w:rsidR="00A6019F" w:rsidRPr="00A6019F">
        <w:t xml:space="preserve">MOBILITY OF HEMATOPOIETIC STEM CELLS Cells entering and exiting the bone marrow do so through a series of molecular interactions. Circulating stem cells (through CD162 and CD44) engage the lectins (carbohydrate binding proteins) P- and E-selectin on the endothelial surface to slow the movement of the cells to a rolling phenotype. Stem cell integrins are then activated and accomplish firm adhesion between the stem cell and vessel wall, with a particularly important role for stem cell VCAM-1 engaging endothelial VLA-4. The chemokine CXCL12 (SDF1) interacting with stem cell CXCR4 receptors and ionic calcium interacting with the In the absence of disease, one never runs out of hematopoietic stem cells. Indeed, serial transplantation studies in mice suggest that suf ficient stem cells are present to reconstitute several animals in succes sion, with each animal having normal blood cell production. The fact that allogeneic stem cell transplant recipients also never run out of blood cells over decades argues that even the limiting numbers of stem cells provided to them are sufficient. How stem cells respond to dif ferent conditions to increase or decrease their mature cell production remains poorly understood. Clearly, negative feedback mechanisms affect the level of production of most of the cells, leading to the normal tightly regulated blood cell counts. However, many of the regulatory mechanisms that govern production of more mature progenitor cells do not apply or apply differently to stem cells. Similarly, most of the molecules shown to be able to change the size of the stem cell pool have little effect on more mature blood cells. For example, the growth 760 factor erythropoietin, which stimulates red blood cell production from precursor cells, has no effect on stem cells. Similarly, granulocyte colony-stimulating factor drives the rapid proliferation of granulocyte precursors but has little or no effect on the cell cycling of stem cells. Rather, it changes the location of stem cells by indirect means, altering molecules such as CXCL12 that tether stem cells to their niche. Mole cules shown to be important for altering the proliferation, self-renewal, or survival of stem cells, such as cyclin-dependent kinase inhibitors, transcription factors like Bmi-1, microRNA-processing enzymes like Dicer, or even metabolic regulators like pyruvate kinase isoforms, have little or different effects on progenitor cells. Hematopoietic stem cells have governing mechanisms that are distinct from the cells they generate. </w:t>
      </w:r>
      <w:r w:rsidR="00A6019F" w:rsidRPr="00A6019F">
        <w:rPr>
          <w:rFonts w:ascii="Arial" w:hAnsi="Arial" w:cs="Arial"/>
        </w:rPr>
        <w:lastRenderedPageBreak/>
        <w:t>■</w:t>
      </w:r>
      <w:r w:rsidR="00A6019F" w:rsidRPr="00A6019F">
        <w:t xml:space="preserve">HEMATOPOIETIC STEM CELL DIFFERENTIATION Hematopoietic stem cells sit at the base of a branching hierarchy of cells culminating in the many mature cell types that compose the blood and immune system (Fig. 101-2). The maturation steps leading to terminally differentiated and functional blood cells take place both as a consequence of intrinsic changes in gene expression and external, PART 4 Oncology and Hematology Stem Cells Hematopoietic stem cell cMyb Multipotent Progenitor Progenitor Cells LEF1, E2A, EBF, PAX-5 Common Lymphoid Progenitor IL7 B-Cell Progenitor NOTCH1 IL7 IKAROS PU1 IL7 Lympho myeloid Potent Progenitor Hox, Pbx1, SCL, GATA2, NOTCH SCF TPO T/NK Cell Progenitor niche-directed or cytokine-directed changes in the cells. Our knowl edge of the details remains incomplete. As stem cells mature to pro genitors, precursors, and, finally, mature effector cells, they undergo a series of functional changes. These include the acquisition of functions defining mature blood cells, such as phagocytic capacity or hemoglobin synthesis. They also include the progressive loss of plasticity (i.e., the ability to become other cell types). For example, some myeloid progeni tors can make all cells in the myeloid series but none in the lymphoid series. As common myeloid progenitors mature, they become precur sors for either monocytes and granulocytes or erythrocytes and mega karyocytes, but not both. Some amount of reversibility of this process may exist early in the differentiation cascade, but that is lost beyond a distinct stage in normal physiologic conditions. As cells differentiate, they may also lose proliferative capacity (Fig. 101-3). Mature granulocytes are incapable of proliferation and only increase in number by increased production from precursors. The exceptions to the rule are some tissue-resident macrophages, which appear capable of proliferation, and lymphoid cells. Lymphoid cells retain the capacity to proliferate but have linked their proliferation to the recognition of particular proteins or peptides by specific antigen Lineage Committed Precursors Aiolos, PAX-5, AML-1 IL4 E2A, NOTCH1, GATA3 IL7 NOTCH1 IL7 T-Cell Progenitor NK Cell Progenitor FLT-3 Ligand RelB, ICSBP, ld2 FLT-3 Ligand Granulocyte Monocyte Progenitor GM-CSF Common Myeloid Progenitor Mature Cells B Cell IKAROS, NOTCH,CBF1 IL2 Id2, Ets-1 IL15 Monocyte Progenitor GATA1, FOG NF-E2, SCL Rbtn2 IL3, SCF TPO Megakaryocyte Erythroid Progenitor Granulocyte Progenitor Erythrocyte Progenitor EPO Egn1, Myb M-CSF C/EBPα G-CSF IL3, SCF GATA1 EPO Megakaryocyte Progenitor TPO Fli-1 AML-1 C/EBPε IL5 T Cell NK Cell Plasmacytoid Dendritic Cell Monocytoid Dendritic Cell Monocyte Granulocyte Basophil Mast Cell Eosinophil RBCs Platelets TPO FIGURE 101-2 Hierarchy of hematopoietic differentiation. Stem cells are multipotent cells that are the source of all descendant cells and have the capacity to provide either long-term (measured in years) or short-term (measured in months) cell production. Progenitor cells have a more limited spectrum of cells they can produce and are generally a shorter-lived, highly proliferative population also known as transient amplifying cells. Precursor cells are cells committed to a single blood cell lineage but with a continued ability to proliferate; they do not have all the features of a fully mature cell. Mature cells are the terminally differentiated product of the differentiation process and are the effector cells of specific </w:t>
      </w:r>
      <w:r w:rsidR="00A6019F" w:rsidRPr="00A6019F">
        <w:lastRenderedPageBreak/>
        <w:t xml:space="preserve">activities of the blood and immune system. Progress through the pathways is mediated by alterations in gene expression. The regulation of the differentiation by soluble factors and cell-cell communications within the bone marrow niche are still being defined. The transcription factors that characterize particular cell transitions are illustrated on the arrows; the soluble factors that contribute to the differentiation process are in blue. This picture is a simplification of the process. Active research is revealing multiple discrete cell types in the maturation of B cells and T cells and has identified cells that are biased toward one lineage or another (rather than uncommitted) in their differentiation. EPO, erythropoietin; RBC, red blood cell; SCF, stem cell factor; TPO, thrombopoietin. 761 Stem Progenitor Precursor Mature Differentiation state More Self-renewal ability Proliferation activity FIGURE 101-3 Relative function of cells in the hematopoietic hierarchy. The boxes represent distinct functional features of cells in the myeloid (upper box) versus lymphoid (lower box) lineages. receptors on their surface. Like many tissues with short-lived mature cells such as the skin and intestine, blood cell proliferation is largely accomplished by a more immature progenitor population. In general, cells within the highly proliferative progenitor cell compartment are also relatively short-lived, making their way through the differentia tion process in a defined molecular program involving the sequential activation of particular sets of genes. For any particular cell type, the differentiation program is difficult to speed up. The time it takes for hematopoietic progenitors to become mature cells is ~10–14 days in humans, evident clinically by the interval between cytotoxic chemo therapy and blood count recovery in patients. Although hematopoietic stem cells are generally thought to have the capacity to form all cells of the blood, individual stem cells are hetero geneous in their differentiation potential. That is, some stem cells are “biased” to become mature cells of a particular type. In addition, indi vidual stem cells may respond differently to proliferation or cell death signals. Therefore, the stem cell population is an aggregate of cells with somewhat distinctive properties that have the collective characteristics ascribed to hematopoietic stem cells. </w:t>
      </w:r>
      <w:r w:rsidR="00A6019F" w:rsidRPr="00A6019F">
        <w:rPr>
          <w:rFonts w:ascii="Arial" w:hAnsi="Arial" w:cs="Arial"/>
        </w:rPr>
        <w:t>■</w:t>
      </w:r>
      <w:r w:rsidR="00A6019F" w:rsidRPr="00A6019F">
        <w:t xml:space="preserve">SELF-RENEWAL AND CLONAL DYNAMICS Self-renewal is the ability to divide while preserving an undifferentiated state. This stem cell characteristic is generally not seen in progenitor or mature cells where proliferation is coupled with progressive differen tiation. Stem cells being able to asymmetrically divide, such that one daughter cell is the product of self-renewal and the other enters into the differentiating progenitor pool, enables the hematopoietic system to have a modestly sized pool of stem cells yet produce seven orders of magnitude greater numbers of mature blood cells each day. Self-renewal has its risks, however. Genetic mutations that occur in a stem cell will durably persist in stem cells because of self-renewal. In contrast, mutations in progenitors will largely be lost as the cells terminally differentiate and die. It is the stem cell then that has greater potential to accumulate genetic mutations, a setting that can lead to cancer. Countering this risk is the small number of stem cells, the radioprotective environment of their bone localized niche, and the relative quiescence of stem cells. Stem cells have distinctive cell cycle </w:t>
      </w:r>
      <w:r w:rsidR="00A6019F" w:rsidRPr="00A6019F">
        <w:lastRenderedPageBreak/>
        <w:t xml:space="preserve">regulation. Some are deeply qui escent, serving as a deep reserve, whereas others are more proliferative and replenish the short-lived progenitor population. Hematopoietic stem cells are generally cytokine-resistant, remaining dormant even when cytokines drive bone marrow progenitors to proliferation rates measured in hours. Stem cells, in contrast, are thought to divide at far longer intervals, measured in months to years, for the most quiescent cells. This quiescence is difficult to overcome in vitro, limiting the abil ity to effectively expand human hematopoietic stem cells. The process may be controlled by particularly high levels of cyclin-dependent kinase inhibitors like p57 or CDKN1c that restrict entry of stem cells into the cell cycle by blocking the G1-S transition. Exogenous signals from the niche also appear to enforce quiescence, including angio genin, interleukin 18, and perhaps angiopoietin 1. Less Lymphoid exception (memory B and T cells) Individual stem cells may vary in their proliferation and self-renewal features. This can lead to distortions in the representation of any given clone of stem cells, a feature commonly seen with aging and often associated with acquired somatic mutations. Hematopoietic stem cells are estimated to acquire 17 somatic mutations with each year of life based on deep sequencing studies. Some of these appear to provide a fitness advantage to the stem cell as the presence of mutated or “variant” alleles contributing to &gt;1% of blood cells is virtually uniform by age 70. Furthermore, it is estimated that 10–20 such clones exist in individuals by 70, and in aggregate, those clones provide between 30 and 60% of the blood cells. Thus, the diversity of active stem cell clones declines with age with a likely accompanying reduced diversity of functions that each clone provides. Whether this contributes to immune alterations or other aspects of aging is to be determined. However, some expanded clones are associated with “driver” mutations observed in myelodys plasia and myeloid leukemias. These clones do have a low frequency of progression to overt neoplastic disease, and at least one of them, an inactivating mutation of TET2, can also increase adverse outcomes from a number of chronic inflammatory conditions. The most common mutations associated with clonal hematopoiesis are of epigenetic regulatory genes. For example, inactivating mutations of the DNA methyl transferase DNMT3a or the dioxygenase involved in DNA demethylation, TET2, are commonly found, as are mutations in ASXL1, a member of the polycomb family of genes whose products alter chromatin structure, a high-order DNA organization that affects transcription. Therefore, epigenetic control appears to be critical for homeostasis of the hematopoietic stem cell pool and constraining the outgrowth of potentially pathogenic stem cell clones. THE RELATIONSHIP OF STEM CELLS TO CANCER Some cancers have been shown to have a cellular hierarchy similar to normal tissues, with stem-like cells having the capacity to self-renew and differentiate. These stem-like cells can be experimentally trans planted into immunodeficient animals and initiate a new cancer. It is hypothesized that these stem-like cells may be the basis for disease relapse after therapy as they have distinctive molecular features from other cells in the cancer that may render them less vulnerable to therapies. Myeloid leukemias have been </w:t>
      </w:r>
      <w:r w:rsidR="00A6019F" w:rsidRPr="00A6019F">
        <w:lastRenderedPageBreak/>
        <w:t xml:space="preserve">experimentally shown to be consistent with this model. Focusing therapies on the stem-like cells as opposed to the bulk population of the cancer cells as a means to improve cure rates is an active area of investigation. CHAPTER 101 Hematopoietic Stem Cells Given that hematopoietic stem cells can accumulate genetic muta tions by virtue of their self-renewal, it is logically appealing to regard them as the likely cell source of leukemias. Experimental testing of this hypothesis has shown that stem cells are more likely to result in malignancy following an oncogenic mutation. However, some more mature populations with less well-defined self-renewal capability can also be transformed to malignancy. Therefore, self-renewal may also be acquired by mutation, and cancer stem-like cells need not have originated in normal stem cells. STEM CELLS AS TARGETS OF GENE THERAPY OR GENE EDITING The hematopoietic stem cell is the ideal cell target for genetic therapies intended to durably change the genome of blood cells. Because stem cells can persist for the lifetime of an individual, genetically modify ing them can provide curative therapies for genetic disorders such as hemoglobinopathies or congenital immunodeficiencies. The extensive cell proliferation with limited or no self-renewal among progenitor populations makes them less able to provide durable benefit if they are genetically modified. Therefore, modification of stem cells is criti cal and requires integration of the genetic therapy into the host cell’s 762 genome to persist. This is challenging because the relative quiescence of stem cells makes them less susceptible to the molecular events of integration of a transgene or editing of a target gene. Yet, many of these technical challenges have been overcome sufficiently that there are medicines composed of hematopoietic stem cells bearing a gene to offset a missing or defective gene for active cerebral adrenoleukodys trophy, β thalassemia, and sickle cell anemia. These are termed gene therapies as a full coding sequence of the abnormal gene is provided. There is also a gene-edited therapy for β thalassemia and sickle cell anemia based on CRISPR-based technology. CRISPR-Cas allows for selected deletion of regions of genes and is thus called gene editing. In the case of the hemoglobinopathies, a gene that suppresses fetal hemoglobin, BLC11A, is the target. Reducing BLC11A expression by editing leads to fetal hemoglobin expression that overcomes the abnor mal adult β hemoglobins causing β thalassemia and sickle cell anemia. These therapies are powerful new ways in which hematopoietic stem PART 4 Oncology and Hematology cells can be medically beneficial. By modifying the patient’s own cells, this type of hematopoietic stem cell therapy does not require immuno logic matching with a donor and avoids graft-versus-host disease. At present, it still involves myeloablative conditioning of the patient prior to receiving the cells as they are modified outside the body and must compete with endogenous stem cells in the bone marrow. Efforts to enable gene editing in vivo and thereby avoid transplantation are being actively investigated. </w:t>
      </w:r>
      <w:r w:rsidR="00A6019F" w:rsidRPr="00A6019F">
        <w:rPr>
          <w:rFonts w:ascii="Arial" w:hAnsi="Arial" w:cs="Arial"/>
        </w:rPr>
        <w:t>■</w:t>
      </w:r>
      <w:r w:rsidR="00A6019F" w:rsidRPr="00A6019F">
        <w:t xml:space="preserve">FURTHER READING Jacobsen SEW, Nerlov C: Haematopoiesis in the era of advanced single-cell technologies. Nat Cell Biol 1:2, 2019. Mitchell E et al: Clonal dynamics of haematopoiesis across the human lifespan. Nature 606:343, 2022. Weeks LD, Ebert BL: Causes and consequences of clonal </w:t>
      </w:r>
      <w:r w:rsidR="00A6019F" w:rsidRPr="00A6019F">
        <w:lastRenderedPageBreak/>
        <w:t xml:space="preserve">hematopoiesis. Blood 26:2235, 2023. 102 Iron Deficiency and Other Acquired Anemias Due to Decreased Erythrocyte Production Clara Camaschella, Domenico Girelli This chapter provides basic information on iron metabolism as an introduction to common anemias due to iron deficiency, inflamma tion, and aging, conditions in which alterations of iron balance play a prominent role. The pathogenetic mechanism of the anemia is hypop roliferation of the marrow precursors. IRON METABOLISM Iron is indispensable for multiple cell functions, including oxygen delivery, DNA replication and repair, metabolism, and energy pro duction: hence, it is conserved and reutilized. However, to prevent potential toxicity due to the propensity of free iron to generate reactive oxygen species, iron is always bound to proteins, and its homeostasis is tightly regulated. Body iron cycle and distribution are illustrated in Fig. 102-1. Iron is provided to all cells by transferrin, a bilobed glycoprotein of hepatic origin abundant in plasma (204–360 mg/dL), that binds iron within a single (monoferric) or both lobes (diferric transferrin). Transferrin carries only 3–4 mg of iron but has a fast turnover. To produce about 200 billion erythrocytes daily, erythroid precursors need about 20–25 mg of iron, mainly supplied by mac rophage recycling since dietary iron absorption is limited to 1–2 mg daily. Diferric transferrin binds with high affinity the iron importer transferrin receptor in all cells. The ligand-receptor complex is inter nalized via clathrin-coated pits to form the endosome. Released by low pH, iron is exported to cytosol by divalent metal transporter 1 (DMT1) and mainly used for heme and iron-sulfur cluster biosynthesis in mito chondria. Apotransferrin and transferrin receptor are recycled to cell surface and reutilized. Excess iron is safely sequestered by cytosolic ferritin, a large hollow shell formed by 24 (heavy and light) subunits in variable combination that stores iron into its central cavity, a process especially efficient in spleen macrophages. Ferritin is also secreted in blood where its concentration may be a marker of stored iron. In iron deficiency, cells can recover iron from ferritin by an autophagic process called ferritinophagy. Diferric transferrin also binds with lower affin ity the iron sensor transferrin receptor 2 on hepatocyte (Fig. 102-2A) and erythroid cell surface. Erythroblasts express the highest number of transferrin receptors (~300,000–400,000/cell) and take up iron only from transferrin. Receptors not bound to transferrin are protease cleaved and released into blood where their concentration as soluble receptor is an estimate of total or iron-deficient erythropoiesis. Trans ferrin receptor is indispensable to all hematopoietic cells from stem cells to neutrophils. Lymphocyte function is strongly iron-dependent, as shown by the immunodeficiency resulting from rare mutations in transferrin receptor that hamper iron uptake. In the liver, transferrin receptor has the extra function of hepcidin regulator, binding and sequestering the hemochromatosis protein HFE (Fig. 102-2A). Liver, pancreas, and heart, but not erythroblasts, can take up non-transferrin bound-iron (NTBI), which appears in the circulation when transferrin saturation exceeds 60%. No regulated mechanism for iron excretion exists. Physiologic iron loss occurs only through cell desquamation and menses in females and roughly balances the amount of daily absorbed iron (Fig. 102-1). </w:t>
      </w:r>
      <w:r w:rsidR="00A6019F" w:rsidRPr="00A6019F">
        <w:rPr>
          <w:rFonts w:ascii="Arial" w:hAnsi="Arial" w:cs="Arial"/>
        </w:rPr>
        <w:lastRenderedPageBreak/>
        <w:t>■</w:t>
      </w:r>
      <w:r w:rsidR="00A6019F" w:rsidRPr="00A6019F">
        <w:t xml:space="preserve">REGULATION OF IRON HOMEOSTASIS Systemic iron homeostasis is regulated by hepcidin, a 25-amino-acid peptide mainly produced by hepatocytes that, blocking iron export and degrading the iron exporter ferroportin, inhibits plasma iron flux from duodenal enterocytes, iron-recycling macrophages, and iron storing hepatocytes (Fig. 102-1). High hepcidin levels decrease, while low hepcidin levels increase, iron delivery to plasma. Hepcidin expres sion is increased by high plasma and liver iron that activate the BMP (bone morphogenetic protein)-SMAD (suppressors of mothers against decapentaplegic) signaling pathway. The proteins HFE, transferrin receptor 2, and hemojuvelin, whose mutations lead to different forms of hemochromatosis (Chap. 426), contribute to hepcidin upregulation. Hepcidin is increased also by inflammatory cytokines, through inter leukin (IL) 6 signal transducer and activator of transcription 3 (STAT3) pathway (Fig. 102-2A). Hepcidin expression is suppressed in iron deficiency by the hepatic transmembrane serine protease TMPRSS6 that antagonizes the BMP pathway. Another powerful inhibitor is erythroferrone (Fig. 102-2B), the hormone secreted by erythroblasts upon erythropoietin stimula tion, such as after a hemorrhage or in hypoxia, which sequesters the BMPs. Other hepcidin inhibitors include testosterone, which adapts iron supply to male erythropoiesis; fibrinogen-like protein 1 (FGL1), released by hepatocytes; and platelet-derived growth factor BB pro duced by many cell types in hypoxia. At the cellular level, the iron regulatory proteins (IRPs) control the synthesis of transferrin receptor, ferritin, and ferroportin by interacting with the iron-responsive elements in their mRNA, thus coordinating cell iron uptake, with storage and efflux, according to the cell iron need. IRPs also tune erythropoiesis by regulating hypoxia-inducible factor (HIF) 2α and thus erythropoietin and the first enzyme of heme biosynthesis 5′-aminolevulinate synthase 2. Intestinal Iron Absorption Iron needs change during life accord ing to age and gender (Table 102-1). In adults, only about 1–2 mg of iron are absorbed from the diet. Dietary iron content is closely related to caloric intake, with 6–7 mg elemental iron every 1000 calories: hence Western diet contains about 15 mg iron daily. The food composition 763 CHAPTER 102 Iron Deficiency and Other Acquired Anemias Due to Decreased Erythrocyte Production Splenic macrophages ~600 mg Ferroportin Muscle Fe3+ ~150 mg Heart Transferrin RBCs ~2500 mg Fe3+ Fe3+ Hepcidin Liver 200–1000 mg Ferroportin Bone marrow Erythroid precursors Ferroportin Losses: mucosal exfoliation, menses 1–2 mg/day Duodenal absorption 1–2 mg/day iron stored in macrophages. Because of its essential role in iron recy cling, ferroportin is regulated at multiple levels, the most important being hepcidin-dependent. In intravascular hemolysis, hepatocytes and macrophages recover iron from hemoglobin-haptoglobin and heme-hemopexin complexes. FIGURE 102-1 The iron cycle. Transferrin is central to iron trafficking. Most iron is recycled from macrophages, while only 1–2 mg are derived from intestinal absorption; mg indicates iron content of organs/tissues. Iron flux to plasma is controlled by hepcidin, a peptide produced by the liver that inhibits the activity of the iron exporter ferroportin in enterocytes, macrophages, and hepatocytes. Iron loss balances iron absorption. Iron </w:t>
      </w:r>
      <w:r w:rsidR="00A6019F" w:rsidRPr="00A6019F">
        <w:lastRenderedPageBreak/>
        <w:t xml:space="preserve">Utilization Erythropoiesis utilizes a large amount of iron for heme/hemoglobin production and facilitates its own iron supply by releasing erythroferrone (Fig. 102-2B) upon erythropoietin stimulation. The release is transient; chronic erythroferrone production in inef fective erythropoiesis, as in non-transfusion-dependent β thalassemia (Chap. 103), leads to iron overload. In every cell, iron is mainly utilized in mitochondria to produce heme and iron/sulfur clusters, components of enzymes and complexes involved in the cell cycle, oxidative phos phorylation and energy production, fundamental processes in heart, skeletal muscle, and brain. Although bone marrow consumes most available iron, excessive erythroid use at the expense of other organs is prevented; one impeding mechanism is the iron export by erythroid fer roportin that contributes to serum iron levels in hypoferremia. affects iron bioavailability. Heme contained in red meat is easily taken up by enterocytes through a still undefined mechanism. Nonheme fer ric (Fe3+) iron is converted to ferrous (Fe2+) iron by the low local pH and by the ferrireductase duodenal cytochrome B (DCYTB) before being imported from the lumen by DMT1. Phytates and phosphates contained in vegetables and cereals and tannin contained in tea and coffee reduce, while ascorbic acid enhances, inorganic iron absorption. Absorption takes place prevalently in duodenal enterocytes where iron can be utilized or released to plasma transferrin by ferroportin upon oxidation by hephaestin. Surplus iron is stored in cytosolic ferritin and lost by enterocytes sloughed into the lumen. Duodenal iron absorption depends both on the local levels of HIF-2α that enhance the expression of the absorption machinery components (DMT1, DCYTB, ferropor tin) and on the hepcidin-mediated suppression of iron export. In iron deficiency, high levels of HIF-2α that favor luminal iron uptake and low hepcidin that facilitates export to plasma cooperate to maximize the absorption process. Iron in the gut may reshape the local microbiome, whose influence is emerging as modulator of body iron. IRON DEFICIENCY AND IRON-DEFICIENCY ANEMIA Iron deficiency and iron-deficiency anemia are global health problems affecting billions of people and a main cause of years lived with disabil ity, especially among women. In isolated iron deficiency, iron stores are depleted while hemoglobin levels are still normal. In iron-deficiency Macrophage Iron Recycling Specialized liver and spleen mac rophages remove senescent erythrocytes (0.8–1% daily) and recycle to plasma the iron recovered from heme (Fig. 102-1). The high (20–25 mg daily) macrophage flux maintains steady-state iron supply to erythro poiesis and may further increase to compensate for hypoferremia or accelerated erythropoiesis. In contrast, decreased iron recycling, as caused by high hepcidin levels in inflammation, leads to anemia, with 764 anemia, stores are depleted and iron is insufficient for erythropoiesis. Iron deficiency is absolute when the stores are exhausted and functional when erythropoiesis is iron-restricted but the stores are adequate or even increased. </w:t>
      </w:r>
      <w:r w:rsidR="00A6019F" w:rsidRPr="00A6019F">
        <w:rPr>
          <w:rFonts w:ascii="Arial" w:hAnsi="Arial" w:cs="Arial"/>
        </w:rPr>
        <w:t>■</w:t>
      </w:r>
      <w:r w:rsidR="00A6019F" w:rsidRPr="00A6019F">
        <w:t xml:space="preserve">PATHOPHYSIOLOGY PART 4 Oncology and Hematology Isolated iron deficiency with low/absent iron stores is a common condi tion induced by rapid growth, inadequate nutrition, abundant menses. When iron is still sufficient for erythropoiesis, erythrocytes are nor mochromic and normocytic while </w:t>
      </w:r>
      <w:r w:rsidR="00A6019F" w:rsidRPr="00A6019F">
        <w:lastRenderedPageBreak/>
        <w:t xml:space="preserve">ferritin is decreased (40% pre senting with severe forms in low-income countries). Isolated iron deficiency is even more common, though precise figures are lacking. Both conditions are especially frequent in low-income countries, although high-income countries are not spared. In the United States, the prevalence of iron deficiency and iron-deficiency anemia in females aged 12–21 years based on ferritin 100) Low to normal (6%) High High High CHr Low Low Low Low sTfR High Low to normal Normal to high Normal to high sTfR/log ferritin &gt;2 2 NA Hepcidina Very low Normal to high Low Low to normal Zn-PPb (μM/mol heme) High (&gt;80) Normal to high High (&gt;80) High aSerum hepcidin levels are not routinely measured; reference values are not standardized. bZn-PP indicate zinc protoporphyrins, which reflect iron/zinc competition in the last step of heme synthesis; used in screening programs. Note: % HYPO (percentage of hypochromic red blood cells) and CHr (hemoglobin content of reticulocytes) are measured by automated analyzers and available upon request. Abbreviations: MCV, mean corpuscular volume; NA, not assessed; RDW, red cell distribution width; sTfR, soluble transferrin receptor. TABLE 102-4 Iron Preparations for Replacement Therapy Oral Compounds    ELEMENTAL IRON CONTENT,a mg DOSAGE Iron sulfate 65–105 65–100 mg 1–2 times a day or 65–100 mg on alternate day Iron gluconate 27–38 1–2 doses per day Iron fumarate 29–105 1–2 doses per day Sucrosomial ironb 30 30 mg/d Polysaccharide iron complexes (tablet or elixir) 50–200 15/mL 125/mL 50–200 mg/d Ferric maltol 30 30 mg 2 times a day Ferric citrate 45–210 3 doses per day in chronic kidney disease patients with hyperphosphatemia Intravenous Compounds    IRON CONTENT, mg/mL MAXIMUM SINGLE DOSE Iron sucrose 20 200–300 Iron gluconate 12.5 125, slow infusion Low-molecular-weight dextran 50 1000, over 1 h Iron carboxymaltose 50 750–1000, over 15 min infusion Iron derisomaltose 100 Up to 20/kg, rapid infusion Ferumoxytol 30 510, rapid infusion aThe content of elemental iron in sulfates, gluconate, and fumarate varies from 10 to 33% (e.g., an iron sulfate tablet contains 100 mg of elemental iron in 325 mg of the total salt). bSucrosomial iron consists of ferric pyrophosphate conveyed by a phospholipid and sucrester matrix. transient and asymptomatic in most cases, whereas patients undergo ing multiple high-dose infusions or with micronutrient deficiencies are at risk of developing osteomalacia and bone fractures. Overall, the latest generation of compounds have revolutionized iron supplementation because of easy administration, reduction of hospital visits, and reassuring safety profile. Consequently, indications have been expanded to treat severe anemia in the second and third tri mesters of pregnancy and in complex conditions, such as CHF, periop erative anemia, and anemia in the emergency department (see below). Iron-deficiency anemia should not be treated with blood transfu sions unless patients have hemodynamic instability or are rapidly deteriorating. </w:t>
      </w:r>
      <w:r w:rsidR="00A6019F" w:rsidRPr="00A6019F">
        <w:rPr>
          <w:rFonts w:ascii="Arial" w:hAnsi="Arial" w:cs="Arial"/>
        </w:rPr>
        <w:t>■</w:t>
      </w:r>
      <w:r w:rsidR="00A6019F" w:rsidRPr="00A6019F">
        <w:t xml:space="preserve">PREVENTION Prevention is fundamental in low- to middle-income countries where iron-deficiency anemia is common due to the combination of malnu trition and increased blood loss by helminth infections. In this setting, prevention of iron deficiency at the population level employing food fortification or oral iron administration must take into account the </w:t>
      </w:r>
      <w:r w:rsidR="00A6019F" w:rsidRPr="00A6019F">
        <w:lastRenderedPageBreak/>
        <w:t xml:space="preserve">infectious risk. Iron deficiency confers some protection from malaria in endemic areas, whereas iron supplementation may favor malaria progression by enhancing parasite trophism for reticulocytes that are increased during anemia recovery. In view of such bidirectional asso ciation, in malaria-endemic regions, the World Health Organization recommends iron supplementation only when concomitant strategies to prevent and treat malaria are implemented. Proposed preventive strategies for pregnancy to improve maternal and infant outcome are either routine prenatal supplementation or regular checking of hemo globin/iron status and on-demand treatment. Frequent blood donors are another population at risk, considering that each unit of blood contains ~200 mg of iron. Prolonging the interdonation interval and monitoring ferritin levels are prevention measures, especially in female donors, who may eventually require iron supplementation. Iron defi ciency in patients undergoing major surgery predisposes to anemia due to blood loss during the procedure and the frequent diagnostic testing. Preoperative screening and treatment of iron deficiency is one pillar of patient blood management strategies that aim to reduce perioperative complications and length of hospital stay and save cost. Intravenous route is preferred if surgery is within 6 weeks from the diagnosis of iron deficiency. ANEMIA OF INFLAMMATION Anemia of chronic diseases indicates the multifactorial anemia observed in a heterogeneous group of disorders, including infections, autoimmunity, malignancies, and inflammatory bowel diseases, that share mechanisms of immune activation and cytokine production. Similar mechanisms account for the anemia that develops in acute con ditions such as sepsis, severe trauma, and after major surgery so that the broader term anemia of inflammation is now preferred. This type of anemia spans the whole spectrum of clinical inflammatory disorders, from hyperacute, exemplified by macrophage activation syndrome, to subclinical, as in CHF, diabetes, and obesity. </w:t>
      </w:r>
      <w:r w:rsidR="00A6019F" w:rsidRPr="00A6019F">
        <w:rPr>
          <w:rFonts w:ascii="Arial" w:hAnsi="Arial" w:cs="Arial"/>
        </w:rPr>
        <w:t>■</w:t>
      </w:r>
      <w:r w:rsidR="00A6019F" w:rsidRPr="00A6019F">
        <w:t xml:space="preserve">PATHOPHYSIOLOGY At least three cytokine-driven mechanisms account for the diminished red cell production in inflammation (Fig. 102-3). Increased hepcidin levels, mainly induced by IL-6, cause macrophage iron sequestration and restrict iron reutilization. Erythropoietin (EPO) production is suppressed by IL-1β and tumor necrosis factor α (TNF-α). Response of erythroid progenitors to EPO is blunted by interferon-γ (IFN-γ) 768 Stimulation of myelopoiesis Iron sequestration in macrophages IL-6 (via hepcidin) Inflammatory cytokines Activation of immune inflammatory cells PART 4 TNF-α IL1-β Fe3+ Fe3+ TNF-α IFN-γ Direct inhibitory effect Hypoferremia IFN-γ PU.1 Inhibition of erythropoiesis CKD Oncology and Hematology Epo production Erythrophagocytosis RBC life span FIGURE 102-3 Pathophysiology of anemia of inflammation. Activation of immune cells leads to the production of inflammatory cytokines. IL-6 induces macrophage iron sequestration via hepcidin, tumor necrosis factor α (TNF-α) and interferon γ (IFN-γ) reduce erythropoietin (EPO) production and erythropoietic response; activation of PU.1 transcript induces myelopoiesis. Hemolysis of red cells phagocytosed by macrophages variably contribute to the pathophysiology of anemia, especially in acute inflammation. and TNF-α. Moreover, bone marrow </w:t>
      </w:r>
      <w:r w:rsidR="00A6019F" w:rsidRPr="00A6019F">
        <w:lastRenderedPageBreak/>
        <w:t xml:space="preserve">progenitor commitment is repro grammed toward the myeloid lineage through increased activity of PU.1 and other transcription factors. In acute inflammation, immature white blood cells may be released to the circulation, the so-called “emergency myelopoiesis,” as observed in severe COVID-19. A mild decrease of erythrocyte life span contributes to anemia. Iron sequestra tion in stores and hypoferremia are central to anemia of inflammation, emphasizing that it is a disorder of iron distribution. The contribution of the other mechanisms varies in different conditions. EPO deficiency is key in CKD. Massive red cell destruction is the main driver of anemia only in hyperinflammation, such as Still’s disease and hemophagocytic lymphohistiocytosis. Mechanistically, hepcidin hyperexpression and hypoferremia are part of the innate immune response, aimed at depriv ing iron from and blocking the growth of the invading pathogens. However, in the long term and in noninfectious disorders, hypoferre mia becomes a maladaptive response that leads to anemia. </w:t>
      </w:r>
      <w:r w:rsidR="00A6019F" w:rsidRPr="00A6019F">
        <w:rPr>
          <w:rFonts w:ascii="Arial" w:hAnsi="Arial" w:cs="Arial"/>
        </w:rPr>
        <w:t>■</w:t>
      </w:r>
      <w:r w:rsidR="00A6019F" w:rsidRPr="00A6019F">
        <w:t xml:space="preserve">CLINICAL FINDINGS AND DIAGNOSIS Anemia of inflammation is mild to moderate, normocytic, and nor mochromic with low reticulocyte count. It can become microcytic when longstanding, due to iron-restricted erythropoiesis. It can be asymptomatic or contribute to disease burden, worsening the prog nosis, as in CHF and CKD. A biochemical hallmark of inflammation is hyperferritinemia (Table 102-3). Ferritin, especially its heavy chain, is an acute phase reactant; thus, it cannot be used as an iron marker in inflammation. The combination of hypoferremia and hyperferri tinemia in inflammatory disorders defines “functional” iron deficiency, indicating insufficient erythroid iron notwithstanding the presence of adequate stores. The boundaries between absolute and functional iron deficiency are not unequivocal, as shown by inflammatory bowel diseases, colon cancer, CKD, and CHF. Detecting true iron deficiency in these settings is challenging as both a universal definition and bio markers are lacking. Ferritin 50% of kidney function is lost and progresses in parallel with the reduction of glomerular filtra tion rate. It is a negative prognostic factor, predisposing to cardiovascular complications, hospitalization, and mortality. EPO deficiency, systemic inflammation, and negative iron balance are key contributors to the complex pathophysiology of anemia in CKD. Impaired iron absorption, chronic bleeding due to platelet dysfunction, and blood loss in the dialy sis apparatus are causes of absolute iron deficiency, whereas increased production and decreased clearance of hepcidin result in functional iron deficiency. Deficiency of folate and vitamin B12 and a hemolytic compo nent in uremic patients may contribute to anemia. In CHF patients, the prevalence of anemia and iron deficiency is reported to be as high as 50–60% with negative prognostic impact. Besides mild inflammation, mechanisms include malnutrition, reduced iron absorption, and blood loss caused by the use of antithrombotic drugs. Current guidelines recommend periodic screening for iron defi ciency in CHF patients. Supplementing intravenous iron may improve symptoms and quality of life, although influence on mortality is not proven. Anemia is common in cancer, especially in hematologic malignan cies such as myelodysplasia and multiple </w:t>
      </w:r>
      <w:r w:rsidR="00A6019F" w:rsidRPr="00A6019F">
        <w:lastRenderedPageBreak/>
        <w:t xml:space="preserve">myeloma. It is multifactorial as it may be associated with iron and vitamin deficiency, blood loss, and chemotherapy side effects. Moderate to severe anemia is frequent in critically ill patients and is associated with unfavorable outcomes such as prolonged hospitalization and even mortality. Nearly 50% of patients admitted to an intensive care unit (ICU) have a hemoglobin level 85 years, and 50% in those affected by multimorbidity, hos pitalized, or institutionalized. Anemia is typically mild (hemoglobin 11–12 g/dL) and multifactorial, and its impact is frequently underesti mated. Mounting evidence strengthens its negative influence on quality of life, muscle weakness, and the risk of falls and fractures, as well as its independent association with mortality. The adverse effects of anemia are seen in black patients at hemoglobin levels ~1 g/dL lower than in white patients. Approximately one-third of the cases are estimated to be due to nutritional causes, especially iron deficiency; one-third are due to inflammation, including CKD; and one-third remain without a detect able origin and are defined “unexplained anemia of aging.” Age-related decline in testosterone levels in males, stem cell exhaustion, and EPO reduction might contribute. Absolute iron deficiency is common, due to poor dietary iron intake, impaired absorption by chronic gastritis, or the use of proton pump inhibitors and blood losses. A gastrointestinal malignancy should always be ruled out in anemic elderly patients, but chronic bleeding may also result from nonmalignant intestinal lesions such as angiodysplasias and the use of antithrombotic drugs for com mon disorders such as atrial fibrillation. A recent study has shown that 100 mg of daily aspirin given for primary cardiovascular prevention in elderly subjects was associated with a 20% higher risk of anemia and iron deficiency as compared to placebo. The proposed ferritin cutoff for iron deficiency (45–70 μg/L) is higher than in younger patients. Treatment of iron deficiency may mitigate the negative prognostic implications of anemia. Functional iron deficiency due to overt or subclinical inflam mation often contributes, complicating the laboratory diagnosis. Traditionally “bone marrow senescence,” now known as clonal hema topoiesis of indeterminate potential (CHIP), is present in &gt;10% of otherwise-healthy individuals aged 70 years and increases sharply to &gt;60% in the eighties. CHIP is associated with a chronic low-grade inflammatory status that worsens anemia and cardiovascular risk. Patients should be followed up for the risk of developing myelodys plastic syndromes (Chap. 107). The unexplained anemia of aging is usually characterized by an EPO level that is lower than expected for the degree of anemia. EPO can increase the hemoglobin level, but it is unclear whether that change has an influence on the hospitalization, frailty, and mortality risks associated with the anemia. </w:t>
      </w:r>
      <w:r w:rsidR="00A6019F" w:rsidRPr="00A6019F">
        <w:rPr>
          <w:rFonts w:ascii="Arial" w:hAnsi="Arial" w:cs="Arial"/>
        </w:rPr>
        <w:t>■</w:t>
      </w:r>
      <w:r w:rsidR="00A6019F" w:rsidRPr="00A6019F">
        <w:t xml:space="preserve">FURTHER READING Camaschella C: Iron deficiency. Blood 133:30, 2019. Cleland JFG et al: Redefining both iron deficiency and anaemia in cardiovascular disease. Eur Heart J 44:1992, 2023. Galy B et al: Mechanisms controlling cellular and systemic iron homeostasis. Nat Rev Mol Cell Biol 25:133, 2024. Ganz T: Anemia of Inflammation. N Engl J Med 381:1148, 2019. GBD 2021 Anaemia Collaborators: Prevalence, years lived with disability, and trends in anaemia burden by severity and cause, 1990-2021: Findings from the Global Burden of Disease Study 2021. </w:t>
      </w:r>
      <w:r w:rsidR="00A6019F" w:rsidRPr="00A6019F">
        <w:lastRenderedPageBreak/>
        <w:t xml:space="preserve">Lancet Haematol 10:e713, 2023. Macdougall I: Anaemia in CKD: Treatment standard. Nephrol Dial Transplant 26:770, 2024. Oyedeji CI et al: How I treat anemia in older adults. Blood 143:205, 2024. Pasricha SR et al: Iron deficiency. Lancet 397:233, 2021. Patel KV et al: Haemoglobin concentration and the risk of death in older adults: Differences by race/ethnicity in the NHANES III follow-up. Br J Haematol 145:514, 2009. Van Doren L, Auerbach M: IV iron formulations and use in adults. Hematol Am Soc Hematol Educ Program 1:622, 2023. Weyand AC et al: Prevalence of iron deficiency and iron-deficiency anemia in US females aged 12-21 years, 2003-2020. JAMA 329:2191, 2023. CHAPTER 103 Disorders of Hemoglobin 103 Disorders of Hemoglobin Vijay G. Sankaran, Martin H. Steinberg Hemoglobinopathies result from changes in the amino acid sequence of globin; in thalassemia, synthesis of normal globin is insufficient. Together the disorders of hemoglobin compose the most common Mendelian genetic diseases. In addition, they are responsible for most instances of hemolytic anemia. Sickle cell disease and the hemoglobin E (HbE)–associated syndromes are the most prevalent hemoglobin opathies; β and α thalassemia are the most prevalent thalassemias. In addition to these common disorders of hemoglobin, rare globin mutations cause hemoglobin instability, cause increased or decreased affinity of hemoglobin for oxygen (O2 ), and allow spontaneous oxida tion of hemoglobin, reducing its O2 transport. O2 transport can also be reduced by exposure to carbon monoxide (CO) and extrinsic oxidizing agents (Table 103-1). HEMOGLOBIN Easy access to erythrocytes to study hemoglobin structure and func tion, reticulocytes to examine hemoglobin biosynthesis, and leukocyte DNA to define the mutations of hemoglobin, with the availability of hematopoietic stem and progenitor cells from blood and bone mar row, has placed hemoglobin disorders in the forefront of molecular medicine. The biology of hemoglobin provides the background for understanding the pathophysiology of its many genetic and acquired disorders and approaches to their treatment. 770 </w:t>
      </w:r>
      <w:r w:rsidR="00A6019F" w:rsidRPr="00A6019F">
        <w:rPr>
          <w:rFonts w:ascii="Arial" w:hAnsi="Arial" w:cs="Arial"/>
        </w:rPr>
        <w:t>■</w:t>
      </w:r>
      <w:r w:rsidR="00A6019F" w:rsidRPr="00A6019F">
        <w:t>GLOBIN GENE CLUSTERS TABLE 103-1 Disorders of Hemoglobin I. Hemoglobinopathies</w:t>
      </w:r>
      <w:r w:rsidR="00A6019F" w:rsidRPr="00A6019F">
        <w:rPr>
          <w:rFonts w:ascii="Aptos" w:hAnsi="Aptos" w:cs="Aptos"/>
        </w:rPr>
        <w:t>—</w:t>
      </w:r>
      <w:r w:rsidR="00A6019F" w:rsidRPr="00A6019F">
        <w:t xml:space="preserve">hemoglobin variants with amino acid sequence variants that alter the physical, chemical, or functional properties of hemoglobin PART 4 Oncology and Hematology A. Common variants with unusual properties 1. HbS—polymerization 2. HbE—reduced biosynthesis 3. HbC—hemoglobin-membrane interaction B. Altered oxygen affinity 1. High affinity—erythrocytosis 2. Low affinity—cyanosis, anemia C. Hemoglobins that oxidize readily 1. Unstable hemoglobins—hemolytic anemia, jaundice 2. M hemoglobins—methemoglobinemia, cyanosis II. Thalassemias—defective biosynthesis of globin chains A. α Thalassemias B. β Thalassemias C. Complex thalassemias III. Hereditary persistence of fetal hemoglobin—persistence of higher than normal levels of HbF into adult life A. Deletions within the HBB cluster—15–30% HbF in heterozygotes, pancellular HbF B. Point mutations in HBG2/1 promoters—5–30% HbF in heterozygotes; pancellular or heterocellular HbF IV. Acquired hemoglobinopathies A. Methemoglobin due to toxic exposures B. Sulfhemoglobin due to toxic exposures C. Carboxyhemoglobin D. HbH in erythroleukemia E. Elevated HbF in </w:t>
      </w:r>
      <w:r w:rsidR="00A6019F" w:rsidRPr="00A6019F">
        <w:lastRenderedPageBreak/>
        <w:t xml:space="preserve">myelodysplasia </w:t>
      </w:r>
      <w:r w:rsidR="00A6019F" w:rsidRPr="00A6019F">
        <w:rPr>
          <w:rFonts w:ascii="Arial" w:hAnsi="Arial" w:cs="Arial"/>
        </w:rPr>
        <w:t>■</w:t>
      </w:r>
      <w:r w:rsidR="00A6019F" w:rsidRPr="00A6019F">
        <w:t xml:space="preserve">DEVELOPMENTAL BIOLOGY Successive waves of erythropoiesis direct the synthesis of different hemoglobin molecules that result from sequential activation and silencing of globin genes (Fig. 103-1). Hemoglobin is a tetramer of two pairs of unlike globin polypeptide chains, each containing a tet rapyrrole heme group. O2 binds to heme as erythrocytes traverse the lungs and is released in the tissues. Heme is nestled within a protective pocket of each globin subunit. HBB at 11p15.5 HS5 4321 LCR HS R1-R4 MCS HbA A Globin is encoded in two nonallelic gene clusters. The β-globin gene cluster is on chromosome 11; the α-globin gene cluster is on chromo some 16 (Fig. 103-1). Tetramers of α-like and β-like globins form embryonic, fetal, and adult hemoglobins. Fetal hemoglobin (HbF, α2 γ2 ) production begins at 6–8 weeks’ gestation, peaks during mid-gestation, then falls to 95% HbA, ~1% HbF, and 2–3% HbA2 (α2δ2). HbF and HbA2 are not functionally important in normal adults because of their low concentrations. Measuring their levels can provide helpful diagnostic clues for thalassemia and some hemoglobinopathies. Hemo globin is subject to posttranslational modifications. Most important clinically is the nonenzymatic glycosylation of HbA forming the adduct HbA1c , which is useful in the management of diabetes mellitus. </w:t>
      </w:r>
      <w:r w:rsidR="00A6019F" w:rsidRPr="00A6019F">
        <w:rPr>
          <w:rFonts w:ascii="Arial" w:hAnsi="Arial" w:cs="Arial"/>
        </w:rPr>
        <w:t>■</w:t>
      </w:r>
      <w:r w:rsidR="00A6019F" w:rsidRPr="00A6019F">
        <w:t xml:space="preserve">HEMOGLOBIN STRUCTURE All globin polypeptides have similar but not identical primary struc tures. α-Globins contain 141 amino acids, and β-like globins have 146 amino acids. This primary structure dictates, according to the constraints of protein folding, the secondary structure of globin into α-helical sections joined by small nonhelical stretches. Each globin chain folds into a tertiary conformation known as the globin fold, whereby charged amino acid residues face the exterior of the molecules while uncharged residues face the hydrophobic interior. The iron containing tetrapyrrole heme moiety is protected from oxidation and located between two of the helical segments; O2 loading and unload ing occur when heme iron is in its reduced ferrous form. Globin gene mutations affecting critical heme-binding amino acid residues allow iron to be oxidized, forming methemoglobin, which has high O2 affin ity and does not release O2 in tissues. Dimers of α- and non-α-globin chains reversibly assemble into the tetrameric quaternary structure. </w:t>
      </w:r>
      <w:r w:rsidR="00A6019F" w:rsidRPr="00A6019F">
        <w:rPr>
          <w:rFonts w:ascii="Arial" w:hAnsi="Arial" w:cs="Arial"/>
        </w:rPr>
        <w:t>■</w:t>
      </w:r>
      <w:r w:rsidR="00A6019F" w:rsidRPr="00A6019F">
        <w:t xml:space="preserve">HEMOGLOBIN FUNCTION Hemoglobin transports O2 from lungs to tissues and carbon dioxide (CO2 ) from tissues to lungs. As a nitrate reductase, it releases nitric oxide (NO) from nitrite to promote vasodilation. Oxygen binding is defined by the hemoglobin-O2 dissociation curve. P50 is a point on this sigmoidal curve that indicates the partial pressure of O2 where hemo globin is half saturated (Fig. 103-2). Normal P50 is ~26 mmHg; low P50 indicates that hemoglobin has high O2 affinity, decreasing O2 delivery Yolk sac 100 60 HBA at 16pter Globin synthesis (%) 20 Spleen Liver HBG1 HBG2 HBE1 Bone marrow HBB HBD 0 B 3 6 9 12 Adult FIGURE 103-1 Globin gene clusters and their hemoglobin products during gestation. A. The order of globin genes in the β- and α-globin gene clusters along with their upstream enhancers, the β-globin locus control region (LCR) and α-globin multispecies conserved sequences (MCS), which contain critical regulatory elements. Normal hemoglobin tetramers contain two α-globin chains and two non-α-globin chains. In the example </w:t>
      </w:r>
      <w:r w:rsidR="00A6019F" w:rsidRPr="00A6019F">
        <w:lastRenderedPageBreak/>
        <w:t xml:space="preserve">shown, this is adult HbA. The β-globin gene cluster contains an embryonic ε-globin gene (HBE), two nearly identical fetal γ-globin genes (HBG2, HBG1), a major adult β-globin gene (HBB), and a minor adult δ-globin gene (HBD). The α-globin gene cluster contains an embryonic ζ-globin gene (HBZ) and duplicated α-globin genes (HBA2, HBA1) coding for identical proteins. Embryonic hemoglobins include Gower I (ζ2 ε2 ), Gower II (α2 ε2 ), Portland I (ζ2 γ2 ), and Portland II (ζ2 β2 ). Fetal hemoglobin (HbF, α2 γ2 ) production begins at 6–8 weeks’ gestation, peaks during mid-gestation, then falls to 75 HbF: 2–25 HbA2 : 3–4 HbS-β0 thalassemia Rate of complications similar to HbSS 80–100 (8–11)/60–85 HbS: &gt;75 HbF: 2–15 HbA2 : 5–6 HbS-β+ thalassemia Rate of complications about half the rate of HbSS depending on percent HbA 100–140 (10–14)/70–80 HbS: 60–90 HbA: 5–40 HbF: 1–10 HbA2 : 5–6 Hemoglobin SC disease (HbSC) Nearly asymptomatic to disease as severe as HbSS; about half the rate of complications as HbSS. Increased risk of retinopathy 100–140 (10–14)/70–100 HbS: 50 HbC: 50 HbSE Resembles clinically HbS-β+ thalassemia; symptoms delayed; often Asian/Indian ancestry 90–130 (9–13)/65–75 HbS: 65 HbE: 35 HbF: 1–5 HbSS-α thalassemia Present in 30% of HbSS; phenocopies HbS-β0 thalassemia because of microcytosis and high HbA2 ; like HbSS but with fewer strokes and leg ulcers and less pulmonary vascular and renal disease 80–100 (8–11)/60–85 HbS: &gt;75 HbF: 2–15 HbA2 : 4–5 Note: Laboratory values are averages in untreated adults. Abbreviation: VTE, venous thromboembolism. pathophysiologic feature of β thalassemia. Both diseases are “cured” by successful allogeneic hematopoietic stem cell transplantation and gene therapy as discussed below. SICKLE CELL DISEASE Sickle cell disease is a clinical and hematologic phenotype caused by an assortment of genotypes (Table 103-2). Sickle cell anemia, defined as homozygosity for the sickle hemoglobin mutation (α2 βS 2 ; glutamic acid [E] 7 valine [V] GAG-GTG), is the most common of these genotypes, followed by HbSC disease or compound heterozygosity for HbS and HbC (α2 βC 2 ; E 7 lysine [K] GAG-AAG) genes. Many different thalas semia mutations contribute to the HbS-β thalassemias. Compound heterozygous genotypes are less common than HbS homozygotes. HbS has been described in compound heterozygotes with many other vari ant hemoglobins. Few of these genotypes, other than HbSOArab, HbSE, and HbSDPunjab are symptomatic. </w:t>
      </w:r>
      <w:r w:rsidR="00A6019F" w:rsidRPr="00A6019F">
        <w:rPr>
          <w:rFonts w:ascii="Arial" w:hAnsi="Arial" w:cs="Arial"/>
        </w:rPr>
        <w:t>■</w:t>
      </w:r>
      <w:r w:rsidR="00A6019F" w:rsidRPr="00A6019F">
        <w:t xml:space="preserve">ORIGIN, SPREAD, AND EPIDEMIOLOGY HbS originated in Africa between 7000 and 22,000 years ago, reaching high frequencies because of the increased genetic fitness of heterozy gotes under selective pressure from Plasmodium falciparum. HbS gene haplotypes have a loose association with the severity of disease because each haplotype has a different average level of HbF. In some regions of Africa, India, and the Middle East, nearly half the population have sickle cell trait. Nigeria alone has ~150,000 newborns each year with sickle cell anemia, about one-third of the world’s total newborns; most die before age 5. Coerced and free population movement has spread the HbS gene throughout the world. The HbS carrier, or sickle cell trait, prevalence is 2–15% in emigrant populations; ~100,000 patients in the United States have sickle cell disease. In the United States, death in childhood is rare; the median age </w:t>
      </w:r>
      <w:r w:rsidR="00A6019F" w:rsidRPr="00A6019F">
        <w:lastRenderedPageBreak/>
        <w:t xml:space="preserve">of death in patients with sickle cell anemia is in the fifth or sixth decade. </w:t>
      </w:r>
      <w:r w:rsidR="00A6019F" w:rsidRPr="00A6019F">
        <w:rPr>
          <w:rFonts w:ascii="Arial" w:hAnsi="Arial" w:cs="Arial"/>
        </w:rPr>
        <w:t>■</w:t>
      </w:r>
      <w:r w:rsidR="00A6019F" w:rsidRPr="00A6019F">
        <w:t xml:space="preserve">PATHOPHYSIOLOGY Pathophysiologic features of sickle cell disease are summarized in Fig. 103-3. HbS is physiologically like HbA in most respects except it polymerizes when deoxygenated. Contacts between one of the β7 valine residues of deoxyHbS and specific amino acid residues of β- and α-globin culminate in fascicles of hemoglobin that injure the sickle erythrocyte. A delay occurs between the initiation of polym erization and the accumulation of sufficient polymer to damage the cell. It is unclear how much polymer is needed for cell injury, but polymer leads directly and indirectly to the multiple abnormalities of the sickle erythrocyte that generate the pathophysiology of disease. Prominent among these abnormalities are HbS polymer penetration of the membrane causing vesiculation with membrane microparticle release; increased activity of the Gardos, K/CL cotransport, and Psickle channels that dehydrate the cell, increasing mean corpuscular sickle hemoglobin concentration (MC[HbS]C), reducing cellular deform ability, and increasing the polymerization potential of HbS; transloca tion of amino phospholipids such as phosphatidylserine to the outer leaflet of the membrane; and oxidation of erythrocyte contents. These and other abnormalities lead to the formation of irreversibly sickled cells (ISCs), which are sickle erythrocytes that are forever deformed because of permanent membrane damage regardless of whether HbS remains polymerized. Damaged sickle erythrocytes are responsible for initiating the vasoocclusive, hemolytic, and inflammatory features of the disease shown in Fig. 103-3. </w:t>
      </w:r>
      <w:r w:rsidR="00A6019F" w:rsidRPr="00A6019F">
        <w:rPr>
          <w:rFonts w:ascii="Arial" w:hAnsi="Arial" w:cs="Arial"/>
        </w:rPr>
        <w:t>■</w:t>
      </w:r>
      <w:r w:rsidR="00A6019F" w:rsidRPr="00A6019F">
        <w:t>DIAGNOSIS Although sickle cell disease can appear in any ethnic group, most often it is present in people of African, Middle Eastern, Mediterranean, and Indian descent. The chief presenting symptom is pain. This might be an arthritis-like hand-foot syndrome in young children or the typical acute painful episode in older children and adults. In HbSC disease and HbS-</w:t>
      </w:r>
      <w:r w:rsidR="00A6019F" w:rsidRPr="00A6019F">
        <w:rPr>
          <w:rFonts w:ascii="Aptos" w:hAnsi="Aptos" w:cs="Aptos"/>
        </w:rPr>
        <w:t>β</w:t>
      </w:r>
      <w:r w:rsidR="00A6019F" w:rsidRPr="00A6019F">
        <w:t xml:space="preserve">+ thalassemia, acute vasoocclusive episodes occur at about half the rate as in sickle cell anemia while complications develop later; rarely, patients with these genotypes are asymptomatic. The key elements of laboratory diagnosis are outlined in Table 103-2 showing typical hematologic findings and hemoglobin fractions. Figure 103-4 displays HPLC profiles and blood films in typical patients with sickle cell trait, sickle cell anemia, and HbSC disease. Clinical and basic laboratory diagnosis is sufficient for general management and counseling; genetic counseling and family planning usually require DNA-based diagnosis. 773 HbS polymer 7 Triplet codon T GAG HbS solution Oxygenated HbS cell Cell heterogeneity Vasoocclusion 7 Glu Valine residue HbS polymer Deoxygenated ISC N EC NO NO–3 RBC NO synthase Hemolysis Arginine Arginase Ornithine Citruline R NO FIGURE 103-3 Pathophysiology of sickle cell disease. HbS is in solution when oxygenated but reversibly polymerizes when deoxygenated. Polymerization is dependent on the 30th power of hemoglobin concentration. In the sickle cell, this means that small changes in hemoglobin concentration or cell hydration can have large effects on polymerization. Polymerization begins seconds to minutes following deoxygenation. Erythrocyte deformation, or sickling, is initially reversible, but after an undetermined number of cell </w:t>
      </w:r>
      <w:r w:rsidR="00A6019F" w:rsidRPr="00A6019F">
        <w:lastRenderedPageBreak/>
        <w:t xml:space="preserve">sickling events, the cell becomes irreversibly deformed. These are known as irreversibly sickled cells (ISCs). Their membrane is permanently damaged, although depending on their oxygen (O2 ) content, HbS could be in solution. Sickle erythrocytes lead to the clinical and laboratory phenotypes of disease. Sickle cells interact with endothelial cells and other blood cells, occluding flow in small and sometimes large vessels and causing the many complications thought to be a result of vasoocclusion. Sickle cells also live 80% of patients have hepatomegaly; intrahepatic cholestasis can have bilirubin ~100 mg/dL; viral hepatitis, iron overload, RBC sequestration, extrahepatic cholestasis also contribute Exchange transfusion for intrahepatic cholestasis; transplant for end-stage liver failure Nephropathy ~30% of adults age &gt;30 years; hyperfiltration in children, renal failure in adults; early albuminuria, later nephrotic-range proteinuria; associated with markers of hemolysis Screen for microalbuminuria by age 10 years; avoid NSAIDs; use ACE inhibitors or receptor antagonists for albuminuria; erythropoietin for symptomatic anemia; dialysis or transplant for renal failure Lung/pulmonary hypertension Restrictive disease; asthma common; 5–10% have pulmonary hypertension by right heart catheterization; 30% have increased TRV that portends poor prognosis; associated with markers of hemolysis Consult expert pulmonologist; screen yearly by echocardiography measurement of TRV Retinopathy 30% in HbSC disease, 3% in HbSSa; develops in peripheral retina; vitreous hemorrhage and retinal detachment can cause blindness Screen annually starting at age 10 tears with fluorescein angiography; laser photocoagulation for proliferative disease Acute anemic episodes B19 parvovirus infection, folic acid deficiency, splenic sequestration, delayed hemolytic transfusion reaction with destruction of transfused and sometimes autologous red cells RBC transfusion if symptomatic; splenectomy if more than 1 or 2 episodes of sequestration; anti-parvovirus IgM positive in acute infection, IgG in past infection Multiorgan failure Can accompany severe acute chest syndrome; often confused with sepsis and can coexist with sepsis; CNS liver, muscle, lung, kidney affected Exchange transfusion, ICU support Pregnancy Screening both partners for hemoglobin disorders with risk counseling is critical component of family planning All pregnancies are “high risk”; transfuse if sickle cell events increase, if previous miscarriage, multiple fetuses aSickle cell anemia (HbSS). Abbreviations: ACE, angiotensin-converting enzyme; CNS, central nervous system; ICU, intensive care unit; NSAIDs, nonsteroidal anti-inflammatory drugs; RBC, red blood cell; TRV, tricuspid regurgitant jet velocity. 775 Acute Chest Syndrome This pneumonia-like illness is the second most frequent acute sickle cell–related event. It occurs in &gt;50% of patients, often more than once. Acute chest syndrome can be mild, especially in children, in whom it can result from viral infection, or devastating, where multiple lobes of the lung are affected with severe hypoxia, multiorgan failure, and death. Chest pain, cough, fever, and hypoxia and a pulmonary infiltrate on chest x-ray are the major diag nostic criteria. The etiology includes in situ thrombosis, emboli, any type of infection, and postoperative hypoventilation. Management in adults is dictated by the severity of the episode and the </w:t>
      </w:r>
      <w:r w:rsidR="00A6019F" w:rsidRPr="00A6019F">
        <w:lastRenderedPageBreak/>
        <w:t xml:space="preserve">need for supple mental oxygen. Patients who are hypoxic and febrile can be admitted directly to the intensive care unit. Antibiotics are almost always used in these patients even though a causative bacterium is not often cultured. Supplemental O2 is given for an O2 saturation 20,000/dL, and rapidly developing acute anemia often portend severe acute chest syndrome with its possibility of acute respiratory distress syndrome and multiorgan failure. Asthma is very common in patients with sickle cell disease. Some adults have chronic lung disease with reduced diffusing capacity for CO that could be a sequela of acute chest syndrome. Osteonecrosis This painful and sometimes crippling complica tion that most often affects hips bilaterally occurs in about half of all patients with sickle cell anemia and is also common in HbSC disease; shoulders are less often affected. Beginning with chronic pain that can become severe, loss of function, especially in the hips, is often the final stage. Magnetic resonance imaging (MRI) can detect the earliest stages, whereas x-ray is less sensitive. Physical therapy and NSAIDs provide some initial relief; oral opioids are sometimes required. Joint replacement can restore lost mobility while relieving pain. Life span of prosthetic joints is finite, so surgery should be delayed as long as mobil ity is satisfactory and pain tolerable. Leg Ulcers The incidence of leg ulcers is highly dependent on geography and hemoglobin genotype. They are far less common in HbSC disease and HbS-β+ thalassemia than in sickle cell anemia and HbS-β0 thalassemia. In temperate climates, 10–20% of patients are affected; tropical and subtropical areas have an incidence rate up to 75%; ulcers rarely occur in patients from the Middle East. Leg ulcers can be small and superficial or deep and encompass most of the lower leg. They can be extraordinarily painful. Long-standing, recurrent large ulcers are difficult to treat. Wet-to-dry dressings and Unna boots are reasonable choices for initial treatment. </w:t>
      </w:r>
      <w:r w:rsidR="00A6019F" w:rsidRPr="00A6019F">
        <w:rPr>
          <w:rFonts w:ascii="Arial" w:hAnsi="Arial" w:cs="Arial"/>
        </w:rPr>
        <w:t>■</w:t>
      </w:r>
      <w:r w:rsidR="00A6019F" w:rsidRPr="00A6019F">
        <w:t xml:space="preserve">SICKLE CELL TRAIT (CARRIERS, OR SIMPLE HETEROZYGOSITY FOR THE HBS GENE) Carriers of sickle cell trait outnumber patients with the disease by 25 to 1. Although testing for sickle cell disease is part of most perinatal cord blood screening programs, counseling and follow-up of detected carriers are imperfect, so adolescents and adults can be unaware they carry sickle cell trait. Counseling carriers about the complications of sickle cell trait and their likelihood of having offspring with sickle cell disease is essential. Carriers should be counseled prior to participation in sports because of the risk, albeit small, of sudden death from heat related exertional rhabdomyolysis. Optimal hydration before and dur ing exercise can prevent most episodes of heat-related illness. Usually a benign condition with a normal life expectancy, some complications are shown in Table 103-2. </w:t>
      </w:r>
      <w:r w:rsidR="00A6019F" w:rsidRPr="00A6019F">
        <w:rPr>
          <w:rFonts w:ascii="Arial" w:hAnsi="Arial" w:cs="Arial"/>
        </w:rPr>
        <w:t>■</w:t>
      </w:r>
      <w:r w:rsidR="00A6019F" w:rsidRPr="00A6019F">
        <w:t xml:space="preserve">TREATMENT, SCREENING, COUNSELING, AND ANTENATAL DIAGNOSIS Patients should, if possible, be referred to a sickle cell center for initial consultation, institution of therapy, and follow-up. Cooperation among primary care providers, hematologists, and other specialists provides the best preventive care and management of complications. The fre quency at which a patient is seen depends on their therapeutic regimen and complications. Remarkable changes in the treatment landscape have occurred with the promise of even greater benefits from new curative approaches. The following </w:t>
      </w:r>
      <w:r w:rsidR="00A6019F" w:rsidRPr="00A6019F">
        <w:lastRenderedPageBreak/>
        <w:t xml:space="preserve">discussion focuses on treatment to prevent the complications of disease. Hydroxyurea Hydroxyurea is the standard of care for all patients with sickle cell anemia and HbS-β0 thalassemia regardless of symptoms. Although in some symptomatic patients with HbSC disease, its benefits in this genotype are understudied. The major mechanism of action of hydroxyurea is to induce high levels of HbF. Hydroxyurea increases HbF unevenly among red cells (heterocellularly), so some cells have greater protection from HbS polymerization than others. When started in adults, where the average baseline HbF is ~5%, HbF increases to ~10%. Nevertheless, pain and acute chest syndrome are reduced by about half, hemoglobin concentration increases by ~1 g/dL, and after 17.5 years of follow-up, mortality was reduced by 49%. In contrast, all young children respond robustly to hydroxyurea. When started at 95%, this option might be extended to all patients with a suitable donor. Unfortunately, only 15% of patients have a fully matched donor. New approaches to haploidentical trans plants are improving event-free survival in these patients. Gene Therapy Two forms of ex vivo gene therapy are approved for sickle cell disease. Both use mobilized autologous CD34+ stem cells and increase levels of a hemoglobin that inhibits HbS polymerization. In one approach, an HbA gene containing the βT87Q mutation respon sible for the antipolymerization effects of HbF is introduced into stem cells via a lentiviral vector. In the second, the major enhancer of the HbF repressor, BCL11A, is disrupted using CRISPR/Cas9 gene editing. In both approaches, following myeloablative conditioning, engineered cells are reinfused and engraft. Both treatments have resulted in near pancellular distribution of 30–50% HbF or HbAT87Q, reduced hemoly sis, and total hemoglobin concentrations of &gt;12 g/dL, with nearly total prevention of acute vasoocclusive events. Long-term safety and cure rate will take many more years of follow-up to establish. Preventive Measures and Screening Cord blood screening for sickle cell disease is done in many countries and all 50 states. Affected patients are then directed to clinics that can initiate early preventive care. In childhood, transcranial Doppler screening beginning at age 2 years and repeated annually until age 16 years, prophylactic penicillin (125 mg for children younger than 3 years; 250 mg for children 3 years and older) twice daily until age 5 years, and vaccination with pneumo coccal vaccines are the main measures to prevent stroke and invasive pneumococcal infection. Folic acid, 1 mg daily, is given to prevent megaloblastic erythropoiesis; it is probably unnecessary in people with nutritious diets. All women planning pregnancy should be screened for disorders of hemoglobin by blood counts, erythrocyte indices, and HPLC analysis of hemoglobin. Individuals with HbS or β thalassemia trait should have their partners tested. Only then is it possible to know the risks of a fetus having sickle cell disease (Table 103-2). Antenatal diagnosis using chorionic villus sampling or cell free DNA testing is widely available. THALASSEMIA Thalassemia is caused by reduced accumulation of either α- or β-globin chains causing a relative excess of the unaffected chain. Unbalanced globin synthesis is the hallmark of thalassemia and the proximate cause of its pathophysiology; unpaired globin chains damage the developing erythroblast. Like the HbS mutation and </w:t>
      </w:r>
      <w:r w:rsidR="00A6019F" w:rsidRPr="00A6019F">
        <w:lastRenderedPageBreak/>
        <w:t xml:space="preserve">many other red cell traits, thalassemia reached polymorphic levels in tropical and subtropical populations because heterozygotes are protected from severe forms of P. falciparum infection. Estimates are that 1–5% of the world’s popula tion carries a thalassemia mutation; in some locales, most people have a thalassemia mutation. These mutations can affect any globin gene, but clinically, β and α thalassemia are the most important. With nearly 500 unique thalassemia-causing mutations (www.globin.bx.psu.edu) that can interact with each other and with hemoglobinopathies, thal assemia syndromes are remarkably diverse. Where resources permit and the mutation is known, genetic counseling can be provided and antenatal diagnosis is possible. HbE (β27 glu-lys) is a common variant whose biosynthesis is reduced because the site of the mutation alters its mRNA processing. Its reduced biosynthesis leads to a deficit of βE-globin chains and features of β thal assemia. Hemoglobin Constant Spring is caused by a mutation of the termination codon of HBA2 that leads to the synthesis of an elongated α-globin chain that is unstable and suboptimally synthesized. This variant therefore behaves as an α thalassemia variant. a THALASSEMIA </w:t>
      </w:r>
      <w:r w:rsidR="00A6019F" w:rsidRPr="00A6019F">
        <w:rPr>
          <w:rFonts w:ascii="Arial" w:hAnsi="Arial" w:cs="Arial"/>
        </w:rPr>
        <w:t>■</w:t>
      </w:r>
      <w:r w:rsidR="00A6019F" w:rsidRPr="00A6019F">
        <w:t xml:space="preserve">EPIDEMIOLOGY Once known as Mediterranean anemia, because of the concentration of cases in Italy, Greece, and other countries bordering the Mediter ranean Sea, or as Cooley’s anemia after the physician first describ ing cases, β thalassemia is common in most areas of the world where malaria was endemic, including the Mediterranean region, Asia, and the Middle East. Effective programs of screening, counseling, and antenatal diagnosis have reduced the birth of new cases in a number of regions. About 40,000 β thalassemia patients are born yearly. In the United States, there are ~1000 cases of severe β thalassemia. </w:t>
      </w:r>
      <w:r w:rsidR="00A6019F" w:rsidRPr="00A6019F">
        <w:rPr>
          <w:rFonts w:ascii="Arial" w:hAnsi="Arial" w:cs="Arial"/>
        </w:rPr>
        <w:t>■</w:t>
      </w:r>
      <w:r w:rsidR="00A6019F" w:rsidRPr="00A6019F">
        <w:t xml:space="preserve">CLASSIFICATION </w:t>
      </w:r>
      <w:r w:rsidR="00A6019F" w:rsidRPr="00A6019F">
        <w:rPr>
          <w:rFonts w:ascii="Aptos" w:hAnsi="Aptos" w:cs="Aptos"/>
        </w:rPr>
        <w:t>β</w:t>
      </w:r>
      <w:r w:rsidR="00A6019F" w:rsidRPr="00A6019F">
        <w:t xml:space="preserve">0 Thalassemia mutations totally prevent the accumulation of any globin from the affected gene; </w:t>
      </w:r>
      <w:r w:rsidR="00A6019F" w:rsidRPr="00A6019F">
        <w:rPr>
          <w:rFonts w:ascii="Aptos" w:hAnsi="Aptos" w:cs="Aptos"/>
        </w:rPr>
        <w:t>β</w:t>
      </w:r>
      <w:r w:rsidR="00A6019F" w:rsidRPr="00A6019F">
        <w:t xml:space="preserve">+ thalassemia mutations cause minor or moderate reductions in </w:t>
      </w:r>
      <w:r w:rsidR="00A6019F" w:rsidRPr="00A6019F">
        <w:rPr>
          <w:rFonts w:ascii="Aptos" w:hAnsi="Aptos" w:cs="Aptos"/>
        </w:rPr>
        <w:t>β</w:t>
      </w:r>
      <w:r w:rsidR="00A6019F" w:rsidRPr="00A6019F">
        <w:t xml:space="preserve">-globin synthesis. </w:t>
      </w:r>
      <w:r w:rsidR="00A6019F" w:rsidRPr="00A6019F">
        <w:rPr>
          <w:rFonts w:ascii="Aptos" w:hAnsi="Aptos" w:cs="Aptos"/>
        </w:rPr>
        <w:t>β</w:t>
      </w:r>
      <w:r w:rsidR="00A6019F" w:rsidRPr="00A6019F">
        <w:t xml:space="preserve"> Thalassemia major and </w:t>
      </w:r>
      <w:r w:rsidR="00A6019F" w:rsidRPr="00A6019F">
        <w:rPr>
          <w:rFonts w:ascii="Aptos" w:hAnsi="Aptos" w:cs="Aptos"/>
        </w:rPr>
        <w:t>β</w:t>
      </w:r>
      <w:r w:rsidR="00A6019F" w:rsidRPr="00A6019F">
        <w:t xml:space="preserve"> thalassemia intermedia are now categorized as transfusion dependent and non-transfusion-dependent based on the number and frequency of transfusions required to sustain a good quality of life. Pathophysiology Single nucleotide changes are the most common β thalassemia mutations, but gene deletions also occur. A partial listing of the classes of mutations causing β thalassemia include mutations in the promoter elements affecting gene transcription causing mild and sometimes silent β+ thalassemia; mutations in the junctions between exons and introns that affect mRNA processing causing β0 and β+ thal assemia; introduction of alternative splice sites into introns or exons usually causing β+ thalassemia; 3′ end-processing sequence mutations preventing RNA polyadenylation leading to mild or silent β+ thalas semia; mutations preventing initiation of translation causing β0 thal assemia; and introduction of stop codons that prematurely terminate translation (nonsense mutations) producing reading frameshifts and resulting in truncated globin mRNA and β0 thalassemia. In addition, rare causes of β thalassemia have been identified that are unlinked from the β globin locus and caused by mutations in general transcrip tion regulators, such as SUPT5H and TFIIH, or erythroid transcription factors </w:t>
      </w:r>
      <w:r w:rsidR="00A6019F" w:rsidRPr="00A6019F">
        <w:lastRenderedPageBreak/>
        <w:t xml:space="preserve">like GATA1. In β thalassemia, the deficit in β-globin chain synthesis allows α-globin chains to accumulate in excess. Without a non-α-globin chain partner in dimer and tetramer formation, unpaired α-globin chains are unstable, cannot form a tetramer, and precipitate within the developing erythroblast, causing membrane lipid oxidation and dam age. The predominant cause of anemia is intramedullary destruction of erythroid precursors, known as ineffective erythropoiesis. Reduced deformability and phosphatidyl serine exposure also cause extra- and intravascular hemolysis of those erythrocytes that gain entrance into the circulation. In poorly treated β thalassemia, severe anemia leads to bone marrow expansion; hepatosplenomegaly; iron accumulation in liver, heart, and endocrine organs; pulmonary hypertension; and thromboembolic disease. Frightening pictures of children with severe β thalassemia permeate the literature. These examples of near-terminal disease should be rel egated to history because treatment with transfusion and iron chelation can prevent their occurrence, hematopoietic stem cell transplantation can “cure” patients who have suitable donors, and efficacious gene therapies are now approved. </w:t>
      </w:r>
      <w:r w:rsidR="00A6019F" w:rsidRPr="00A6019F">
        <w:rPr>
          <w:rFonts w:ascii="Arial" w:hAnsi="Arial" w:cs="Arial"/>
        </w:rPr>
        <w:t>■</w:t>
      </w:r>
      <w:r w:rsidR="00A6019F" w:rsidRPr="00A6019F">
        <w:t xml:space="preserve">DIAGNOSIS 777 Heterozygous </w:t>
      </w:r>
      <w:r w:rsidR="00A6019F" w:rsidRPr="00A6019F">
        <w:rPr>
          <w:rFonts w:ascii="Aptos" w:hAnsi="Aptos" w:cs="Aptos"/>
        </w:rPr>
        <w:t>β</w:t>
      </w:r>
      <w:r w:rsidR="00A6019F" w:rsidRPr="00A6019F">
        <w:t xml:space="preserve"> thalassemia, also known as </w:t>
      </w:r>
      <w:r w:rsidR="00A6019F" w:rsidRPr="00A6019F">
        <w:rPr>
          <w:rFonts w:ascii="Aptos" w:hAnsi="Aptos" w:cs="Aptos"/>
        </w:rPr>
        <w:t>β</w:t>
      </w:r>
      <w:r w:rsidR="00A6019F" w:rsidRPr="00A6019F">
        <w:t xml:space="preserve"> thalassemia trait and </w:t>
      </w:r>
      <w:r w:rsidR="00A6019F" w:rsidRPr="00A6019F">
        <w:rPr>
          <w:rFonts w:ascii="Aptos" w:hAnsi="Aptos" w:cs="Aptos"/>
        </w:rPr>
        <w:t>β</w:t>
      </w:r>
      <w:r w:rsidR="00A6019F" w:rsidRPr="00A6019F">
        <w:t xml:space="preserve"> thalassemia minor, has mild or no anemia but microcytic/hypochro mic erythrocytes with minimal or no increase in reticulocyte count. After recognizing these hematologic abnormalities and excluding iron deficiency, finding an elevated level of HbA2 and perhaps HbF by HPLC is sufficient to establish this diagnosis. The hematologic char acteristics of this heterozygous carrier state are listed in Table 103-4. Sometimes, the spleen is enlarged. Before genetic counseling and ante natal diagnosis are considered after carrier identification by red cell indices and quantitation of HbA2 , the thalassemia-causing mutation should be identified. Sequencing is the key to preventing homozygotes or compound heterozygotes with transfusion-dependent thalassemia. The more severe forms of β thalassemia are hemolytic anemias with hypochromia, microcytosis, reticulocytosis, marked anisocytosis, and poikilocytosis with variable numbers of circulating nucleated red cells (Fig. 103-5). </w:t>
      </w:r>
      <w:r w:rsidR="00A6019F" w:rsidRPr="00A6019F">
        <w:rPr>
          <w:rFonts w:ascii="Arial" w:hAnsi="Arial" w:cs="Arial"/>
        </w:rPr>
        <w:t>■</w:t>
      </w:r>
      <w:r w:rsidR="00A6019F" w:rsidRPr="00A6019F">
        <w:t xml:space="preserve">COMPLICATIONS Complications of severe β thalassemia are many. They are a consequence of chronic hemolytic anemia, chronic transfusion, and iron loading. Increased iron absorption is especially common in non-transfusion dependent thalassemia. Most complications, listed in Table 103-5, develop because of either inadequate blood transfusion and/or poor iron chelation and iron loading. Even when chelation is optimized, some complications attributable to iron toxicity will develop. Many complications have complex and multifactorial etiologies. Iron stores are estimated by serum ferritin levels; MRI is the most widespread means of noninvasively measuring iron accumulation in liver and heart. </w:t>
      </w:r>
      <w:r w:rsidR="00A6019F" w:rsidRPr="00A6019F">
        <w:rPr>
          <w:rFonts w:ascii="Arial" w:hAnsi="Arial" w:cs="Arial"/>
        </w:rPr>
        <w:t>■</w:t>
      </w:r>
      <w:r w:rsidR="00A6019F" w:rsidRPr="00A6019F">
        <w:t xml:space="preserve">MANAGEMENT, SCREENING, COUNSELING, AND ANTENATAL DIAGNOSIS Heterozygote screening and counseling couples at risk for affected fetuses, with antenatal diagnosis, if needed, is an effective preven tive approach. Severe thalassemia should be dealt with in specialized centers where these and other services are available and managed by a team led by a hematologist experienced with this disease with help from </w:t>
      </w:r>
      <w:r w:rsidR="00A6019F" w:rsidRPr="00A6019F">
        <w:lastRenderedPageBreak/>
        <w:t xml:space="preserve">endocrinologists, cardiologists, transfusion medicine specialists, and social services. Transfusion and Iron Chelation Transfusion every 2–4 weeks with a goal pretransfusion hemoglobin concentration of 9–10.5 g/dL TABLE 103-4 β Thalassemias CLASSIFICATION β-Thalassemia trait HEMOGLOBIN (g/dL)/MCV (fL) HEMOGLOBIN FRACTIONS (%) FIGURE 103-5 α Thalassemia intermedia. Target cells and marked variation in cell size and shape but with general hypochromia and microcytosis characterize the blood film. A lymphocyte is shown for size comparison. to suppress ineffective erythropoiesis, coupled with iron chelation to prevent the accumulation of excess toxic iron that accompanies trans fusion, has prevented the development of cardiomyopathy and endo crinopathies while extending life to at least 50 years. When to begin transfusions, whether partial exchange transfusion is preferable to simple transfusion, and the choice of blood product require consulta tion with experts. To be effective, transfusions and iron chelation must be started early, be uninterrupted, and continue lifelong. Older patients who did not have the advantage of effective chelation are more likely to develop multiple disease-related morbidities such as osteoporosis, endocrinopathies, liver disease, and renal failure. Two orally effective chelating agents, deferasirox and deferiprone, and one intravenous chelator, deferoxamine, are available. Improving Ineffective Erythropoiesis Luspatercept is a fusion protein containing the extracellular domain of human activin type IIB receptor and the Fc domain of human IgG. By binding transforming growth factor β superfamily ligands and reducing Smad2/3 signaling, luspatercept enhances late-stage erythropoiesis. Given subcutaneously, 1 mg/kg every 3 weeks, it was associated with a 33% reduction in trans fusion requirements. CHAPTER 103 Disorders of Hemoglobin CLINICAL FEATURES 100–140 (10–14)/60–80 Non-transfusion-dependent β thalassemia (thalassemia intermedia) Transfusion-dependent β thalassemia (Thalassemia major) HbA: 94 HbF:1–2 HbA2 : 4–6 70–120 (7–12)/65–80 HbA: 60–90 HbF: 10–40 HbA2 : 4–6 20–40 (2–4)/50–80 HbA: 0–5 HbF: 90–100 HbA2 : 2–5 HbE-β thalassemia δβ Thalassemia and Hb Lepore Gene deletion hereditary persistence of fetal hemoglobin (HPFH) 50–80 (5–8)/60–70 110–120 (11–12)/65–75 HbE: 50–70 HbF: 30–50 Heterozygosity for β+ or β0 thalassemia mutations; “silent” carriers can have normal HbA2 and red cell indices. Defined by infrequent or no transfusion requirement; caused by many different genotypes including homozygosity for “mild” β+ mutations, combinations of β and α thalassemia, homozygous β thalassemia with high HbF-producing capacity, and many others. Iron loading, thromboembolic disease, and pulmonary hypertension are major clinical events. Caused by many different genotypes including homozygosity and compound heterozygosity for β0 and β+ mutations, combinations of β and α thalassemia; transplantation curative; iron chelation required. Common in Southeast Asian populations; in some parts of the world, the most prevalent severe thalassemia; in HbE-β0 thalassemia, only HbE and HbF are found; in HbE-β+ thalassemia, HbA is present. Transfusion dependence depends in part on the thalassemia mutation. HbA: 70 HbF: 7–13 HbA2 : 2 120–140 (12–14)/75–85 HbA: 70 HbF: 15–30 HbA2 : 2 Rare; deletions removing the δ- and β-globin genes cause δβ </w:t>
      </w:r>
      <w:r w:rsidR="00A6019F" w:rsidRPr="00A6019F">
        <w:lastRenderedPageBreak/>
        <w:t xml:space="preserve">thalassemia; Lepore hemoglobins are fusion globin chains; values are for heterozygotes; homozygotes have 100% HbF with hemoglobin 10–11 g/dL. Rare; large deletions removing the δ- and β-globin genes; values are for heterozygotes; homozygotes, who are asymptomatic, have 100% HbF without anemia. Note: Laboratory results are averages in adults. 778 PART 4 Oncology and Hematology TABLE 103-5 Complications of a Thalassemia COMPLICATION INCIDENCE, DIAGNOSIS, AND FEATURES Growth retardation Most often a feature of delayed or inadequate transfusions but can occur in well-transfused children. Delayed puberty; secondary amenorrhea 50% and 25%, respectively. Splenomegaly Can trap 1–40% of red blood cell volume; increases plasma volume, worsening heart failure. Splenectomy indicated when transfusion requirement to maintain ideal hemoglobin increases. Prophylactic penicillin after splenectomy. Heart Due to chronic anemia, heightened sensitivity to iron toxicity, thromboembolic pulmonary hypertension, other causes. Progresses through stages to congestive failure and arrhythmias. Assessed by T2* on magnetic resonance imaging (MRI). The available chelating agents might have differential effects on different measure of cardiac function and can be used in combination. Leg ulcers Common in thalassemia intermedia. Hepatic disease Fibrosis progressing to cirrhosis is related to hepatic iron concentration that can be monitored by MRI. Hepatitis also plays a role. Lung disease/ pulmonary hypertension Fibrosis, chronic thromboembolic disease, restrictive pathophysiology, intravascular hemolysis, and reduced nitric oxide bioavailability. Thromboembolism Multifactorial etiology, including platelet activation, red cell–endothelial interactions, thrombocytosis, endothelial activation, splenectomy. Endocrinopathies Diabetes, hypothyroidism, hypoparathyroidism, adrenal insufficiency; hypogonadism; hypothalamic-pituitary axis might be especially sensitive to iron. Bone disease Caused by bone marrow expansion, severe iron loading, hypogonadism; osteoporosis in ~50% of patients, even those well treated. Extramedullary hematopoietic masses are a feature of thalassemia intermedia. Infections Transfusion associated; linked to iron overload (Yersinia); malaria. Hematopoietic Stem Cell Transplantation There is consensus that patients with available donors should be offered transplantation because of the difficulty of lifelong transfusion and chelation and its imperfect efficacy. Quality of life in successfully transplanted patients exceeds that in patients treated with transfusion and chelation. Trans plantation from matched sibling donors is curative in &gt;80% of all cases. Unfortunately, only a third of patients have matched donors. The best results are in the youngest patients who have been effectively chelated and received fewer transfusions. Graft failure, graft rejection, graft-versus-host disease, and a mortality of 5–20% depending on risk factors are the major drawbacks of this procedure. Results of haploi dentical and unrelated donor transplants are improving but lag those of matched sibling donors. Gene Therapy The same gene therapy approaches approved for sickle cell disease are approved for transfusion-dependent β thalas semia (see Sickle Cell Disease). CRISPR/Cas editing to downregulate BCL11A has resulted in increases in </w:t>
      </w:r>
      <w:r w:rsidR="00A6019F" w:rsidRPr="00A6019F">
        <w:lastRenderedPageBreak/>
        <w:t xml:space="preserve">total hemoglobin ≥12 g/dL and HbF ≥10 g/dL, leading to transfusion independence in &gt;90% of 52 patients aged between 12 and 35 years with transfusion-dependent β thalassemia. Results of lentiviral-mediated HbAT87Q additive gene therapy were best with non-β0/β0 genotypes, although some individuals with β0/β0 genotypes could be effectively treated as higher viral titers were used in subsequent gene therapy protocols. ` THALASSEMIA In some respects, the obverse of β thalassemia, clinically consequential α thalassemia is less common than severe β thalassemia. α Thalas semia is most often found in Asian populations and is usually caused by deletion of α-globin genes rather than point mutations. </w:t>
      </w:r>
      <w:r w:rsidR="00A6019F" w:rsidRPr="00A6019F">
        <w:rPr>
          <w:rFonts w:ascii="Arial" w:hAnsi="Arial" w:cs="Arial"/>
        </w:rPr>
        <w:t>■</w:t>
      </w:r>
      <w:r w:rsidR="00A6019F" w:rsidRPr="00A6019F">
        <w:t xml:space="preserve">EPIDEMIOLOGY Carriers of the most common </w:t>
      </w:r>
      <w:r w:rsidR="00A6019F" w:rsidRPr="00A6019F">
        <w:rPr>
          <w:rFonts w:ascii="Aptos" w:hAnsi="Aptos" w:cs="Aptos"/>
        </w:rPr>
        <w:t>α</w:t>
      </w:r>
      <w:r w:rsidR="00A6019F" w:rsidRPr="00A6019F">
        <w:t xml:space="preserve"> thalassemia chromosomes (Table 103-6) are found in 5</w:t>
      </w:r>
      <w:r w:rsidR="00A6019F" w:rsidRPr="00A6019F">
        <w:rPr>
          <w:rFonts w:ascii="Aptos" w:hAnsi="Aptos" w:cs="Aptos"/>
        </w:rPr>
        <w:t>–</w:t>
      </w:r>
      <w:r w:rsidR="00A6019F" w:rsidRPr="00A6019F">
        <w:t xml:space="preserve">80% of people from tropical and subtropical regions of Africa, the Middle East, Asia, and Melanesia. About 30% of African Americans carry the common –α3.7 chromosome that contains a single functional α-globin gene. HbH disease, the chief clinically important α thalassemia, is most prevalent in southern China and Southeast Asia. Estimates are that in Thailand ~3500 patients with severe α thalas semia are born yearly. Pregnancies affected by hemoglobin (Hb) Bart’s hydrops fetalis occur mainly in southern China and southeastern Asia. </w:t>
      </w:r>
      <w:r w:rsidR="00A6019F" w:rsidRPr="00A6019F">
        <w:rPr>
          <w:rFonts w:ascii="Arial" w:hAnsi="Arial" w:cs="Arial"/>
        </w:rPr>
        <w:t>■</w:t>
      </w:r>
      <w:r w:rsidR="00A6019F" w:rsidRPr="00A6019F">
        <w:t xml:space="preserve">CLASSIFICATION Each normal chromosome 16 contains two </w:t>
      </w:r>
      <w:r w:rsidR="00A6019F" w:rsidRPr="00A6019F">
        <w:rPr>
          <w:rFonts w:ascii="Aptos" w:hAnsi="Aptos" w:cs="Aptos"/>
        </w:rPr>
        <w:t>α</w:t>
      </w:r>
      <w:r w:rsidR="00A6019F" w:rsidRPr="00A6019F">
        <w:t>-globin genes; normal diploid individuals have four α-globin genes. A classification of inher ited α thalassemia, as summarized in Table 103-6, is based on the number of functional α-globin genes. If one or two α-globin genes are missing or poorly expressed, these people have α thalassemia TABLE 103-6 ` Thalassemias CLASSIFICATION `-GLOBIN GENE ARRANGEMENT HEMOGLOBIN LEVEL, g/L (g/dL)/MCV (fL) CLINICAL FEATURES α-Thalassemia trait −α/αα −α/−α − −/αα αTα/αα 120–150 (12–15)/65–80 The chromosome with one deleted α gene (—α/) is called α+ thalassemia (α thalassemia-2); the chromosome with both deleted α genes is α0 thalassemia (α thalassemia-1); non–gene deletion α thalassemias (αT) often have a more severe phenotype. Hemoglobin H disease − −/−α αTα/− − αTα/αTα 50–120 (5–12)/60–70 Mild to moderate anemia depending on genotype; non–gene deletion forms of α thalassemia can produce severe HbH disease. Hb Bart’s hydrops fetalis −−/−− Fatal in utero or at birth with rare survivors. Hydrops can also result from combinations of gene deletion and non–gene deletion α thalassemia. α Thalassemia/intellectual disability syndromes (ATR-16) (ATR-X) − −/αα or − −/−α in ATR-16 αα/αα in ATR-X ATR-16: Large deletions and rearrangements in chr16p. ATR-X: No α-globin gene deletion or mutation, ATRX mutations, X-linked. α Thalassemia with myelodysplasia (ATMDS) αα/αα Mutations in ATRX; striking male predominance. Hematologic findings of HbH disease. Note: Laboratory values are averages in adults. αα/denotes the chromosome with two intact α-globin genes; –α/chromosome with one α-globin gene deleted; – –/chromosome with both α-globin genes deleted; αT represents non–gene deletion α thalassemia caused by point mutations. The –α/chromosome, referred to as α+ or α thalassemia-2, most often has a deletion of 3.7 kb of DNA (–α3.7) or 4.2 kb of DNA (–α4.2) that leaves a single α-globin gene intact. The chromosome where both α-globin genes are deleted (– –/) is called α0 thalassemia or α thalassemia-</w:t>
      </w:r>
      <w:r w:rsidR="00A6019F" w:rsidRPr="00A6019F">
        <w:lastRenderedPageBreak/>
        <w:t xml:space="preserve">1. These chromosomes are caused by different-sized deletions that are usually named after their regions of highest frequency such as -SEA, -MED, -FI, and -THAI. 779 trait. Their hematologic abnormalities are almost always trivial. HbH disease is usually caused by deletion or malfunction of three α-globin genes. Hb Bart’s hydrops fetalis fetuses have no normally functioning α-globin genes. Hundreds of different-sized deletions and rarer point mutations affect the production of α-globin and the magnitude of imbalanced globin synthesis. Because of this mutational complexity, many different variations of the common α thalassemia syndromes are found. </w:t>
      </w:r>
      <w:r w:rsidR="00A6019F" w:rsidRPr="00A6019F">
        <w:rPr>
          <w:rFonts w:ascii="Arial" w:hAnsi="Arial" w:cs="Arial"/>
        </w:rPr>
        <w:t>■</w:t>
      </w:r>
      <w:r w:rsidR="00A6019F" w:rsidRPr="00A6019F">
        <w:t xml:space="preserve">PATHOPHYSIOLOGY Reduced accumulation of </w:t>
      </w:r>
      <w:r w:rsidR="00A6019F" w:rsidRPr="00A6019F">
        <w:rPr>
          <w:rFonts w:ascii="Aptos" w:hAnsi="Aptos" w:cs="Aptos"/>
        </w:rPr>
        <w:t>α</w:t>
      </w:r>
      <w:r w:rsidR="00A6019F" w:rsidRPr="00A6019F">
        <w:t>-globin leaves non-</w:t>
      </w:r>
      <w:r w:rsidR="00A6019F" w:rsidRPr="00A6019F">
        <w:rPr>
          <w:rFonts w:ascii="Aptos" w:hAnsi="Aptos" w:cs="Aptos"/>
        </w:rPr>
        <w:t>α</w:t>
      </w:r>
      <w:r w:rsidR="00A6019F" w:rsidRPr="00A6019F">
        <w:t xml:space="preserve">-globins unpaired and unable to participate in the formation of functional hemoglobin tetramers. In the fetus, absent or reduced synthesis of α-globin allows unpaired γ-globin chains, part of the HbF tetramer, to form γ4 or Hb Bart’s; in adults, when γ-globin synthesis is mostly silenced, unpaired β-globin chains, lacking a suitable partner to form HbA, tetramerize as β4 or HbH. Both Hb Bart’s and HbH have very high O2 affinity and do not unload O2 in tissues; HbH is also unstable. Severe anemia in Hb Bart’s hydrops fetalis is a result of absent normal hemoglobin and inef fective erythropoiesis; in HbH disease, unstable HbH leads to oxidative membrane damage with extravascular hemolysis in the spleen and ineffective erythropoiesis. </w:t>
      </w:r>
      <w:r w:rsidR="00A6019F" w:rsidRPr="00A6019F">
        <w:rPr>
          <w:rFonts w:ascii="Arial" w:hAnsi="Arial" w:cs="Arial"/>
        </w:rPr>
        <w:t>■</w:t>
      </w:r>
      <w:r w:rsidR="00A6019F" w:rsidRPr="00A6019F">
        <w:t xml:space="preserve">DIAGNOSIS Microcytosis/hypochromia with nearly normal hemoglobin concen trations, in the absence of iron deficiency and the increased level of HbA2 that is diagnostic of </w:t>
      </w:r>
      <w:r w:rsidR="00A6019F" w:rsidRPr="00A6019F">
        <w:rPr>
          <w:rFonts w:ascii="Aptos" w:hAnsi="Aptos" w:cs="Aptos"/>
        </w:rPr>
        <w:t>β</w:t>
      </w:r>
      <w:r w:rsidR="00A6019F" w:rsidRPr="00A6019F">
        <w:t xml:space="preserve"> thalassemia, is sufficient for a presumptive diagnosis of α thalassemia trait. When genetic counseling is needed and antenatal diagnosis contemplated, the molecular basis of the pre sumed α thalassemia is required. HbH disease, which is usually due to compound heterozygosity for one chromosome with both α-globin genes deleted and one chromosome with only a single α-globin gene, is defined by the hematologic findings shown in Table 103-6 along with varying levels of reticulocytosis. At birth, when hemoglobin is separated by HPLC, 20–30% Hb Bart’s is present; in adults, traces to 40% HbH are present along with residual Hb Bart’s in some cases. HbH inclusions can be induced in some red cells after incubation and stain ing with brilliant cresyl blue. Hemoglobin composition in Hb Bart’s hydrops fetalis is predominantly Hb Bart’s with some Hb Portland if the deletion removing α-globin genes preserves the ζ-globin gene. </w:t>
      </w:r>
      <w:r w:rsidR="00A6019F" w:rsidRPr="00A6019F">
        <w:rPr>
          <w:rFonts w:ascii="Arial" w:hAnsi="Arial" w:cs="Arial"/>
        </w:rPr>
        <w:t>■</w:t>
      </w:r>
      <w:r w:rsidR="00A6019F" w:rsidRPr="00A6019F">
        <w:t xml:space="preserve">COMPLICATIONS HbH disease is very heterogeneous because of the different combina tions of genotypes that can cause this phenotype. Generally, when non–gene deletion mutants, such as Hb Constant Spring, contribute TABLE 103-7 HbC, HbE, and Rare Hemoglobinopathies CLASSIFICATION HbC trait HbC disease HbE trait HbE disease High O2 affinity hemoglobins Low O2 affinity hemoglobins Unstable hemoglobins CLINICAL ABNORMALITIES 2% of African Americans; target cells; no disease Target cells; HbC crystals; mild reticulocytosis; splenomegaly 50% incidence in some Asian populations; a few target cells; clinically normal No hemolysis; 20–80% target cells; no splenomegaly to the genotype, the disease is more severe, and intermittent or regular transfusions are necessary. In the most common − −/−α genotype, mean hemoglobin in adults is ~11 g/dL. Hepatosplenomegaly, jaun dice, </w:t>
      </w:r>
      <w:r w:rsidR="00A6019F" w:rsidRPr="00A6019F">
        <w:lastRenderedPageBreak/>
        <w:t xml:space="preserve">thalassemic bone changes in the face, and growth impairment are seen in 20–50% of cases, depending on the underlying genotype. Iron loading occurs but is not the severe problem it is in β thalassemia. Pregnancy in these patients should be considered high risk and man aged accordingly. Mothers of infants with Hb Bart’s hydrops fetalis have a history of stillbirth and develop preeclampsia, polyhydramnios, and antepartum hemorrhage and have difficult labor and delivery. Intra uterine transfusion of the fetus is possible. </w:t>
      </w:r>
      <w:r w:rsidR="00A6019F" w:rsidRPr="00A6019F">
        <w:rPr>
          <w:rFonts w:ascii="Arial" w:hAnsi="Arial" w:cs="Arial"/>
        </w:rPr>
        <w:t>■</w:t>
      </w:r>
      <w:r w:rsidR="00A6019F" w:rsidRPr="00A6019F">
        <w:t xml:space="preserve">MANAGEMENT, SCREENING, COUNSELING, AND ANTENATAL DIAGNOSIS When planning families, couples from regions where </w:t>
      </w:r>
      <w:r w:rsidR="00A6019F" w:rsidRPr="00A6019F">
        <w:rPr>
          <w:rFonts w:ascii="Aptos" w:hAnsi="Aptos" w:cs="Aptos"/>
        </w:rPr>
        <w:t>α</w:t>
      </w:r>
      <w:r w:rsidR="00A6019F" w:rsidRPr="00A6019F">
        <w:t xml:space="preserve"> thalassemia is common who have red cell indices that suggest the possibility of carrying an α thalassemia gene should have genetic counseling based on DNA analysis of their globin genes. Iron should be avoided in non iron-deficient individuals with α thalassemia trait and microcytosis. Transfusions are not usually needed in HbH disease. Nevertheless, depending on the genotype of disease, transfusions might be necessary especially when anemia becomes more severe, for example, with acute anemic episodes or pregnancy. Iron stores should be checked periodi cally by measuring serum ferritin or MRI; chelation does not appear to be needed. Hb Bart’s hydrops fetalis is best prevented by screening couples at risk and antenatal diagnosis. Intrauterine therapy and perinatal intensive care have permitted survival of some infants with Hb Bart’s hydrops fetalis. As growth retardation affects ~40% and neurodevel opmental delay is present in 20% of survivors, prevention is the best approach. OTHER HEMOGLOBINOPATHIES OF CLINICAL IMPORTANCE (TABLE 103-7) More than 1500 mutations affecting hemoglobin structure have been described (www.globin.bx.psu.edu). Most are clinically silent. HbC and HbE are common. HbC is found in people of African descent and HbE in South China and Southeast Asia. Heterozygotes for HbC and HbE are unaffected clinically. Even individuals homozygous for these muta tions, where the variant hemoglobin comprises &gt;90% of the hemoly sate, are clinically well with very mild anemia and microcytosis. The major importance of these variants is the interaction of HbC with HbS and HbE with β thalassemia, as outlined in Tables 103-2 and 103-4. A definitive diagnosis for all rare variants depends on DNA analysis. CHAPTER 103 Disorders of Hemoglobin HEMOGLOBIN LEVEL, g/L (g/dL)/MCV, fL Normal 100–130 (10–13)/60–70 HEMOGLOBIN FRACTIONS (%) HbC: 30–40 HbA2 : 2–3 HbC: &gt;95 HbF: 2–4 HbA2 : 2–3 120–140 (12–14)/80–90 100–120 (10–12)/65–75 Isolated erythrocytosis; often familial; no splenomegaly; no JAK2V617F mutation Asymptomatic mild anemia; cyanosis Pigmenturia; hemolysis; reticulocytosis; splenomegaly M hemoglobins Some have mild hemolysis; few symptoms 150–200 (15–20) 100–140 (10–14) 90–140 (9–14)/70–90 100–140 (10–14)/80–90 HbE: 27–31 HbF: 1 HbA2 : 3 HbE: 85–95 HbF: 3–7 HbA2 : 3 Variants in α- and β-globin genes; patients are heterozygotes; ~25–50% variant ~50% variant 20–35% variant; rare hyperunstable variants can be undetectable and have the phenotype of thalassemia 20–50% variant depending on gene affected Note: Laboratory values are averages in adults. As noted for HbAS, the amount of HbC and HbE in heterozygotes depends on </w:t>
      </w:r>
      <w:r w:rsidR="00A6019F" w:rsidRPr="00A6019F">
        <w:lastRenderedPageBreak/>
        <w:t xml:space="preserve">the number of α-globin genes. 780 Unexpected low O2 saturation by pulse oximetry (SpO2 ) with nor mal O2 saturation of arterial blood is occasionally seen in rare hemo globin variants with clinical phenotypes. Asymptomatic patients with unexpectedly low SpO2 should not be subjected to unneeded cardio pulmonary investigations in search of the cause of their “hypoxemia” until the existence of a hemoglobin variant is excluded. </w:t>
      </w:r>
      <w:r w:rsidR="00A6019F" w:rsidRPr="00A6019F">
        <w:rPr>
          <w:rFonts w:ascii="Arial" w:hAnsi="Arial" w:cs="Arial"/>
        </w:rPr>
        <w:t>■</w:t>
      </w:r>
      <w:r w:rsidR="00A6019F" w:rsidRPr="00A6019F">
        <w:t xml:space="preserve">M HEMOGLOBINS M (met) hemoglobins are characterized by oxidation of the heme-iron from its ferrous (Fe++) to ferric (Fe+++) form. The major clinical feature of these disorders is asymptomatic cyanosis. Thirteen M hemoglobin variants have been described. In nine, the mutation involves histidine residues that interact with heme. Asymptomatic slate gray/brownish pseudocyanosis is the main clinical finding. Spectrophotometric recording of the visible spectrum of the hemolysate is diagnostic. To distinguish M hemoglobins from methemoglobinemia due to drugs or cytochrome b5 reductase (CYB5R3) deficiency, potassium cyanide (KCN) can be added to the hemolysate; methemoglobin-containing blood will turn red, but KCN has no effect on M hemoglobin. Treat ment is not needed. PART 4 Oncology and Hematology </w:t>
      </w:r>
      <w:r w:rsidR="00A6019F" w:rsidRPr="00A6019F">
        <w:rPr>
          <w:rFonts w:ascii="Arial" w:hAnsi="Arial" w:cs="Arial"/>
        </w:rPr>
        <w:t>■</w:t>
      </w:r>
      <w:r w:rsidR="00A6019F" w:rsidRPr="00A6019F">
        <w:t xml:space="preserve">UNSTABLE HEMOGLOBINS Sometimes referred to as congenital Heinz body hemolytic anemias, some mutations result in a hemoglobin tetramer that is unstable and precipitates intracellularly. One-hundred-fifty-six such variants have been described and are often a result of a new mutation that affects the tertiary or quaternary structure of the molecule. The most com mon class of mutations introduce a proline residue in the </w:t>
      </w:r>
      <w:r w:rsidR="00A6019F" w:rsidRPr="00A6019F">
        <w:rPr>
          <w:rFonts w:ascii="Aptos" w:hAnsi="Aptos" w:cs="Aptos"/>
        </w:rPr>
        <w:t>α</w:t>
      </w:r>
      <w:r w:rsidR="00A6019F" w:rsidRPr="00A6019F">
        <w:t xml:space="preserve"> helix or a polar amino acid into the interion of the molecule. Heinz bodies are intraerythrocytic precipitates that are detectable as dark globular aggregates after staining with a dye such as brilliant cresyl blue. Three unstable hemoglobins are the most common. Hemoglobin Köln (β99 val-met) has been found in multiple families, Hb Hasharon (α47 asp his) is found in Ashkenazi Jews, and Hb Zurich (β63 his-arg) is suscepti ble to oxidant drug-induced hemolysis. Unstable variants present with nonspherocytic hemolytic anemia, but presentation is highly variable. The associated disease is usually mild and does not require transfusion. Heating blood to 50°C or incubation with isopropanol precipitates unstable hemoglobins but must be done with careful controls. Some variants can be detected by HPLC. </w:t>
      </w:r>
      <w:r w:rsidR="00A6019F" w:rsidRPr="00A6019F">
        <w:rPr>
          <w:rFonts w:ascii="Arial" w:hAnsi="Arial" w:cs="Arial"/>
        </w:rPr>
        <w:t>■</w:t>
      </w:r>
      <w:r w:rsidR="00A6019F" w:rsidRPr="00A6019F">
        <w:t xml:space="preserve">HEMOGLOBINS WITH HIGH OXYGEN AFFINITY AND LOW OXYGEN AFFINITY Rare mutations in areas involved in the R-T transition, at critical inter faces between globin chains of the tetramer that reduce the affinity for 2,3-bisphosphoglycerate, or present in the heme pocket account for most of these variants. High O2 affinity hemoglobins (103) outnumber low O2 affinity variants (48). Isolated erythrocytosis in the absence of splenomegaly suggests the presence of a high O2 affinity hemoglobin. High O2 affinity hemoglobin variants shift the hemoglobin-O2 disso ciation curve leftward, causing a low P50 and thereby stimulating eryth ropoiesis. Many of these variants are due to new mutations. The clinical course is benign, and phlebotomy because of erythrocytosis is usually not required. Early diagnosis is important to forestall unnecessary diagnostic procedures and therapeutics such as cardiac catheteriza tion to exclude congenital heart disease or treatment for </w:t>
      </w:r>
      <w:r w:rsidR="00A6019F" w:rsidRPr="00A6019F">
        <w:lastRenderedPageBreak/>
        <w:t xml:space="preserve">polycythe mia vera. Low O2 affinity variants often present with cyanosis. Their hemoglobin-O2 dissociation curve is right-shifted with high P50 . HPLC might reveal the presence of a hemoglobin variant. Treatment is often not necessary. </w:t>
      </w:r>
      <w:r w:rsidR="00A6019F" w:rsidRPr="00A6019F">
        <w:rPr>
          <w:rFonts w:ascii="Arial" w:hAnsi="Arial" w:cs="Arial"/>
        </w:rPr>
        <w:t>■</w:t>
      </w:r>
      <w:r w:rsidR="00A6019F" w:rsidRPr="00A6019F">
        <w:t xml:space="preserve">ACQUIRED DISORDERS OF HEMOGLOBIN CO binds hemoglobin with high affinity forming carboxyhemoglobin. Carboxyhemoglobin levels can be accurately measured by co-oximetry of arterial blood. Standard pulse oximeters cannot accurately make this measurement. Some newly developed pulse oximeters can measure both carboxyhemoglobin and methemoglobin. Bound CO inhibits the transport of O2 ; the hemoglobin-O2 binding curve is left-shifted. Acute and chronic CO intoxication, caused by occupational exposure and other sources of incomplete combustion of hydrocarbons, presents with headache, altered mental status, and other constitutional symp toms. High-flow O2 via facemask is the preferred treatment; criteria have been developed to guide the use of hyperbaric O2 . Acquired methemoglobinemia and methemoglobinemia due to deficiency of CYB5R3 are more common than the M hemoglobins. CYB5R3 is required for the reduction of methemoglobin by NADH. Affected individuals with “toxic” methemoglobinemia can be cyanotic and symptomatic. As in carboxyhemoglobinemia, O2 transport is reduced and reflected by the left shift in the hemoglobin-O2 binding curve. CYB5R3 deficiency usually affects only erythrocytes (type I), causing a mild disorder; when all cells are affected (type II), a severe disease results. Intravenous methylene blue is the preferred treatment in symptomatic patients with acquired methemoglobinemia and 40–60% methemoglobin. The usual dose is 1–2 mg/kg. Alternative treatment with ascorbic acid is preferable in people who are glucose-6-phosphate dehydrogenase deficient. Methylene blue interferes with co-oximetry, reducing the value of co-oximetry for monitoring treatment. Many drugs and chemicals can induce methemoglobin in the absence of CYB5R3 deficiency. Dapsone and topical anesthetics such as benzocaine are the most common offending agents. </w:t>
      </w:r>
      <w:r w:rsidR="00A6019F" w:rsidRPr="00A6019F">
        <w:rPr>
          <w:rFonts w:ascii="Arial" w:hAnsi="Arial" w:cs="Arial"/>
        </w:rPr>
        <w:t>■</w:t>
      </w:r>
      <w:r w:rsidR="00A6019F" w:rsidRPr="00A6019F">
        <w:t xml:space="preserve">FURTHER READING Frangoul H et al: Exagamglogene autotemcel for severe sickle cell disease. N Engl J Med 290:1649, 2024. Hardouon G et al: Sickle cell disease: From genetics to curative approaches. Ann Rev Genomics Hum Genet 24:255, 2023. Leonard A et al: Gene therapy for hemoglobinopathies: Beta-thalassemia, sickle cell disease. Hematol Oncol Clin North Am 36:769, 2022. Locatelli F et al: Defining curative endpoints for sickle cell disease in the era of gene therapy and gene editing. Am J Hematol 99:430, 2024. Piel FB et al: Defining global strategies to improve outcomes in sickle cell disease: A Lancet Haematology Commission. Lancet Haematol. 10:e633, 2023. Pinto VM et al: Management of the aging beta-thalassemia transfusion dependent population: The Italian experience. Blood Rev 38:100594, 2019. Pinto VM et al: Management of the sickle cell trait: An opinion by expert panel members. J Clin Med 12:3441, 2023. Ribeil J-A et al: An integrated therapeutic approach to sickle cell disease management beyond infancy. Am J Hematol 98:1087, 2023. Sheth S et al: Management of luspatercept therapy in patients with transfusion-dependent β-thalassaemia. Br J Haematol 201:824, 2023. Taher AT et al: Beta-thalassemia. N Engl J Med 384:727, 2021. </w:t>
      </w:r>
      <w:r w:rsidR="00A6019F" w:rsidRPr="00A6019F">
        <w:lastRenderedPageBreak/>
        <w:t xml:space="preserve">Megaloblastic Anemias 104 A. Victor Hoffbrand The megaloblastic anemias are a group of disorders characterized by the presence of distinctive morphologic appearances of the developing red cells in the bone marrow. The marrow is usually hypercellular, and the anemia is based on ineffective erythropoiesis. The cause is usually a deficiency of either cobalamin (vitamin B12 ) or folate, but megaloblastic anemia may occur because of genetic or acquired abnormalities that affect the metabolism of these vitamins or because of defects in DNA synthesis not related to cobalamin or folate (Table 104-1). COBALAMIN Cobalamin (vitamin B12 ) exists in a number of different chemical forms. All have a cobalt atom at the center of a corrin ring. In nature, the vitamin is mainly in the 2-deoxyadenosyl (ado) form, which is located in mitochondria. It is the cofactor for the enzyme L-methylmalonyl 781 TABLE 104-1 Causes of Megaloblastic Anemia Cobalamin deficiency or abnormalities of cobalamin metabolism (see Tables 104-3, 104-4) Folate deficiency or abnormalities of folate metabolism (see Table 104-5) Therapy with antifolate drugs (e.g., methotrexate) Independent of either cobalamin or folate deficiency and refractory to cobalamin and folate therapy: Some cases of acute myeloid leukemia, myelodysplasia Therapy with drugs interfering with synthesis of DNA (e.g., cytosine arabinoside, hydroxyurea, 6-mercaptopurine, azidothymidine [AZT]) Orotic aciduria (responds to uridine) Thiamine-responsive coenzyme A (CoA) mutase. The other major natural cobalamin is methylcobalamin, the form in human plasma and in cell cytoplasm. It is the cofactor for methionine synthase. Minor amounts of hydroxo cobalamin are also present to which methyl- and ado-cobalamin are converted rapidly by exposure to light. </w:t>
      </w:r>
      <w:r w:rsidR="00A6019F" w:rsidRPr="00A6019F">
        <w:rPr>
          <w:rFonts w:ascii="Arial" w:hAnsi="Arial" w:cs="Arial"/>
        </w:rPr>
        <w:t>■</w:t>
      </w:r>
      <w:r w:rsidR="00A6019F" w:rsidRPr="00A6019F">
        <w:t>DIETARY SOURCES AND REQUIREMENTS Cobalamin is synthesized solely by microorganisms. Ruminants obtain cobalamin from the foregut, but the only source for humans is food of animal origin, for example, meat, fish, and dairy products. Vegetables, fruits, and other foods of nonanimal origin are free from cobalamin unless they are contaminated by bacteria. A normal Western diet con tains 5</w:t>
      </w:r>
      <w:r w:rsidR="00A6019F" w:rsidRPr="00A6019F">
        <w:rPr>
          <w:rFonts w:ascii="Aptos" w:hAnsi="Aptos" w:cs="Aptos"/>
        </w:rPr>
        <w:t>–</w:t>
      </w:r>
      <w:r w:rsidR="00A6019F" w:rsidRPr="00A6019F">
        <w:t xml:space="preserve">30 </w:t>
      </w:r>
      <w:r w:rsidR="00A6019F" w:rsidRPr="00A6019F">
        <w:rPr>
          <w:rFonts w:ascii="Aptos" w:hAnsi="Aptos" w:cs="Aptos"/>
        </w:rPr>
        <w:t>μ</w:t>
      </w:r>
      <w:r w:rsidR="00A6019F" w:rsidRPr="00A6019F">
        <w:t>g of cobalamin daily. Adult daily losses (mainly in the urine and feces) are 1–3 μg (</w:t>
      </w:r>
      <w:r w:rsidR="00A6019F" w:rsidRPr="00A6019F">
        <w:rPr>
          <w:rFonts w:ascii="Cambria Math" w:hAnsi="Cambria Math" w:cs="Cambria Math"/>
        </w:rPr>
        <w:t>∼</w:t>
      </w:r>
      <w:r w:rsidR="00A6019F" w:rsidRPr="00A6019F">
        <w:t>0.1% of body stores), and because the body does not have the ability to degrade cobalamin, daily requirements are also about 1</w:t>
      </w:r>
      <w:r w:rsidR="00A6019F" w:rsidRPr="00A6019F">
        <w:rPr>
          <w:rFonts w:ascii="Aptos" w:hAnsi="Aptos" w:cs="Aptos"/>
        </w:rPr>
        <w:t>–</w:t>
      </w:r>
      <w:r w:rsidR="00A6019F" w:rsidRPr="00A6019F">
        <w:t xml:space="preserve">3 </w:t>
      </w:r>
      <w:r w:rsidR="00A6019F" w:rsidRPr="00A6019F">
        <w:rPr>
          <w:rFonts w:ascii="Aptos" w:hAnsi="Aptos" w:cs="Aptos"/>
        </w:rPr>
        <w:t>μ</w:t>
      </w:r>
      <w:r w:rsidR="00A6019F" w:rsidRPr="00A6019F">
        <w:t>g. Body stores are of the order of 2</w:t>
      </w:r>
      <w:r w:rsidR="00A6019F" w:rsidRPr="00A6019F">
        <w:rPr>
          <w:rFonts w:ascii="Aptos" w:hAnsi="Aptos" w:cs="Aptos"/>
        </w:rPr>
        <w:t>–</w:t>
      </w:r>
      <w:r w:rsidR="00A6019F" w:rsidRPr="00A6019F">
        <w:t>3 mg, sufficient for 3</w:t>
      </w:r>
      <w:r w:rsidR="00A6019F" w:rsidRPr="00A6019F">
        <w:rPr>
          <w:rFonts w:ascii="Aptos" w:hAnsi="Aptos" w:cs="Aptos"/>
        </w:rPr>
        <w:t>–</w:t>
      </w:r>
      <w:r w:rsidR="00A6019F" w:rsidRPr="00A6019F">
        <w:t xml:space="preserve">4 years if supplies are completely cut off. </w:t>
      </w:r>
      <w:r w:rsidR="00A6019F" w:rsidRPr="00A6019F">
        <w:rPr>
          <w:rFonts w:ascii="Arial" w:hAnsi="Arial" w:cs="Arial"/>
        </w:rPr>
        <w:t>■</w:t>
      </w:r>
      <w:r w:rsidR="00A6019F" w:rsidRPr="00A6019F">
        <w:t xml:space="preserve">ABSORPTION Two mechanisms exist for cobalamin absorption. One is passive, occur ring equally through buccal, duodenal, and ileal mucosa; it is rapid but extremely inefficient, with 100 </w:t>
      </w:r>
      <w:r w:rsidR="00A6019F" w:rsidRPr="00A6019F">
        <w:rPr>
          <w:rFonts w:ascii="Aptos" w:hAnsi="Aptos" w:cs="Aptos"/>
        </w:rPr>
        <w:t>μ</w:t>
      </w:r>
      <w:r w:rsidR="00A6019F" w:rsidRPr="00A6019F">
        <w:t xml:space="preserve">g/100 g). The total folate content of an average Western diet is 400−500 μg daily, but the amount varies widely according to the type of food eaten and the method of cooking. Folate is easily destroyed by heating, particu larly in large volumes of water. Total-body folate in the adult is </w:t>
      </w:r>
      <w:r w:rsidR="00A6019F" w:rsidRPr="00A6019F">
        <w:rPr>
          <w:rFonts w:ascii="Cambria Math" w:hAnsi="Cambria Math" w:cs="Cambria Math"/>
        </w:rPr>
        <w:t>∼</w:t>
      </w:r>
      <w:r w:rsidR="00A6019F" w:rsidRPr="00A6019F">
        <w:t>10 mg, with the liver containing the largest store. Daily adult requirements are 100</w:t>
      </w:r>
      <w:r w:rsidR="00A6019F" w:rsidRPr="00A6019F">
        <w:rPr>
          <w:rFonts w:ascii="Aptos" w:hAnsi="Aptos" w:cs="Aptos"/>
        </w:rPr>
        <w:t>–</w:t>
      </w:r>
      <w:r w:rsidR="00A6019F" w:rsidRPr="00A6019F">
        <w:t xml:space="preserve">200 </w:t>
      </w:r>
      <w:r w:rsidR="00A6019F" w:rsidRPr="00A6019F">
        <w:rPr>
          <w:rFonts w:ascii="Aptos" w:hAnsi="Aptos" w:cs="Aptos"/>
        </w:rPr>
        <w:t>μ</w:t>
      </w:r>
      <w:r w:rsidR="00A6019F" w:rsidRPr="00A6019F">
        <w:t>g, and so stores are sufficient for only 3</w:t>
      </w:r>
      <w:r w:rsidR="00A6019F" w:rsidRPr="00A6019F">
        <w:rPr>
          <w:rFonts w:ascii="Aptos" w:hAnsi="Aptos" w:cs="Aptos"/>
        </w:rPr>
        <w:t>–</w:t>
      </w:r>
      <w:r w:rsidR="00A6019F" w:rsidRPr="00A6019F">
        <w:t xml:space="preserve">4 months in normal adults, and severe folate deficiency may develop rapidly. CHAPTER 104 Megaloblastic Anemias </w:t>
      </w:r>
      <w:r w:rsidR="00A6019F" w:rsidRPr="00A6019F">
        <w:rPr>
          <w:rFonts w:ascii="Arial" w:hAnsi="Arial" w:cs="Arial"/>
        </w:rPr>
        <w:t>■</w:t>
      </w:r>
      <w:r w:rsidR="00A6019F" w:rsidRPr="00A6019F">
        <w:t xml:space="preserve">ABSORPTION Folates are absorbed rapidly from the upper small intestine. The absorption of folate polyglutamates is less efficient than that of mono glutamates; on average, </w:t>
      </w:r>
      <w:r w:rsidR="00A6019F" w:rsidRPr="00A6019F">
        <w:rPr>
          <w:rFonts w:ascii="Cambria Math" w:hAnsi="Cambria Math" w:cs="Cambria Math"/>
        </w:rPr>
        <w:t>∼</w:t>
      </w:r>
      <w:r w:rsidR="00A6019F" w:rsidRPr="00A6019F">
        <w:t xml:space="preserve">50% of food folate is absorbed. Polyglutamate forms </w:t>
      </w:r>
      <w:r w:rsidR="00A6019F" w:rsidRPr="00A6019F">
        <w:lastRenderedPageBreak/>
        <w:t xml:space="preserve">are hydrolyzed to the monoglutamate derivatives either in the lumen of the intestine or within the mucosa. All dietary folates are converted to 5-methyl-THF (5-MTHF) within the small intestinal mucosa before entering portal plasma. Monoglutamates are actively transported across the enterocyte by a proton-coupled folate trans porter (PCFT, SCL46A1). This is situated at the apical brush border and is most active at pH 5.5, which is about the pH of the duodenal and jejunal surface. Genetic mutations of this protein underlie heredi tary malabsorption of folate (see below). Pteroylglutamic acid at doses &gt;400 μg is absorbed largely unchanged and converted to natural folates in the liver. Lower doses are converted to 5-MTHF during absorption through the intestine. About 60–90 μg of folate enter the bile each day and are excreted into the small intestine. Loss of this folate, together with the folate of sloughed intestinal cells, accelerates the speed with which folate defi ciency develops in malabsorption conditions. </w:t>
      </w:r>
      <w:r w:rsidR="00A6019F" w:rsidRPr="00A6019F">
        <w:rPr>
          <w:rFonts w:ascii="Arial" w:hAnsi="Arial" w:cs="Arial"/>
        </w:rPr>
        <w:t>■</w:t>
      </w:r>
      <w:r w:rsidR="00A6019F" w:rsidRPr="00A6019F">
        <w:t xml:space="preserve">TRANSPORT Folate is transported in plasma; about one-third is loosely bound to albumin, and two-thirds are unbound. In all body fluids (plasma, cerebrospinal fluid, milk, bile), folate is largely, if not entirely, 5-MTHF 782 TABLE 104-2 Biochemical Reactions of Folate Coenzymes REACTION Formate activation Purine synthesis    Formation of glycinamide ribonucleotide Formylation of aminoimidazole carboxamide ribonucleotide (AICAR) Pyrimidine synthesis    Methylation of deoxyuridine monophosphate (dUMP) to thymidine monophosphate (dTMP) Amino acid interconversion    Serine-glycine interconversion Homocysteine to methionine Forminoglutamic acid to glutamic acid in histidine catabolism PART 4 COENZYME FORM OF FOLATE INVOLVED THF 5,10-Methylene-THF 10-Formyl (CHO)THF   5,10-Methylene-THF THF 5-Methyl(M)THF THF Abbreviations: DHF, dihydrofolate; THF, tetrahydrofolate. Oncology and Hematology SINGLE CARBON UNIT TRANSFERRED −CHO −CHO −CH3 =CH2 −CH3 −HN−CH=  (the monoglutamate form). Three types of folate-binding protein are involved. A reduced folate transporter (RFC, SLC19A1) is the major route of delivery of plasma folate (5-MTHF) to cells. Two folate recep tors, FR2 and FR3 embedded in the cell membrane by a glycosyl phosphatidylinositol anchor, transport folate into the cell via receptor mediated endocytosis. The third protein, proton-coupled folate trans porter (PCFT), transports folate at low pH from the vesicle to the cell cytoplasm. The reduced folate transporter also mediates uptake of methotrexate by cells. IMPORTANCE Generation of 10-formyl-THF Formation of purines needed for DNA, RNA synthesis, but reactions probably not rate-limiting Rate limiting in DNA synthesis Oxidizes THF to DHF Some breakdown of folate at the C-9–N-10 bond Entry of single carbon units into active pool Demethylation of 5-MTHF to THF; also requires cobalamin, flavine adenine dinucleotide, ATP, and adenosylmethionine or more precursor, DNA replication from multiple origins along the chromosome is slower than normal during mitosis, and the incomplete replicons fail to join up with resulting single-stranded DNA breaks. An alternative and less likely theory for megaloblastic anemia in cobalamin or folate deficiency is misincorporation of uracil into DNA because of the accumulation of deoxyuridine triphosphate (dUTP) at the DNA replication fork as </w:t>
      </w:r>
      <w:r w:rsidR="00A6019F" w:rsidRPr="00A6019F">
        <w:lastRenderedPageBreak/>
        <w:t xml:space="preserve">a consequence of the block in conversion of dUMP to dTMP. </w:t>
      </w:r>
      <w:r w:rsidR="00A6019F" w:rsidRPr="00A6019F">
        <w:rPr>
          <w:rFonts w:ascii="Arial" w:hAnsi="Arial" w:cs="Arial"/>
        </w:rPr>
        <w:t>■</w:t>
      </w:r>
      <w:r w:rsidR="00A6019F" w:rsidRPr="00A6019F">
        <w:t xml:space="preserve">COBALAMIN-FOLATE RELATIONS </w:t>
      </w:r>
      <w:r w:rsidR="00A6019F" w:rsidRPr="00A6019F">
        <w:rPr>
          <w:rFonts w:ascii="Arial" w:hAnsi="Arial" w:cs="Arial"/>
        </w:rPr>
        <w:t>■</w:t>
      </w:r>
      <w:r w:rsidR="00A6019F" w:rsidRPr="00A6019F">
        <w:t xml:space="preserve">BIOCHEMICAL FUNCTIONS Folates (as the intracellular polyglutamate derivatives) act as coenzymes in the transfer of single-carbon units (Fig. 104-1 and Table 104-2). Two of these reactions are involved in purine synthesis and one in pyrimi dine synthesis necessary for DNA and RNA replication. Folate is also a coenzyme for methionine synthesis, in which methylcobalamin is also involved and in which THF is regenerated. THF is the acceptor of single carbon units newly entering the active pool via conversion of serine to glycine. Methionine, the other product of the methionine synthase reaction, is the precursor for S-adenosylmethionine (SAM), the universal methyl donor involved in &gt;100 methyltransferase reac tions (Fig. 104-1). During thymidylate synthesis, 5,10-methylene-THF is oxidized to DHF. The enzyme DHF reductase converts this to THF. The drugs methotrexate, pyrimethamine, and (mainly in bacteria) trimethoprim inhibit DHF reductase and so prevent formation of active THF coen zymes from DHF. A small fraction of the folate coenzyme is not recy cled during thymidylate synthesis but is degraded at the C9-N10 bond. BIOCHEMICAL BASIS OF MEGALOBLASTIC ANEMIA The common feature of all megaloblastic anemias is a defect in DNA synthesis that affects rapidly dividing cells in the bone marrow. Con ditions that give rise to megaloblastic changes have in common a disparity in the availability of the four immediate precursors of DNA or a block in their condensation to form DNA. The four precursors are the deoxyribonucleoside triphosphates (dNTPs)—dA(adenine) TP and dG(guanine)TP (purines), dT(thymine)TP, and dC(cytosine) TP (pyrimidines). In deficiencies of either folate or cobalamin, con version of deoxyuridine monophosphate (dUMP) to deoxythymidine monophosphate (dTMP), the precursor of deoxythymidine triphos phate (dTTP) (Fig. 104-1) fails. This occurs because folate is needed as the coenzyme 5,10-methylene-THF polyglutamate for conversion of dUMP to dTMP. The availability of 5,10-methylene-THF is reduced in either cobalamin or folate deficiency. Because of the shortage of one Folate is required for many reactions in mammalian tissues (Table 104-2). Only two reactions in the body are known to require cobalamin. Methylmalonyl-CoA isomerization requires adocobalamin, and the methylation of homocysteine to methionine requires both methylco balamin and 5-MTHF (Fig. 104-1). This reaction is the first step in the pathway by which 5-MTHF, which enters bone marrow and other cells from plasma, is converted into all the intracellular folate coen zymes. The coenzymes are all polyglutamated (the larger size aiding retention in the cell), but the enzyme folate polyglutamate synthase can use only THF, not 5-MTHF, as substrate. In cobalamin deficiency, 5-MTHF accumulates in plasma, and intracellular folate concentra tions fall due to failure of formation of THF, the substrate on which folate polyglutamates are built. This has been termed THF starvation, or the methylfolate trap. This trap also occurs at the polyglutamate level with accumulation of the methyl form at the expense of the other one-carbon forms. This theory explains the abnormalities of folate metabolism that occur in cobalamin deficiency (high serum folate, low cell folate, positive purine precursor aminoimidazole carboxamide </w:t>
      </w:r>
      <w:r w:rsidR="00A6019F" w:rsidRPr="00A6019F">
        <w:lastRenderedPageBreak/>
        <w:t xml:space="preserve">ribonucleotide [AICAR] excretion) (Table 104-2) and also why the anemia of cobala min deficiency responds to folic acid in large doses, which overcome the methylfolate trap (Fig 104-1). CLINICAL FEATURES Many symptomless patients are detected through the finding of a raised mean corpuscular volume (MCV) on a routine blood count. The main clinical features in more severe cases are those of anemia. Anorexia is usually marked, and weight loss, diarrhea, or constipation may be present. Glossitis, angular cheilosis, a mild fever in more severely anemic patients, jaundice (unconjugated), and reversible melanin skin hyperpigmentation also may occur with a deficiency of either folate or cobalamin. Thrombocytopenia sometimes leads to bruising, and this may be aggravated by vitamin C deficiency or alcohol in malnourished patients. The anemia and low leukocyte count may predispose to infec tions, particularly of the respiratory and urinary tracts. Cobalamin 783 (e.g., methylated lipids, myelin basic protein, DOPA, DNA) Methylated product CHAPTER 104 Megaloblastic Anemias Polyglutamate synthase + glutamates Substrate Methyltransferases S-Adenosylmethionine (SAM) ATP THE METHYLATION CYCLE S-Adenosylhomocysteine (SAH) Homocysteine Methionine DHF reductase Tetrahydrofolate Purines Dihydrofolate Methionine synthase Serine methylcobalamin Glycine Formate 10-Formyl tetrahydrofolate Folic acid Deoxythymidine monophosphate 5-Methyl tetrahydrofolate 5,10-Methylene tetrahydrofolate reductase DNA CYCLE (CELL REPLICATION) 5, 10-Methylene tetrahydrofolate Cystathionine Cysteine GSH Pyruvate Cystathionine synthase vitamin B6 Cell Deoxyuridine monophosphate 5-Methyl tetrahydrofolate (monoglutamate) Folic acid Plasma and myoclonus have been described. An important clinical problem is the nonanemic patient with neurologic or psychiatric abnormalities and a low or borderline serum cobalamin level. In such patients, it is necessary to try to establish whether significant cobalamin deficiency is present, for example, by careful examination of the blood film for macrocytosis or hypersegmented neutrophils (see below), tests for pernicious anemia (PA) by serum gastrin level and antibodies to IF or parietal cells, and serum methylmalonic acid (MMA) measurement. A trial of cobalamin therapy for at least 3 months will usually also be needed to determine whether the symptoms improve. The biochemical basis for cobalamin neuropathy remains obscure. Its occurrence in the absence of methylmalonic aciduria in TC II deficiency suggests that the neuropathy is related to the defect in homocysteine-methionine conversion. Accumulation of S-adenosyl homocysteine in the brain, resulting in inhibition of transmethylation reactions, has been suggested. Folate deficiency has been suggested to cause organic neurologic disease, but this is uncertain, although methotrexate injected into the cerebrospinal fluid may cause brain or spinal cord damage. Psychiatric disturbance, as discussed above, is common in both folate and cobalamin deficiencies. This, like the neuropathy, has been attributed to a failure of the synthesis of SAM, which is needed in FIGURE 104-1 The role of folates in DNA synthesis and in formation of S-adenosylmethionine (SAM), which is involved in numerous methylation reactions. DHF, dihydrofolate; GSH, glutathione. (Reproduced with permission from AV Hoffbrand et al </w:t>
      </w:r>
      <w:r w:rsidR="00A6019F" w:rsidRPr="00A6019F">
        <w:lastRenderedPageBreak/>
        <w:t xml:space="preserve">[eds]: Postgraduate Haematology, 5th ed. Oxford, UK, Blackwell Publishing, 2005.) deficiency has also been associated in a few studies with impaired bactericidal function of phagocytes and with osteoporosis. Neurologic Manifestations Cobalamin is needed for the myelin ation of the central nervous system. Its deficiency may cause a bilateral peripheral neuropathy or degeneration (demyelination) of the cervical and thoracic posterior and lateral (pyramidal) tracts of the spinal cord and, less frequently, of the cranial nerves and of the white matter of the brain. Optic atrophy and cerebral symptoms including dementia, depression, psychotic symptoms, and cognitive impairment may be prominent. Anosmia and loss of taste may occur. Magnetic resonance imaging (MRI) may show the “spongy” degeneration of the cord. The patient, more frequently male, typically presents with pares thesias, muscle weakness, or difficulty in walking but sometimes may present with dementia, psychotic disturbances, or visual impairment. Loss of proprioception and vibration sensation is usually present with positive Romberg and Lhermitte signs. Gait may be ataxic with spas ticity (hyperreflexia). Autonomic nervous dysfunction can result in postural hypotension, impotence, and incontinence. Long-term nutritional cobalamin deficiency in infancy leads to poor brain development and impaired intellectual development. In infancy, feeding difficulties, lethargy, and coma may be noted. Convulsions 784 methylation of biogenic amines (e.g., dopamine) as well as that of pro teins, phospholipids, and neurotransmitters in the brain (Fig. 104-1). </w:t>
      </w:r>
      <w:r w:rsidR="00A6019F" w:rsidRPr="00A6019F">
        <w:rPr>
          <w:rFonts w:ascii="Arial" w:hAnsi="Arial" w:cs="Arial"/>
        </w:rPr>
        <w:t>■</w:t>
      </w:r>
      <w:r w:rsidR="00A6019F" w:rsidRPr="00A6019F">
        <w:t xml:space="preserve">GENERAL TISSUE EFFECTS OF COBALAMIN AND FOLATE DEFICIENCIES Epithelial Surfaces After the marrow, the next most frequently affected tissues are the epithelial cell surfaces of the mouth (with glos sitis), stomach, small intestine, and respiratory, urinary, and female genital tracts. The cells show macrocytosis with increased numbers of multinucleate and dying cells. The deficiencies may cause cervical smear abnormalities. Complications of Pregnancy The gonads are also affected, and infertility is common in both men and women with severe deficiency of either vitamin. Maternal folate deficiency has been implicated as a cause of prematurity, and both folate and cobalamin deficiencies have been implicated in recurrent fetal loss and neural tube defects. PART 4 Oncology and Hematology Neural Tube Defects Folic acid supplements at the time of con ception and in the first 12 weeks of pregnancy can reduce by </w:t>
      </w:r>
      <w:r w:rsidR="00A6019F" w:rsidRPr="00A6019F">
        <w:rPr>
          <w:rFonts w:ascii="Cambria Math" w:hAnsi="Cambria Math" w:cs="Cambria Math"/>
        </w:rPr>
        <w:t>∼</w:t>
      </w:r>
      <w:r w:rsidR="00A6019F" w:rsidRPr="00A6019F">
        <w:t xml:space="preserve">80% the incidence of neural tube defects (NTDs) (anencephaly, meningomyelo cele, encephalocele, and spina bifida) in the fetus. Most of this protec tive effect can be achieved by taking folic acid, 0.4 mg daily, before and at the time of conception. The incidence of cleft palate and harelip also can be reduced by prophylactic folic acid. No clear simple relationship exists between maternal folate status and these fetal abnormalities, although for NTDs, it has been established that the lower the maternal folate, the greater is the risk to the fetus. NTDs also can be caused by antifolate and antiepileptic drugs. An underlying maternal folate metabolic abnormality has also been postulated. One abnormality has been identified: reduced activity of the enzyme 5,10-methylene-THF reductase (MTHFR) (Fig. 104-1) caused by a common C677T polymorphism in the MTHFR gene. In one study, the prevalence of this </w:t>
      </w:r>
      <w:r w:rsidR="00A6019F" w:rsidRPr="00A6019F">
        <w:lastRenderedPageBreak/>
        <w:t xml:space="preserve">polymorphism was found to be higher than in controls in the parents of NTD fetuses and in the fetuses them selves: homozygosity for the TT mutation was found in 13% of cases compared with 5% of control subjects. The polymorphism codes for a thermolabile form of MTHFR. The homozygous state results in a lower mean serum and red cell folate level compared with control subjects, as well as significantly higher serum homocysteine levels. Tests for muta tions in other enzymes possibly associated with NTDs, for example, methionine synthase and serine–glycine hydroxymethylase, have been negative. Serum cobalamin levels are also lower in the sera of mothers of NTD infants than in controls. In addition, maternal TC II receptor polymorphisms are associated with increased risk of NTD births. How ever, no studies have been undertaken that show that dietary fortifica tion with cobalamin reduces the incidence of NTDs. Cardiovascular Disease Children with severe homocystinuria (blood levels ≥100 μmol/L) due to deficiency of one of three enzymes (methionine synthase, MTHFR, or cystathionine synthase; Fig. 104-1) have vascular disease, for example, ischemic heart disease, cerebrovas cular disease, or pulmonary embolus, as teenagers or in young adult hood. Lesser degrees of raised serum homocysteine and low levels of serum folate and homozygous inherited mutations of MTHFR have been found to be associated with cerebrovascular, peripheral vascular, and coronary heart disease and with deep vein thrombosis. Prospective randomized trials of lowering homocysteine levels with supplements of folic acid, vitamin B12 , and vitamin B6 against placebo over a 5-year period in patients with vascular disease or diabetes have not, however, shown a reduction of first event fatal or nonfatal myocardial infarction, nor have these supplements reduced the risk of recurrent cardiovascu lar disease after an acute myocardial infarct. Meta-analysis showed an 18% reduction in strokes. The benefit for stroke prevention has been confirmed by a large (&gt;20,000 subjects) randomized prospective study in hypertensive subjects in China. This showed a significant reduction in the first incidence of stroke in subjects receiving enalapril and folic acid compared to enalapril alone. The effect was especially marked in the subjects commencing the prospective trial with the lowest serum folate levels. Venous thrombosis has been reported to be more frequent in folate-deficient or cobalamin-deficient subjects than in controls and to occur at unusual sites such as cerebral venous sinuses. This tendency was ascribed to raised plasma homocysteine levels in folate or cobala min deficiency, but no evidence exists that folic acid or cobalamin supplements reduce the prevalence of venous thrombosis. Cognitive Decline Association between low serum folate or cobalamin levels and higher homocysteine levels with the development of decreased cognitive function and of dementia in Alzheimer’s disease has been reported. A meta-analysis of randomized, placebo-controlled trials of homocysteine-lowering B-vitamin supplementation of indi viduals with and without cognitive impairment, however, showed that supplementation with vitamin B12 , vitamin B6 , and folic acid alone or in combination did not improve cognitive function or slow cognitive decline. It is unknown whether prolonged treatment with these B vitamins can reduce the risk of dementia in </w:t>
      </w:r>
      <w:r w:rsidR="00A6019F" w:rsidRPr="00A6019F">
        <w:lastRenderedPageBreak/>
        <w:t xml:space="preserve">later life. Malignancy Prophylactic folic acid in pregnancy has been found in some but not all studies to reduce the subsequent incidence of acute lymphoblastic leukemia (ALL) in childhood. A significant negative association has also been found with the MTHFR C677T polymor phism and leukemias with mixed lineage leukemia (MLL) transloca tions, but a positive association was found with hyperdiploidy in infants with ALL or acute myeloid leukemia or with childhood ALL. A second polymorphism in the MTHFR gene, A1298C, is also strongly associated with hyperdiploid leukemia. Various positive and negative associations are noted between polymorphisms in folate-dependent enzymes and the incidence of adult ALL. The C677T polymorphism is thought to lead to increased thymidine pools and “better quality” of DNA synthesis by shunting one-carbon groups toward thymidine and purine synthesis. This may explain its reported association with a lower risk for colorectal cancer. Most but not all studies suggest that prophy lactic folic acid also protects against colon adenomas. Other tumors that have been associated with folate polymorphisms or status include follicular lymphoma, breast cancer, and gastric cancer. A meta-analysis of 50,000 individuals given folic acid (0.5–40 mg daily) or placebo in cardiovascular (n = 10) or colon adenoma pre vention (n = 3) trials found that folic acid supplementation did not significantly increase or decrease the overall incidence of cancer or of any site-specific cancer during a weighted average scheduled treatment duration of 5.7 years. Because folic acid may “feed” tumors, it prob ably should be avoided in those with established tumors unless severe megaloblastic anemia due to folate deficiency is present. HEMATOLOGIC FINDINGS </w:t>
      </w:r>
      <w:r w:rsidR="00A6019F" w:rsidRPr="00A6019F">
        <w:rPr>
          <w:rFonts w:ascii="Arial" w:hAnsi="Arial" w:cs="Arial"/>
        </w:rPr>
        <w:t>■</w:t>
      </w:r>
      <w:r w:rsidR="00A6019F" w:rsidRPr="00A6019F">
        <w:t xml:space="preserve">PERIPHERAL BLOOD Oval macrocytes, usually with considerable anisocytosis and poikilo cytosis, are the main feature (Fig. 104-2A). The MCV is usually &gt;100 fL unless a cause of microcytosis (e.g., iron deficiency or thalassemia trait) is present. Some of the neutrophils are hypersegmented (more than five nuclear lobes). There may be leukopenia due to a reduction in granulocytes and lymphocytes, but this is usually &gt;1.5 × 109/L; the platelet count may be moderately reduced, rarely to 60 years. The parietal cell antibody is directed against the α and β subunits of the gastric proton pump (H+, K+-ATPase). </w:t>
      </w:r>
      <w:r w:rsidR="00A6019F" w:rsidRPr="00A6019F">
        <w:rPr>
          <w:rFonts w:ascii="Arial" w:hAnsi="Arial" w:cs="Arial"/>
        </w:rPr>
        <w:t>■</w:t>
      </w:r>
      <w:r w:rsidR="00A6019F" w:rsidRPr="00A6019F">
        <w:t xml:space="preserve">JUVENILE PERNICIOUS ANEMIA This usually occurs in older children and resembles PA of adults. Gastric atrophy, achlorhydria, and serum IF antibodies are all present, although parietal cell antibodies are usually absent. About one-half of these patients show an associated endocrinopathy such as autoimmune thyroiditis, Addison’s disease, or hypoparathyroidism; in some, muco cutaneous candidiasis occurs. </w:t>
      </w:r>
      <w:r w:rsidR="00A6019F" w:rsidRPr="00A6019F">
        <w:rPr>
          <w:rFonts w:ascii="Arial" w:hAnsi="Arial" w:cs="Arial"/>
        </w:rPr>
        <w:t>■</w:t>
      </w:r>
      <w:r w:rsidR="00A6019F" w:rsidRPr="00A6019F">
        <w:t xml:space="preserve">CONGENITAL INTRINSIC FACTOR DEFICIENCY OR FUNCTIONAL ABNORMALITY An affected child usually presents with megaloblastic anemia in the first to third year of life; a few have presented as late as the second decade. The child usually has no demonstrable IF but has a normal gastric mucosa and normal secretion of acid. The inheritance is auto somal recessive. Parietal cell and IF antibodies are absent. Variants have been described in which the child is born with IF that can be detected immunologically but is unstable or functionally inactive, unable to bind cobalamin or to facilitate its uptake by </w:t>
      </w:r>
      <w:r w:rsidR="00A6019F" w:rsidRPr="00A6019F">
        <w:lastRenderedPageBreak/>
        <w:t xml:space="preserve">ileal receptors. </w:t>
      </w:r>
      <w:r w:rsidR="00A6019F" w:rsidRPr="00A6019F">
        <w:rPr>
          <w:rFonts w:ascii="Arial" w:hAnsi="Arial" w:cs="Arial"/>
        </w:rPr>
        <w:t>■</w:t>
      </w:r>
      <w:r w:rsidR="00A6019F" w:rsidRPr="00A6019F">
        <w:t xml:space="preserve">GASTRECTOMY After total gastrectomy, cobalamin deficiency is inevitable, and pro phylactic cobalamin therapy should be commenced immediately after the operation. After partial gastrectomy, 10–15% of patients also develop this deficiency. The exact incidence and time of onset are most influenced by the size of the resection and the preexisting size of cobalamin body stores. </w:t>
      </w:r>
      <w:r w:rsidR="00A6019F" w:rsidRPr="00A6019F">
        <w:rPr>
          <w:rFonts w:ascii="Arial" w:hAnsi="Arial" w:cs="Arial"/>
        </w:rPr>
        <w:t>■</w:t>
      </w:r>
      <w:r w:rsidR="00A6019F" w:rsidRPr="00A6019F">
        <w:t xml:space="preserve">FOOD COBALAMIN MALABSORPTION Failure of release of cobalamin from binding proteins in food is responsible for this condition, which is more common in the elderly. It is associated with low serum cobalamin levels, with or without raised serum levels of MMA and homocysteine. Typically, these patients have normal cobalamin absorption, as measured with crystalline cobala min, but show malabsorption when a modified test using food-bound cobalamin is used. It is usually due to mild forms of atrophic gastritis or therapy with proton pump inhibitors. Bariatric surgery is likely to be an increasing cause of this form of cobalamin malabsorption and defi ciency. The frequency of progression to severe cobalamin deficiency and the reasons for this progression are not clear. </w:t>
      </w:r>
      <w:r w:rsidR="00A6019F" w:rsidRPr="00A6019F">
        <w:rPr>
          <w:rFonts w:ascii="Arial" w:hAnsi="Arial" w:cs="Arial"/>
        </w:rPr>
        <w:t>■</w:t>
      </w:r>
      <w:r w:rsidR="00A6019F" w:rsidRPr="00A6019F">
        <w:t xml:space="preserve">INTESTINAL CAUSES OF COBALAMIN MALABSORPTION Intestinal Stagnant Loop Syndrome Malabsorption of cobala min occurs in a variety of intestinal lesions in which there is coloniza tion of the upper small intestine by fecal organisms. This may occur in patients with jejunal diverticulosis, entero-anastomosis, or an intestinal stricture or fistula or with an anatomic blind loop due to Crohn’s dis ease, tuberculosis, or an operative procedure. Ileal Resection Removal of ≥1.2 m of terminal ileum causes malabsorption of cobalamin. In some patients after ileal resection, particularly if the ileocecal valve is incompetent, colonic bacteria may contribute further to the onset of cobalamin deficiency. Selective Malabsorption of Cobalamin with Proteinuria (Imerslund’s Syndrome; Imerslund-Gräsbeck Syndrome; Congenital Cobalamin Malabsorption; Autosomal Reces sive Megaloblastic Anemia; MGA1) This autosomal recessive disease is the most common cause of megaloblastic anemia due to cobalamin deficiency in infancy in Western countries. More than 200 cases have been reported with familial clusters in Finland, Norway, the Middle East, and North Africa. The patients secrete normal amounts of IF and gastric acid but are unable to absorb cobalamin. In Finland, impaired synthesis, processing, or ligand binding of cubilin due to Megaloblastic Anemias 787 CHAPTER 104 inherited mutations is found. In Norway, mutation of the gene for AMN has been reported. Other tests of intestinal absorption are nor mal. Over 90% of these patients show nonspecific proteinuria, but renal function is otherwise normal, and renal biopsy has not shown any con sistent renal defect. A few have shown aminoaciduria and congenital renal abnormalities, such as duplication of the renal pelvis. Tropical Sprue Nearly all patients with acute and subacute tropi cal sprue show malabsorption of cobalamin. This may persist as the principal abnormality in the chronic form of the disease, when the patient may present with megaloblastic anemia or neuropathy due to cobalamin deficiency. Absorption of cobalamin usually improves after antibiotic and, in the early stages, folic acid therapy. Fish Tapeworm Infestation The fish tapeworm (Diphylloboth rium latum) lives in the small intestine of </w:t>
      </w:r>
      <w:r w:rsidR="00A6019F" w:rsidRPr="00A6019F">
        <w:lastRenderedPageBreak/>
        <w:t xml:space="preserve">humans and accumulates cobalamin from food, rendering the cobalamin unavailable for absorp tion. Individuals acquire the worm by eating raw or partly cooked fish. Infestation was common around the lakes of Scandinavia, Germany, Japan, North America, and Russia. Megaloblastic anemia or cobalamin neuropathy occurs only in those with a heavy infestation. Gluten-Induced Enteropathy Malabsorption of cobalamin occurs in </w:t>
      </w:r>
      <w:r w:rsidR="00A6019F" w:rsidRPr="00A6019F">
        <w:rPr>
          <w:rFonts w:ascii="Cambria Math" w:hAnsi="Cambria Math" w:cs="Cambria Math"/>
        </w:rPr>
        <w:t>∼</w:t>
      </w:r>
      <w:r w:rsidR="00A6019F" w:rsidRPr="00A6019F">
        <w:t xml:space="preserve">30% of untreated patients (presumably those in whom the disease extends to the ileum). Cobalamin deficiency is not severe in these patients and is corrected with a gluten-free diet. Severe Chronic Pancreatitis In this condition, lack of trypsin is thought to cause dietary cobalamin attached to gastric non-IF (HC) binder to be unavailable for absorption. It also has been proposed that, in pancreatitis, the concentration of calcium ions in the ileum falls below the level needed to maintain normal cobalamin absorption. HIV Infection Serum cobalamin levels tend to fall in patients with HIV infection and are subnormal in 10–35% of those with AIDS. Mal absorption of cobalamin not corrected by IF has been shown in some, but not all, patients with subnormal serum cobalamin levels. Cobala min deficiency sufficiently severe to cause megaloblastic anemia or neuropathy is rare. Zollinger-Ellison Syndrome Malabsorption of cobalamin has been reported in the Zollinger-Ellison syndrome. It is thought that there is a failure to release cobalamin from HC binding protein due to inactivation of pancreatic trypsin by high acidity, as well as interference with IF binding of cobalamin. Radiotherapy Both total-body irradiation and local radiotherapy to the ileum (e.g., as a complication of radiotherapy for carcinoma of the cervix) may cause malabsorption of cobalamin. Graft-Versus-Host Disease This commonly affects the small intestine. Malabsorption of cobalamin due to abnormal gut flora, as well as damage to ileal mucosa, is common. Drugs The drugs that have been reported to cause malabsorption of cobalamin are listed in Table 104-4. However, megaloblastic anemia due to these drugs is rare. It has been suggested that metformin lowers serum cobalamin by lowering TC I level rather than causing malab sorption of cobalamin. </w:t>
      </w:r>
      <w:r w:rsidR="00A6019F" w:rsidRPr="00A6019F">
        <w:rPr>
          <w:rFonts w:ascii="Arial" w:hAnsi="Arial" w:cs="Arial"/>
        </w:rPr>
        <w:t>■</w:t>
      </w:r>
      <w:r w:rsidR="00A6019F" w:rsidRPr="00A6019F">
        <w:t xml:space="preserve">ABNORMALITIES OF COBALAMIN METABOLISM Congenital Transcobalamin II Deficiency or Abnormality Infants with TC II deficiency usually present with megaloblastic anemia within a few weeks of birth. Serum cobalamin and folate levels are normal, but the anemia responds to massive (e.g., 1 mg three times weekly) injec tions of cobalamin. Some cases show neurologic complications. The pro tein may be present but functionally inert. Genetic abnormalities found include mutations of an intraexonic cryptic splice site, extensive deletion, single nucleotide deletion, nonsense mutation, and an RNA editing defect. Malabsorption of cobalamin occurs in all cases, and serum immunoglob ulins are usually reduced. Failure to institute adequate cobalamin therapy or treatment with folic acid may lead to irreversible neurologic damage. Congenital Methylmalonic Acidemia and Aciduria Infants with this abnormality are ill from birth with vomiting, failure to thrive, severe metabolic acidosis, ketosis, and intellectual disability. Anemia, if present, is normocytic and normoblastic. The condition may be due to a functional defect in either mitochondrial methylmalonyl-CoA </w:t>
      </w:r>
      <w:r w:rsidR="00A6019F" w:rsidRPr="00A6019F">
        <w:lastRenderedPageBreak/>
        <w:t xml:space="preserve">mutase or its cofactor adocobalamin. Mutations in the methylmal onyl-CoA mutase are not responsive or are only poorly responsive to treatment with cobalamin. A proportion of infants with failure of adocobalamin synthesis respond to cobalamin in large doses. Some children have combined methylmalonic aciduria and homocystinuria due to defective formation of both cobalamin coenzymes. This usually presents in the first year of life with feeding difficulties, developmental delay, microcephaly, seizures, hypotonia, and megaloblastic anemia. Acquired Abnormality of Cobalamin Metabolism: Nitrous Oxide Inhalation Nitrous oxide (N2 O) irreversibly oxidizes meth ylcobalamin to an inactive precursor; this inactivates methionine synthase. Megaloblastic anemia has occurred in patients undergoing prolonged N2 O anesthesia (e.g., in intensive care units). A neuropathy resembling cobalamin neuropathy has been described in dentists and anesthetists who are exposed repeatedly to N2 O. Methylmalonic acid uria does not occur as adocobalamin is not inactivated by N2 O. CAUSES OF FOLATE DEFICIENCY (Table 104-5) </w:t>
      </w:r>
      <w:r w:rsidR="00A6019F" w:rsidRPr="00A6019F">
        <w:rPr>
          <w:rFonts w:ascii="Arial" w:hAnsi="Arial" w:cs="Arial"/>
        </w:rPr>
        <w:t>■</w:t>
      </w:r>
      <w:r w:rsidR="00A6019F" w:rsidRPr="00A6019F">
        <w:t xml:space="preserve">NUTRITIONAL Dietary folate deficiency is common except in countries that fortify their diet with folic acid. In most patients with folate deficiency, a nutritional element is present. Certain individuals are particularly prone to have diets containing inadequate amounts of folate (Table 104-5). In the United States and other countries where fortification TABLE 104-5 Causes of Folate Deficiency Dietarya Particularly in: old age, infancy, poverty, alcoholism, chronic invalids, and the psychiatrically disturbed; may be associated with scurvy or kwashiorkor Malabsorption Major causes of deficiency Tropical sprue, gluten-induced enteropathy in children and adults, and in association with dermatitis herpetiformis, specific malabsorption of folate, intestinal megaloblastosis caused by severe cobalamin or folate deficiency Minor causes of deficiency Extensive jejunal resection, Crohn’s disease, partial gastrectomy, congestive heart failure, Whipple’s disease, scleroderma, amyloid, diabetic enteropathy, systemic bacterial infection, lymphoma, sulfasalazine (Salazopyrin) Excess utilization or loss Physiologic Pregnancy and lactation, prematurity Pathologic Hematologic diseases: chronic hemolytic anemias, sickle cell anemia, thalassemia major, myelofibrosis Malignant diseases: carcinoma, lymphoma, leukemia, myeloma Inflammatory diseases: tuberculosis, Crohn’s disease, psoriasis, exfoliative dermatitis, malaria Metabolic disease: homocystinuria Excess urinary loss: congestive heart failure, active liver disease Hemodialysis, peritoneal dialysis Antifolate drugsb Anticonvulsant drugs (phenytoin, primidone, barbiturates), sulfasalazine Nitrofurantoin, tetracycline, antituberculosis (less well documented) Mixed causes Liver diseases, alcoholism, intensive care units aIn severely folate-deficient patients with causes other than those listed under Dietary, poor dietary intake is often present. bDrugs inhibiting dihydrofolate reductase are discussed in the text. 788 Congestive Heart Failure and Liver Disease Excess urinary of the diet with folic acid has been adopted, the prevalence of folate deficient megaloblastic anemia has dropped dramatically and is now restricted to high-risk groups with increased folate needs. Nutritional folate deficiency occurs in kwashiorkor and scurvy and in infants with repeated infections or those who are fed </w:t>
      </w:r>
      <w:r w:rsidR="00A6019F" w:rsidRPr="00A6019F">
        <w:lastRenderedPageBreak/>
        <w:t xml:space="preserve">solely on goats’ milk, which has a low folate content. </w:t>
      </w:r>
      <w:r w:rsidR="00A6019F" w:rsidRPr="00A6019F">
        <w:rPr>
          <w:rFonts w:ascii="Arial" w:hAnsi="Arial" w:cs="Arial"/>
        </w:rPr>
        <w:t>■</w:t>
      </w:r>
      <w:r w:rsidR="00A6019F" w:rsidRPr="00A6019F">
        <w:t xml:space="preserve">MALABSORPTION Malabsorption of dietary folate occurs in tropical sprue and in gluten induced enteropathy. In the rare congenital recessive syndrome of selec tive malabsorption of folate due to mutation of the PCFT, there is an associated defect of folate transport into the cerebrospinal fluid, and these patients show megaloblastic anemia, which responds to physiologic doses of folic acid given parenterally but not orally. They also show intellectual disability, convulsions, and other central nervous system abnormalities. Minor degrees of malabsorption may also occur after jejunal resection or partial gastrectomy, in Crohn’s disease, and in systemic infections, but in these conditions, if severe deficiency occurs, it is usually largely due to poor nutrition. Malabsorption of folate has been described in patients receiving sulfasalazine (Salazopyrin), cholestyramine, and triamterene. PART 4 Oncology and Hematology </w:t>
      </w:r>
      <w:r w:rsidR="00A6019F" w:rsidRPr="00A6019F">
        <w:rPr>
          <w:rFonts w:ascii="Arial" w:hAnsi="Arial" w:cs="Arial"/>
        </w:rPr>
        <w:t>■</w:t>
      </w:r>
      <w:r w:rsidR="00A6019F" w:rsidRPr="00A6019F">
        <w:t xml:space="preserve">EXCESS UTILIZATION OR LOSS Pregnancy Folate requirements are increased by 50% daily in a normal pregnancy, partly because of transfer of the vitamin to the fetus but mainly because of increased folate catabolism due to cleavage of folate coenzymes in rapidly proliferating tissues. A dietary folate intake of 600 µg daily is recommended. Megaloblastic anemia due to folate deficiency is prevented by prophylactic folic acid therapy. It occurred in 0.5% of pregnancies in the UK and other Western countries before pro phylaxis with folic acid, but the incidence is much higher in countries where the general nutritional status is poor. During lactation, folate requirements are increased about 25 and a dietary intake of 500 µg of folate daily is advised. Prematurity A newborn infant, whether full term or premature, has higher serum and red cell folate concentrations than an adult. However, a newborn infant’s demand for folate has been estimated to be up to 10 times that of adults on a weight basis, and the neonatal folate level falls rapidly to the lowest values at about 6 weeks of age. The falls are steepest and are liable to reach subnormal levels in premature babies, a number of whom develop megaloblastic anemia responsive to folic acid at about 4–6 weeks of age. This occurs particu larly in the smallest babies (100 μg per day may occur in some of these patients. It appears to be due to release of folate from damaged liver cells. </w:t>
      </w:r>
      <w:r w:rsidR="00A6019F" w:rsidRPr="00A6019F">
        <w:rPr>
          <w:rFonts w:ascii="Arial" w:hAnsi="Arial" w:cs="Arial"/>
        </w:rPr>
        <w:t>■</w:t>
      </w:r>
      <w:r w:rsidR="00A6019F" w:rsidRPr="00A6019F">
        <w:t xml:space="preserve">ANTIFOLATE DRUGS A large number of people with epilepsy receiving long-term therapy with phenytoin or primidone, with or without barbiturates, develop low serum and red cell folate levels. The exact mechanism is unclear. Alcohol may also be a folate antagonist, as patients who are drinking spirits may develop megaloblastic anemia that will respond to normal quantities of dietary folate or to physiologic doses of folic acid only if alcohol is withdrawn. Macrocytosis of red cells is associated with chronic alcohol intake even when folate levels are normal. Inadequate folate intake is the major factor in the development of deficiency in spirit-drinking alcoholics. Beer is relatively folate-rich in some coun tries, depending on the technique used for brewing. The drugs that inhibit DHF reductase include methotrexate, pyri methamine, and trimethoprim. Methotrexate has the most powerful action against the human enzyme, whereas trimethoprim is most active against the bacterial enzyme and is likely to cause megaloblastic ane mia only when used in conjunction with sulfamethoxazole in patients with preexisting folate or </w:t>
      </w:r>
      <w:r w:rsidR="00A6019F" w:rsidRPr="00A6019F">
        <w:lastRenderedPageBreak/>
        <w:t xml:space="preserve">cobalamin deficiency. The activity of pyri methamine is intermediate. The antidote to these drugs is a reduced form of folate, folinic acid (5-formyl-THF). </w:t>
      </w:r>
      <w:r w:rsidR="00A6019F" w:rsidRPr="00A6019F">
        <w:rPr>
          <w:rFonts w:ascii="Arial" w:hAnsi="Arial" w:cs="Arial"/>
        </w:rPr>
        <w:t>■</w:t>
      </w:r>
      <w:r w:rsidR="00A6019F" w:rsidRPr="00A6019F">
        <w:t xml:space="preserve">CONGENITAL ABNORMALITIES OF FOLATE METABOLISM Some infants with congenital defects of folate enzymes (e.g., cyclohy drolase or methionine synthase) have had megaloblastic anemia. DIAGNOSIS OF COBALAMIN AND FOLATE DEFICIENCIES The diagnosis of cobalamin or folate deficiency has traditionally depended on the recognition of the relevant abnormalities in the peripheral blood and analysis of the blood levels of the vitamins. </w:t>
      </w:r>
      <w:r w:rsidR="00A6019F" w:rsidRPr="00A6019F">
        <w:rPr>
          <w:rFonts w:ascii="Arial" w:hAnsi="Arial" w:cs="Arial"/>
        </w:rPr>
        <w:t>■</w:t>
      </w:r>
      <w:r w:rsidR="00A6019F" w:rsidRPr="00A6019F">
        <w:t>COBALAMIN DEFICIENCY Serum Cobalamin This is measured by an automated enzyme linked immunosorbent assay (ELISA) or competitive-binding lumi nescence assay (CBLA). Normal serum levels range from 118</w:t>
      </w:r>
      <w:r w:rsidR="00A6019F" w:rsidRPr="00A6019F">
        <w:rPr>
          <w:rFonts w:ascii="Aptos" w:hAnsi="Aptos" w:cs="Aptos"/>
        </w:rPr>
        <w:t>–</w:t>
      </w:r>
      <w:r w:rsidR="00A6019F" w:rsidRPr="00A6019F">
        <w:t>148 pmol/L (160</w:t>
      </w:r>
      <w:r w:rsidR="00A6019F" w:rsidRPr="00A6019F">
        <w:rPr>
          <w:rFonts w:ascii="Aptos" w:hAnsi="Aptos" w:cs="Aptos"/>
        </w:rPr>
        <w:t>–</w:t>
      </w:r>
      <w:r w:rsidR="00A6019F" w:rsidRPr="00A6019F">
        <w:t xml:space="preserve">200 ng/L) to </w:t>
      </w:r>
      <w:r w:rsidR="00A6019F" w:rsidRPr="00A6019F">
        <w:rPr>
          <w:rFonts w:ascii="Cambria Math" w:hAnsi="Cambria Math" w:cs="Cambria Math"/>
        </w:rPr>
        <w:t>∼</w:t>
      </w:r>
      <w:r w:rsidR="00A6019F" w:rsidRPr="00A6019F">
        <w:t xml:space="preserve">738 pmol/L (1000 ng/L). In patients with megaloblastic anemia due to cobalamin deficiency, the level is usually 258 pmol/L (&gt;350 ng/L), have this pattern of raised metabolite levels. These findings bring into question the exact cutoff points for normal MMA and homocysteine levels. It is also unclear at present whether these mildly raised metabo lite levels have clinical consequences. Serum homocysteine is raised in both early cobalamin and folate deficiency but may be raised in other conditions, for example, chronic renal disease, alcoholism, smoking, pyridoxine deficiency, hypothy roidism, and therapy with steroids, cyclosporin, and other drugs. Levels are also higher in serum than in plasma, in men than in premenopausal women, in women taking hormone replacement therapy or in oral con traceptive users, and in elderly persons and patients with several inborn errors of metabolism affecting enzymes in trans-sulfuration pathways of homocysteine metabolism. Thus, homocysteine levels must be care fully interpreted for diagnosis of cobalamin or folate deficiency. Tests for the Cause of Cobalamin Deficiency Only vegans, strict vegetarians, or people living on a totally inadequate diet will become cobalamin deficient because of inadequate intake. Studies of cobalamin absorption once were widely used, but difficulty in obtain ing radioactive cobalamin and ensuring that IF preparations are free of viruses has made these tests obsolete. Tests to diagnose PA include serum gastrin, which is raised; serum pepsinogen I, which is low in PA (90–92%) but also in other conditions; and gastric endoscopy. Tests for IF and parietal cell antibodies are also used, as well as tests for indi vidual intestinal diseases. Patients with atrophic gastritis may also have sufficient occult gas trointestinal blood loss to have iron deficiency as well as cobalamin deficiency. Iron deficiency may blunt the development of macrocytosis. Iron deficiency is much more common than cobalamin deficiency. In people older than age 60 years, cobalamin deficiency may accompany iron deficiency in 15–20% of cases. Thus, older patients diagnosed with iron-deficiency anemia should have cobalamin levels assessed, and those diagnosed with cobalamin deficiency should have their iron status assessed. </w:t>
      </w:r>
      <w:r w:rsidR="00A6019F" w:rsidRPr="00A6019F">
        <w:rPr>
          <w:rFonts w:ascii="Arial" w:hAnsi="Arial" w:cs="Arial"/>
        </w:rPr>
        <w:t>■</w:t>
      </w:r>
      <w:r w:rsidR="00A6019F" w:rsidRPr="00A6019F">
        <w:t xml:space="preserve">FOLATE DEFICIENCY Serum Folate This is also measured by a chemiluminescence immu noassay or ELISA technique. In most laboratories, the normal range is from 11 nmol/L (2 </w:t>
      </w:r>
      <w:r w:rsidR="00A6019F" w:rsidRPr="00A6019F">
        <w:rPr>
          <w:rFonts w:ascii="Aptos" w:hAnsi="Aptos" w:cs="Aptos"/>
        </w:rPr>
        <w:t>μ</w:t>
      </w:r>
      <w:r w:rsidR="00A6019F" w:rsidRPr="00A6019F">
        <w:t xml:space="preserve">g/L) to </w:t>
      </w:r>
      <w:r w:rsidR="00A6019F" w:rsidRPr="00A6019F">
        <w:rPr>
          <w:rFonts w:ascii="Cambria Math" w:hAnsi="Cambria Math" w:cs="Cambria Math"/>
        </w:rPr>
        <w:t>∼</w:t>
      </w:r>
      <w:r w:rsidR="00A6019F" w:rsidRPr="00A6019F">
        <w:t xml:space="preserve">82 nmol/L (15 </w:t>
      </w:r>
      <w:r w:rsidR="00A6019F" w:rsidRPr="00A6019F">
        <w:rPr>
          <w:rFonts w:ascii="Aptos" w:hAnsi="Aptos" w:cs="Aptos"/>
        </w:rPr>
        <w:t>μ</w:t>
      </w:r>
      <w:r w:rsidR="00A6019F" w:rsidRPr="00A6019F">
        <w:t xml:space="preserve">g/L). The serum folate level is low in all folate-deficient patients. It also reflects recent diet. Because of this, serum </w:t>
      </w:r>
      <w:r w:rsidR="00A6019F" w:rsidRPr="00A6019F">
        <w:lastRenderedPageBreak/>
        <w:t xml:space="preserve">folate may be low before there is hematologic or bio chemical evidence of deficiency. Serum folate rises in severe cobalamin deficiency because of the block in conversion of 5-MTHF to THF inside cells; raised levels have also been reported in the intestinal stagnant-loop syndrome due to absorption of bacterially synthesized folate. Red Cell Folate The red cell folate assay is a valuable test of body folate stores. It is less affected than the serum assay by recent diet and traces of hemolysis. In normal adults, concentrations range from 880 to 3520 μmol/L (160–640 μg/L) of packed red cells. Subnormal levels occur in patients with megaloblastic anemia due to folate deficiency but also in nearly two-thirds of patients with severe cobalamin defi ciency. False-normal results may occur if a folate-deficient patient has received a recent blood transfusion or if a patient has a raised reticulo cyte count. Serum homocysteine assay is discussed earlier. Tests for the Cause of Folate Deficiency The diet history is important. Tests for transglutaminase antibodies are performed to confirm or exclude gluten–induced enteropathy. If positive, duodenal biopsy is needed. An underlying disease causing increased folate break down should also be excluded. TREATMENT Cobalamin and Folate Deficiency It is usually possible to establish which of the two deficiencies, folate or cobalamin, is the cause of the anemia and to treat only with the appropriate vitamin. In patients who enter the hospital severely ill, however, it may be necessary to treat with both vitamins in large doses once blood samples have been taken for cobalamin and folate assays and a bone marrow biopsy has been performed (if deemed necessary). Transfusion is usually unnecessary and inadvisable. If it is essential, packed red cells should be given slowly, one or two units only, with the usual treatment for heart failure if present. Occasion ally, an excessive rise in platelets occurs after 1–2 weeks of therapy. Antiplatelet therapy, for example, aspirin, should be considered if the platelet count rises to &gt;800 × 109/L. COBALAMIN DEFICIENCY It is usually necessary to treat patients who have developed severe cobalamin deficiency, as from PA, with lifelong regular cobalamin injections. In the UK, hydroxocobalamin is used; in the United States, cyanocobalamin. In a few instances, the under lying cause of cobalamin deficiency can be permanently corrected, for example, fish tapeworm, tropical sprue, or an intestinal stagnant loop that is amenable to surgery. The indications for starting cobal amin therapy are a well-documented megaloblastic anemia or other hematologic abnormalities and/or neuropathy due to the deficiency. Cobalamin should be given routinely to all patients who have had a total gastrectomy or ileal resection. Patients who have undergone gastric reduction for control of obesity or who are receiving long term treatment with proton pump inhibitors should be screened and, if necessary, given cobalamin replacement. Replenishment of body stores should be complete with six 1000-μg IM injections of hydroxocobalamin given at 3- to 7-day intervals. More frequent doses are usually used in patients with cobalamin neuropathy, but there is no evidence that they produce a better response. Allergic reactions are rare and may require desensitiza tion or antihistamine or glucocorticoid cover. For maintenance therapy, 1000 μg hydroxocobalamin IM once every 3 months is sat isfactory. Because of the </w:t>
      </w:r>
      <w:r w:rsidR="00A6019F" w:rsidRPr="00A6019F">
        <w:lastRenderedPageBreak/>
        <w:t xml:space="preserve">poorer retention of cyanocobalamin, pro tocols generally use higher and more frequent doses, for example, 1000 μg cyanocobalamin IM, monthly, for maintenance treatment. Because a small fraction of cobalamin can be absorbed passively through mucous membranes even when there is complete failure of physiologic IF-dependent absorption, large daily oral doses (1000 2000 μg) of cyanocobalamin may be used in PA for replacement (especially in Canada and Sweden) and maintenance of normal cobalamin status. Sublingual therapy has also been proposed for those in whom injections are difficult because of a bleeding ten dency and who may not tolerate parenteral therapy. If oral therapy is used, it is important to monitor compliance, particularly with elderly, forgetful patients. This author prefers parenteral therapy for initial treatment for PA, particularly in severe anemia or if a neuropathy is present, and for maintenance. Treatment of patients with subnormal serum cobalamin levels with a normal MCV and no hypersegmentation of neutrophils and a negative IF antibody is, however, problematic. Some (perhaps 15%) cases may be due to TC I (HC) deficiency. Homocysteine and/ or MMA measurements may help, but in the absence of these tests and with otherwise normal gastrointestinal function, repeat serum cobalamin assay after 6–12 months may help one decide whether to start cobalamin therapy. Oral cyanocobalamin therapy with low doses (e.g., 50 μg daily) has a large role in treating patients thought to have food malabsorption of cobalamin. Cobalamin injections are used in a wide variety of diseases, often neurologic, despite normal serum cobalamin and folate levels and a normal blood count and in the absence of randomized, double-blind, controlled trials. These conditions include multiple sclerosis and chronic fatigue syndrome/myalgic encephalomyelitis (ME). It seems probable that any benefit is due to the placebo effect of a usually 789 CHAPTER 104 Megaloblastic Anemias 790 painless, pink injection. In ME, oral cobalamin therapy, despite pro viding equally large amounts of cobalamin, has not been beneficial, supporting the view of the effect of the injections being placebo only. FOLATE DEFICIENCY Oral doses of 5–15 mg of folic acid daily are satisfactory, as suf ficient folate is absorbed from these extremely large doses even in patients with severe malabsorption. The length of time therapy must be continued depends on the underlying disease. It is cus tomary to continue therapy for about 4 months, when all folate deficient red cells will have been eliminated and replaced by new folate-replete populations. PART 4 Oncology and Hematology Before large doses of folic acid are given, cobalamin deficiency must be excluded and, if present, corrected; otherwise, cobalamin neuropathy may develop as the deficiency progresses despite a response of the anemia of cobalamin deficiency to folate therapy. Long-term folic acid therapy is required when the underlying cause of the deficiency cannot be corrected and the deficiency is likely to recur, for example, in chronic dialysis or chronic hemolytic anemias. It may also be necessary in gluten-induced enteropathy that does not respond to a gluten-free diet. Where mild but chronic folate deficiency occurs, it is preferable to encourage improvement in the diet after correcting the deficiency with a short course of folic acid. In any patient receiving long-term folic acid therapy, it is important to </w:t>
      </w:r>
      <w:r w:rsidR="00A6019F" w:rsidRPr="00A6019F">
        <w:lastRenderedPageBreak/>
        <w:t xml:space="preserve">measure the serum cobalamin level at regular (e.g., once-yearly) inter vals to exclude the coincidental development of cobalamin deficiency. Folinic Acid (5-Formyl-THF) This is a stable form of fully reduced folate. It is given orally or parenterally to overcome the toxic effects of methotrexate or other DHF reductase inhibitors, for example, trimethoprim or cotrimoxazole. PROPHYLACTIC FOLIC ACID Prophylactic folic acid is used in chronic dialysis patients and in par enteral feeds. Prophylactic folic acid has been used to reduce homo cysteine levels to prevent cardiovascular disease and for cognitive function in the elderly, but there are no firm data to show any benefit. Pregnancy In over 80 countries (but none in Europe), food is for tified at a level of 120–250 µg/100 g with folic acid (in grain, flour, or rice) to reduce the risk of NTDs. In all countries that have studied this, fortification has led to a lower prevalence of NTD pregnancies and births. Nevertheless, folic acid, 400 μg daily, should also be given as a supplement before and throughout pregnancy to prevent mega loblastic anemia and reduce the incidence of NTDs, even in coun tries with fortification of the diet. Most if not all the folic acid used in fortification and eaten over three meals a day will be converted dur ing absorption to 5-MTHF. This compound at the levels achieved by fortification will not correct the anemia in cobalamin deficiency. Studies in the United States suggest that there is no increase in the proportion of individuals with low serum cobalamin levels and no anemia since food fortification with folic acid. It is unknown if there has been a change in incidence of cobalamin neuropathy, but no country has reported this since mandating fortification. Data in early pregnancy show significant lack of compliance with taking folic acid supplements, emphasizing the need for food fortification. In women who have had a previous fetus with an NTD and others at high risk (e.g., diabetes, sickle cell anemia), a dose of 5 mg daily is recommended when pregnancy is contemplated and throughout the subsequent pregnancy. Infancy and Childhood The incidence of folate deficiency is so high in the smallest premature babies during the first 6 weeks of life that folic acid (e.g., 1 mg daily) should be given routinely to those weighing pyruvate kinase &gt; glucose-6 phosphate isomerase &gt; rare deficiencies of other enzymes in the pathway. The more common enzyme deficiencies are encircled. components inevitably accumulate damage and become physically denser. The anion exchanger known as band 3 is the most abundant pro tein in the red cell membrane (Fig. 105-2 and Table 105-3), with about 1.2 million molecules per red cell. As red cells age and become denser, probability is increased that a region of the band 3 molecule becomes exposed on the cell surface and contributes to creating an antigenic site recognizable by low-avidity naturally occurring anti–band 3 IgG antibodies. This process might be enhanced by the clustering of band 3 molecules favored by the antibody itself and by the binding of hemichromes arising from hemoglobin degradation. Senescent red cells thus become opsonized, and this is the signal for phagocytosis by macrophages in the spleen, in the liver, and elsewhere. This process may become accelerated in various ways in HA. Another consequence of the relative simplicity of red cells is that they have a limited range of ways to manifest </w:t>
      </w:r>
      <w:r w:rsidR="00A6019F" w:rsidRPr="00A6019F">
        <w:lastRenderedPageBreak/>
        <w:t xml:space="preserve">distress under hardship; in essence, any sort of metabolic failure will eventually lead either to structural damage to the membrane or to failure of the cation pump. In either case, the life span of the red cell is reduced, which is the defini tion of a hemolytic disorder. If the rate of red cell destruction exceeds the capacity of the bone marrow to produce more red cells, the hemo lytic disorder will manifest as HA. Thus, the essential pathophysiologic process common to all HAs is an increased red cell turnover; in many HAs, this is due at least in part to an acceleration of the senescence process described above. The gold standard for proving that the life span of red cells is reduced (compared to the normal value of ~120 days) is a red cell survival study, which can be carried out by labeling the red cells with 51Cr and measuring the fall in radioactivity over several days or weeks (this classic test can now be replaced by a methodology using the nonradioactive isotope 15N). If the hemolytic event is transient, it does not usually cause any long-term consequences, except for an increased requirement for erythropoietic factors, particularly folic acid. However, if hemolysis is recurrent or persistent, the increased bilirubin production favors the formation of gallstones. If a considerable proportion of hemolysis takes place in the spleen, as is often the case, splenomegaly may become increasingly a feature, and hypersplenism may develop, with consequent neutropenia and/or thrombocytopenia. The increased red cell turnover has important consequences. In nor mal subjects, the iron from effete red cells is very efficiently recycled by the body; however, with chronic intravascular hemolysis, the persistent hemoglobinuria will cause considerable iron loss, needing replace ment. With chronic extravascular hemolysis, the opposite problem, iron overload, is more common, especially if the patient needs frequent blood transfusions. Even without blood transfusion, when erythropoi esis is massively increased, the release of erythroferrone from erythroid cells suppresses hepcidin, causing increased iron absorption. In the long run, in the absence of iron-chelation therapy, iron overload will cause secondary hemochromatosis; this will cause damage particularly to the liver, eventually leading to cirrhosis, and to the heart muscle, eventually causing heart failure. Compensated Hemolysis versus Hemolytic Anemia Red cell destruction is a potent stimulus for erythropoiesis, which is mediated by erythropoietin (EPO) produced by the kidney. This mechanism is so effective that in many cases the increased output of red cells from the bone marrow can fully balance an increased destruction of red cells. In such cases, we say that hemolysis is compensated. The pathophysiology of compensated hemolysis is similar to what we have just described, except there is no anemia. This notion is important from the diagnostic point of view, because a patient with a hemolytic condition, even an inherited one, may present without anemia; and it is also important from the point of view of management because compensated hemolysis may become “decompensated,” i.e., anemia may suddenly appear in certain circum stances, for instance in pregnancy, folate deficiency, or renal failure inter fering with adequate EPO production. Another general feature of chronic HAs is seen when any intercurrent condition, such as an acute infection, depresses erythropoiesis. When this </w:t>
      </w:r>
      <w:r w:rsidR="00A6019F" w:rsidRPr="00A6019F">
        <w:lastRenderedPageBreak/>
        <w:t xml:space="preserve">happens, in view of the increased rate of red cell turnover, the effect will be predictably much more marked than in a person who does not have hemolysis. The most dramatic example is infection by parvovirus B19, which may cause a rather precipitous fall in hemoglobin—an occurrence sometimes referred to as aplastic crisis. </w:t>
      </w:r>
      <w:r w:rsidR="00A6019F" w:rsidRPr="00A6019F">
        <w:rPr>
          <w:rFonts w:ascii="Arial" w:hAnsi="Arial" w:cs="Arial"/>
        </w:rPr>
        <w:t>■</w:t>
      </w:r>
      <w:r w:rsidR="00A6019F" w:rsidRPr="00A6019F">
        <w:t xml:space="preserve">INHERITED HEMOLYTIC ANEMIAS The red cell has three essential components: (1) hemoglobin, (2) the membrane-cytoskeleton complex, and (3) the metabolic machinery necessary to keep hemoglobin and the membrane-cytoskeleton com plex in working order. Diseases caused by inherited abnormalities of hemoglobin, or hemoglobinopathies, are covered in Chap. 103. Here we will deal with diseases of the other two components. Hemolytic Anemias due to Abnormalities of the Membrane Cytoskeleton Complex The detailed architecture of the red cell membrane is complex, but its basic design is relatively simple (Fig. 105-2). The lipid bilayer incorporates phospholipids and cholesterol, and it is spanned by a number of proteins that have their hydrophobic transmembrane domain(s) embedded in the membrane; most of these proteins also extend to both the outside (extracellular domains) and the inside of the cell (cytoplasmic domains). Other proteins are teth ered to the membrane through a glycosylphosphatidylinositol (GPI) anchor; these have only an extracellular domain. Membrane proteins include energy-dependent ion transporters, ion channels, receptors AChE Ankyrin complex Junctional complex CD55 793 RhAG Rh CD59 Band 3 Band 3 CD47 4.2 Ankyrin KCNN4 PIEZO1 GPA ABCB6 Glut1 GPC Adducin-Spectrin-Spectrin 4.1R p55 Dematin Tropomyosin Self-association site Actin protofilament Tropomodulin Band 3 PIEZO1 KCNN4 ABCB6 Glut1 HCO3 Na+ Ca2+ Cl K+ Glucose FIGURE 105-2 The red cell membrane and cytoskeleton schematic diagram. Within the membrane lipid bilayer, several integral membrane proteins are shown (see inset). Other proteins, e.g., acetylcholinesterase (AChE) and the two complement-regulatory proteins CD59 and CD55, are tethered to the membrane through the glycosylphosphatidylinositol (GPI) anchor: in these cases, the entire polypeptide chain is extracellular. Many of the membrane proteins bear polypeptide and/or carbohydrate red cell antigens. Underneath the membrane, the α-β spectrin dimers, which associate head-to-head into tetramers, together with actin and other proteins, form most of the cytoskeleton. The ankyrin complex, which also involves the band 4.2 protein, and the junctional complex, which involves the band 4.1 protein and dematin, connect the membrane to the cytoskeleton. The ankyrin complex provides mainly radial (also called vertical) connections; the junctional complex provides mainly tangential (also called horizontal) connections. Pathogenic changes in the former can cause spherocytosis, whereas pathogenic changes in the latter can cause elliptocytosis; pathogenic changes in spectrin can cause either. Branched lines symbolize carbohydrate moiety of proteins. The various molecules are obviously not drawn to the same scale. Inset. Schematic diagram of membrane transporters, abnormalities of which underlie channelopathies. Band 3 (anion exchanger 1 [AE1]) is the most abundant. Mutations of SLC4A1 (encoding band 3) can inactivate anion exchange, causing cation leak or negatively affecting interactions with neighboring </w:t>
      </w:r>
      <w:r w:rsidR="00A6019F" w:rsidRPr="00A6019F">
        <w:lastRenderedPageBreak/>
        <w:t xml:space="preserve">membrane proteins. PIEZO1 is a huge protein that is embedded in the membrane as a homo-trimer with a three-bladed, propeller-shaped structure; it is a mechano-sensitive cation channel. KCNN4 encodes a Ca2+ activated K+ channel, also known as the Gardos channel. PIEZO1 mutations can be associated with abnormal Ca2+ entry, resulting in overactivation of the Gardos channel; this promotes K+ efflux and red cell dehydration Mutations on KCC4 induce alterations of channel properties (kinetic or ion trafficking), resulting again in abnormal K+ efflux and red cell dehydration. ABCB6 encodes a mitochondrial porphyrin transporter, but some mutations can cause increased K+ efflux from red cells and stomatocytosis. Glut1 facilitates glucose transport; it is encoded by SLC2A1, and mutations can block the glucose transport and induce Na+, K+ leakage. (Modified from N Young et al: Clinical Hematology. Philadelphia, Elsevier, 2006; and from A Iolascon et al: Br J Haematol 187:13, 2019.) for complement components, and receptors for other ligands. The most abundant red cell membrane proteins are glycophorins and the so-called band 3, an anion transporter that is an integral membrane protein. The extracellular domains of many of these proteins are heav ily glycosylated, and they carry antigenic determinants that correspond to blood groups. Underneath the membrane, and tangential to it, is a network of other proteins that make up the cytoskeleton. The main cytoskeletal protein is the spectrin tetramer, consisting of a head to-head association of two α-spectrin-β-spectrin heterodimers. The cytoskeleton is linked to the membrane through the ankyrin complex (that includes also band 4.2) and the junctional complex (that includes adducin and band 4.1) (Fig. 105-2). These multiprotein complexes make membrane and cytoskeleton intimately connected to each other, thus supporting membrane stability and at the same time providing the erythrocyte with the important property of deformability. The membrane-cytoskeleton complex has essentially three functions: it is an envelope for the red cell cytoplasm; it maintains the normal red cell shape; and it provides cross-membrane trans port of electrolytes and of metabolites such as glucose and amino acids. In the membrane-cytoskeleton complex, the individual components are so inti mately associated with each other that an abnormality of almost any of them will be disturbing or disruptive, causing mechanical instability of the membrane and/or reduced red cell deformability, ultimately causing hemolysis. These abnormalities are almost invariably inherited mutations; thus, diseases of the membrane-cytoskeleton complex belong to the category of inherited HAs. Before the red cells lyse, they often exhibit more or less specific changes that alter the normal biconcave disk shape. Thus, the majority of the diseases in this group have been known for over a century as hereditary spherocytosis (HS) and hereditary elliptocytosis (HE). More recently, a third morphologic entity, whereby on a blood smear the round shaped central pallor of a red cell is replaced by a linear-shaped central pale area, has earned the name stomatocytosis; because this abnormal shape is related to abnormalities of channel molecules, the underlying disorders are also referred to as channelopathies. From an under standing of the molecular basis of these disorders, it has emerged (Table 105-3) </w:t>
      </w:r>
      <w:r w:rsidR="00A6019F" w:rsidRPr="00A6019F">
        <w:lastRenderedPageBreak/>
        <w:t xml:space="preserve">that, although these disorders are pre dominantly monogenic, no one-to-one correlation exists between a certain gene and a certain disorder. Rather, what has been regarded as a single disorder (e.g., HS) can arise through mutation of one of several genes; conversely, what have been regarded as different disorders can arise through different mutations of the very same gene (Fig. 105-3). CHAPTER 105 Hemolytic Anemias HEREDITARY SPHEROCYTOSIS This is most common among this group of HAs, with an estimated prevalence of 1:2000–1:5000 in populations of European ancestry. Its identification is credited to Minkowksy and Chauffard, who, at the end of the nineteenth century, reported families who had spherocytes in their peripheral blood (Fig. 105-4A). In vitro studies revealed that the red cells were abnormally susceptible to lysis in hypotonic media; indeed, the increase in osmotic fragility became the main diagnostic test for HS. Today we know that HS, thus defined, is genetically heterogeneous; i.e., it can arise from a variety of mutations in one of several genes (Table 105-3). It has been also recognized that the inheritance of HS is not always autosomal domi nant (with the patient being heterozygous); indeed, some of the most severe forms are instead autosomal recessive (with the patient being homozygous). Clinical Presentation and Diagnosis The spectrum of clinical severity of HS is broad. Severe cases may present in infancy with severe anemia, whereas mild cases may present in young adults or even later in life. The main clinical findings are jaundice, an enlarged spleen, and often gallstones; indeed, it may be the finding of gallstones in a young person that triggers diagnostic investigations. 794 PART 4 Oncology and Hematology TABLE 105-3 Inherited Diseases of the Red Cell Membrane-Cytoskeleton Complex GENE CHROMOSOMAL LOCATION PROTEIN PRODUCED DISEASE(S) WITH CERTAIN MUTATIONS (INHERITANCE) COMMENTS SPTA1 1q22-q23 α-Spectrin HS (recessive) Rare    HE (dominant) Mutations of this gene account for about 65% of HE. More severe forms may be due to coexistence of an otherwise silent mutant allele. SPTB 14q23-q24.1 β-Spectrin HS (dominant) Rare    HE (dominant) Mutations of this gene account for about 30% of HE, including some severe forms. ANK1 8p11.2 Ankyrin HS (dominant) May account for majority of HS. SLC4A1 17q21 Band 3; also known as AE (anion exchanger) or AE1 HS (dominant) Mutations of this gene may account for about 25% of HS. Southeast Asia ovalocytosis (dominant) Polymorphic mutation (deletion of nine amino acids); in heterozygotes, clinically asymptomatic and protective against Plasmodium falciparum. Stomatocytosis (cryohydrocytosis) Certain specific missense mutations shift protein function from anion exchanger to cation conductance. EPB41 1p33-p34.2 Band 4.1 HE (dominant) Mutations of this gene account for about 5% of HE, mostly with prominent morphology but little/no hemolysis in heterozygotes; severe hemolysis in homozygotes. EPB42 15q15-q21 Band 4.2 HS (recessive) Mutations of this gene account for about 3% of HS. RHAG 6p21.1-p11 Rhesus-associated glycoprotein Chronic nonspherocytic hemolytic anemia (recessive) Very rare; associated with total loss of all Rh antigens. One specific mutation in this gene entails loss of stomatin from the cell membrane, causing overhydrated stomatocytosis. PIEZO1 16q23-q24 PIEZO1 </w:t>
      </w:r>
      <w:r w:rsidR="00A6019F" w:rsidRPr="00A6019F">
        <w:lastRenderedPageBreak/>
        <w:t xml:space="preserve">(mechanosensitive ion channel component 1 channel) Dehydrated hereditary stomatocytosis (dominant) Also known as xerocytosis with pseudohyperkalemia. Patients may present with perinatal edema. KCNN4 19q13.31 KCNN4 Intermediate conductance calcium-activated potassium channel protein 4 (Gardos channel) Dehydrated hereditary stomatocytosis (dominant) Clinical presentation similar to that of PIEZO1 mutants. ABCB6 2q35-q36 ATP-binding cassette subfamily B member 6 Familial pseudohyperkalemia (dominant) Increased potassium leakage upon storage in blood bank condition: this can cause hyperkalemia in the recipient. ABCB6 mutation is present in 0.3% of blood donors. SLC2A1 1p34.2 GLUT1 glucose transporter Overhydrated hereditary stomatocytosis Associated with serious neurologic manifestations. Note: PIEZO1, KCNN4, ABCB6, and GLUT1 are channel molecules; conditions associated with mutations in the respective genes are appropriately named channelopathies. Abbreviations: HE, hereditary elliptocytosis; HS, hereditary spherocytosis. The variability in clinical manifestations that is observed among patients with HS is largely due to the different underlying molecular lesions (Table 105-3). Not only are mutations of several genes involved, EPB41 RHAG ANK1 EPB42 PIEZ01 KCNN4 ABCB6 SPTA1 SPTB SLC4A1 HS HSt HE SLC2A1 FIGURE 105-3 Hereditary spherocytosis (HS), hereditary elliptocytosis (HE), and hereditary stomatocytosis (HSt) are three morphologically distinct forms of congenital hemolytic anemia. It has emerged that each one can arise from mutation of one of several genes and that different mutations of the same gene can give one or another form. (See also Table 105-3.) Genes encoding membrane proteins are in black; genes encoding cytoskeleton proteins are in green; genes encoding proteins in the junctional and ankyrin complexes are in purple. but also different mutations of the same gene can give very different clinical manifestations. In milder cases, hemolysis is often compen sated (see above), but changes in clinical expression may be seen even in the same patient because intercurrent conditions (e.g., pregnancy, infection) may cause decompensation. The anemia is usually nor mocytic with the characteristic morphology that gives the disease its name. An increased mean corpuscular hemoglobin concentration (MCHC &gt;34 g/dL) and increased red cell distribution width (RDW &gt;14%) associated with normal or slightly decreased MCV on an ordinary blood count report should raise the suspicion of HS. The spleen plays a key role in HS through a dual mechanism. On one hand, because HS red cells are less deformable, transit through the splenic circulation makes them more prone to vesiculate; on the other hand, like in many other HAs, the spleen itself is a major site of destruction through phagocytosis by macrophages. When there is a family history, it is usually easy to make a diagnosis based on features of HA and typical red cell morphology. However, fam ily history may be negative for at least two reasons. First, the patient may have a de novo mutation, i.e., a mutation that has taken place in a germ cell of one of the patient’s parents or early after zygote formation. Second, the patient may have a recessive form of HS (Table 105-3). In such cases, more extensive laboratory investigations are required, including osmotic fragility, the acid glycerol lysis test, the </w:t>
      </w:r>
      <w:r w:rsidR="00A6019F" w:rsidRPr="00A6019F">
        <w:lastRenderedPageBreak/>
        <w:t xml:space="preserve">eosin-5′-maleimide (EMA)–bind ing test, sodium dodecyl sulfate (SDS)-gel electrophoresis of membrane proteins, and ektacytometry (testing red cell deformability as a function of shear stress at different osmolality); these tests are usually carried out in laboratories with special expertise in this area. Sometimes a definitive diagnosis can be obtained only by molecular studies demonstrating a mutation in one of the genes underlying HS (Table 105-3). 795 TREATMENT Hereditary Spherocytosis We do not have a causal treatment for HS; i.e., no way has yet been found to correct the basic defect in the membrane-cytoskeleton structure. Given the special role of the spleen in HS (see above), sple nectomy is often beneficial. Current recommendations are to proceed with splenectomy at the age of 4–6 years in severe cases, to delay sple nectomy until puberty in moderate cases, and to avoid splenectomy in mild cases. Partial splenectomy can be considered in certain cases, and it is helpful to know about the outcome of splenectomy in the patient’s affected relatives. Before splenectomy, vaccination against encapsulated bacteria (Neisseria meningitidis and Streptococcus pneu moniae) is imperative; penicillin prophylaxis after splenectomy is controversial. Along with splenectomy, cholecystectomy should not be carried out automatically, but it should be carried out, usually by the laparoscopic approach, whenever it is clinically indicated, mainly when gallstones are symptomatic. The most severe cases of HS (esti mated at 36 g/dL) associated with mild jaundice. Mutations in either PIEZO1, encoding an ion channel activated by pressure (mechanoreceptor), or in KCCN4, encoding the Ca2+ activated K+ channel (Gardos channel) have been recognized to cause DHS (see Table 105-3). C FIGURE 105-4 Peripheral blood smear from patients with membrane-cytoskeleton abnormalities. A. Hereditary spherocytosis. B. Hereditary elliptocytosis, heterozygote. C. Pyropoikilocytosis, with both alleles of the α-spectrin gene mutated. ABCB6 have been identified in almost 0.3% of blood donors. However, splenectomy is contraindicated in stomatocytosis due to the significant proportion of severe thromboembolic complications observed in sple nectomized DHS patients. Another form is overhydrated stomatocytosis (OHS). OHS is also macrocytic (MCV &gt;110 fL), but the MCHC is low (60% Any None reported Uncertain clinical significance aClass A corresponds to former class I; class C corresponds to former class IV. bA variant with 20% FIGURE 105-7 Epidemiology of glucose-6-phosphate dehydrogenase (G6PD) deficiency throughout the world. Each country on the map is shaded in a color based on the best estimate of the mean frequency of G6PD deficiency allele(s) in that country (this is the same as the frequency of G6PD-deficient males). The small panel on the left gives the key to color shadings corresponding to each country. The larger panel gives a color-coded list of 10 common G6PD variants associated with G6PD deficiency: asterisk shaped symbols in the corresponding colors are shown in the countries where these variants have been observed (for graphic reasons, symbols could not be inserted in all countries). (Reproduced with permission from L Luzzatto, M Ally, R Notaro. Glucose-6-phosphate dehydrogenase deficiency. 136:1225, 2020.) also seen with unstable hemoglobins). </w:t>
      </w:r>
      <w:r w:rsidR="00A6019F" w:rsidRPr="00A6019F">
        <w:lastRenderedPageBreak/>
        <w:t xml:space="preserve">Since there is also a substantial component of extravascular hemolysis, unconjugated bilirubin is high and there is often clinical icterus. The most serious threat from AHA in adults is the development of acute renal failure (this is exceedingly rare in children). Once the threat of acute anemia is over and in the absence of comorbidity, full recovery from AHA associated with G6PD deficiency is the rule. It was primaquine (PQ)-induced AHA that led to the discovery of G6PD deficiency, but this drug has not been very prominent subse quently because it is not necessary for the treatment of life-threatening P. falciparum malaria. Today there is a revival in the use of PQ for two reasons. First, it is the only effective agent for eliminating the gameto cytes of P. falciparum (thus preventing further transmission): a small single dose (0.25 mg/kg) is required, and it is safe for G6PD-deficient persons. Second, a 14-day course of PQ is the standard treatment for eliminating the hypnozoites of Plasmodium vivax (thus preventing endogenous relapse) (Chap. 231). In countries aiming to eliminate malaria, there may be a call for mass administration of PQ; this ought CHAPTER 105 Hemolytic Anemias TABLE 105-6 Drugs That Carry Risk of Clinical Hemolysis in Persons with Glucose 6-Phosphate Dehydrogenase Deficiency RISK OF ACUTE HEMOLYTIC ANEMIA DRUG CLASS Antimalarials Sulphonamides/ sulphones Antibacterial/ antibiotics Anti-helmint  Antipyretic/ analgesics Other HIGH Primaquine Tafenoquine Dapsone MEDIUM TO LOW  Chloroquine Hydroxychloroquine Quinine Sulfadimidine Sulfamethoxazole Sulfasalazine Chloramphenicol Ciprofloxacin Cotrimoxazole Nalidixic acid Nitrofurantoin Norfloxacin p-Aminosalicylic acid Niridazole  Acetylsalicylic acid high dose (&gt;3 g/d) Rasburicase Pegloticase Methylene blue Toluidine blue Acetaminophen Acetanilide Phenacetin Phenazopyridine Ascorbic acid (&gt;1 g) Doxorubicin Probenecid Vitamin K analogues FIGURE 105-8 Peripheral blood smear from a glucose-6-phosphate dehydrogenase (G6PD)-deficient boy experiencing hemolysis. Note the red cells that are misshapen and called “bite” cells. (From MA Lichtman et al: Lichtman’s Atlas of Hematology: http://www.accessmedicine.com. Copyright © The McGraw-Hill Companies, Inc. All rights reserved.) 800 to be associated with G6PD testing. At the other end of the historic spectrum, the latest additions to the list of potentially hemolytic drugs (Table 105-6) are rasburicase and pegloticase; again, G6PD test ing ought to be made mandatory before giving either of these drugs because fatal cases have been reported upon using one of these drugs, which generate hydrogen peroxide, in newborns with kidney injury and in children and adults with tumor lysis syndrome. Although drug-induced AHA has been prominent in the study of G6PD deficiency, the most common clinical manifestations are in fact NNJ and favism, both of which are of public health importance in many populations. Contrary to beliefs that are still widespread, fava bean pollen inhalation does not cause favism, and other beans are safe. A very small minority of subjects with G6PD deficiency, those who PART 4 Oncology and Hematology have a class A variant, suffer from CNSHA of variable severity. The patient is nearly always a male, usually with a history of NNJ, who may present with anemia, unexplained jaundice, or gallstones later in life. The spleen may be </w:t>
      </w:r>
      <w:r w:rsidR="00A6019F" w:rsidRPr="00A6019F">
        <w:lastRenderedPageBreak/>
        <w:t xml:space="preserve">enlarged. The severity of anemia ranges in differ ent patients from borderline to transfusion dependent. The anemia is usually normo-macrocytic, with reticulocytosis. Bilirubin and LDH are increased. Although hemolysis is, by definition, chronic in these patients, they are also vulnerable to acute oxidative damage, and there fore, the same agents that can cause AHA in people with the ordinary type of G6PD deficiency will cause severe exacerbations in people with CNSHA associated with G6PD deficiency. In some cases of CNSHA, the deficiency of G6PD is so severe in granulocytes that it limits their capacity to produce an oxidative burst, with consequent increased sus ceptibility to some bacterial infections. Laboratory Diagnosis The suspicion of G6PD deficiency can be con firmed by semiquantitative methods often referred to as screening tests, which are suitable for population studies and can correctly clas sify male subjects, in the steady state, as G6PD normal or G6PD defi cient. However, in clinical practice, a diagnostic test is usually needed when the patient has had a hemolytic attack, whereby the oldest, most G6PD-deficient red cells have been selectively destroyed, and young red cells, having higher G6PD activity, are being released into the circulation. Under these conditions, only a quantitative test can give a definitive result. In males, this test will identify normal hemizygotes and G6PD-deficient hemizygotes; among females, some heterozygotes will be missed, but those who are at most risk of hemolysis will be iden tified. Of course, G6PD deficiency also can be diagnosed by DNA test ing. Currently easy-to-use point-of-care tests for G6PD deficiency are becoming available, geared especially to the prospect of mass adminis tration of PQ or of the newly introduced derivative tafenoquine. TREATMENT G6PD Deficiency The AHA of G6PD deficiency is largely preventable by avoiding exposure to triggering factors of previously screened subjects. Of course, the practicability and cost-effectiveness of screening depend on the prevalence of G6PD deficiency in each individual commu nity. Favism is entirely preventable in G6PD-deficient subjects by not eating fava beans. Drug-induced hemolysis can be prevented by testing for G6PD deficiency before prescribing; in many cases, one can use alternative drugs. When AHA develops and once its cause is recognized, no specific treatment is needed in most cases. However, if the anemia is severe, it may be a medical emergency, especially in children, requiring immediate action, including blood transfu sion. This has been the case with an antimalarial drug combination containing dapsone (called Lapdap, introduced in 2003) that has caused severe acute hemolytic episodes in children with malaria in several African countries; after a few years, the drug was taken off the market. If there is acute renal failure, hemodialysis may be necessary, but if there is no previous kidney disease, recovery is the rule. The management of NNJ associated with G6PD deficiency is no different from that of NNJ due to other causes. In cases with CNSHA, if the anemia is not severe, regular folic acid supplements and regular hematologic surveillance will suffice. It will be important to avoid exposure to potentially hemolytic drugs, and blood transfusion may be indicated when exacerbations occur, mostly in concomitance with intercurrent infection. In rare patients, regular blood transfusions may be required, in which case </w:t>
      </w:r>
      <w:r w:rsidR="00A6019F" w:rsidRPr="00A6019F">
        <w:lastRenderedPageBreak/>
        <w:t xml:space="preserve">appropriate iron chelation should be instituted. Unlike in HS, there is no evidence of selective red cell destruction in the spleen; how ever, in practice, splenectomy has proven beneficial in severe cases. Other Abnormalities of the Redox System As mentioned previously, GSH is a key player in the defense against oxidative stress. Inherited defects of GSH metabolism are exceedingly rare, but each one can give rise to chronic HA (Table 105-4). A rare, peculiar, and severe but usually self-limited HA occurring in the first month of life, called infantile poikilocytosis, may be associated with deficiency of glutathione peroxidase (GSHPX) due not to an inherited abnormality, but to transient nutritional deficiency of selenium, an element essential for the activity of GSHPX. PYRIMIDINE 5′-NUCLEOTIDASE (P5N) DEFICIENCY P5N is a key enzyme in the catabolism of nucleotides arising from the degradation of nucleic acids that takes place in the final stages of erythroid cell matura tion. How exactly its deficiency causes HA is not well understood, but a highly distinctive feature of this condition is a morphologic abnormal ity of the red cells known as basophilic stippling. The condition is rare, but it probably ranks third in frequency among red cell enzyme defects (after G6PD deficiency and PK deficiency). The anemia is lifelong, is of variable severity, and may benefit from splenectomy. Familial (Atypical) Hemolytic-Uremic Syndrome (aHUS) This term is used to designate a group of rare disorders, mostly affect ing children, characterized by microangiopathic HA with presence of fragmented erythrocytes in the peripheral blood smear, thrombocy topenia (usually mild), and acute renal failure. (The word atypical in this phrase should be consigned to history; it was introduced originally to distinguish this condition from the hemolytic-uremic syndrome [HUS] caused by infection with Escherichia coli producing the Shiga toxin, regarded as typical.) The disease is caused by dysregulation of the complement alternative pathway: in some cases, this results from anti–factor H autoantibodies, but in the majority of cases, it is a conse quence of mutations in genes encoding proteins that are components or regulators of the complement system, i.e., C3 (encoding complement component C3), CFB (encoding complement factor B), CFH (encod ing complement factor H), CD46 (encoding the membrane cofactor protein), CFI (encoding complement factor I), THBD (encoding thrombomodulin), and rarely others. Patients may have abnormalities in one, two, or even three of the above genes. Pathogenic variants of these genes predispose to HUS with autosomal dominant inheritance; because clinical aHUS requires a triggering factor, most commonly infection, the penetrance is incomplete. Thus, whereas all other inher ited HAs are due to intrinsic red cell abnormalities, this group is unique in that hemolysis results from an inherited defect external to red cells (Table 105-1). Because the regulation of the complement cascade has considerable redundancy, in the steady state, any of the above abnor malities can be tolerated. However, when an intercurrent infection or some other trigger briskly activates complement, the deficiency of one of the complement regulators becomes critical. Endothelial cells get damaged, especially in the kidney. At the same time, and partly as a result of this, there will be brisk hemolysis; thus, the more common Shiga toxin–related HUS (Chap. 172) can be </w:t>
      </w:r>
      <w:r w:rsidR="00A6019F" w:rsidRPr="00A6019F">
        <w:lastRenderedPageBreak/>
        <w:t xml:space="preserve">regarded as a phenocopy of aHUS. aHUS is a severe disease; before anticomplement therapy was available, mortality was up to 15% in the acute phase, and up to 50% of cases progressed to end-stage renal disease (ESRD). Not infrequently, aHUS undergoes spontaneous remission. Because it is an inherited abnormality, it is not surprising that, given renewed exposure to a trigger, the syndrome will tend to recur; when it does, the prognosis is always serious. The traditional treatment has been plasma exchange, which will supply the deficient complement regulator and clear complement activation products. This has changed since the introduc tion of the anti-C5 complement inhibitor eculizumab (see “Paroxysmal Nocturnal Hemoglobinuria”), which was found to greatly ameliorate the microangiopathic picture, with improvement in platelet counts and in 801 renal function, thus abrogating the need for plasma exchange, which is not always effective and not free of complications. Once a full remis sion is obtained, with urine dipstick negative for hemoglobinuria, within 3–6 months, eculizumab can be discontinued. Given the genetic background of aHUS, relapses are possible. Fortunately, patients who relapsed after discontinuing eculizumab have responded again. No current evidence supports continuing eculizumab indefinitely. For the diagnosis of inherited red cell abnormalities, including those of the membrane-cytoskeleton, channelopathies, and enzymopathies, DNA sequencing of a gene panel (e.g., next-generation sequencing [NGS]) has become increasingly popular. This approach (which may or may not be more expensive) has the advantage of being potentially comprehensive and of providing definitive data. On the other hand, the mutations identified may be of uncertain significance, in which case, the diagnosis must be still confirmed by conventional methodology. Thus, the use of NGS is specially useful with unsolved cases of hereditary HAs. </w:t>
      </w:r>
      <w:r w:rsidR="00A6019F" w:rsidRPr="00A6019F">
        <w:rPr>
          <w:rFonts w:ascii="Arial" w:hAnsi="Arial" w:cs="Arial"/>
        </w:rPr>
        <w:t>■</w:t>
      </w:r>
      <w:r w:rsidR="00A6019F" w:rsidRPr="00A6019F">
        <w:t xml:space="preserve">ACQUIRED HEMOLYTIC ANEMIA Mechanical Destruction of Red Cells Although red cells are characterized by the remarkable deformability that enables them to squeeze through capillaries narrower than themselves for thousands of times in their lifetime, there are at least two situations in which they succumb to shear, if not to wear and tear; the result is intravascular hemolysis, resulting in hemoglobinuria (Table 105-7). One situation is acute and self-inflicted, march hemoglobinuria. Why sometimes a marathon runner may develop this complication, whereas on another occasion, this does not happen, we do not know (perhaps their footwear needs attention). A similar syndrome may develop after prolonged barefoot ritual dancing or intense playing of bongo drums. The other situation is chronic and iatrogenic (it has been called micro angiopathic hemolytic anemia). It takes place in patients with prosthetic heart valves, especially when paraprosthetic regurgitation is present. If the hemolysis consequent on mechanical trauma to the red cells is mild, and if the supply of iron is adequate, the loss may be largely com pensated; if more than mild anemia develops, reintervention to correct regurgitation may be required. Infection By far, the most frequent infectious cause of HA in endemic areas is malaria (Chap. 231). In other parts of the world, the most frequent direct cause is probably Shiga toxin–producing E. coli O157:H7, now recognized as the main etiologic </w:t>
      </w:r>
      <w:r w:rsidR="00A6019F" w:rsidRPr="00A6019F">
        <w:lastRenderedPageBreak/>
        <w:t xml:space="preserve">agent of HUS, which is more common in children than in adults (Chap. 166). Life-threatening intravascular hemolysis, due to a toxin with lecithinase activity, occurs with Clostridium perfringens sepsis, particularly following open wounds, septic abortion, or as a disastrous accident due to a contami nated blood unit. Rarely, and if at all in children, HA is seen with sepsis or endocarditis from a variety of organisms. In addition, bacterial and viral infections can cause HA by indirect mechanisms (see Table 105-7). Immune Hemolytic Anemias These can arise through at least two distinct mechanisms. First, when an antibody directed against a certain molecule (e.g., a drug) reacts with that molecule, red cells may get caught in the reaction (the so-called innocent bystander mechanism; see later section “Hemolytic Anemia from Toxic Agents and Drugs”), whereby they are damaged or destroyed. Second, and more frequently, a true autoantibody is directed against a red cell antigen, i.e., a molecule present on the surface of red cells. Autoimmune HAs have been origi nally classified into two types, depending on the thermal amplitude of the autoantibodies involved; this classification is valid because the two types have different pathophysiologic and clinical features. AUTOIMMUNE HEMOLYTIC ANEMIA, WARM TYPE (WAIHA; FOR SIM PLICITY, WE WILL USE THE ACRONYM AIHA) AIHA has an estimated incidence in the United States of about 1–3:100,000 per year, and a prevalence of 17:100,000. AIHA can be serious because even with appropriate management the mortality is ~5–10%. Clinical Features and Diagnosis The onset is often abrupt and can be dra matic. The hemoglobin level may drop, within days, to as low as 4 g/dL; the massive red cell removal will produce jaundice, and sometimes the spleen is enlarged. When this triad is present, the suspicion of AIHA must be high. The reticulocyte count is typically elevated, except when erythroid precursors are also targeted by the autoantibody attack. LDH may also be elevated. In some cases, AIHA can be associated, on first presentation or subsequently, with autoimmune thrombocytopenia. This double autoim mune condition, referred to as Evans syndrome, may be a manifestation of common variable immune deficiency, and in children, it may suggest one of several primary immune deficiency syndromes. Evans syndrome signals high-risk disease. Other predictors of the outcome and of the prob ability of relapse of AIHA are severe anemia (hemoglobin 30% of the blood volume is lost suddenly, patients are unable to compensate with the usual mechanisms of sympathetic nervous system increases in heart rate, vascular contraction, and changes in regional blood flow. The patient prefers to remain supine and will show postural hypotension and tachycardia. If the volume of blood lost is &gt;40% (i.e., &gt;2 L in the average-sized adult), signs of hypovolemic shock including confu sion, dyspnea, diaphoresis, hypotension, and tachycardia appear. Such patients have significant deficits in vital organ perfusion and require immediate volume replacement. Symptoms associated with more chronic or progressive anemia depend on the age of the patient and the adequacy of blood supply to critical organs. Symptoms associated with moderate anemia include fatigue, loss of stamina, breathlessness, and tachycardia (particularly with physical exertion). However, because of the intrinsic </w:t>
      </w:r>
      <w:r w:rsidR="00A6019F" w:rsidRPr="00A6019F">
        <w:lastRenderedPageBreak/>
        <w:t xml:space="preserve">compensa tory mechanisms that govern the O2–hemoglobin dissociation curve, the gradual onset of anemia—particularly in young patients—may not be associated with signs or symptoms until the anemia is severe (hemo globin 1 cm in length) is superior for determination of cellularity and shows mainly fat under the microscope, with hematopoietic cells occupying 25,000/μL) and lymphocytes (&gt;1000/μL) are better predictors of response to treatment and long-term outcome. Other prognostic factors include the presence of a PNH clone, short telomeres on presentation, and somatically mutated white cells. Even small PNH clones may indicate an immune pathophysiology and responsiveness to immunosuppressive therapies. Telomere shortening in the granulocytes of many patients likely reflects stem cell reserve, regenerative stress, and susceptibility to chromosomal instability; shorter telomeres in lymphocytes are more consistent with a telomere biology disorder. Collectively, the presence of mutations in the same myeloid neoplasia genes that are mutated in some clonal hematopoiesis of indeterminate potential (ASXL1) is associated with worse prognosis and clonal evolution. TREATMENT Aplastic Anemia Severe acquired aplastic anemia can be cured by replacement of the absent hematopoietic cells (and the immune system) by stem cell transplant, or it can be ameliorated by suppression of the immune system to allow recovery of the patient’s residual bone marrow function. Glucocorticoids are not of value as primary therapy, and among their multiple toxicities is increased susceptibility to fungal infection. Suspicious drugs or chemicals should be discontinued; however, spontaneous recovery of severe blood count depression is rare, and a waiting period before beginning treatment may not be advisable unless the blood counts are only modestly depressed. HEMATOPOIETIC STEM CELL TRANSPLANTATION This is the first choice for the younger patient with a fully histocom patible sibling donor (Chap. 119). HLA typing should be ordered as Most patients do not have a suitable sibling donor. Occasionally, a full phenotypic match can be found within the family and serve as well. More broadly, matched unrelated donors in large registries are available for the majority of Caucasian patients. With high resolution matching at HLA, outcomes are similar to those with sibling donors, although complications (GVHD and infection) are more frequent. Cord blood also can be a source of stem cells, espe cially for children. Matched unrelated donor transplants are often considered as initial treatment in children and as salvage therapy for adults after failed immunosuppression. Transplantation from an HLA haploidentical family donor is increasingly popular, as a donor is almost always readily available. Posttransplant cyclophos phamide appears effective in preventing GVHD and is increasingly popular; lymphocyte depletion before donor cell infusions has been developed and employed. Transplant protocols for marrow failure, except in the case of alternative donor transplant, now usually do not include radiation in order to avoid late occurrence of cancer. IMMUNOSUPPRESSION WITH ELTROMBOPAG Early, serendipitous observation of spontaneous improvement of blood counts despite lack of engraftment of donor marrow led to speculation of an immune pathophysiology and also purposeful administration of antilymphocyte </w:t>
      </w:r>
      <w:r w:rsidR="00A6019F" w:rsidRPr="00A6019F">
        <w:lastRenderedPageBreak/>
        <w:t xml:space="preserve">globulin as sole treatment. Addi tion of cyclosporine to antithymocyte globulin (ATG) increased the response rate, and cyclosporine helped maintain remissions. Many other attempts to improve on the regimen of ATG plus cyclosporine failed. Although hematopoietic growth factors generally are of little utility in immune aplastic anemia, thrombopoietic mimetics, sur prisingly, rescued refractory aplastic anemia as monotherapy and increased both overall and complete response rates in combination with immunosuppression in treatment-naïve disease. The current standard regimen of ATG, cyclosporine, and eltrom bopag (“triple therapy”) induces hematologic recovery (indepen dence from transfusion and a leukocyte count adequate to prevent infection) in 70–80% of patients. Children do especially well with immunosuppressive therapy, whereas older adult patients can suffer complications due to the presence of comorbidities. Children have less improvement in response with the addition of eltrombopag to immunosuppressive therapy than do adults. An early robust hema tologic response correlates with long-term survival. Improvement in granulocyte number is generally apparent within 2 months of treatment. Most recovered patients continue to have some degree of blood count depression, the MCV remains elevated, and bone mar row cellularity returns toward normal very slowly if at all. Relapse (some degree of recurrent pancytopenia) is frequent, often occur ring as cyclosporine or eltrombopag is tapered or discontinued; most, but not all, patients respond to reinstitution of therapy. Some patients become dependent on continued cyclosporine or eltrom bopag administration. “Clonal evolution,” isolated chromosomal abnormalities or the development of MDS, with typical cytogenetic aberrations and abnormal marrow morphology, occurs in </w:t>
      </w:r>
      <w:r w:rsidR="00A6019F" w:rsidRPr="00A6019F">
        <w:rPr>
          <w:rFonts w:ascii="Cambria Math" w:hAnsi="Cambria Math" w:cs="Cambria Math"/>
        </w:rPr>
        <w:t>∼</w:t>
      </w:r>
      <w:r w:rsidR="00A6019F" w:rsidRPr="00A6019F">
        <w:t xml:space="preserve">10-15% of treated patients over a decade following initiation of ATG, usu ally but not invariably associated with a return of pancytopenia, and some patients develop leukemia. A laboratory diagnosis of PNH can generally be made at the time of presentation of aplastic anemia by flow cytometry; recovered patients may have frank hemolysis if the PNH clone expands. Bone marrow examinations should be per formed if there is an unfavorable change in blood counts. 813 Horse ATG is administered as intravenous infusions and requires hospitalization. Rabbit ATG is much less effective, perhaps because it reduces T-regulatory cell numbers in patients. Serum sickness, a flulike illness with a characteristic cutaneous eruption and arthralgia, may develop </w:t>
      </w:r>
      <w:r w:rsidR="00A6019F" w:rsidRPr="00A6019F">
        <w:rPr>
          <w:rFonts w:ascii="Cambria Math" w:hAnsi="Cambria Math" w:cs="Cambria Math"/>
        </w:rPr>
        <w:t>∼</w:t>
      </w:r>
      <w:r w:rsidR="00A6019F" w:rsidRPr="00A6019F">
        <w:t xml:space="preserve">10 days after initiating treatment. Methylprednisolone is administered with ATG to ameliorate the immune consequences of heterologous protein infusion. (Excessive or extended glucocorticoid therapy is associated with avascular joint necrosis.) Cyclosporine is administered orally at an initial high dose, with subsequent adjustment according to blood levels. Its most impor tant side effects are nephrotoxicity, hypertension, and seizures. Some centers replace cyclosporine with tacrolimus. Eltrombopag, a thrombopoietin (TPO) mimetic, is administered once daily for 6 months; its most important side effect is hepatotox icity. The likely mechanism of action of TPO mimetics is stimula tion of the hematopoietic stem cell, but iron chelation and increased regulatory T cells are also possibly </w:t>
      </w:r>
      <w:r w:rsidR="00A6019F" w:rsidRPr="00A6019F">
        <w:lastRenderedPageBreak/>
        <w:t xml:space="preserve">beneficial effects. Eltrombopag added to first-line immunosuppression with horse ATG markedly increased overall and complete response rates, to about 80 and 50%, respectively, and triple therapy became the U.S. Food and Drug Administration (FDA)-approved standard-of-care therapy in 2018. Eltrombopag was first licensed in the refractory setting where it showed response rates of ~40%. Romiplostim, another TPO mimetic, also has been reported as effective. Most patients with aplastic anemia lack a fully matched marrow donor, and immunosuppression is the treatment of choice. Overall survival is equivalent with transplantation and immunosuppres sion. However, successful transplant cures marrow failure, whereas patients who recover adequate blood counts after immunosuppres sion remain at risk of relapse and malignant evolution. Increasing age and the severity of neutropenia are the most important factors weighing in the decision between transplant and immunosuppres sion in adults who have a matched family donor: older patients do better with ATG and cyclosporine, whereas transplant is preferred if neutropenia is profound. Patients in whom immunosuppression has failed can be salvaged by stem cell transplant later. ANDROGENS The effectiveness of androgens has not been verified in controlled trials, but occasional patients will respond or even demonstrate blood count dependence on continued therapy. Sex hormones upregulate telomerase gene activity in vitro, which is possibly also their mechanism of action in improving marrow function. For patients with moderate disease, especially if a telomere gene defect is present, a 3- to 4-month trial may improve all blood counts (Chap. 483). SUPPORTIVE CARE Meticulous medical attention is required so that the patient may survive to benefit from definitive therapy or, having failed treat ment, to maintain a reasonable existence in the face of pancytope nia. First and most important, infection in the presence of severe neutropenia must be aggressively treated by prompt institution of parenteral, broad-spectrum antibiotics. Therapy is empirical and must not await results of culture, although specific foci of infec tion such as oropharyngeal or anorectal abscesses, pneumonia, sinusitis, and typhlitis (necrotizing colitis) and infected lines should be sought on clinical assessment and with radiographic studies. Persistent or recrudescent fever implies fungal disease: Candida and Aspergillus are common, especially after several courses of antibacterial antibiotics. A major reason for the improved prognosis in aplastic anemia has been the development of better antifungal drugs and the timely institution of such therapy when infection is suspected. Granulocyte transfusions can be effective when bacterial or fungal infection is progressive or refractory to antibiotics. Non absorbed antibiotics for gut decontamination are poorly tolerated and unproven, nor does reverse isolation reduce mortality from infections. Both platelet and erythrocyte numbers can be maintained by transfusion. Alloimmunization historically limited the usefulness of platelet transfusions and is now minimized by several strategies, including use of single donors to reduce exposure and physical or chemical methods to diminish leukocytes in the product; HLA matched platelets are usually effective in alloimmunized patients refractory to random donor products. The use of low-dose glu cocorticoids to induce </w:t>
      </w:r>
      <w:r w:rsidR="00A6019F" w:rsidRPr="00A6019F">
        <w:lastRenderedPageBreak/>
        <w:t xml:space="preserve">“vascular stability” is unproven and not recommended. With prophylactic platelet transfusions, the goal is to maintain the platelet count &gt;10,000/μL (oozing from the gut increases sharply at counts 100 per million persons in the general population and 120 to &gt;500 per million in older adults. Estimates of incidence in the United States range from 30,000 to 40,000 new cases annually and a prevalence of 60,000 120,000 in the population. Rates of MDS have increased over time due to better recognition of the syndrome by physicians and an aging population. MDS is rare in children, in whom it often has a constitutional genetic basis that can be identified on genomic screens of myeloid cancer predisposition panels. Secondary or therapy-related MDS, usually related to previous iatrogenic exposure to alkylating agents and other chemotherapy or radiation, is not age related. PART 4 Oncology and Hematology </w:t>
      </w:r>
      <w:r w:rsidR="00A6019F" w:rsidRPr="00A6019F">
        <w:rPr>
          <w:rFonts w:ascii="Arial" w:hAnsi="Arial" w:cs="Arial"/>
        </w:rPr>
        <w:t>■</w:t>
      </w:r>
      <w:r w:rsidR="00A6019F" w:rsidRPr="00A6019F">
        <w:t xml:space="preserve">ETIOLOGY AND PATHOPHYSIOLOGY MDS is associated with environmental exposures such as radiation, benzene, and smoking; other risk factors have been reported incon sistently. Secondary, therapy-related MDS occurs as a late toxicity of cancer treatment; radiation and the radiomimetic alkylating agents such as busulfan, nitrosourea, or procarbazine (with a latent period of 5–7 years); or the DNA topoisomerase inhibitors (2-year latency). Acquired aplastic anemia, Fanconi anemia, and other constitutional marrow failure diseases can evolve into MDS; occasionally, MDS in adults is recognized as due to germline GATA2, RUNX1, or telomere gene mutations. MDS in patients 2%–10–30% 2. Refined cytogenetic abnormalities and risk groups 16 (vs 6) specific abnormalities, 5 (vs 3) subgroupsa 3. Evaluation of depth of cytopeniasb Clinically and statistically relevant cut points used 4. Inclusion of differentiating features Age, performance status, serum ferritin, LDH, β2-microglobulin 5. Prognostic model with 5 (vs 4) risk categories Improved predictive power aGood, normal, –Y, del(5q), del (20q); poor, complex (≥3 abnormalities) or chromosome 7 abnormalities; intermediate, all other abnormalities. bCytopenias at baseline, cut points: hemoglobin 10/100,000. Familial transmission is infre quent, and women under age 50 predominate among sporadic cases. </w:t>
      </w:r>
      <w:r w:rsidR="00A6019F" w:rsidRPr="00A6019F">
        <w:rPr>
          <w:rFonts w:ascii="Arial" w:hAnsi="Arial" w:cs="Arial"/>
        </w:rPr>
        <w:t>■</w:t>
      </w:r>
      <w:r w:rsidR="00A6019F" w:rsidRPr="00A6019F">
        <w:t xml:space="preserve">ETIOLOGY Nonrandom chromosome abnormalities such as deletion 20q and deletion 13q or trisomy 9 occur in up to 30% of untreated PV patients, but unlike CML, no consistent cytogenetic abnormality has been asso ciated with the disorder. However, a mutation in the autoinhibitory pseudokinase domain of the tyrosine kinase JAK2 that replaces valine with phenylalanine (V617F), causing constitutive kinase activation, has a central role in PV pathogenesis. JAK2 is a member of an evolutionarily well-conserved, nonreceptor tyrosine kinase family and serves as the cognate tyrosine kinase for the erythropoietin and thrombopoietin receptors. It also functions as an obligate chaperone for these receptors in the Golgi apparatus and is responsible for their cell-surface expression. The conformational change induced in the erythropoietin and thrombopoietin receptors following binding to their respective cognate ligands, erythropoi etin or thrombopoietin, leads to JAK2 autophosphorylation, receptor phosphorylation, and phosphorylation of proteins involved in cell proliferation, differentiation, and resistance to apoptosis. Transgenic animals lacking JAK2 die as embryos from severe anemia. Constitu tive </w:t>
      </w:r>
      <w:r w:rsidR="00A6019F" w:rsidRPr="00A6019F">
        <w:lastRenderedPageBreak/>
        <w:t xml:space="preserve">activation of JAK2, on the other hand, explains the erythropoietin hypersensitivity, erythropoietin-independent erythroid colony forma tion, rapid terminal differentiation, increased Bcl-XL expression, and apoptosis resistance in the absence of erythropoietin that characterize the in vitro behavior of PV erythroid progenitor cells. More than 95% of PV patients express this mutation, as do </w:t>
      </w:r>
      <w:r w:rsidR="00A6019F" w:rsidRPr="00A6019F">
        <w:rPr>
          <w:rFonts w:ascii="Cambria Math" w:hAnsi="Cambria Math" w:cs="Cambria Math"/>
        </w:rPr>
        <w:t>∼</w:t>
      </w:r>
      <w:r w:rsidR="00A6019F" w:rsidRPr="00A6019F">
        <w:t xml:space="preserve">50% of PMF and ET patients. Importantly, the JAK2 gene is located on the short arm of chromosome 9, and loss of heterozygosity on chromo some 9p involving the segment containing the JAK2 locus over time due to mitotic recombination (uniparental disomy) is the most com mon cytogenetic abnormality in PV. Loss of heterozygosity in this region leads to homozygosity for JAK2 V617F and occurs in </w:t>
      </w:r>
      <w:r w:rsidR="00A6019F" w:rsidRPr="00A6019F">
        <w:rPr>
          <w:rFonts w:ascii="Cambria Math" w:hAnsi="Cambria Math" w:cs="Cambria Math"/>
        </w:rPr>
        <w:t>∼</w:t>
      </w:r>
      <w:r w:rsidR="00A6019F" w:rsidRPr="00A6019F">
        <w:t xml:space="preserve">60% of PV patients and to a lesser extent in PMF but is rare in ET. Most PV patients who do not express JAK2 V617F express a mutation in exon 12 of the gene and are not clinically different from those who do, with the exception of a higher frequency of isolated erythrocytosis, nor do JAK2 V617F heterozygotes differ clinically from homozygotes. Importantly, the predisposition to acquire JAK2 mutations appears to be associated with a specific JAK2 gene haplotype, GGCC. JAK2 V617F is the basis for many of the phenotypic and biochemical characteristics of PV such as increased blood cell production and increased inflammatory cyto kine production; however, it cannot solely account for the entire PV phenotype and is probably not the initiating lesion in any of the MPNs. First, PV patients with the same phenotype and documented clonal disease can have mutations in LNK, a JAK2 inhibitor, or rarely, calre ticulin (CALR), an ER chaperone, since MPN driver mutations are not mutually exclusive. Second, ET and PMF patients have the same muta tions but different clinical phenotypes. Third, familial PV can occur without the mutation, even when other members of the same family express it. Finally, in some JAK2 V617F–positive PV or ET patients, acute leukemia can occur in a JAK2 V617F–negative progenitor cell, suggesting the presence of an ancestral precursor cell. </w:t>
      </w:r>
      <w:r w:rsidR="00A6019F" w:rsidRPr="00A6019F">
        <w:rPr>
          <w:rFonts w:ascii="Arial" w:hAnsi="Arial" w:cs="Arial"/>
        </w:rPr>
        <w:t>■</w:t>
      </w:r>
      <w:r w:rsidR="00A6019F" w:rsidRPr="00A6019F">
        <w:t xml:space="preserve">CLINICAL FEATURES Although PV is a panmyelopathy, isolated thrombocytosis, leukocy tosis, or splenomegaly can be its presenting manifestation, but most often, the disorder is first recognized by the incidental discovery of a high hemoglobin, hematocrit, or red cell count. With the exception of aquagenic pruritus or erythromelalgia, no symptoms distinguish PV from other causes of erythrocytosis. Uncontrolled erythrocytosis causes hyperviscosity, leading to neu rologic symptoms such as vertigo, tinnitus, headache, visual distur bances, and transient ischemic attacks (TIAs). Systolic hypertension is also a feature of the red cell mass elevation. In some patients, venous or arterial thrombosis may be the presenting manifestation of PV. Any vessel can be affected, but cerebral, cardiac, and mesenteric vessels are most commonly involved. Hepatic venous thrombosis (Budd Chiari syndrome) is particularly common in young women and may be catastrophic if sudden and complete obstruction of the hepatic vein occurs; portal vein thrombosis is more common in male PV patients. Indeed, PV should be suspected in any woman who develops hepatic vein thrombosis, since this is the only type of thrombosis associated with JAK2 V617F expression. Digital ischemia, easy bruising, epistaxis, acid-peptic disease, or gastrointestinal hemorrhage may occur </w:t>
      </w:r>
      <w:r w:rsidR="00A6019F" w:rsidRPr="00A6019F">
        <w:lastRenderedPageBreak/>
        <w:t xml:space="preserve">due to vascular stasis or extreme thrombocytosis (&gt;900,000/mL). In the lat ter instance, absorption and proteolysis of high-molecular-weight von Willebrand multimers by the large platelet mass cause acquired von Willebrand’s disease. Erythema, burning, and pain in the extremities, a symptom complex known as erythromelalgia, is another complication of thrombocytosis in PV due to increased platelet stickiness. Given the large turnover of hematopoietic cells, hyperuricemia with secondary gout, uric acid stones, and symptoms due to hypermetabolism can also complicate the disorder. </w:t>
      </w:r>
      <w:r w:rsidR="00A6019F" w:rsidRPr="00A6019F">
        <w:rPr>
          <w:rFonts w:ascii="Arial" w:hAnsi="Arial" w:cs="Arial"/>
        </w:rPr>
        <w:t>■</w:t>
      </w:r>
      <w:r w:rsidR="00A6019F" w:rsidRPr="00A6019F">
        <w:t xml:space="preserve">DIAGNOSIS CHAPTER 108 Polycythemia Vera and Other Myeloproliferative Neoplasms When PV presents with erythrocytosis in combination with leukocyto sis, thrombocytosis, or splenomegaly or any combination of these, the diagnosis is apparent. However, when patients present with an elevated hemoglobin, hematocrit, and red cell count alone, the diagnostic evalu ation is more complex because of the many diagnostic possibilities (Table 108-2). Furthermore, unless the hemoglobin level is </w:t>
      </w:r>
      <w:r w:rsidR="00A6019F" w:rsidRPr="00A6019F">
        <w:rPr>
          <w:rFonts w:ascii="Aptos" w:hAnsi="Aptos" w:cs="Aptos"/>
        </w:rPr>
        <w:t>≥</w:t>
      </w:r>
      <w:r w:rsidR="00A6019F" w:rsidRPr="00A6019F">
        <w:t xml:space="preserve">20 g/dL (hematocrit ≥60%), it is not possible to distinguish true erythrocytosis from disorders causing plasma volume contraction. This is because uniquely in PV, in contrast to other causes of true erythrocytosis, there is expansion of the plasma volume, which can mask the elevated red cell mass, particularly in women; thus, red cell mass and plasma volume determinations are necessary to establish the presence of an absolute erythrocytosis and distinguish this from relative erythrocyto sis due to a reduction in plasma volume alone (also known as stress or spurious erythrocytosis or Gaisböck’s syndrome). Figure 66-18 illustrates a diagnostic algorithm for the evaluation of suspected erythrocytosis. While an assay for JAK2 or rarely LNK mutations in the presence of a normal arterial oxygen saturation appears to provide an alternative 820 TABLE 108-2 Causes of Erythrocytosis Relative Erythrocytosis Hemoconcentration secondary to dehydration, diuretics, ethanol abuse, androgens, or tobacco abuse Absolute Erythrocytosis Hypoxia Carbon monoxide intoxication High-oxygen-affinity hemoglobin High altitude Pulmonary disease Tumors Hypernephroma Hepatoma Cerebellar hemangioblastoma Uterine myoma Right-to-left cardiac or vascular shunts Adrenal tumors Sleep apnea syndrome Meningioma Hepatopulmonary syndrome Renal Disease Renal artery stenosis Focal sclerosing or membranous glomerulonephritis PART 4 Oncology and Hematology Postrenal transplantation Renal cysts Bartter’s syndrome Pheochromocytoma Drugs Androgens SGLT2 inhibitors Recombinant erythropoietin Familial (with normal hemoglobin function) Erythropoietin receptor mutations VHL mutations (Chuvash polycythemia) 2,3-BPG mutation PHD2 (EGLN1) and HIF2α (EPAS1) mutations LNK mutations Polycythemia vera Abbreviations: 2,3-BPG, 2,3-bisphosphoglycerate; VHL, von Hippel-Lindau. diagnostic approach to isolated erythrocytosis since red cell mass and plasma volume determinations are not usually available, isolated eryth rocytosis is uncommon as an initial manifestation of PV, and not every one expressing a low JAK2 V617F quantitative mutation allele burden (variant allele frequency [VAF] ≤5%) actually has a blood disease. In addition, a normal serum erythropoietin level does not exclude the presence of PV, but an elevated </w:t>
      </w:r>
      <w:r w:rsidR="00A6019F" w:rsidRPr="00A6019F">
        <w:lastRenderedPageBreak/>
        <w:t xml:space="preserve">erythropoietin level is most consistent with a secondary cause for the erythrocytosis. Other laboratory studies that may aid in diagnosis include the red cell count, mean corpuscular volume, and red cell distribution width (RDW), particularly when the hematocrit or hemoglobin levels are 25,000/μL) IPSS (2009)a DIPSS (2010)b DIPSS PLUS (2011)c X X Peripheral blood blasts (≥1%) X Constitutional symptoms Age (&gt;65 years) Unfavorable karyotype Platelet count (15,000/μL) compared to PV patients, unless they too develop extra medullary hematopoiesis. Importantly, </w:t>
      </w:r>
      <w:r w:rsidR="00A6019F" w:rsidRPr="00A6019F">
        <w:rPr>
          <w:rFonts w:ascii="Cambria Math" w:hAnsi="Cambria Math" w:cs="Cambria Math"/>
        </w:rPr>
        <w:t>∼</w:t>
      </w:r>
      <w:r w:rsidR="00A6019F" w:rsidRPr="00A6019F">
        <w:t xml:space="preserve">55% of PMF patients, like patients with its companion MPNs, express the JAK2 V617F mutation, often as homozygotes. Such patients are usually older and have higher hematocrits than patients with MPL (4%) or CALR (36%) mutations; PMF patients expressing an MPL mutation tend to be more anemic and have lower leukocyte counts than JAK2 V617F–positive patients. Somatic mutations (due to deletions [type 1] or insertions [type 2]) in exon 9 of CALR have been found in a majority of patients with PMF who lack mutations in either JAK2 or MPL. In some studies, type 1 mutations, the most common CALR mutation in PMF, had a survival advantage compared to JAK2 or MPL mutations but not with respect to leukemic transformation. PMF patients who lack a known MPN driver mutation (triple-negative) appear to have the worst prognosis. </w:t>
      </w:r>
      <w:r w:rsidR="00A6019F" w:rsidRPr="00A6019F">
        <w:rPr>
          <w:rFonts w:ascii="Arial" w:hAnsi="Arial" w:cs="Arial"/>
        </w:rPr>
        <w:t>■</w:t>
      </w:r>
      <w:r w:rsidR="00A6019F" w:rsidRPr="00A6019F">
        <w:t xml:space="preserve">COMPLICATIONS Survival in PMF varies according to specific risk factors at diagnosis (Tables 108-4 and 108-5) but is much shorter than in PV and ET patients. The natural history of PMF is one of increasing marrow fail ure with transfusion-dependent anemia and increasing organomegaly due to extramedullary hematopoiesis. As with CML, PMF can evolve from a chronic to an accelerated phase with constitutional symptoms and increasing marrow failure. About 10% of patients spontaneously transform to an aggressive form of acute leukemia for which therapy is usually ineffective. Additional important prognostic factors for disease acceleration during the course of PMF include the presence of complex TABLE 108-5 IPSS and DIPSS Risk Stratification Systems NUMBER OF RISK FACTORS RISK CATEGORIESa Low Intermediate-1 Intermediate-2 High IPSS 0 DIPSS 0 1 2 ≥3 1–2 3–4 &gt;4 DIPSS PLUS 0 1 2–3 4–6 aThe corresponding survival curves for each risk category can be found in the references cited in the footnotes of Table 108-4. Abbreviations: DIPSS, Dynamic International Prognostic Scoring System; IPSS, International Prognostic Scoring System. 823 cytogenetic abnormalities, thrombocytopenia, and transfusion-dependent anemia. Mutations in the ASXL1, EZH2, SRSF2, and IDH1/2 genes have been identified as risk factors for early death or transformation to acute leukemia, as have complex cytogenetic abnormalities, and have proved to be more useful for PMF risk assessment than the clinical scoring systems. TREATMENT Primary Myelofibrosis No specific therapy exists for PMF. The causes for anemia are mul tifarious and include ineffective erythropoiesis uncompensated by splenic extramedullary hematopoiesis, hemodilution due to sple nomegaly, splenic sequestration, blood loss secondary to throm bocytopenia or portal hypertension, folic acid deficiency, systemic inflammation, and autoimmune hemolysis. Neither recombinant erythropoietin nor androgens such as danazol have </w:t>
      </w:r>
      <w:r w:rsidR="00A6019F" w:rsidRPr="00A6019F">
        <w:lastRenderedPageBreak/>
        <w:t xml:space="preserve">proven to be consistently effective as therapy for anemia. Erythropoietin may worsen splenomegaly and will be ineffective if the serum erythro poietin level is &gt;125 mU/L. Given the inflammatory milieu that characterizes PMF, glucocorticoids can ameliorate anemia as well as constitutional symptoms such as fever, chills, night sweats, anorexia, and weight loss, and combining these with low-dose thalidomide has proved effective as well. Thrombocytopenia can be due to impaired marrow function, splenic sequestration, or autoimmune destruction and may also respond to low-dose thalidomide and prednisone. Splenomegaly is by far the most distressing and intractable prob lem for PMF patients, causing abdominal pain, portal hypertension, easy satiety, and cachexia, whereas surgical removal of a massive spleen is associated with significant postoperative complications including mesenteric venous thrombosis, hemorrhage, rebound leukocytosis and thrombocytosis, and hepatic extramedullary hematopoiesis with no amelioration of either anemia or thrombo cytopenia when present. For unexplained reasons, splenectomy also increases the risk of blastic transformation. Splenic irradiation is, at best, temporarily palliative and associ ated with a significant risk of neutropenia, infection, and subsequent operative hemorrhage if splenectomy is attempted. Allopurinol can control significant hyperuricemia, and bone pain can be alleviated by local irradiation. Pegylated IFN-α can ameliorate fibrosis in early PMF, but in advanced disease, it may exacerbate bone mar row failure. The JAK1/2 inhibitor ruxolitinib has proved effective in reducing splenomegaly and alleviating constitutional symptoms in a majority of advanced PMF patients while possibly prolonging survival, but in some patients, ruxolitinib is associated with RAS mutations. Although anemia and thrombocytopenia are its major side effects, these are dose-dependent, and with time, anemia stabilizes, and thrombocytopenia may improve. Fedratinib, a new tyrosine kinase inhibitor with anti-FLT3 activity, has proved useful in patients with disease refractory to ruxolitinib. Two other JAK2 inhibitors have been approved for PMF therapy, pacritinib, which is useful when thrombocytopenia is present, and momelotinib, which may be useful in improving red cell production. In some patients, hypomethylating agents such as azacytidine or decitabine in combination with high-dose ruxolitinib have been used to control the disease or prepare patients for bone marrow transplantation. Transformation to acute leukemia in PMF, like PV or ET, is usually refractory to treatment. Allogeneic bone marrow transplantation is the only curative treatment for PMF and should be considered in younger patients and older patients with high-risk disease; nonmyeloablative con ditioning regimens permit hematopoietic cell transplantation to be extended to older individuals. ESSENTIAL THROMBOCYTOSIS ET (other designations include essential thrombocythemia, idiopathic thrombocytosis, primary thrombocytosis, and hemorrhagic thrombocy themia) is a clonal hematopoietic stem cell disorder associated with TABLE 108-6 Causes of Thrombocytosis Tissue inflammation: collagen vascular disease, inflammatory bowel disease Malignancy Infection Myeloproliferative disorders: polycythemia vera, primary myelofibrosis, essential thrombocytosis, chronic </w:t>
      </w:r>
      <w:r w:rsidR="00A6019F" w:rsidRPr="00A6019F">
        <w:lastRenderedPageBreak/>
        <w:t xml:space="preserve">myelogenous leukemia Myelodysplastic disorders: 5q– syndrome, idiopathic refractory sideroblastic anemia Postsplenectomy or hyposplenism Hemorrhage Iron-deficiency anemia Surgery Rebound: Correction of vitamin B12 or folate deficiency, post-ethanol abuse, postsplenectomy Hemolysis Familial: Thrombopoietin overproduction, JAK2, CALR, or MPL mutations mutations in JAK2 (V617F), MPL, or CALR and manifested clinically by overproduction of platelets without a definable cause. ET has an incidence of 1–2/100,000 and a distinct female predominance. Canonical MPN driver mutations distinguish 90% of ET patients from the more common nonclonal, reactive forms of thrombocytosis (Table 108-6); mutation negative ET patients may have either uncommon MPL mutations, JAK2 V617F expression limited to the platelets, or a hereditary form of throm bocytosis. Once considered a disease of the elderly and responsible for significant morbidity due to hemorrhage or thrombosis, it is now clear that ET can occur at any age in adults and often without symptoms or dis turbances of hemostasis. There is an unexplained female predominance in contrast to PMF or the reactive forms of thrombocytosis where no sex difference exists. Because no specific clonal marker is available, clinical and laboratory criteria have been proposed to distinguish ET from other MPNs, which may also present initially with isolated thrombocytosis but have differing prognoses and therapies (Table 108-6). These criteria are useful in identifying disorders such as CML, PV, PMF, or myelodysplasia, which can masquerade as ET. Furthermore, as with “idiopathic” erythro cytosis, nonclonal benign forms of thrombocytosis exist (e.g., hereditary overproduction of thrombopoietin and those with noncanonical JAK2 driver mutations) that are not widely recognized because we currently lack diagnostic assays. Approximately 50% of ET patients express JAK2 V617F, 30% CALR (both type 1 and type 2), and 8% MPL mutations. ET patients lacking a canonical MPN driver mutation usually have a benign prognosis. </w:t>
      </w:r>
      <w:r w:rsidR="00A6019F" w:rsidRPr="00A6019F">
        <w:rPr>
          <w:rFonts w:ascii="Arial" w:hAnsi="Arial" w:cs="Arial"/>
        </w:rPr>
        <w:t>■</w:t>
      </w:r>
      <w:r w:rsidR="00A6019F" w:rsidRPr="00A6019F">
        <w:t xml:space="preserve">ETIOLOGY Megakaryocytopoiesis and platelet production depend on thrombo poietin and its receptor MPL. As in the case of early erythroid and myeloid progenitor cells, early megakaryocytic progenitors require the presence of interleukin 3 (IL-3) and stem cell factor for optimal proliferation in addition to thrombopoietin. Their subsequent terminal development is also enhanced by the chemokine stromal cell-derived factor 1 (SDF-1). Interestingly, terminal megakaryocyte maturation and platelet production do not require thrombopoietin. Megakaryocytes are unique among hematopoietic progenitor cells because reduplication of their genome is endomitotic rather than mitotic and promoted by thrombopoietin. Unlike erythropoietin, thrombopoietin is produced only in the liver but has important func tions in the bone marrow where it functions to maintain hematopoi etic stem cells quiescent in their endosteal niches; once released from their niches, thrombopoietin promotes the proliferation of these cells in the sinusoidal niches. Like plasma erythropoietin and its target erythroblasts, an inverse correlation exists between the platelet count and plasma thrombopoietin. However, unlike erythropoietin, throm bopoietin is only constitutively produced and the plasma thrombopoi etin level is controlled by the size of the platelet and megakaryocyte </w:t>
      </w:r>
      <w:r w:rsidR="00A6019F" w:rsidRPr="00A6019F">
        <w:lastRenderedPageBreak/>
        <w:t xml:space="preserve">progenitor cell pools. Also, in contrast to erythropoietin, but like its myeloid counterparts, granulocyte and granulocyte-macrophage colony-stimulating factors, thrombopoietin not only enhances the proliferation of its target cells but also enhances the reactivity of their end-stage product, the platelet. Paradoxically, in the three MPNs, CHAPTER 108 Polycythemia Vera and Other Myeloproliferative Neoplasms 824 expression of the thrombopoietin receptor, MPL, is impaired and plasma thrombopoietin is increased despite the increased number of megakaryocytes and platelets. The clonal nature of ET was established by analysis of glucose-6- phosphate dehydrogenase isoenzyme expression in patients hemizy gous for this gene. Although thrombocytosis is its principal manifesta tion, like the other MPNs, the hematopoietic stem cell is involved in ET. Furthermore, a number of families have been described in which ET was inherited, in one instance as an autosomal dominant trait. In addition to ET, PMF and PV have also been observed in such kindreds. </w:t>
      </w:r>
      <w:r w:rsidR="00A6019F" w:rsidRPr="00A6019F">
        <w:rPr>
          <w:rFonts w:ascii="Arial" w:hAnsi="Arial" w:cs="Arial"/>
        </w:rPr>
        <w:t>■</w:t>
      </w:r>
      <w:r w:rsidR="00A6019F" w:rsidRPr="00A6019F">
        <w:t xml:space="preserve">CLINICAL FEATURES PART 4 Oncology and Hematology Clinically, ET is most often identified incidentally when a platelet count is obtained during the course of a routine medical evaluation. Occasionally, review of previous blood counts will reveal that an elevated platelet count was present but overlooked for many years. No symptoms or signs are specific for ET, but these patients can have hemorrhagic and thrombotic tendencies expressed as easy bruising for the former and microvascular occlusive events for the latter such as erythromelalgia, ocular migraine, or a TIA. Physical examination is generally unremarkable. Splenomegaly is indicative of another MPN, in particular PV, PMF, or CML. Anemia is unusual, but a mild neutrophilic leukocytosis is not. The blood smear is most remarkable for the number of platelets pres ent, some of which may be very large. The large mass of circulating platelets may prevent the accurate measurement of serum potassium due to release of platelet potassium upon blood clotting. This type of hyperkalemia is a test tube artifact and not associated with electrocar diographic abnormalities. Similarly, arterial oxygen measurements can be inaccurate unless thrombocythemic blood is collected on ice. The prothrombin and partial thromboplastin times are normal, whereas abnormalities of platelet function such as a prolonged bleeding time and impaired platelet aggregation can be present. However, despite much study, no platelet function abnormality is characteristic of ET, and no platelet function test predicts the risk of clinically significant bleeding or thrombosis. The elevated platelet count may hinder marrow aspiration, but marrow biopsy usually reveals megakaryocyte hypertrophy and hyper plasia, as well as an overall increase in marrow cellularity. If marrow reticulin is increased, another diagnosis should be considered. The absence of stainable iron demands an explanation because iron defi ciency alone can cause thrombocytosis, and absent marrow iron in the presence of marrow hypercellularity is a feature of PV. Nonrandom cytogenetic abnormalities occur in ET but are uncom mon, and no specific or consistent abnormality is notable, even those involving chromosomes 3 and 1, where the genes for thrombopoietin and its receptor, MPL, respectively, are located. </w:t>
      </w:r>
      <w:r w:rsidR="00A6019F" w:rsidRPr="00A6019F">
        <w:rPr>
          <w:rFonts w:ascii="Arial" w:hAnsi="Arial" w:cs="Arial"/>
        </w:rPr>
        <w:t>■</w:t>
      </w:r>
      <w:r w:rsidR="00A6019F" w:rsidRPr="00A6019F">
        <w:t xml:space="preserve">DIAGNOSIS Thrombocytosis is encountered </w:t>
      </w:r>
      <w:r w:rsidR="00A6019F" w:rsidRPr="00A6019F">
        <w:lastRenderedPageBreak/>
        <w:t xml:space="preserve">in a broad variety of clinical disorders (Table 108-6), in many of which inflammatory cytokine production is increased. The absolute level of the platelet count is not a useful diagnostic aid for distinguishing between benign and clonal causes of thrombocytosis. About 50% of ET patients express the JAK2 V617F mutation. When JAK2 V617F is absent, cytogenetic evaluation is man datory to determine if the thrombocytosis is due to CML or a myelo dysplastic disorder such as the 5q– syndrome or sideroblastic anemia. Because the BCR-ABL translocation can be present in the absence of the Ph chromosome, and because the BCR-ABL reverse transcriptase polymerase chain reaction is associated with false-positive results, fluorescence in situ hybridization (FISH) analysis for BCR-ABL is the preferred assay in patients with thrombocytosis in whom a cytogenetic study for the Ph chromosome is negative. CALR mutations (type 1 or type 2) are present in 30% and MPL mutations are present in 8% of ET patients who do not have a JAK2 mutation. Anemia and ringed sideroblasts are not features of ET, but they are features of idiopathic refractory sideroblastic anemia with the SF3B1 mutation, and in some of these patients, thrombocytosis occurs in association with expression of JAK2 V617F, CALR, or an MPL mutation. Significant splenomegaly should suggest the presence of another MPN such as PV or PMF, because splenomegaly can mask the presence of erythrocyto sis. Importantly, what appears to be ET can evolve into PV (usually in women with JAK2 V617F) or PMF (usually in men with type 1 CALR mutations) after a period of many years due to clonal evolution or succession. There is sufficient overlap of the JAK2 V617F neutrophil allele burden between ET and PV that this test cannot be used as a dis tinguishing diagnostic feature with the exception that, in ET, the quan titative JAK2 V617F neutrophil allele is never greater than 50%, and importantly in this regard, 64% of JAK2 V617F–positive ET patients in one study actually were found to have PV when red cell mass and plasma volume determinations were performed. Claims that ET and PV form a biological continuum are unfounded as these disorders have different gene expression profiles and different natural histories. </w:t>
      </w:r>
      <w:r w:rsidR="00A6019F" w:rsidRPr="00A6019F">
        <w:rPr>
          <w:rFonts w:ascii="Arial" w:hAnsi="Arial" w:cs="Arial"/>
        </w:rPr>
        <w:t>■</w:t>
      </w:r>
      <w:r w:rsidR="00A6019F" w:rsidRPr="00A6019F">
        <w:t xml:space="preserve">COMPLICATIONS Perhaps no other condition in clinical medicine has caused otherwise astute physicians to intervene inappropriately more often than throm bocytosis, particularly if the platelet count is &gt;1 </w:t>
      </w:r>
      <w:r w:rsidR="00A6019F" w:rsidRPr="00A6019F">
        <w:rPr>
          <w:rFonts w:ascii="Aptos" w:hAnsi="Aptos" w:cs="Aptos"/>
        </w:rPr>
        <w:t>×</w:t>
      </w:r>
      <w:r w:rsidR="00A6019F" w:rsidRPr="00A6019F">
        <w:t xml:space="preserve"> 106/</w:t>
      </w:r>
      <w:r w:rsidR="00A6019F" w:rsidRPr="00A6019F">
        <w:rPr>
          <w:rFonts w:ascii="Aptos" w:hAnsi="Aptos" w:cs="Aptos"/>
        </w:rPr>
        <w:t>μ</w:t>
      </w:r>
      <w:r w:rsidR="00A6019F" w:rsidRPr="00A6019F">
        <w:t xml:space="preserve">L. It is com monly believed that a high platelet count causes thrombosis; however, no controlled clinical study has ever established this association, and in patients younger than age 60 years, the incidence of thrombosis was not greater in patients with thrombocytosis than in age-matched controls, and tobacco use appears to be the most important risk factor for thrombosis in ET patients. To the contrary, very high platelet counts are associated primarily with hemorrhage due to acquired von Willebrand’s disease. This is not meant to imply that an elevated platelet count cannot cause symptoms in an ET patient, but rather that the focus should be on the patient, not the platelet count. For example, some of the most dramatic neurologic problems in ET are migraine-related and respond only to lowering of the platelet count, whereas other symptoms such as erythromelalgia respond simply to platelet cyclooxygenase-1 inhibitors such as aspirin or ibuprofen, without a reduction </w:t>
      </w:r>
      <w:r w:rsidR="00A6019F" w:rsidRPr="00A6019F">
        <w:lastRenderedPageBreak/>
        <w:t xml:space="preserve">in platelet number. Still others may represent an interaction between an atherosclerotic vascular system and a high platelet count, and others may have no relationship to the platelet count whatsoever. Recognition that PV can present with thrombocytosis alone as well as the discovery of previously unrecog nized causes of hypercoagulability (Chaps. 121 and 122) make the older literature on the complications of thrombocytosis unreliable. TREATMENT Essential Thrombocytosis Survival of ET patients is not different than the general population regardless of their driver mutation. An elevated platelet count in an asymptomatic patient without cardiovascular risk factors or tobacco use requires no therapy. Indeed, before any therapy is initi ated in a patient with thrombocytosis, the cause of symptoms must be clearly identified as due to the elevated platelet count. When the platelet count rises above 1 × 106/μL, a substantial quantity of high-molecular-weight von Willebrand multimers are removed from the circulation and destroyed by the enlarged platelet mass, resulting in an acquired form of von Willebrand’s disease. This can be identified by a reduction in ristocetin cofactor activity. In this situation, aspirin could promote hemorrhage. Bleeding in this situ ation is rarely spontaneous and usually responds to tranexamic acid or ε-aminocaproic acid, which can be given prophylactically before and after elective minor surgery. Plateletpheresis is at best a temporary and inefficient remedy that is rarely required. Importantly, ET patients treated with 32P or alkylating agents are at risk of developing acute leukemia without any proof of benefit; combining either therapy with hydroxyurea increases this risk. If platelet reduction is deemed necessary on the basis of symptoms refractory to salicylates alone, pegylated IFN-α, the quinazoline derivative anagrelide, or hydroxyurea can be used to reduce the platelet count, but none of these is uniformly effec tive or without significant side effects. Hydroxyurea and aspirin Acute Myeloid Leukemia 825 CHAPTER 109 were more effective than anagrelide and aspirin for prevention of TIA because hydroxyurea is a nitric oxide donor, but they were not more effective for the prevention of other types of arterial throm bosis and actually less effective for venous thrombosis. The risk of gastrointestinal bleeding is also higher when aspirin is combined with anagrelide. Normalizing the platelet count does not prevent either arterial or venous thrombosis. Pegylated IFN can produce a complete molecular remission in some ET patients, but a role for it or ruxolitinib in ET management has not yet been established. As more clinical experience is acquired, ET appears more benign than previously thought. Evolution to acute leukemia is more likely to be a consequence of therapy than of the disease itself. In manag ing patients with thrombocytosis, the physician’s first obligation is to do no harm. </w:t>
      </w:r>
      <w:r w:rsidR="00A6019F" w:rsidRPr="00A6019F">
        <w:rPr>
          <w:rFonts w:ascii="Arial" w:hAnsi="Arial" w:cs="Arial"/>
        </w:rPr>
        <w:t>■</w:t>
      </w:r>
      <w:r w:rsidR="00A6019F" w:rsidRPr="00A6019F">
        <w:t xml:space="preserve">FURTHER READING Alvarez-Larran A et al: Antiplatelet therapy versus observation in low-risk essential thrombocythemia with CALR mutation. Haema tologica 101:926, 2016. Guglielmelli P et al: Clinical impact of mutated JAK2 allele burden reduction in polycythemia vera and essential thrombocythemia. Am J Hematol 99:1550, 2024. Passamonti F et al: Myelofibrosis. Blood 141:1954, 2023. Spivak JL: How I treat polycythemia vera. Blood 134:341, 2019. Wouters HJCM et al: Erythrocytosis in the general population: Clinical characteristics </w:t>
      </w:r>
      <w:r w:rsidR="00A6019F" w:rsidRPr="00A6019F">
        <w:lastRenderedPageBreak/>
        <w:t xml:space="preserve">and association with clonal hematopoiesis. Blood Adv 4:6353, 2020. Acute Myeloid Leukemia William Blum 109 INCIDENCE Acute myeloid leukemia (AML) is a neoplasm characterized by infil tration of the blood, bone marrow, and other tissues by proliferative, clonal, poorly differentiated cells of the hematopoietic system. These leukemias comprise a spectrum of malignancies that untreated are uniformly fatal. In 2023, the estimated number of new AML cases in the United States was 20,380. AML is the diagnosis in 1% of all cancer cases and 31% of all new acute leukemias but causes 62% of leukemic deaths. AML is the most common acute leukemia in older patients, with a median age at diagnosis of 69 years. U.S. registry data report that only 32% of patients survive 5 years. </w:t>
      </w:r>
      <w:r w:rsidR="00A6019F" w:rsidRPr="00A6019F">
        <w:rPr>
          <w:rFonts w:ascii="Arial" w:hAnsi="Arial" w:cs="Arial"/>
        </w:rPr>
        <w:t>■</w:t>
      </w:r>
      <w:r w:rsidR="00A6019F" w:rsidRPr="00A6019F">
        <w:t xml:space="preserve">ETIOLOGY Most cases of AML are idiopathic. Genetic predisposition, radiation, chemical/other occupational exposures, and drugs have been impli cated in the development of AML, but AML with established etiology is relatively uncommon. No direct evidence suggests a viral etiology. Genome sequencing studies suggest that most cases of AML arise from a limited number of mutations that accumulate with advancing age. Indeed, genome sequencing provides paradigm-shifting advances in our understanding of leukemogenesis. The Cancer Genome Atlas (TCGA) and other databases demonstrate that blood cells from up to 5–6% of normal individuals aged &gt;70 years contain potentially “prema lignant” mutations that are associated with clonal expansion. Use of the term premalignant to describe these lesions is not pre cisely accurate; rather, these mutations represent clonal hematopoiesis of indeterminate potential (CHIP; sometimes called age-related clonal hematopoiesis). The genes most commonly mutated in CHIP are the epigenetic regulators DNMT3A, TET2, and ASXL1. Study of CHIP is important because it has relevance not just to blood cancer evolution but also other medical conditions. Clonal expansion driven by the acquisition of new mutations is associated with a 10-fold increase in risk for developing a hematologic malignancy (compared to matched patients without CHIP), but it is clear that additional “hits” must occur to drive toward leukemia. We do not yet fully understand why or how these secondary lesions occur. Patients with CHIP also have increased risk of cardiovascular mor tality that is not fully explained. The link between these two seemingly unrelated issues (cardiovascular and hematologic malignancy) may lie in the interactions between circulating clonally expanded blood cells and vascular endothelium. A “proinflammatory” state caused by clonal, infiltrating monocytes leads to accelerated atherosclerotic plaque development and altered cardiac remodeling. Similar phenom ena may occur in the marrow/blood. An altered relationship between hematopoietic stem cells and the marrow microenvironment (along with altered immune surveillance) contributes to clonal survival and expansion. These perturbations increase the likelihood that a clone with somatic mutations may survive, acquire additional mutations, and then further expand eventually to leukemia. Whether early identi fication of CHIP in patients will provide therapeutic opportunities for patients remains to be seen. Certainly, modifying cardiovascular risk in patients with CHIP seems prudent, but development of mutation </w:t>
      </w:r>
      <w:r w:rsidR="00A6019F" w:rsidRPr="00A6019F">
        <w:lastRenderedPageBreak/>
        <w:t xml:space="preserve">directed therapy designed to eliminate a problematic clone and prevent future leukemia is likely to be more elusive. Genetic Predisposition Myeloid neoplasms occur sporadically in adults; inherited predisposition is uncommon. Yet, it is clear that myeloid neoplasms with germline predisposition represent an impor tant and growing subset of disease. Germline mutations associated with increased risk of developing a myeloid neoplasm include CEBPA, DDX41, TP53, RUNX1, ANKRD26, ETV6, and GATA2, and others (Table 109-1). Myeloid neoplasms with germline predisposition are TABLE 109-1 World Health Organization 2022, Subtypes of Myeloid Neoplasms Associated with Germline Predisposition Myeloid neoplasms with germline predisposition without a preexisting platelet disorder or organ dysfunction • Germline CEBPA P/LP variant (CEBPA-associated familial AML) • Germline DDX41 P/LP varianta • Germline TP53 P/LP varianta (Li-Fraumeni syndrome) Myeloid neoplasms with germline predisposition and preexisting platelet disorder • Germline RUNX1 P/LP varianta (familial platelet disorder with associated myeloid malignancy [FPD-MM]) • Germline ANKRD26 P/LP varianta (thrombocytopenia 2) • Germline ETV6 P/LP varianta (thrombocytopenia 5) Myeloid neoplasms with germline predisposition and potential organ dysfunction • Germline GATA2 P/LP variant (GATA2 deficiency) • Bone marrow failure syndromes • Severe congenital neutropenia (SCN) • Shwachman-Diamond syndrome (SDS) • Fanconi anemia (FA) • Telomere biology disorders • RASopathies (neurofibromatosis type 1, CBL syndrome, Noonan syndrome or Noonan syndrome-like disordersa) • Down syndromea • Germline SAMD9 P/LP variant (MIRAGE syndrome) • Germline SAMD9L P/LP variant (SAMD9L-related ataxia pancytopenia syndrome)b • Biallelic germline BLM P/LP variant (Bloom syndrome) aLymphoid neoplasms can also occur. bAtaxia is not always present. Abbreviations: LP, likely pathogenic; P, pathogenic. Source: Modified from JD Khoury et al: The 5th edition of the World Health Organization Classification of Haematolymphoid Tumours: Myeloid and histiocytic/ dendritic neoplasms. Leukemia 36:1703, 2022. 826 a feature of several well-described clinical syndromes, including bone marrow failure disorders (e.g., Fanconi anemia, Shwachman-Diamond syndrome, Diamond-Blackfan anemia) and telomere biology disorders (e.g., dyskeratosis congenita). As new mutations and associations are added to a rapidly growing list, it is clear that genetic predisposition plays a larger role than has been previously understood. Several genetic syndromes with somatic cell chromosome aneu ploidy, such as Down syndrome with trisomy 21, are associated with an increased incidence of AML. Down syndrome–associated AML in young children (80% patients have at least two or more prognostic gene mutations), distinct marker combinations will certainly be part of continued evolution of AML classification, prognosis, and treatment. PART 4 Oncology and Hematology Novel drugs that inhibit/modulate cellular pathways activated by genetic aberrations (especially FLT3, IDH1, IDH2, and NPM1/ KMT2A/NUP98) have been remarkably effective in subsets of dis ease (see section on treatment of AML). Epigenetic changes (e.g., DNA methylation and/or posttranslational histone modification) and microRNAs are often involved in deregulation of genes involved in </w:t>
      </w:r>
      <w:r w:rsidR="00A6019F" w:rsidRPr="00A6019F">
        <w:lastRenderedPageBreak/>
        <w:t xml:space="preserve">hematopoiesis, contribute to leukemogenesis, and may associate with the previously discussed prognostic gene mutations. These changes have been shown to provide biologic insights into leukemogenic mechanisms and provide independent prognostic information. Thera peutic progress based on advances in understanding the role of epi genetic changes in AML over the last decade has been tremendous. For example, in patients with mutations of IDH1 or IDH2, novel enzymes produced from these respective mutations have aberrant activity and “hijack” the citric acid cycle. These mutations lead to production of a novel “oncometabolite,” 2-hydroxyglutarate, which disrupts a myriad of epigenetic processes. Pharmacologic inhibition of these aberrant enzymes can reverse these leukemogenic activities and restore normal marrow function (though monotherapy is not typically curative). In addition to cytogenetic and molecular aberrations, several clini cal factors are associated with outcome in AML. Age at diagnosis is the most important. Advancing age is associated with a poor prognosis for two reasons: (1) its influence on the ability to survive induction therapy due to coexisting medical comorbidities, and (2) with each successive decade of age, a greater proportion of patients have intrinsically more resistant disease/adverse genetic risk. Next, a prolonged symptomatic interval with cytopenias preceding AML diagnosis, or a history of antecedent hematologic disorders including myelodysplastic syndrome (MDS) or myeloproliferative neoplasm, is often found in older patients. Preexisting cytopenia is a clinical feature associated with a lower com plete remission (CR) rate and shorter survival time. The CR rate is lower in patients who have had anemia, leukopenia, and/or thrombo cytopenia for &gt;3 months before the diagnosis of AML when compared to those without such a history. Responsiveness to chemotherapy declines as the duration of the antecedent disorder increases. Likewise, AML-pCT, typically developing after treatment with cytotoxic agents for other malignancies, is often resistant to treatment given its associa tion with adverse genetic features. In general, older patients less fre quently harbor favorable genetic aberrations (e.g., t[8;21], inv[16], and t[16;16], NPM1 mutation) and more frequently harbor adverse genetic aberrations (e.g., complex karyotypes, mutations in ASXL1, TP53). Other factors independently associated with worse outcome are poor performance status, which influences ability to survive induction therapy, and a high presenting leukocyte count that in some series is an adverse prognostic factor for attaining a CR. Among patients with hyperleukocytosis (&gt;100,000/μL), early central nervous system bleed ing and pulmonary leukostasis contribute to poor outcomes. Following administration of therapy, achievement of CR is associ ated with better outcome and longer survival, of course. CR is defined after examination of both blood and bone marrow and essentially rep resents eradication of detectable leukemia and restoration of normal hematopoiesis. The blood neutrophil count must be ≥1000/μL and the platelet count ≥100,000/μL for formal criteria; CR with incomplete recovery of counts is a lesser but still meaningful response. Hemoglo bin concentration is not considered in determining CR. Circulating blasts should be absent. Although rare blasts may be detected in the blood during marrow regeneration, they </w:t>
      </w:r>
      <w:r w:rsidR="00A6019F" w:rsidRPr="00A6019F">
        <w:lastRenderedPageBreak/>
        <w:t xml:space="preserve">should disappear on succes sive studies. At CR, the bone marrow should contain 100,000/μL. Fewer than 5% have no detectable leukemic cells in the blood. In AML blasts, the cytoplasm often contains primary (nonspecific) granules, and the nucleus shows fine, lacy chromatin with one or more nucleoli characteristic of immature cells. Abnormal rod-shaped granules called Auer rods are not uniformly present, but when they are, AML (and not acute lymphocytic leukemia) is certain (Fig. 109-1). Platelet counts 65 years, high-dose daunorubicin (90 mg/m2) has increased toxicity and is not recommended. A liposomal preparation of cytarabine and daunorubicin in a fixed molar ratio may instead be administered, especially to fit patients with AML-MR. Patients over 75 years and those unable to receive intensive therapy due to medi cal comorbidity may receive repetitive cycles of lower intensity ther apy with a hypomethylating agent (HMA; decitabine or azacitidine) or low-dose cytarabine in combination with daily venetoclax (BCL2 antagonist). As noted, targeted IDH1- or IDH2-directed therapy is another consideration for particularly infirm patients. All patients should be considered for clinical trials. With the 7+3 regimen (or other similar approaches), 60–80% of younger and 33–60% of older patients (among those who are candidates for intensive therapy) with primary AML achieve CR. Response rates around 60% in first line have been similarly reported with the combination of HMA plus venetoclax in older or infirm patient groups. Induction death is more frequent with advancing age and medical comorbidity, but the most common reason for treatment failure is lack of remission. Patients with refractory dis ease after inductions should be considered for salvage treatments, preferably on clinical trials. Planning for the possibility of alloge neic hematopoietic stem cell transplantation (HCT) for all eligible patients under age 75 years is part of optimal initial AML care. Typi cally, allogeneic HCT is performed only for patients who are in CR but at risk for relapse, but fit younger patients with primary refrac tory disease (not in remission after initial induction) have </w:t>
      </w:r>
      <w:r w:rsidR="00A6019F" w:rsidRPr="00A6019F">
        <w:rPr>
          <w:rFonts w:ascii="Cambria Math" w:hAnsi="Cambria Math" w:cs="Cambria Math"/>
        </w:rPr>
        <w:t>∼</w:t>
      </w:r>
      <w:r w:rsidR="00A6019F" w:rsidRPr="00A6019F">
        <w:t>15</w:t>
      </w:r>
      <w:r w:rsidR="00A6019F" w:rsidRPr="00A6019F">
        <w:rPr>
          <w:rFonts w:ascii="Aptos" w:hAnsi="Aptos" w:cs="Aptos"/>
        </w:rPr>
        <w:t>–</w:t>
      </w:r>
      <w:r w:rsidR="00A6019F" w:rsidRPr="00A6019F">
        <w:t xml:space="preserve">20% cure rates with allogeneic HCT after myeloablative conditioning. For this reason, early planning for possible future allogeneic HCT (including human leukocyte antigen [HLA] typing, donor search, etc.) should be part of the initial approach for most AML patients. POSTREMISSION THERAPY Induction of a durable first CR (CR1) is critical to long-term survival in AML. However, without further therapy, virtually all CR patients will eventually relapse. Thus, postremission therapy is designed to eradicate residual (typically undetectable) leukemic cells to prevent relapse and prolong survival. As with induction, the type of postremission therapy in AML is selected for each indi vidual patient based on age, fitness, and cytogenetic/molecular risk. The choice between consolidation with chemotherapy or with transplantation is complex and based on age, risk, and practi cal considerations. In younger patients receiving chemotherapy, postremission therapy with intermediate- or high-dose cytarabine for two to four cycles is standard practice. Higher doses of cyta rabine during postremission therapy appear more effective than INDUCTION CHEMOTHERAPY The most commonly used induction regimens (for patients other than those with APL) consist of combination chemotherapy with </w:t>
      </w:r>
      <w:r w:rsidR="00A6019F" w:rsidRPr="00A6019F">
        <w:lastRenderedPageBreak/>
        <w:t xml:space="preserve">cytarabine and an anthracycline (e.g., daunorubicin, idarubicin). Diagnosis AML 831 Previously untreateda Favorable-risk Either option acceptable Induction therapy: Daunorubicin+ cytarabine-based regimen If CR, consolidation therapy: IDACd Investigational therapyb Investigational therapyd Intermediate-risk Either option acceptable Induction therapy: Daunorubicin+ cytarabine-based regimenb,c If CR: Refractory or relapsed Adverse-risk Either option acceptable Salvage treatment Patient with primary induction failure and candidate for myeloablative allogeneic HCT or CR2 achieved with salvage treatment and has suitable donor available Induction therapy: Investigational therapyc If CR, consolidation therapy: Allogeneic HCT (preferred), or IDAC or autologous HCT if age 12 months) FIGURE 109-2 Algorithm for the therapy of newly diagnosed acute myeloid leukemia (AML). aRisk stratification according to the European LeukemiaNet (see Table 109-3). b Younger patients (65 years or with adverse risk disease, or those who are unfit for intensive anthracycline + cytarabine regimens, may be considered for investigational therapy alone or in combination or lower intensity chemotherapy plus venetoclax. Whether venetoclax-containing regimens will be effective in younger, fit patients when compared to intensive chemotherapy is an important question. dNovel allogeneic transplantation approaches are preferred for nonfavorable risk when available; other investigational therapy or oral azacitidine (approved in nonfavorable risk) as maintenance should be considered following consolidation. Allogeneic hematopoietic cell transplantation (HCT) is a consideration for all eligible patients in first complete remission (CR) with non–favorable-risk disease and highly recommended for all older patients (60–75 years) and those with adverse risk. For all forms of AML in fit patients, except acute promyelocytic leukemia (APL), standard induction therapy includes a regimen based on a 7-day continuous infusion of cytarabine (100–200 mg/m2/d) and a 3-day course of daunorubicin (60–90 mg/m2/d) with or without additional drugs. Idarubicin (12 mg/m2/d) can be used in place of daunorubicin (not shown). The value of postremission/consolidation therapy for older patients (&gt;60 years) who do not have favorable-risk disease is uncertain. Patients who achieve CR undergo postremission consolidation therapy, including sequential courses of intermediate-dose cytarabine, allogeneic HCT, autologous HCT, or novel therapies, based on their predicted risk of relapse (i.e., risk-stratified therapy). Patients receiving induction of lower intensity chemotherapy with venetoclax (or investigational therapy) typically receive repetitive cycles of same on an attenuated schedule, if necessary due to myelotoxicity, after achieving remission. Patients with APL (see text for treatment) usually receive tretinoin and arsenic trioxide–based regimens with or without anthracycline-based chemotherapy and possibly maintenance with tretinoin. HLA, human leukocyte antigen; IDAC, intermediate-dose cytarabine. standard doses (such as are used in induction) for those who do not have adverse-risk genetics. Studies have shown that the long standing practice of high-dose cytarabine (3 g/m2, every 12 h on days 1, 3, and 5) may not improve survival over intermediate-dose cytarabine (IDAC; 1–1.5 g/m2) for such patients. Thus, the ELN has recommended IDAC at 1–1.5 g/m2, every </w:t>
      </w:r>
      <w:r w:rsidR="00A6019F" w:rsidRPr="00A6019F">
        <w:lastRenderedPageBreak/>
        <w:t xml:space="preserve">12 h, on days 1–3, as the optimal postremission chemotherapy approach for favorable- and intermediate-risk younger patients, for two to four cycles. While high-dose cytarabine may not be necessary, it is important to note that younger, favorable-risk patients have worse outcomes when doses 70–80 g/L (7–8 g/dL) in the absence of active bleeding, DIC, or congestive heart failure, which may require higher hemoglobin levels. Blood products leukodepleted by filtra tion should be used to avert or delay alloimmunization as well as febrile reactions. Blood products may also be irradiated to prevent transfusion-associated GVHD. Neutropenia (neutrophils 12 months) generally relapse with drug sensitive disease and have a higher chance of attaining a CR, even with the same chemotherapeutic agents used for first remission induction. Patients with short prior CR duration are at high risk for treatment failure. Similar to patients with refractory disease, patients with relapsed disease are rarely, if ever, cured by salvage chemotherapy treatments alone. Therefore, patients who eventually achieve a second CR and are eligible for allogeneic HCT should be transplanted. For patients who relapse after allogeneic HCT, no consensus for best therapy exists; outcomes in this setting are very poor. Because achievement of a second CR with routine salvage thera pies is relatively uncommon, especially in patients who relapse rapidly after achievement of first CR (85% and approaches that of a normal age-matched population. Allogeneic hematopoietic stem cell transplantation (HSCT), a curative approach but one that involves more risks, is now offered as later-line therapy after failure of TKIs. alone frequently died from DIC induced by the release of gran ule components by the chemotherapy-treated leukemia cells. The prognosis of APL patients changed dramatically first with the introduction of tretinoin (all-trans-retinoic acid [ATRA]) and then with combined ATRA and arsenic trioxide (ATO). ATRA is an oral drug that induces the differentiation of leukemic cells bearing the t(15;17), which disrupts the RARA gene encoding retinoid acid receptor. ATRA decreases the frequency of DIC but often produces another complication called the APL (differentiation) syndrome. Occurring within the first 3 weeks of treatment, it is characterized by fever, fluid retention, dyspnea, chest pain, pulmonary infiltrates, pleural and pericardial effusions, and hypoxemia. The syndrome is related to adhesion of differentiated neoplastic cells to the pul monary vasculature endothelium. Glucocorticoids, chemotherapy for cytoreduction, and/or supportive measures can be effective for management of the APL syndrome. Temporary discontinuation of ATRA is necessary in cases of severe APL syndrome (i.e., patients developing renal failure or requiring admission to the intensive care unit due to respiratory distress). The mortality rate of this syndrome is </w:t>
      </w:r>
      <w:r w:rsidR="00A6019F" w:rsidRPr="00A6019F">
        <w:rPr>
          <w:rFonts w:ascii="Cambria Math" w:hAnsi="Cambria Math" w:cs="Cambria Math"/>
        </w:rPr>
        <w:t>∼</w:t>
      </w:r>
      <w:r w:rsidR="00A6019F" w:rsidRPr="00A6019F">
        <w:t xml:space="preserve">10% if unrecognized. APL syndrome may also occur, less commonly, with ATO. In adults with low-risk APL (low leukocyte count at presenta tion), ATRA (45 mg/m2/d) plus ATO (0.15 mg/kg/d) was compared to ATRA plus concurrent idarubicin chemotherapy. ATRA/ATO was superior and is the new standard of care for such patients. CR rates in low-risk disease approach 100%, with excellent long-term survival. Notably, patients with high-risk APL (defined as leukocyte count &gt;10,000/μL) must be uniquely treated, as they </w:t>
      </w:r>
      <w:r w:rsidR="00A6019F" w:rsidRPr="00A6019F">
        <w:lastRenderedPageBreak/>
        <w:t xml:space="preserve">require imme diate cytoreduction with chemotherapy due to life-threatening APL syndrome and rapidly rising leukocyte count after initiation of ATRA. High-risk patients are at increased risk for induction death due to this syndrome as well as increased frequency of hemorrhagic complications (related to DIC). Assessment of residual disease by PCR amplification of the t(15;17) chimeric gene product PML-RARA following the final cycle of treatment is important. Disappearance of the signal is associated with long-term disease-free survival; its persistence or reemergence invariably predicts relapse. Sequential monitoring by PCR for PML-RARA is now considered standard for postremission monitoring of APL, at least in high-risk patients. </w:t>
      </w:r>
      <w:r w:rsidR="00A6019F" w:rsidRPr="00A6019F">
        <w:rPr>
          <w:rFonts w:ascii="Arial" w:hAnsi="Arial" w:cs="Arial"/>
        </w:rPr>
        <w:t>■</w:t>
      </w:r>
      <w:r w:rsidR="00A6019F" w:rsidRPr="00A6019F">
        <w:t>FURTHER READING Dinardo CD et al: Venetoclax combined with decitabine or azacitidine in treatment-naive, elderly patients with acute myeloid leukemia. Blood 133:7, 2019. D</w:t>
      </w:r>
      <w:r w:rsidR="00A6019F" w:rsidRPr="00A6019F">
        <w:rPr>
          <w:rFonts w:ascii="Aptos" w:hAnsi="Aptos" w:cs="Aptos"/>
        </w:rPr>
        <w:t>ö</w:t>
      </w:r>
      <w:r w:rsidR="00A6019F" w:rsidRPr="00A6019F">
        <w:t xml:space="preserve">hner H et al: Diagnosis and management of AML in adults: 2022 recommendations from an international expert panel on behalf of the ELN. Blood 140:1345, 2020. Issa GC et al: The menin inhibitor revumenib in KMT2A-rearranged or NPM1-mutant leukaemia. Nature 615: 920, 2023. Jaiswal S, Ebert BL: Clonal hematopoiesis in human aging and dis ease. Science 366:eaan4673, 2019. Jongen-Lavrenic M et al: Molecular minimal residual disease in acute myeloid leukemia. N Engl J Med 378:1189, 2018. Khoury JD et al: The 5th edition of the World Health Organization Clas sification of Haematolymphoid Tumours: Myeloid and histiocytic/ dendritic neoplasms. Leukemia. 36:1703, 2022. Perl AE et al: Gilteritinib or chemotherapy for relapsed or refractory FLT3-mutated AML. N Engl J Med 381:1728, 2019. Pollyea DA et al: Enasidenib, an inhibitor of mutant IDH2 proteins, induces durable remissions in older patients with newly diagnosed acute myeloid leukemia. Leukemia 33:2575, 2019. Roboz GJ et al: Ivosidenib induces deep durable remissions in patients with newly diagnosed IDH1-mutant acute myeloid leukemia. Blood 135:463, 2020. Stone RM et al: Midostaurin plus chemotherapy for acute myeloid leukemia with a FLT3 mutation. N Engl J Med 377:454, 2017. </w:t>
      </w:r>
      <w:r w:rsidR="00A6019F" w:rsidRPr="00A6019F">
        <w:rPr>
          <w:rFonts w:ascii="Arial" w:hAnsi="Arial" w:cs="Arial"/>
        </w:rPr>
        <w:t>■</w:t>
      </w:r>
      <w:r w:rsidR="00A6019F" w:rsidRPr="00A6019F">
        <w:t xml:space="preserve">INCIDENCE AND EPIDEMIOLOGY CML accounts for </w:t>
      </w:r>
      <w:r w:rsidR="00A6019F" w:rsidRPr="00A6019F">
        <w:rPr>
          <w:rFonts w:ascii="Cambria Math" w:hAnsi="Cambria Math" w:cs="Cambria Math"/>
        </w:rPr>
        <w:t>∼</w:t>
      </w:r>
      <w:r w:rsidR="00A6019F" w:rsidRPr="00A6019F">
        <w:t>15% of all cases of leukemia. There is a slight male predominance (male-to-female ratio 1.6:1). The median age at diag nosis is 55</w:t>
      </w:r>
      <w:r w:rsidR="00A6019F" w:rsidRPr="00A6019F">
        <w:rPr>
          <w:rFonts w:ascii="Aptos" w:hAnsi="Aptos" w:cs="Aptos"/>
        </w:rPr>
        <w:t>–</w:t>
      </w:r>
      <w:r w:rsidR="00A6019F" w:rsidRPr="00A6019F">
        <w:t xml:space="preserve">65 years. It is uncommon in children; only 3% of patients with CML are younger than 20 years, although in recent years, a higher proportion of young patients have been diagnosed. The incidence of CML increases gradually with age, with a steeper increase after the age of 40–50 years. The annual incidence of CML is 2 cases per 100,000 individuals. In the United States, this translates into about 9000 new cases per year. The incidence of CML has not changed over several decades. By extrapolation, the worldwide annual incidence of CML is about 250,000 cases. With a median survival of 3–6 years before 2000, the disease prevalence in the United States was ~30,000 cases. With TKI therapy, the annual mortality has been reduced from 10–20% to about 1–2%. Therefore, the prevalence of CML is expected to continue to increase. Based on these estimates (incidence of 9000 cases, annual mortality of 2%), the plateau prevalence of CML is estimated to be reached at ~450,000 in the United Stated (9000 × 100/2) by about 2040, with full TKI optimal treatment penetration. The worldwide </w:t>
      </w:r>
      <w:r w:rsidR="00A6019F" w:rsidRPr="00A6019F">
        <w:lastRenderedPageBreak/>
        <w:t xml:space="preserve">prevalence will depend on the treatment penetration of TKIs and their effect on reduction of worldwide annual mortality. Ideally, with full TKI treatment penetration, the worldwide prevalence should plateau at 35 times the incidence, or ~9–10 million patients. These estimates are based on extrapolations from the incidence and prevalence of CML in the United States, as well as an estimated annual mortality of 2% with modern TKI therapy; they could vary considerably if the estimates were to change. </w:t>
      </w:r>
      <w:r w:rsidR="00A6019F" w:rsidRPr="00A6019F">
        <w:rPr>
          <w:rFonts w:ascii="Arial" w:hAnsi="Arial" w:cs="Arial"/>
        </w:rPr>
        <w:t>■</w:t>
      </w:r>
      <w:r w:rsidR="00A6019F" w:rsidRPr="00A6019F">
        <w:t xml:space="preserve">ETIOLOGY There are no familial associations in CML. The risk of developing CML is not increased in monozygotic twins or in relatives of patients with CML. No etiologic agents are incriminated, and no associations exist with exposures to benzene or other toxins, fertilizers, insecticides, or viruses. CML is not a frequent secondary leukemia following therapy of other cancers with alkylating agents and/or radiation. Exposure to ionizing radiation (e.g., nuclear accidents, higher doses of radiation treatment) has increased the risk of CML, which peaks at 5–10 years after exposure and is dose-related. The median time to development of CML among atomic bomb survivors was 6.3 years. Following the Chernobyl accident, no increase in the incidence of CML was reported, suggesting that larger dose exposures of radiation are required to cause CML. Because of adequate protection, the risk of CML has not q11.2 835 q34 A Chromosomes 9 22 ABL1 Normal BCR t(9;22)(q34.1;q11.2) 5' e1 Minor BCR Major BCR Micro BCR e1' e2' e12 e13 e14 e15 e16 e19 1b Translocation (9;22) B ABL1 Breakpoint 1a a2 a3 a11 3' 5' 3' e1a2 e13a2 e14a2 e19a2 p190BCR-ABL1 p210BCR-ABL1 p230BCR-ABL1 FIGURE 110-1 A. The Philadelphia (Ph) chromosome cytogenetic abnormality. B. Breakpoints in the long arms of chromosome 9 (ABL1 locus) and chromosome 22 (BCR regions) result in at least three different BCR::ABL1 oncoprotein messages, p210BCR::ABL1 (most common message in chronic myeloid leukemia [CML]), p190BCR::ABL1 (present in two-thirds of patients with Ph-positive acute lymphoblastic leukemia; rare in CML), and p230BCR::ABL1 (rare in CML and associated with an indolent course). Other rearrangements (e.g., e14a3, e14a3) are less common. (© 2013 The University of Texas MD Anderson Cancer Center.) increased among individuals working in the nuclear industry or among radiologists. </w:t>
      </w:r>
      <w:r w:rsidR="00A6019F" w:rsidRPr="00A6019F">
        <w:rPr>
          <w:rFonts w:ascii="Arial" w:hAnsi="Arial" w:cs="Arial"/>
        </w:rPr>
        <w:t>■</w:t>
      </w:r>
      <w:r w:rsidR="00A6019F" w:rsidRPr="00A6019F">
        <w:t xml:space="preserve">PATHOPHYSIOLOGY The t(9;22)(q34.1;q11.2) is present in &gt;90% of classical CML cases. It results from a balanced reciprocal translocation between the long arms of chromosomes 9 and 22. It is present in hematopoietic cells (myeloid, erythroid, megakaryocytes, and monocytes; less often mature B lym phocytes; rarely mature T lymphocytes, but not stromal cells), but not in other cells in the human body. As a result of the genetic transloca tion, DNA sequences from the cellular ABL proto-oncogene 1 (ABL1) are juxtaposed to the major breakpoint cluster region (BCR) gene on chromosome 22, generating a hybrid BCR::ABL1 oncogene. Depending on the breakpoint site in the major BCR region on chromosome 22 (e13 or e14), two main messenger RNA transcripts occur, e13a2 (previously b2a2) and e14a2 (previously b3a2). Both transcripts encode for a novel oncoprotein of molecular weight 210 kDa, referred to as p210BCR::ABL1 (Fig. 110-1B). This oncoprotein exhibits constitutive kinase activity that leads to increased proliferation </w:t>
      </w:r>
      <w:r w:rsidR="00A6019F" w:rsidRPr="00A6019F">
        <w:lastRenderedPageBreak/>
        <w:t xml:space="preserve">and reduced apoptosis of CML cells, endowing them with a growth advantage over their normal coun terparts. Over time, normal hematopoiesis is suppressed, but normal stem cells can persist and reemerge following effective anti-CML ther apy, for example with TKIs. In two-thirds of patients with Ph-positive acute lymphoblastic leukemia (ALL) and in rare cases of CML, the breakpoint in BCR is more centromeric, in a region called the minor BCR region (mBCR). As a result, a shorter sequence of BCR is fused to ABL1, with a consequent e1a2 transcript and a smaller BCR::ABL1 oncoprotein, p190BCR::ABL1. When occurring in Ph-positive CML, this translocation is associated with a worse outcome. A rarer breakpoint in BCR occurs telomeric to the major BCR region in the micro-BCR (μ-BCR) region. It juxtaposes a larger fragment of the BCR gene to ABL1 and produces an e19a2 transcript and a larger p230BCR::ABL1 onco protein (associated with a more indolent CML course). Other rear rangements (based on different breakpoints in the ABL region), such as e13a3 or e14a3 (also resulting in a p210BCR::ABL1 oncoprotein), occur much less frequently. These are not readily identifiable nor quantifi able with the routine polymerase chain reaction (PCR) probes, thus producing falsely negative PCR levels on follow-up studies if not tested at diagnosis. The constitutive activation of BCR::ABL1 results in autophosphory lation and activation of multiple downstream pathways that affect gene transcription, apoptosis, stromal adherence, skeletal organization, and degradation of inhibitory proteins. These transduction pathways involve RAS, mitogen-activated protein (MAP) kinases, signal trans ducers and activators of transcription (STAT), phosphatidylinositol 3-kinase (PI3k), MYC, and others. These interactions are mostly CHAPTER 110 Chronic Myeloid Leukemia 836 PART 4 Oncology and Hematology The events associated with the transition of CML from a chronic to the accelerated-blastic phase are poorly understood. Characteristic chromosomal abnormalities such as a double Ph, trisomy 8, isochro mosome 17 or deletion of 17p (loss of TP53), 20q–, translocations involving 3q26, and others may be noted with disease acceleration. Molecular events associated with transformation include mutations in TP53, retinoblastoma 1 (RB1), myeloid transcriptions factors like RUNX1, and cell cycle regulators like p16. A plethora of other muta tions or functional abnormalities have been implicated in blastic trans formation, but no unifying theme has emerged other than the fact that BCR::ABL1 itself induces genetic instability that favors the acquisition of additional molecular defects and eventually results in blastic trans formation. One critical effect of TKIs is to stabilize the CML genome, leading to a reduced transformation rate. In particular, the previously observed sudden blastic transformations (i.e., abrupt transformation to blastic phase in a patient who had been in cytogenetic response) have become uncommon, occurring rarely in younger patients in the first 1–2 years of TKI therapy (usually sudden lymphoid blastic transfor mation). Sudden blastic transformations beyond the third year of TKI therapy are rare in patients who continue on TKI therapy. The inci dence of any CML blastic transformation is now reduced to 5–6% at 10 years. Moreover, the course of CML is now frequently more indolent in patients treated with TKI, even without cytogenetic </w:t>
      </w:r>
      <w:r w:rsidR="00A6019F" w:rsidRPr="00A6019F">
        <w:lastRenderedPageBreak/>
        <w:t xml:space="preserve">response, com pared to previous experience with hydroxyurea/busulfan, suggesting a definite clinical benefit of continued inhibition of the kinase activity. mediated through tyrosine phosphorylation and require binding of BCR::ABL1 to adapter proteins such as GRB-2, CRK, CRK-like (CRK-L) protein, and Src homology containing proteins (SHC). Most BCR::ABL1 TKIs (imatinib, dasatinib, bosutinib, nilotinib, ponatinib) bind to the BCR::ABL1 ATP-binding domain, inhibiting its kinase activity, preventing the activation of transformation pathways, and inhibiting downstream signaling. As a result, proliferation of CML cells is inhibited and apoptosis induced, allowing the reemergence of nor mal hematopoiesis. An additional layer of complexity in CML is related to differences in signal transduction between CML-differentiated cells and early progenitors. Beta-catenin, Wnt1, Foxo3a, transforming growth factor β, interleukin 6, PP2A, SIRT1, and others have been implicated in CML stem cell survival. ABL1 also has a myristoyl site that functions as a negative regulator of its kinase activity. This site and its negative regulatory activity are lost upon fusion with BCR. Asciminib, a novel “third-generation” TKI (third generation refers to novel TKIs that inhibit the ABL1-T315I-mutated CML disease, such as ponatinib), is the first-in-class TKI that works through a novel mecha nism that specifically targets the ABL1 myristoyl pocket (STAMP is an acronym for specifically targets the ABL1 myristoyl pocket). Asciminib binds this myristoyl site and restores the lost inhibitory activity. Muta tions in other cancer-associated genes may also occur at diagnosis, most frequently in ASXL1, IKZF1, and RUNX1. Their significance is being clarified. Some reports suggest that their presence may be associated with worse response to TKI therapy and a higher risk of transforma tion to blastic phase. An ASXL1 mutation is often associated with a higher incidence of recurrent cytopenias on TKI therapy, resulting in frequent treatment interruptions, TKI dose reductions, failure to achieve optimal therapeutic milestones, and the need to proceed to allogeneic HSCT. Experimental models have established the causal relationship between the BCR::ABL1 rearrangement and the development of CML. In animal models, expression of BCR::ABL1 in normal hema topoietic cells produced CML-like disorders or lymphoid leukemia, demonstrating the leukemogenic potential of BCR::ABL1 as a single oncogenic abnormality. Other models, however, suggest the need for a “second hit.” The cause of the BCR::ABL1 rearrangement is unknown. Molecular techniques that detect BCR::ABL1 at a level of 1 in 108 cells identify this molecular abnormality in the blood of up to 25% of normal adults and 5% of infants, but 0% of cord blood samples. This suggests that BCR::ABL1 is not sufficient to cause overt CML in the overwhelming majority of individuals in whom it occurs. Because CML develops in only 2 of 100,000 individuals annually, additional molecular events or poor immune recognition of the rearranged cells may contribute to overt CML. CML is defined by the presence of the BCR::ABL1 fusion gene in a patient with a myeloproliferative neoplasm. In some patients with a typical morphologic picture of CML, the Ph chromosome is not detectable by standard G-banding karyotype, but fluorescence in situ hybridization (FISH) and/or molecular studies (PCR) detect BCR::ABL1. These patients have a course </w:t>
      </w:r>
      <w:r w:rsidR="00A6019F" w:rsidRPr="00A6019F">
        <w:lastRenderedPageBreak/>
        <w:t xml:space="preserve">similar to patients with Ph positive CML and respond to TKI therapy. Many of the remaining patients have atypical morphologic or clinical features and have other diseases, such as atypical CML, chronic myelomonocytic leukemia, and myelodysplastic syndrome/myeloproliferative neoplasms (MDS/ MPN). These individuals do not respond to TKI therapy and usually have a poor prognosis with a median survival of ~2–3 years. Detection of mutations in the granulocyte colony-stimulating factor receptor (CSF3R) in chronic neutrophilic leukemia (80% of cases) and in some cases of atypical CML (5–10% of cases), mutations in SETBP1 in atypi cal CML (25% of cases), and mutations in SF3B1 in MDS/MPN with ringed sideroblasts and marked thrombocytosis (MDS/MPN-RS-T; 50–70% of cases, associated with longer median survival of 7 years vs 3.3 years with wild-type SF3B1) supports the notion that these are distinct molecular and biologic entities. Patients with chronic neu trophilic leukemia or atypical CML whose disease is associated with CSF3R mutation may respond to ruxolitinib (a JAK2 inhibitor) therapy (complete response rate 50–60%). Among patients developing resistance to TKIs, several resistance mechanisms have been observed. The most clinically relevant one is the development of ABL1 kinase domain mutations that may prevent the binding of TKIs to the catalytic site (ATP-binding site) of the kinase or maintain the kinase activity despite the presence of a TKI. More than 100 ABL1 kinase domain mutations have now been described, many of which confer relative or absolute resistance to imatinib. Consequently, second generation (i.e., dasatinib, nilotinib, bosutinib) and third-generation TKIs (ponatinib, asciminib, olverembatinib [approved in China; ongoing trials worldwide since 2023]) were developed. All three third-generation TKIs demonstrate significant efficacy against T315I, a “gatekeeper” mutation that prevents binding of, and causes resistance to, imatinib and the second-generation TKIs (dasatinib, bosutinib, nilotinib). </w:t>
      </w:r>
      <w:r w:rsidR="00A6019F" w:rsidRPr="00A6019F">
        <w:rPr>
          <w:rFonts w:ascii="Arial" w:hAnsi="Arial" w:cs="Arial"/>
        </w:rPr>
        <w:t>■</w:t>
      </w:r>
      <w:r w:rsidR="00A6019F" w:rsidRPr="00A6019F">
        <w:t xml:space="preserve">CLINICAL PRESENTATION The presenting signs and symptoms in CML depend on the availabil ity of and access to health care, including physical examinations and screening tests. In developed countries, because of the wider access to health care screening and physical examinations, 50–60% of patients are diagnosed on routine blood tests and have minimal symptoms at presentation, such as fatigue. In geographic locations where access to health care is more limited, patients often present with high CML disease burden including splenomegaly, anemia, and related symptoms (abdominal pain, weight loss, fatigue), associated with a higher fre quency of high-risk CML. Presenting findings in patients diagnosed in the United States are shown in Table 110-1. Symptoms Most patients with CML (90%) present in the indolent or chronic phase. Depending on the timing of diagnosis, patients are often asymptomatic (if the diagnosis is discovered during health care screening tests). Common symptoms, when present, are manifestations of anemia and splenomegaly. These include fatigue, malaise, weight loss (if high leukemia burden), or early satiety and left upper quadrant pain or masses (from splenomegaly). Less common presenting find ings include thrombotic or hyperviscosity-related events from severe leukocytosis or thrombocytosis. These </w:t>
      </w:r>
      <w:r w:rsidR="00A6019F" w:rsidRPr="00A6019F">
        <w:lastRenderedPageBreak/>
        <w:t xml:space="preserve">include priapism, cardiovas cular complications, myocardial infarction, venous thrombosis, visual disturbances, dyspnea and pulmonary insufficiency, drowsiness, loss of coordination, confusion, or cerebrovascular accidents. Manifestations of bleeding diatheses include retinal hemorrhages, gastrointestinal bleeding, and others. Patients who present with, or progress to, the accelerated or blastic phases frequently have additional symptoms including unexplained fever, significant weight loss, severe fatigue, bone and joint pain, bleeding and thrombotic events, and infections. 837 TABLE 110-1 Presenting Signs and Symptoms of Newly Diagnosed Philadelphia Chromosome–Positive Chronic Myeloid Leukemia in Chronic Phase PARAMETER Age ≥60 years (median) Female gender Splenomegaly Hepatomegaly Lymphadenopathy Other extramedullary disease Hemoglobin 450 × 109 cells/L 2–3 mg/dL) are observed in 2–3% of patients, more frequently with imatinib and bosutinib than other TKIs, and usually reverse with TKI discontinuation and/or dose reduction. Rarely, patients may develop TKI-related peripheral neuropathy or even central neurotoxicities that are misdiagnosed as dementia or Alzheimer’s disease; these may reverse slowly after TKI discontinuation. Some toxicities are prohibitive and require a change of TKI therapy: recurrent pleural effusions (most commonly with dasat inib; least with imatinib and nilotinib; responsive to a short course of steroids); vasospastic or vaso-occlusive events (cerebrovascular accidents, myocardial infarction or unstable angina; more common with ponatinib and nilotinib; least with imatinib and bosutinib); pulmonary hypertension (1–2% with dasatinib, but can occur with other TKIs; slowly reversible with a short course of steroids and sildenafil citrate), pancreatitis (2% with nilotinib, 2–4% with ponatinib); neurologic problems (dementia-like, parkinsonism; rare and slowly reversible with TKI discontinuation); immune mediated events (pneumonitis, myocarditis, pericarditis, hepatitis, nephritis; usually reversible with TKI discontinuation and a short course of high-dose steroids [e.g., methylprednisolone 50 mg twice daily for 3–5 days]); and severe colitis (bosutinib; reversible with discontinuation). When switching TKI therapy for prohibitive toxicity, the dose of the new TKI does not have to be the dose recommended for “failure” (a term that historically encompassed resistance and intolerance). Many of these patients are already in good molecular response, and the dose of the new TKI used for previous TKI intolerance can be lower, particularly if the patient is already in ≥MR2: dasatinib 20–50 mg daily; bosutinib 100–300 mg daily; nilotinib 200 mg daily or 150 mg twice a day; ponatinib 15–30 mg daily. TKI cross-intolerance may be more common than previously thought. Because the TKIs have different chemical structures, cross-intolerance was thought to be uncommon. With experience, it appears that patients who have intolerance to one TKI may more often have intolerance to others, with the intolerance/side effect manifesting as the same or as a different one. Discontinuation of TKIs and TFR Several studies have confirmed that TKI discontinuation among patients who achieve DMR (MR4) for longer than 2–3 years can result in TFR rates of 40–60%. Discon tinuation of TKI therapy after 5+ years of DMR is associated with TFR rates of 80%+. Since the incidence of durable MR4 is 60–80%, </w:t>
      </w:r>
      <w:r w:rsidR="00A6019F" w:rsidRPr="00A6019F">
        <w:lastRenderedPageBreak/>
        <w:t xml:space="preserve">~30–60% of all patients with CML on TKI therapy may potentially achieve TFR with optimization of the current TKI strategies. Sug gested conditions to attempt TFR include low or intermediate Sokal risk CML in first chronic phase (no evidence or history of transfor mation); quantifiable BCR::ABL1 transcripts (e13a2, e14a2); long term TKI therapy (5+ years); and documented DMR for &gt;2–5 years. Once TFR is attempted, patients should be monitored molecularly every 1.5–2 months in the first 6–12 months, every 2–3 months in the second year, and then every 3–6 months in subsequent years (perhaps for up to 6–8 years of TFR status). TKIs should not be restarted unless the BCR::ABL1 transcripts (IS) increase to &gt;0.1% (documented at least twice). Management of TKI Resistance Resistance to a TKI refers today to BCR::ABL1 transcripts (IS) &gt;10% after 6 months of TKI frontline therapy or BCR::ABL1 transcripts (IS) &gt;1% after 12+ months of frontline TKI therapy. The NCCN and ELN updates of the criteria for resistance and suboptimal response have evolved over time, settling on more conservative criteria to change TKI therapy. The long-term follow-up studies have shown that patients who previ ously met suboptimal or resistance criteria still had excellent long term survival without changing TKI therapy. For example, older patients with persistent BCR::ABL1 transcripts (IS) 1–10% at 2 years of imatinib therapy still had 10-year survival rates similar to those with transcripts 10%. Such patients may opt to continue on daily TKI therapy alone or with the addition of other agents (hydroxyurea, decitabine, low-dose cytarabine). They can then remain in chronic-phase CML disease without MR2 and avoid the adverse events and poorer quality of life associated with allogeneic HSCT. MONITORING THERAPY IN CML Achievement of complete cytogenetic response by 12 months of imatinib therapy and its persistence later, the only consistent prog nostic factor associated with prolonged survival, is now the main therapeutic endpoint in CML. Failure to achieve a complete cyto genetic response by 12 months or occurrence of later cytogenetic or hematologic relapse is considered as treatment failure and an indication to change therapy. Because later-line TKI therapy may re-establish good outcome, it is important to ensure patient compliance to continued TKI therapy and change therapy when cytogenetic relapse is confirmed unless this is related to nonad herence. Patients on frontline imatinib therapy should be closely monitored until documentation of complete cytogenetic response, at which time they can be monitored every 6 months with periph eral blood PCR or more frequently (e.g., every 3 months) if there are concerns about changes in BCR::ABL1 transcripts. Cytogenetic relapse on imatinib is an indication of treatment failure and need to change TKI therapy. Mutational analysis in this instance helps in the selection of the next TKI and identifies mutations in 30–50% of patients. Mutational studies by standard Sanger sequencing (which is the technique currently available in most clinical laboratories) in patients in complete cytogenetic response (in whom there may be Patients in accelerated or blastic phase may receive therapy with TKIs, preferably second- or third-generation TKIs (dasatinib, nilo tinib, bosutinib, ponatinib), alone or in combination with chemo therapy, to reduce the CML burden, before undergoing allogeneic HSCT. </w:t>
      </w:r>
      <w:r w:rsidR="00A6019F" w:rsidRPr="00A6019F">
        <w:lastRenderedPageBreak/>
        <w:t xml:space="preserve">Response rates (major hematologic) with single-agent TKIs range from 30 to 50% in accelerated phase and from 20 to 30% in blastic phase. Cytogenetic responses, particularly complete cytoge netic responses, are uncommon (10–30%) and transient in blastic phase. Studies of TKIs in combination with chemotherapy show that combined TKI-chemotherapy strategies increase the response rates and their durability and improve survival. This is particularly true in CML lymphoid blastic phase, where the combination of anti-ALL chemotherapy with TKIs results in complete response rates of 70% and median survival times of 3 years (compared with historical response rates of 40–50% and median survival times of 12–18 months). This allows many patients to undergo allogeneic HSCT in a state of minimal CML burden or second chronic phase, which are associated with higher probability of long-term survival. In CML nonlymphoid blastic phase, anti–acute myeloid leukemia chemotherapy combined with TKIs results in complete remission rates of 30–50% and median survival times of 12 months (compared with historical response rates of 20–30% and median survival times of 3–5 months). In accelerated phase, response to single TKIs is significant in conditions where “softer” accelerated phase criteria are considered (e.g., clonal evolution alone, thrombocytosis alone, significant splenomegaly or resistance to hydroxyurea, but without evidence of high blast and basophil percentages). In accelerated phase, combinations frequently include TKIs with low-intensity chemotherapy such as low-dose cytarabine, decitabine, interferon α, hydroxyurea, or others. OTHER TREATMENTS AND SPECIAL THERAPEUTIC CONSIDERATIONS Interferon ` Interferon α is considered in combination with TKIs (an investigational approach) and occasionally in patients during pregnancy. Chemotherapeutic Agents Hydroxyurea remains a safe and effec tive agent (at daily doses of 0.5–10 g) to reduce initial CML burden, as a temporary measure in between definitive therapies, or in com bination with TKIs to sustain complete hematologic or cytogenetic responses. Busulfan is often used in allogeneic HSCT preparative regimens. Because of its side effects (delayed myelosuppression, Addison-like disease, pulmonary and cardiac fibrosis, myelofi brosis), it is now rarely used in the chronic management of CML. Omacetaxine, low-dose cytarabine, decitabine, 6-mercaptopurine, 6-thioguanine, thiotepa, anagrelide, and other agents are sometimes useful in different CML settings to control the disease burden, usu ally in combination with a daily TKI. Others Leukapheresis is occasionally used in patients presenting with extreme leukocytosis and leukostatic complications. Single doses of high-dose cytarabine or high doses of hydroxyurea, with tumor lysis management, may be as effective and less cumbersome. Pregnancy and CML TKI therapy in the first trimester of preg nancy is associated with fetal malformations (2–10%). Women with CML who become pregnant should discontinue TKI therapy immediately. Among 125 babies delivered to women with CML who discontinued imatinib therapy as soon as the pregnancy was known, three babies were born with neurologic, skeletal, and renal malformations, suggesting the teratogenicity of imatinib known from animal studies. A similar experience has been reported with Chronic Myeloid Leukemia 843 CHAPTER 110 </w:t>
      </w:r>
      <w:r w:rsidR="00A6019F" w:rsidRPr="00A6019F">
        <w:lastRenderedPageBreak/>
        <w:t xml:space="preserve">1.0 0.8 0.6 0.4 0.2 0.0 8 0 1 2 3 4 5 6 7 Years after diagnosis Overall survival Chronic phase Accelerated phase Blast crisis No. at risk CP AP BC 699 32 17 672 22 11 631 21 10 530 18 7 446 14 6 365 10 5 278 5 4 212 4 4 144 2 1 FIGURE 110-3 Survival in chronic (CP), accelerated (AP), and blastic phase (BP) phases of chronic myeloid leukemia (CML) in the population-based Swedish national registry study. The accelerated- and blastic-phase cases are de novo presentations. The favorable outcome with de novo blastic phase may be due to use of 20% blasts or more to define blastic phase. (From Dr. Martin Hoglund, Swedish CML Registry, 2013.) dasatinib, where the incidence of malformations was reported to be higher, 10–12%. Data are scant with other TKIs. Control of CML during pregnancy can be managed with leukapheresis for severe symptomatic leukocytosis in the first trimester and with hydroxyurea subsequently until delivery. TKI therapy with ima tinib (but not dasatinib; scant data with nilotinib or bosutinib), if indicated, may be safe after 20 weeks of gestation and in the third trimester. There are reports of successful pregnancies and deliveries of normal babies with interferon α therapy and registry studies in essential thrombocytosis, but interferon α has side effects that may be troublesome during pregnancy, can be antiangiogenic, and may increase the risk of spontaneous abortions. Cytogenetic Abnormalities in Ph-Negative Cells; Mutations and CML Approximately 5% of patients on TKI therapy and in cytogenetic/molecular response may develop chromosomal abnormalities in the Ph-negative cells. These may involve loss of chromosome Y, trisomy 8, 20q–, chromosome 5 or 7 abnormalities, and others. Most chromosomal abnormalities disappear spon taneously and may be indicative of the genetic instability of the hematopoietic stem cells that predisposes the patient to develop CML in the first place. Rarely (in 85% in single-institution or national studies in countries with TKI affordability (Sweden) (Figs. 110-2 and 110-3), whereas the estimated 10-year survival rate worldwide is likely to be 90% in ~70% of patients, and thus, the normal hemopoietic elements are greatly reduced or absent. </w:t>
      </w:r>
      <w:r w:rsidR="00A6019F" w:rsidRPr="00A6019F">
        <w:rPr>
          <w:rFonts w:ascii="Arial" w:hAnsi="Arial" w:cs="Arial"/>
        </w:rPr>
        <w:t>■</w:t>
      </w:r>
      <w:r w:rsidR="00A6019F" w:rsidRPr="00A6019F">
        <w:t xml:space="preserve">LUMBAR PUNCTURE The examination of the cerebrospinal fluid is an essential routine diagnostic measure for ALL. Central nervous system (CNS) leukemia is diagnosed if </w:t>
      </w:r>
      <w:r w:rsidR="00A6019F" w:rsidRPr="00A6019F">
        <w:rPr>
          <w:rFonts w:ascii="Aptos" w:hAnsi="Aptos" w:cs="Aptos"/>
        </w:rPr>
        <w:t>≥</w:t>
      </w:r>
      <w:r w:rsidR="00A6019F" w:rsidRPr="00A6019F">
        <w:t>5 cells/</w:t>
      </w:r>
      <w:r w:rsidR="00A6019F" w:rsidRPr="00A6019F">
        <w:rPr>
          <w:rFonts w:ascii="Aptos" w:hAnsi="Aptos" w:cs="Aptos"/>
        </w:rPr>
        <w:t>μ</w:t>
      </w:r>
      <w:r w:rsidR="00A6019F" w:rsidRPr="00A6019F">
        <w:t>L or leukemic blast cells were observed by morphology in cerebrospinal fluid. Opinions differ as to when the first lumbar puncture should be done</w:t>
      </w:r>
      <w:r w:rsidR="00A6019F" w:rsidRPr="00A6019F">
        <w:rPr>
          <w:rFonts w:ascii="Aptos" w:hAnsi="Aptos" w:cs="Aptos"/>
        </w:rPr>
        <w:t>—</w:t>
      </w:r>
      <w:r w:rsidR="00A6019F" w:rsidRPr="00A6019F">
        <w:t xml:space="preserve">i.e., either delay lumbar puncture until remission is achieved to avoid seeding of the CNS with leukemic blast cells from the peripheral blood during the spinal tap or perform the lumbar puncture before treatment starts, since early recognition of CNS disease will lead to immediate CNS-specific therapy. Lumbar puncture is restricted to patients with an adequate platelet count (&gt;20 × 109/L) and without manifest clinical hemorrhages. To eliminate poten tially transferred blast cells, patients should receive intrathecal metho trexate at the first lumbar puncture. </w:t>
      </w:r>
      <w:r w:rsidR="00A6019F" w:rsidRPr="00A6019F">
        <w:rPr>
          <w:rFonts w:ascii="Arial" w:hAnsi="Arial" w:cs="Arial"/>
        </w:rPr>
        <w:t>■</w:t>
      </w:r>
      <w:r w:rsidR="00A6019F" w:rsidRPr="00A6019F">
        <w:t xml:space="preserve">MORPHOLOGIC SUBTYPES IN ALL The French-American-British (FAB) classification distinguished three subgroups. L1 and L2 morphology has no clinical consequences. Only the L3 morphology, observed in up to 5% of adult patients, is indicative for mature B-cell lineage ALL (B-ALL) (see Chap. 65). TABLE 111-1 Laboratory Values at Diagnosis of Acute </w:t>
      </w:r>
      <w:r w:rsidR="00A6019F" w:rsidRPr="00A6019F">
        <w:lastRenderedPageBreak/>
        <w:t xml:space="preserve">Lymphoblastic Leukemia (ALL) ALL NO. 1273 Initial white blood cell count (× 109/L) 50–100 &gt;100 41% 31% 28% 16% Neutrophils (× 109/L) 100 22% 22% 29% 27% Hemoglobin (g/dL) 9 20% 33% 47% Leukemic blasts in peripheral blood 0% 25–75% &gt;75% 8% 34% 36% Leukemic blasts in bone marrow 90% 4% 25% 71% Source: Data from three consecutive German Multicenter Trials for Adult ALL (GMALL). Acute Lymphoid Leukemia 845 CHAPTER 111 TABLE 111-2 Immunologic, Cytogenetic, Molecular, and Clinical Characteristics of Adult Acute Lymphoblastic Leukemia (ALL) SUBTYPES MARKER INCIDENCE FREQUENT CYTOGENETIC ABERRATIONS GENETIC ABERRATIONS AND FUSION TRANSCRIPTS CLINICAL CHARACTERISTICS RELAPSE KINETICS AND LOCALIZATION B-lineage ALL (B-ALL) HLA-DR+, TdT+, CD19+, and/or CD79a+, and/or cyCD22+ 76% Pro B-ALL No additional differentiation markers Frequent myeloid coexpression (&gt;50%) CD10 112% t(4;11) (q21;q23) 70% ALL1-AF4 (20% Flt3 in MLL+) High WBC (&gt;100,000/μL) (26%) Mainly BM (&gt;90%) Common ALL CD10+ 49% t(9;22)(q34;q11) del(6q) 33% BCR::ABL1 with 54% IKFZ1 del &gt;25% CDKN2A/B Higher age &gt;50 years (24%) Mainly BM (&gt;90%) Prolonged relapse kinetics (up to 5–7 years) Pre-B-ALL CD10±, cyIg+ 12% t(9;22)(q34;q11) t(1;19)(q23;p13) 4% t(1;19)/PBX-E2A Mature B-ALL TdT–, CD34–, sIg+ 4% t(8;14)(q24;q32) t(2;8)(p12;q24) t(8;22)(q24;q11) Higher age &gt;55 years (27%) Frequent organ involvement (32%) and CNS involvement (13%) Frequent CNS (10%) Short relapse kinetics (up to 1–1.5 years) T-lineage ALL (T-ALL) TdT±, cyCD3, CD7+ 24% t(10;14)(q24;q11) t(11;14)(p13;q11) 50% NOTCH1B 33% HOX11b 5% HOX11L2b 4% NUP213-ABL1 Younger age (90% 50/μL) (46%) Frequent CNS (up to 10%) Extramedullary (6%) Intermediate relapse kinetics (up to 3–4 years) When relapsed, fast progression Early Pro/Pre T-ALL Cortical T-ALL Mature T-ALL No additional differentiation markers, mostly CD2–/(+), SCD3–, CD1a CD1a+, sCD3± sCD3+, CD1a 6% 12% 6% Abbreviations: BM, bone marrow; CNS, central nervous system; WBC, white blood cells. </w:t>
      </w:r>
      <w:r w:rsidR="00A6019F" w:rsidRPr="00A6019F">
        <w:rPr>
          <w:rFonts w:ascii="Arial" w:hAnsi="Arial" w:cs="Arial"/>
        </w:rPr>
        <w:t>■</w:t>
      </w:r>
      <w:r w:rsidR="00A6019F" w:rsidRPr="00A6019F">
        <w:t xml:space="preserve">IMMUNOLOGIC SUBTYPES A series of monoclonal antibodies is employed to identify antigens expressed on the surface of leukemic cells, corresponding to the path ways of normal B-cell differentiation (see Fig. 113-2). The immuno logic classification aims to subdivide ALLs according to the presence or absence of B-cell or T-cell markers. A marker is considered positive if &gt;20% of the cells are stained with the monoclonal antibody. There are different immunologic classifications, such as that of the European Group for the Immunological Characterization of Leuke mias (EGIL), with clear therapeutic implications. Table 111-2 gives a simplified correlation of immunologic subtypes, cytogenetics and molecular aberrations, and clinical characteristics. B-Cell Lineage ALL (B-ALL) More than 70% of adult ALLs are of B-cell origin, and the most frequent immunologic subtype, common ALL, is characterized by the presence of the ALL antigen CD10 with out markers of relatively mature B cells such as cytoplasmic or surface membrane immunoglobulins. Pre-B-ALL (early B-ALL) is charac terized by the expression of cytoplasmic immunoglobulin, which is negative in common ALL, but otherwise is identical with respect to all other cell markers. Pro-B-ALL corresponds to early B-cell differentia tion </w:t>
      </w:r>
      <w:r w:rsidR="00A6019F" w:rsidRPr="00A6019F">
        <w:lastRenderedPageBreak/>
        <w:t xml:space="preserve">and was formerly termed non-T-, non-B-ALL or null ALL because neither T-cell nor B-cell features could be demonstrated. This subtype is HLA-DR, terminal deoxynucleotidyl transferase, and CD19 positive and composes ~12% of adults ALL. Mature B-ALL is seen in 3–4% of adults and is also known as Burkitt’s leukemia. In mature B-ALL, blast cells express surface anti gens of mature B cells, including the sIgM. T-Cell Lineage ALL (T-ALL) Approximately 25% of adult ALLs are of T-cell lineage. All cases express the T-cell antigen CD7 and cyto plasmatic CD3 (CyCD3) or surface CD3. According to their stage of T-cell differentiation, they may express other T-cell antigens (e.g., the E-rosette receptor CD2 and/or the cortical thymocyte antigen CD1a). Early pro/pre-T-ALL (also termed early T precursor ALL [ETP-ALL]), cortical or thymic T-ALL, and mature T-ALL can be distinguished with these markers. ETP-ALL is characterized by lack of CD1a and CD8, weak CD5 expression, and at least one myeloid/stem cell marker. Biphenotypic or Mixed Leukemias Biphenotypic leukemias are defined as those expressing markers of both lymphoid and myeloid lineages on the same leukemic cells. Bilineage leukemias are those with two populations of blast cells with either lymphoid or myeloid antigens. It is not clear whether these patients should receive an ALL or AML treatment protocol. In pediatric studies, starting with a pediatric ALL protocol seemed preferable, which was then followed by AML consoli dation elements. </w:t>
      </w:r>
      <w:r w:rsidR="00A6019F" w:rsidRPr="00A6019F">
        <w:rPr>
          <w:rFonts w:ascii="Arial" w:hAnsi="Arial" w:cs="Arial"/>
        </w:rPr>
        <w:t>■</w:t>
      </w:r>
      <w:r w:rsidR="00A6019F" w:rsidRPr="00A6019F">
        <w:t xml:space="preserve">CYTOGENETIC AND MOLECULAR ANALYSIS Cytogenetic and molecular analyses should be performed in all cases. They are important to define ALL subtypes, can identify independent prognostic markers of disease-free survival, and may determine spe cific targeted therapies. The diagnostic techniques for ALL are standard cytogenetics, fluo rescence in situ hybridization, and reverse transcriptase polymerase chain reaction. These methods allow the detection of Ph+ ALL, with the chromosomal translocation t(9;22)(q34;q11) and the detection of the corresponding BCR-ABL1 gene rearrangement. Further ALL entities that have been identified are t(4;11)(q21;q23)/MLL-AFA4, abn11q23/MLL, and t(1;19)(q23;p13)/PBX-E2A. Gene expression profiling, single nucleotide polymorphism array analysis, array-comparative genomic hybridization, and next-generation sequencing recognize the newly defined ALL entities: ETP-ALL and Ph-like ALL. 846 TABLE 111-3 Response Parameters According to Minimal Residual Disease (MRD) TERMINOLOGY Complete hematologic remission (CHR) Complete molecular remission/MRD negativity Molecular failure/MRD positivity Molecular relapse/MRD positivity Hematologic relapse PART 4 DEFINITION Leukemic cells not detectable by light microscopy (0.01% Patient still in complete remission, had prior molecular complete remission, leukemic blast cells in BM not detectable (5% blast cells in BM/blood Ph-like ALL, also known as BCR-ABL1-like ALL, is characterized by genetic lesions similar to Ph+ ALL, associated with IKZF1 (Ikaros) gene deletion, CLRF2 (gene for cytokine-like receptor-2) overexpres sion, and tyrosine kinase activating rearrangements involving ABL1, JAK2, PDGFRB, and several other genes; however, it is BCR-ABL1 negative. The frequency is 10% in children and 25–30% in young adults but does not increase further with age like Ph+ ALL. Treatment based on the underlying genetic lesion with BCR-ABL inhibitors (e.g., dasatinib) or JAK2 </w:t>
      </w:r>
      <w:r w:rsidR="00A6019F" w:rsidRPr="00A6019F">
        <w:lastRenderedPageBreak/>
        <w:t xml:space="preserve">inhibitors (e.g., ruxolitinib) has so far had limited success in adults. Oncology and Hematology </w:t>
      </w:r>
      <w:r w:rsidR="00A6019F" w:rsidRPr="00A6019F">
        <w:rPr>
          <w:rFonts w:ascii="Arial" w:hAnsi="Arial" w:cs="Arial"/>
        </w:rPr>
        <w:t>■</w:t>
      </w:r>
      <w:r w:rsidR="00A6019F" w:rsidRPr="00A6019F">
        <w:t xml:space="preserve">MINIMAL RESIDUAL DISEASE Minimal residual disease (MRD) is the detection of residual leuke mic cells that are not recognizable by light microscopy. Methods for determining MRD are based on the detection of leukemia-specific aberrant immunophenotypes by flow cytometry, the evaluation of leukemia-specific rearranged immunoglobulin or T-cell receptor sequences by real-time quantitative polymerase chain reaction, or the detection of fusion genes associated with chromosomal abnormalities (e.g., BCR-ABL, MLL-AF4). The detection limit with these methods is 10−3–10−5 (0.1–0.001%). With new techniques such as next-generation sequencing (NGS) or digital droplet polymerase chain reaction (ddPCR), the sensitivity may increase to 10−5–10−6. The phenotypic aberrations are unique to each patient with ALL and can be detected in up to 95% of individuals. Collection of bone marrow at diagno sis for identification of patients’ individual markers is essential for follow-up of MRD. </w:t>
      </w:r>
      <w:r w:rsidR="00A6019F" w:rsidRPr="00A6019F">
        <w:rPr>
          <w:rFonts w:ascii="Arial" w:hAnsi="Arial" w:cs="Arial"/>
        </w:rPr>
        <w:t>■</w:t>
      </w:r>
      <w:r w:rsidR="00A6019F" w:rsidRPr="00A6019F">
        <w:t xml:space="preserve">MOLECULAR RESPONSE AFTER INDUCTION THERAPY AND IMPACT ON OUTCOME Achievement of molecular complete response/molecular remission is the most relevant independent prognostic factor for disease-free and overall survival in pediatric and adult ALL (Table 111-3). Patients with molecular complete remission after induction therapy have sig nificantly superior outcomes in several studies, with a disease-free survival rate of ~70% compared to 90%) and lower for high-risk patients (~60%). Induction regimens are centered around vincristine, glucocorti coids, and anthracyclines with or without cyclophosphamide or cyta rabine. L-Asparaginase is the only ALL-specific drug and is now more intensively used in adults. Pegylated asparaginase has the advantage of a significantly longer period of asparagine depletion. Dexamethasone is often preferred to prednisone because it penetrates the blood-brain barrier and also acts on resting leukemic blast cells. Two chemotherapy regimens are widespread (Fig. 111-1). One is patterned after the pediatric BFM (Berlin-Frankfurt-Münster) pro tocol, which is mostly used in European adult ALL trials. Another approach is to repeat two different alternating intensive chemotherapy cycles, identical for induction and consolidation, for eight cycles, such as Hyper-CVAD (hyperfractionated cyclophosphamide, vincristine, doxorubicin, and dexamethasone) protocol, which is preferentially used in the United States but also in many other parts of the world. Postremission Consolidation Usual protocols use six to eight courses and often contain systemic high-dose (HD) therapy to reach sufficient drug levels in sanctuary sites such as the CNS. Most often HD methotrexate (1–1.5 g/m2 and up to 3–5 g/m2) and/or HD cytara bine (4–12 doses at 1–3 g/m2) are administered. Maintenance Therapy Maintenance therapy, a strategy trans ferred from childhood ALL, is mandatory. It consists of 6-mercapto purine and methotrexate plus intrathecal therapy. The potential effect of further intensification cycles during maintenance remains unclear. The duration of maintenance therapy for T-ALL and B-ALL is 2–2.5 years, except for Burkitt’s leukemia, for which a half year to 1 year is sufficient. In Ph+ ALL, patients also require maintenance therapy that should include a tyrosine kinase inhibitor (TKI), most likely </w:t>
      </w:r>
      <w:r w:rsidR="00A6019F" w:rsidRPr="00A6019F">
        <w:lastRenderedPageBreak/>
        <w:t xml:space="preserve">the TKI that has been used during induction and consolidation therapy. It is also standard to give a TKI after allogeneic SCT. The duration of main tenance therapy with a TKI is also 2–2.5 years and should be guided by MRD evaluation. TKI use is often interrupted or switched to another TKI if toxicity occurs. </w:t>
      </w:r>
      <w:r w:rsidR="00A6019F" w:rsidRPr="00A6019F">
        <w:rPr>
          <w:rFonts w:ascii="Arial" w:hAnsi="Arial" w:cs="Arial"/>
        </w:rPr>
        <w:t>■</w:t>
      </w:r>
      <w:r w:rsidR="00A6019F" w:rsidRPr="00A6019F">
        <w:t xml:space="preserve">TREATMENT OF ALL PATIENTS ACCORDING TO AGE The outcome of ALL is strictly related to the age of a patient, with cure rates of ~90% in children, decreasing to 70/75 years B-lineage ALL, Ph+ Ph BCR-ABL Ph-like ALL T-lineage ALL Early (ETP) Cortical/thymic TREATMENT Short intensive chemotherapy + rituximab; no SCT; no maintenance Pediatric inspired, few/no SCT OVERALL SURVIVAL 80–90% Intensive chemotherapy +/– SCT 50–60% Less intensive chemotherapy + immunotherapy Various Intensive chemotherapy + TKI +/– SCT Chemotherapy + dasatinib/JAK inhibitors Intensive chemotherapy + nelarabine + SCT Intensive chemotherapy + nelarabine, no SCT Mature Intensive chemotherapy + nelarabine + SCT ≥70–80% ~30% ≤10% 60–70% ≤50% 40–50% 70–84% 30–50% Abbreviations: AYA, adolescent and young adult; ETP, early T precursor; Ph, Philadelphia chromosome; SCT, stem cell transplantation; TKI, tyrosine kinase inhibitor. to the periphery. Treatment options include intrathecal therapy, sys temic HD chemotherapy, and cranial radiation therapy (CRT). Wide variations exist in CNS prophylaxis regimens. Intrathecal therapy mostly consists of methotrexate as a single drug or in combination with cytosine arabinoside (AC) with or without glucocorticoids. The route of intrathecal therapy application is generally lumbar puncture. Systemic HD chemotherapy may comprise HDAC or HD methotrexate since both drugs reach cytotoxic drug levels in the cerebrospinal fluid and show effectiveness in overt CNS leukemia. CRT (18–24 Gy in 12 fractions over 16 days) is also effective as preventive treatment of CNS leukemia. Using combined modalities for CNS prophylaxis, the CNS relapse rate has decreased to 2–5%. Particular attention to CNS prophylaxis is required for targeted therapies. In Ph+ ALL, not all TKIs cross the blood-brain barrier equally such as imatinib and nilotinib but dasatinib and probably ponatinib do. In immunotherapies, intrathecal therapy is required because most antibodies do not enter the CNS. CNS involvement at diagnosis is observed in 5–10% of adult patients and is higher in mature B-ALL (up to 10–15%) and T-ALL (up to 10%). Treatment consists of the standard chemotherapy with additional intrathecal applications 3–5 times per week until blast cells are cleared in the spinal fluid. Patients with initial CNS involvement have a similar overall survival as CNS-negative patients. Relapse in CNS is usually accompanied by bone marrow involve ment, and if blast cells are not seen morphologically, MRD as a sign of discrete infiltration is positive in nearly all cases. CNS relapse requires local as well as systemic therapy. The outcome after CNS relapse is dis mal, and salvage chemotherapy followed by allogeneic SCT is the most effective option. Chimeric antigen receptor (CAR) T cells (most often targeting CD19) can cross the blood-brain barrier and achieve CRs in patients with CNS relapse. Extramedullary manifestation and relapses in ALL are often observed. Patients should have the general treatment and, if required, local intervention (e.g., local radiation if residual mediastinal mass). </w:t>
      </w:r>
      <w:r w:rsidR="00A6019F" w:rsidRPr="00A6019F">
        <w:rPr>
          <w:rFonts w:ascii="Arial" w:hAnsi="Arial" w:cs="Arial"/>
        </w:rPr>
        <w:t>■</w:t>
      </w:r>
      <w:r w:rsidR="00A6019F" w:rsidRPr="00A6019F">
        <w:t xml:space="preserve">STEM CELL TRANSPLANTATION SCT </w:t>
      </w:r>
      <w:r w:rsidR="00A6019F" w:rsidRPr="00A6019F">
        <w:lastRenderedPageBreak/>
        <w:t xml:space="preserve">is an essential part of the treatment strategy for adult ALL. Peripheral blood cells are more often being used as a stem cell source, instead of bone marrow. If no matched sibling stem cell donors are available, CHAPTER 111 Acute Lymphoid Leukemia 848 increasingly matched unrelated donors or haploidentical donors are used. Indications for SCT in first CR are controversial. However, in most studies, SCT is recommended for high-risk patients defined either by conventional prognostic factors or by MRD positivity. High-risk patients transplanted in first CR have a survival rate of 50% or greater. Decreasing transplant-related mortality from 20–30% to 10–15% has contributed substantially to better outcomes. For standard-risk patients with sustained molecular remission, allogeneic SCT in first CR is not recommended. Autologous SCT should be restricted to MRD-negative patients, BCR-ABL–negative patients and older patients because it is less toxic but associated with a substantially higher relapse rate. For all relapsed adult ALL patients, an allogeneic SCT is thus far the only curative option. </w:t>
      </w:r>
      <w:r w:rsidR="00A6019F" w:rsidRPr="00A6019F">
        <w:rPr>
          <w:rFonts w:ascii="Arial" w:hAnsi="Arial" w:cs="Arial"/>
        </w:rPr>
        <w:t>■</w:t>
      </w:r>
      <w:r w:rsidR="00A6019F" w:rsidRPr="00A6019F">
        <w:t>PEDIATRIC-INSPIRED THERAPIES FOR ADOLESCENTS AND YOUNG ADULTS The principle of pediatric-inspired therapies is to have higher doses and more applications of ALL-specific drugs such as glucocorticoids, vincristine, and L-asparaginase and fewer myeloablative anthracyclines or alkylating agents, with strict adherence to time-dose intensity, thereby reducing the role of SCT. The overall survival rates for AYAs are 70</w:t>
      </w:r>
      <w:r w:rsidR="00A6019F" w:rsidRPr="00A6019F">
        <w:rPr>
          <w:rFonts w:ascii="Aptos" w:hAnsi="Aptos" w:cs="Aptos"/>
        </w:rPr>
        <w:t>–</w:t>
      </w:r>
      <w:r w:rsidR="00A6019F" w:rsidRPr="00A6019F">
        <w:t xml:space="preserve">80%. PART 4 Oncology and Hematology </w:t>
      </w:r>
      <w:r w:rsidR="00A6019F" w:rsidRPr="00A6019F">
        <w:rPr>
          <w:rFonts w:ascii="Arial" w:hAnsi="Arial" w:cs="Arial"/>
        </w:rPr>
        <w:t>■</w:t>
      </w:r>
      <w:r w:rsidR="00A6019F" w:rsidRPr="00A6019F">
        <w:t>ADULT ALL The treatment results for adult ALL patients have greatly improved with more intensive chemotherapy, optimized SCT, and better sup portive care. In several recent multicenter prospective trials, the overall survival rate for standard-risk patients was &gt;70% with chemotherapy alone, and for high-risk patients, the overall survival rate has increased from 20</w:t>
      </w:r>
      <w:r w:rsidR="00A6019F" w:rsidRPr="00A6019F">
        <w:rPr>
          <w:rFonts w:ascii="Aptos" w:hAnsi="Aptos" w:cs="Aptos"/>
        </w:rPr>
        <w:t>–</w:t>
      </w:r>
      <w:r w:rsidR="00A6019F" w:rsidRPr="00A6019F">
        <w:t xml:space="preserve">30% to &gt;50%. </w:t>
      </w:r>
      <w:r w:rsidR="00A6019F" w:rsidRPr="00A6019F">
        <w:rPr>
          <w:rFonts w:ascii="Arial" w:hAnsi="Arial" w:cs="Arial"/>
        </w:rPr>
        <w:t>■</w:t>
      </w:r>
      <w:r w:rsidR="00A6019F" w:rsidRPr="00A6019F">
        <w:t xml:space="preserve">ALL IN THE ELDERLY Palliative treatment regimens for elderly patients have failed, with CR rates of ~40%, a high early death rate of 24%, and a poor overall survival of only a few months. Intensive chemotherapy has also failed, with a higher CR rate of 56%, but still an early death rate of 23%, and only moderate improvement of overall survival to 14 months. Specific elderly ALL protocols with less intensive therapy based on glucocor ticoids, vincristine, and asparaginase, largely avoiding anthracyclines and alkylating agents, have improved outcomes. The early treatment related death rate decreased to 90%. In a next step, by combining mini-chemotherapy with a TKI and adding immuno therapy with inotuzumab (an anti-CD22 antibody), the CR rate was TABLE 111-5 Targeted Therapies in Adult Acute Lymphoblastic Leukemia (ALL) Tyrosine Kinase Inhibitors (TKIs) Ph/BCR-ABL+ ALL TKIs Imatinib, dasatinib, nilotinib, bosutinib, ponatinib, asciminib Ph/BCR-ABL-like ALL ABL1, ABL2: dasatinib, ponatinib; JAK2: ruxolitinib Immunologic Approaches Antibodies directed against leukemia surface antigens Monovalent antibodies Bivalent antibodies against the tumor and CD3 (e.g., blinatumomab) Adoptive cellular therapy T cells engineered to kill leukemic cells Checkpoint Inhibitors PD-1 inhibitors: pembrolizumab, nivolumab CTLA-4 inhibitors: ipilimumab Targeted Agents Proteasome inhibitors: bortezomib, ixazomib BCL-2 inhibitors: venetoclax, navitoclax &gt;90% and the overall survival improved further. A pilot </w:t>
      </w:r>
      <w:r w:rsidR="00A6019F" w:rsidRPr="00A6019F">
        <w:lastRenderedPageBreak/>
        <w:t xml:space="preserve">experience with a chemotherapy-free regimen composed of dexamethasone, the TKI dasatinib, and the bispecific antibody blinatumomab (anti-CD19 and anti-CD3) demonstrated a CR rate of 98% and 2-year overall and disease-free survival rates of 95% and 88%, respectively. Blinatumomab eliminates Ph+ leukemic cells with resistant mutations. </w:t>
      </w:r>
      <w:r w:rsidR="00A6019F" w:rsidRPr="00A6019F">
        <w:rPr>
          <w:rFonts w:ascii="Arial" w:hAnsi="Arial" w:cs="Arial"/>
        </w:rPr>
        <w:t>■</w:t>
      </w:r>
      <w:r w:rsidR="00A6019F" w:rsidRPr="00A6019F">
        <w:t xml:space="preserve">IMMUNOTHERAPEUTIC APPROACHES Treatments involving monoclonal antibodies or activated T cells are currently changing the treatment paradigm of ALL. The prerequisite is that B-lineage blast cells express a variety of specific antigens, such as CD19, CD20, and CD22 (Table 111-6) that are targetable with a wide variety of monoclonal antibodies. A new treatment principle is the acti vation of the patient’s T cells to destroy their CD19+ leukemic blasts. Anti-CD20 The anti-CD20 monoclonal antibody rituximab has improved the outcome of patients with de novo Burkitt’s leukemia/ lymphoma. With repeated short cycles of intensive chemotherapy combined with rituximab, the overall survival increased to &gt;80%. Rituximab is now included in most B-ALL regimens and is given at the usual dose of 375 mg/m2 on day –1 before chemotherapy for at TABLE 111-6 Expression of Antigens in B-Cell Lineage Acute Lymphoblastic Leukemia (ALL) for Potential Antibody Therapy SURFACE ANTIGEN ALL SUBTYPES CD20 CD22 CD19 Burkitt’s lymphoma/ leukemia B-precursor B-precursor Mature B-ALL B-precursor Mature B-ALL EXPRESSION ON LBCa 86–100% 30–40% 93–98% ~100% 95–0.5 × 109 but 5 are suspicious for Richter’s transformation, with SUVs ≥10 being very concerning. Excisional biopsy is the preferred mode of diagnosis, and fine-needle aspiration should be discouraged. PART 4 Oncology and Hematology Therapy for DLBCL Richter’s transformation usually involves com bination chemoimmunotherapy. Outcomes are poor, with median survivals of 6–16 months in most series for clonally related Richter’s versus ~5 years for clonally unrelated. This highlights an area of unmet need in CLL therapy and an area of active investigation. Intensive chemotherapy is ineffective for most patients and results in significant toxicity. For fit patients who achieve a response with therapy, stem cell transplantation has the possibility to induce long-term remissions and should be explored. In addition, chimeric antigen receptor (CAR) T-cell (CAR-T) therapy has shown promising results in small groups of patients and remains an area of active clinical investigation. Limited data using bispecific antibodies are also encouraging. Patients with Hodgkin’s disease can be treated according to the algorithm for this disease, with many individuals being cured. WORKUP OF CLL AND APPROACH TO THERAPY </w:t>
      </w:r>
      <w:r w:rsidR="00A6019F" w:rsidRPr="00A6019F">
        <w:rPr>
          <w:rFonts w:ascii="Arial" w:hAnsi="Arial" w:cs="Arial"/>
        </w:rPr>
        <w:t>■</w:t>
      </w:r>
      <w:r w:rsidR="00A6019F" w:rsidRPr="00A6019F">
        <w:t xml:space="preserve">WORKUP AND STAGING Workup of a patient with new diagnosis of CLL based on typical immunophenotyping includes a detailed history of infectious disease; family history of CLL; and careful physical examination with attention to the lymph nodes, spleen, and liver. In patients desiring to know the expected natural history of their CLL, prognostic testing using FISH and stimulated karyotype and sequencing for TP53 and IGHV muta tion status can be performed. Imaging with CT scan is usually not necessary unless there are symptoms and concern for intraabdominal nodes out of proportion to peripheral nodes. Bone marrow biopsy is not undertaken until therapy is initiated, except in cases of </w:t>
      </w:r>
      <w:r w:rsidR="00A6019F" w:rsidRPr="00A6019F">
        <w:lastRenderedPageBreak/>
        <w:t xml:space="preserve">unexplained cytopenias. </w:t>
      </w:r>
      <w:r w:rsidR="00A6019F" w:rsidRPr="00A6019F">
        <w:rPr>
          <w:rFonts w:ascii="Arial" w:hAnsi="Arial" w:cs="Arial"/>
        </w:rPr>
        <w:t>■</w:t>
      </w:r>
      <w:r w:rsidR="00A6019F" w:rsidRPr="00A6019F">
        <w:t xml:space="preserve">STAGING There are two widely used staging systems in CLL: The Rai staging system is used more commonly in the United States, whereas the Binet system is more commonly used in Europe. Both characterize CLL on the basis of disease bulk and marrow failure (Table 112-3). Both rely on physical examination and laboratory studies and do not require TABLE 112-3 Staging of CLL Rai Staging System Low risk (stage 0) Lymphocytosis only Intermediate risk (stage I/II) Lymphocytosis with lymphadenopathy, with or without splenomegaly or hepatomegaly High risk (stage III/IV) Binet Staging System A B C Lymphocytosis with anemia or thrombocytopenia due to bone marrow involvement 3.5 mg/L Rai I–IV or Binet B–C &gt;65 years Implications of Risk Score   RISK SCORE 0-1 2-3 4-6 7-10 RISK CLASSIFICATION Low Intermediate High Very high RISK SCORE 4 2 2 1 1 5-YEAR SURVIVAL (TRAINING SET DATA) 93.2% 79.3% 63.3% 23.3% imaging or bone marrow analysis. While the initial staging systems could reliably predict survival in CLL, with the changes in therapy since the original description of the stages, the impact of initial stage on survival is not as clear. Cytogenetic and genomic testing can help refine outcome of these staging tests. An international collaboration integrated both clinical and genomic staging to better predict outcome at diagnosis and time of initial treatment, which led to development of the CLL International Prognostic Index (Table 112-4). This index has been shown to be useful in prediction of both time to first treatment and outcome with chemoimmunotherapy. Validation in the setting of novel targeted therapies has not occurred. </w:t>
      </w:r>
      <w:r w:rsidR="00A6019F" w:rsidRPr="00A6019F">
        <w:rPr>
          <w:rFonts w:ascii="Arial" w:hAnsi="Arial" w:cs="Arial"/>
        </w:rPr>
        <w:t>■</w:t>
      </w:r>
      <w:r w:rsidR="00A6019F" w:rsidRPr="00A6019F">
        <w:t xml:space="preserve">CRITERIA FOR THE INITIATION OF THERAPY Currently, a watchful waiting strategy is used for most patients with CLL, with therapy reserved for patients with symptomatic disease. This recommendation is based on multiple trials showing no survival advantage with earlier therapy, although this question continues to be a focus of active investigation. With the exception of patients participating in early intervention studies in CLL, disease-related symptoms that require the initiation of therapy are outlined in Table 112-5. Except for the rare patient who presents with disease requiring urgent therapy, in most cases, these symptoms can be monitored over short periods to determine related ness to CLL and need for therapy. </w:t>
      </w:r>
      <w:r w:rsidR="00A6019F" w:rsidRPr="00A6019F">
        <w:rPr>
          <w:rFonts w:ascii="Arial" w:hAnsi="Arial" w:cs="Arial"/>
        </w:rPr>
        <w:t>■</w:t>
      </w:r>
      <w:r w:rsidR="00A6019F" w:rsidRPr="00A6019F">
        <w:t xml:space="preserve">INITIAL THERAPY FOR CLL Over the past decade, the initial therapy of CLL has dramatically changed. Whereas chemoimmunotherapy was once standard for all patients, now most patients are treated with oral therapies targeted TABLE 112-5 Criteria for the Initiation of Therapy Symptoms Indicating Need for Therapy in CLL Evidence of progressive marrow failure (worsening of anemia or thrombocytopenia not due to autoimmune destruction) Massive (≥6 cm below costal margin), progressive, or symptomatic splenomegaly Massive (≥10 cm), progressive, or symptomatic lymphadenopathy Progressive lymphocytosis with an increase of ≥50% over a 2-month period or lymphocyte doubling time 1 month without infection) Abbreviation: CLL, chronic lymphocytic leukemia. Abbreviation: CLL, chronic lymphocytic leukemia. 855 against BTK or BCL2 with an anti-CD20 monoclonal antibody. This continues to be an area of active investigation, with standards of care shifting rapidly. The major classes of these therapies will be outlined here. BTK Inhibitors BTK is an attractive target in CLL </w:t>
      </w:r>
      <w:r w:rsidR="00A6019F" w:rsidRPr="00A6019F">
        <w:lastRenderedPageBreak/>
        <w:t xml:space="preserve">because, unlike other kinases in the BCR pathway, BTK does not have natu ral redundancy and is relatively selective for B cells, so inhibition leads to a predominant B-cell–specific phenotype. The first-in-class covalent BTK inhibitor is ibrutinib, which is relatively selective for BTK but also inhibits a number of structurally similar kinases. As initial therapy, ibrutinib was initially compared with chlorambucil (RESONATE study), and there was an 84% lower risk of progression or death with ibrutinib, with 59% of ibrutinib-treated patients alive and progression-free at 7 years. Subsequent studies have compared ibrutinib alone or with the anti-CD20 antibody rituximab to standard chemoimmunotherapy with fludarabine plus cyclophosphamide plus rituximab (FCR) or bendamustine plus rituximab (BR) and shown superiority of targeted therapy to chemoimmunotherapy. Ibrutinib also has immune modulatory roles to expand and also enhance T-cell function that may improve CAR-T efficacy. Side effects noted to occur with this class of agents include arthralgias/myalgias, rash, diarrhea, dyspepsia, bruising/bleeding (particularly when on antiplatelet/antico agulation therapy or with surgery), hypertension, atrial fibrillation, and ventricular arrhythmias. Two second-generation covalent BTK inhibitors, acalabrutinib and zanubrutinib, were developed to be more specific for BTK than ibruti nib and consequentially show better tolerability. Two trials performed in relapsed/refractory CLL have positioned acalabrutinib and zanubru tinib as preferred BTK inhibitors compared with ibrutinib. Acalabru tinib was compared head-to-head with ibrutinib in previously treated patients with high-risk relapsed CLL in the ELEVATE-RR trial. Acala brutinib was shown to be noninferior to ibrutinib in terms of efficacy and to have lower rates of atrial fibrillation, hypertension, myalgias/ arthralgias, bruising, and skin and nail changes than reported with ibrutinib. Zanubrutinib was compared head-to-head with ibrutinib in the ALPINE trial, which enrolled patients with relapsed CLL without regard to risk status. In this study, zanubrutinib was shown to be supe rior to ibrutinib in terms of overall response rate and progression-free survival (PFS). Zanubrutinib was also associated with lower rates of atrial fibrillation but similar rates of other adverse events. Because acalabrutinib and zanubrutinib are newer, follow-up is shorter than with ibrutinib, but all three covalent BTK inhibitors appear to be similarly active in the frontline setting. Acalabrutinib was studied in the treatment-naïve setting in the ELEVATE-TN trial, where acalabrutinib resulted in a 6-year PFS of 62% and acalabrutinib given with obinutuzumab resulted in a 4-year PFS of 78%. Zanubrutinib was studied in treatment-naïve CLL in the SEQUOIA study, where 2-year PFS was 85.5% for patients treated with zanubrutinib. Importantly, with the follow-up that is available from frontline studies of covalent BTK inhibitors in CLL, traditional prognostic fac tors, including IGHV mutational status and FISH, have less impact on outcome. Indeed, age and performance status were the only variables that predicted survival in the ELEVATE-TN trial. BCL2 Inhibitor Venetoclax is an orally bioavailable, selective allosteric inhibitor of the antiapoptotic protein BCL2, which is upregu lated in CLL. Similar to the BTK inhibitors, phase 3 trials support the frontline use of venetoclax in combination with obinutuzumab (VO) compared with </w:t>
      </w:r>
      <w:r w:rsidR="00A6019F" w:rsidRPr="00A6019F">
        <w:lastRenderedPageBreak/>
        <w:t xml:space="preserve">chemoimmunotherapy. The CLL14 study compared VO versus chlorambucil plus obinutuzumab in previously untreated patients with coexisting medical conditions. Unlike BTK inhibitors, which are continuously administered until disease progression, VO treatment is administered for a fixed duration of 1 year. Median PFS for VO was 76.2 months, compared with 36.4 months for patients treated with chlorambucil plus obinutuzumab. The CLL13/GAIA trial also studied VO, as well as VO plus ibrutinib (IVO) and venetoclax plus rituximab (VR), compared with effective chemoimmunotherapy regimens (FCR for younger patients and BR for older patients) in fit patients. At 4 years, VO and IVO showed superior PFS compared with chemoimmunotherapy (81.8% and 85.5%, respectively, vs 77.2%), but VR was not superior to chemoimmunotherapy. Side effects associated with venetoclax include tumor lysis syndrome, neutropenia, and nau sea/vomiting/diarrhea. Importantly, genomic risk features including IGHV mutational status and FISH/cytogenetics appear to be more relevant to PFS with fixed-duration VO therapy as compared with indefinite BTK inhibitor therapy. Targeted Therapy Combinations Due to synergy between BTK and BCL2 inhibition, there has been considerable interest in studies combining agents with these two mechanisms to allow for fixed duration therapies. As described earlier, 1-year fixed-duration IVO was shown to be superior to chemoimmunotherapy in previously untreated fit patients in the CLL13/GAIA study. The GLOW study is a registra tion trial comparing ibrutinib plus venetoclax (IV) to chemoimmuno therapy in previously untreated older or unfit patients. In this trial with 1 year of IV, 42-month PFS was 74.6% for IV compared with 24.8% for chlorambucil plus obinutuzumab. Although this study led to regulatory approval of IV in Europe, it is not approved by the U.S. Food and Drug Administration (FDA). It is not yet clear whether IV or IVO is a more effective therapy than the other fixed-duration standard, VO. Current studies are also using more selective inhibitors of BTK in an attempt to improve efficacy and safety of these combinations. Chemoimmunotherapy For the most part, targeted therapy has supplanted chemoimmunotherapy in CLL. However, long-term follow-up of studies of FCR has demonstrated that a subset of patients treated with this regimen can have durable responses over 20 years, with a likely cure of CLL. This group is composed almost exclusively of patients with mutated IGVH and favorable cytogenetics. However, despite the efficacy of this regimen, short- and long-term toxicities limit its adaptability to many patients with IGHV-mutated disease. Short-term toxicities are mostly related to myelosuppression and include neutropenia and infection. Long-term cytopenias are less com mon, but they do occur. Also, there is about a 3–5% risk of therapy related myeloid neoplasm with this regimen that is almost always fatal. In the E1912 study of FCR versus ibrutinib plus rituximab (IR), at follow-up, there was no difference in PFS or overall survival between FCR and IR for patients with mutated IGHV, suggesting that a place for this regimen may remain in clinical practice. In addition, current stud ies are focused on limiting chemotherapy and/or adding novel agents in efforts to achieve cure but limit toxicity. CHAPTER 112 Chronic Lymphocytic Leukemia </w:t>
      </w:r>
      <w:r w:rsidR="00A6019F" w:rsidRPr="00A6019F">
        <w:rPr>
          <w:rFonts w:ascii="Arial" w:hAnsi="Arial" w:cs="Arial"/>
        </w:rPr>
        <w:t>■</w:t>
      </w:r>
      <w:r w:rsidR="00A6019F" w:rsidRPr="00A6019F">
        <w:t xml:space="preserve">THERAPY OF RELAPSED CLL Currently, the mainstays </w:t>
      </w:r>
      <w:r w:rsidR="00A6019F" w:rsidRPr="00A6019F">
        <w:lastRenderedPageBreak/>
        <w:t xml:space="preserve">of treatment for relapsed CLL are the same classes as initial therapy, and the choice of second-line therapy is heav ily dependent on the agent that was used in the frontline setting. The optimal sequencing of targeted agents in CLL has not been established; however, the available data suggest that the sequence of either BTK inhibitor and then BCL2 inhibitor and the reverse are both accept able. In addition, some patients treated initially with venetoclax-based regimens can likely be successfully retreated with venetoclax. In a trial of venetoclax for patients who had relapsed after ibrutinib therapy, overall response rate (ORR) was 65%, with a median PFS of ~2 years, in a very heavily pretreated patient population. Retrospective data of a BTK inhibitor given after venetoclax suggest that this sequence is also effective, with an ORR of 84% and median PFS of 32 months. PI3K inhibitors also have activity in relapsed CLL; however, activity follow ing both BTK and BCL2 inhibitors is likely minimal. In addition, many new agents are in development in CLL, including novel oral targeted therapies, antibodies, and immune-based treatments. Noncovalent Inhibitors of BTK Despite the activity of covalent BTK inhibitors in CLL, a subset of patients will eventually relapse, and the primary mechanism of acquired resistance to ibrutinib, acalabru tinib, and zanubrutinib is acquisition of a mutation at the binding site of the drug (predominantly BTK C481S). Noncovalent BTK inhibitors 856 TABLE 112-6 Response Criteria in CLL LYMPHOCYTE COUNT CR PR 1.5 cm Decrease ≥50% from baseline Not meeting CR/PR/ PD criteria Increase ≥50% SPLEEN/LIVER SIZEb Not palpable Decrease ≥50% from baseline Not meeting CR/PR/PD criteria Increase ≥50%  BONE MARROWc Normocellular, 100,000/μL • Hemoglobin &gt;11 g/dL • Neutrophils &gt;1500/μL Infiltrate ≤50% of baseline One of the following: • Platelet count &gt;100,000/μL or ≥50% from baseline • Hemoglobin &gt;11 g/dL or ≥50% from baseline • Neutrophils &gt;1500/μL or ≥50% from baseline Not meeting CR/PR/PD criteria Not meeting CR/PR/PD criteria • Platelet count ≤50% of baseline due to CLL • Hemoglobin decrease &gt;2 g/dL due to CLL aRefers to sum of the products of multiple lymph nodes evaluated by CT scan. bBased on physical examination. cBone marrow only required to confirm CR. Abbreviations: CLL, chronic lymphocytic leukemia; CR, complete response; PD, progressive disease; PR, partial response. PART 4 Oncology and Hematology have been developed to overcome this resistance mechanism by bind ing both reversibly and to alternative sites on BTK. Pirtobrutinib is the first in class of these agents and is an extremely selective inhibitor of BTK that has achieved accelerated approval by the U.S. FDA for use in patients who have been previously treated with both BTK and BCL2 inhibitors. This is based on the BRUIN study, where an overall response rate of 82.2% and median PFS of 19.6 months were seen in a heavily pretreated high-risk group of patients, with equivalent efficacy noted for patients with C481S mutations in BTK. Immune Therapies Immune therapies in CLL are currently focused in the relapsed setting and include allogenic stem cell trans plantation, CAR-T therapy, and bispecific antibodies. Stem cell transplantation is a curative approach to CLL. Because most CLL patients are older and many have significant comorbidities, myeloablative transplants incur extensive morbidity and mortality, making them </w:t>
      </w:r>
      <w:r w:rsidR="00A6019F" w:rsidRPr="00A6019F">
        <w:lastRenderedPageBreak/>
        <w:t xml:space="preserve">prohibitive in many individuals. Reduced-intensity conditioning (RIC) allogeneic transplants have been successfully incor porated into the treatment of patients up to ~75 years in age but still have a ≥50% frequency of chronic graft-versus-host disease. This is still considered a standard treatment in CLL but has fallen out of favor with the introduction of well-tolerated novel agents, as well as clinical trials of CAR-T therapy. CD19 CAR-T trials have not been as successful in CLL as they have in other B-cell malignancies, due to the immunosup pression associated with the disease. The most robust data have come with lisocabtagene maraleucel (liso-cel), where in the TRANSCEND CLL 004 trial, the ORR was 43%, with a median PFS of 11.9 months in patients previously treated with BTK inhibitors and venetoclax. Many current trials are focused on optimizing CD19 CAR-T by add ing agents such as BTK inhibitors or PI3K inhibitors or modifying the CAR-T structure, and other studies are testing different targets outside of CD19. This area remains a focus of intense investigation in CLL. </w:t>
      </w:r>
      <w:r w:rsidR="00A6019F" w:rsidRPr="00A6019F">
        <w:rPr>
          <w:rFonts w:ascii="Arial" w:hAnsi="Arial" w:cs="Arial"/>
        </w:rPr>
        <w:t>■</w:t>
      </w:r>
      <w:r w:rsidR="00A6019F" w:rsidRPr="00A6019F">
        <w:t xml:space="preserve">ASSESSING RESPONSE TO THERAPY AND MINIMAL RESIDUAL DISEASE IN CLL Following the completion of therapy or during therapy for indefinite targeted agents, response is initially assessed using physical exami nation and laboratory studies (Table 112-6). If residual disease is not detected using these methodologies, CT scans are used to assess response. Bone marrow biopsies with flow cytometry are indicated if no disease is detected to confirm CR. It has been established in various malignancies that complete tumor eradication is associated with longer survival. In CLL, if no malignant cells can be detected in the bone marrow down to a level of 1 CLL cell in 104 leukocytes (0.01%), the patient is said to be negative for minimal residual disease (MRD). Following combination chemoimmunotherapy, eradication of MRD correlates with long-term survival and potentially cure in a subset of patients receiving FCR chemoimmunotherapy. Undetectable MRD in blood or bone mar row is also associated with improvement in PFS in venetoclax-based regimens. However, eradication of MRD has not been shown to be a meaningful endpoint with BTK inhibitors as monotherapy. Higher sensitivity of 1 CLL in 106 leukocytes (0.0001%) can be obtained using next-generation sequencing methods such as ClonoSeq. Treatment of MRD-relapsing CLL is being explored as part of clinical trials. </w:t>
      </w:r>
      <w:r w:rsidR="00A6019F" w:rsidRPr="00A6019F">
        <w:rPr>
          <w:rFonts w:ascii="Arial" w:hAnsi="Arial" w:cs="Arial"/>
        </w:rPr>
        <w:t>■</w:t>
      </w:r>
      <w:r w:rsidR="00A6019F" w:rsidRPr="00A6019F">
        <w:t xml:space="preserve">CONCLUSION CLL is treated only when it becomes symptomatic. At the time of ther apy, FCR chemoimmunotherapy in a small subset of young patients with very good risk CLL is potentially curative. In the majority of patients with symptomatic CLL, targeted therapy directed at BTK and/ or BCL2 can produce durable remissions and allow patients many years of disease-free survival. </w:t>
      </w:r>
      <w:r w:rsidR="00A6019F" w:rsidRPr="00A6019F">
        <w:rPr>
          <w:rFonts w:ascii="Arial" w:hAnsi="Arial" w:cs="Arial"/>
        </w:rPr>
        <w:t>■</w:t>
      </w:r>
      <w:r w:rsidR="00A6019F" w:rsidRPr="00A6019F">
        <w:t xml:space="preserve">FURTHER READING Brown JR et al: Zanubrutinib or ibrutinib in relapsed or refractory chronic lymphocytic leukemia. N Engl J Med 388:319, 2023. Byrd JC et al: Acalabrutinib versus ibrutinib in previously treated chronic lymphocytic leukemia: Results of the first randomized phase III trial. J Clin Oncol 39:3441, 2021. Fischer K et al: Venetoclax and obinutuzumab in patients with CLL and coexisting conditions. N Engl J Med 380:2225, 2019. Hallek M et al: iwCLL guidelines for diagnosis, indications for treat ment, response assessment, and supportive management of CLL. Blood 131:2745, 2018. </w:t>
      </w:r>
      <w:r w:rsidR="00A6019F" w:rsidRPr="00A6019F">
        <w:lastRenderedPageBreak/>
        <w:t xml:space="preserve">Landau DA et al: Evolution and impact of subclonal mutations in chronic lymphocytic leukemia. Cell 152:714, 2013. Mato AR et al: Pirtobrutinib after a covalent BTK inhibitor in chronic lymphocytic leukemia. N Engl J Med 389:33, 2023. Puente XS et al: Whole-genome sequencing identifies recurrent muta tions in chronic lymphocytic leukaemia. Nature 475:101, 2011. Sharman JP et al: Acalabrutinib with or without obinutuzumab versus chlorambucil and obinutuzumab for treatment-naïve chronic lym phocytic leukemia (ELEVATE TN): A randomized, controlled, phase 3 trial. Lancet 395:1278, 2020. Siddiqi T et al: Lisocabtagene maraleucel in chronic lymphocytic leukaemia and small lymphocytic lymphoma (TRANSCEND CLL 004): A multicentre, open-label, single-arm, phase 1–2 study. Lancet 402:641, 2023. Thompson PA et al: Fludarabine, cyclophosphamide, and rituximab treatment achieves long-term disease-free survival in IGHV-mutated chronic lymphocytic leukemia. Blood 127:303, 2016. 113 857 Non-Hodgkin’s Lymphoma Caron A. Jacobson, Dan L. Longo Non-Hodgkin’s lymphomas (NHLs) are cancers of mature B, T, and natural killer (NK) cells. They were distinguished from Hodgkin’s lym phoma (HL) upon recognition of the Reed-Sternberg (RS) cell and dif fer from HL with respect to their biologic and clinical characteristics. Whereas </w:t>
      </w:r>
      <w:r w:rsidR="00A6019F" w:rsidRPr="00A6019F">
        <w:rPr>
          <w:rFonts w:ascii="Cambria Math" w:hAnsi="Cambria Math" w:cs="Cambria Math"/>
        </w:rPr>
        <w:t>∼</w:t>
      </w:r>
      <w:r w:rsidR="00A6019F" w:rsidRPr="00A6019F">
        <w:t>80</w:t>
      </w:r>
      <w:r w:rsidR="00A6019F" w:rsidRPr="00A6019F">
        <w:rPr>
          <w:rFonts w:ascii="Aptos" w:hAnsi="Aptos" w:cs="Aptos"/>
        </w:rPr>
        <w:t>–</w:t>
      </w:r>
      <w:r w:rsidR="00A6019F" w:rsidRPr="00A6019F">
        <w:t xml:space="preserve">85% of patients with HL will be cured of their lymphoma by chemotherapy with or without radiotherapy, the prognosis and natural history of NHL tend to be more variable. NHL can be classi fied as either a mature B-NHL or a mature T/NK-NHL depending on whether the cancerous lymphocyte is a B, T, or NK cell, respectively. Within each category are lymphomas that grow quickly and behave aggressively, as well as lymphomas that are more indolent, or slow growing, in nature. For a list of the World Health Organization (WHO) classification of lymphoid neoplasms, see Table 113-1. </w:t>
      </w:r>
      <w:r w:rsidR="00A6019F" w:rsidRPr="00A6019F">
        <w:rPr>
          <w:rFonts w:ascii="Arial" w:hAnsi="Arial" w:cs="Arial"/>
        </w:rPr>
        <w:t>■</w:t>
      </w:r>
      <w:r w:rsidR="00A6019F" w:rsidRPr="00A6019F">
        <w:t xml:space="preserve">EPIDEMIOLOGY AND ETIOLOGY In 2023, it is estimated that there will be 80,550 new cases of NHL in the United States, </w:t>
      </w:r>
      <w:r w:rsidR="00A6019F" w:rsidRPr="00A6019F">
        <w:rPr>
          <w:rFonts w:ascii="Cambria Math" w:hAnsi="Cambria Math" w:cs="Cambria Math"/>
        </w:rPr>
        <w:t>∼</w:t>
      </w:r>
      <w:r w:rsidR="00A6019F" w:rsidRPr="00A6019F">
        <w:t xml:space="preserve">4% of all new cancers in both males and females, making it the seventh most common cause of cancer-related death in both women and men. The incidence is nearly 10 times the incidence TABLE 113-1 WHO-HAEM5 Classification of Lymphoid Malignancies B CELL Mature (peripheral) B-cell neoplasms Lymphoplasmacytic lymphoma (Waldenström’s macroglobulinemia) Hairy cell leukemia Splenic marginal zone B-cell lymphoma Extranodal marginal zone B-cell lymphoma of MALT type Nodal marginal zone B-cell lymphoma Follicular lymphoma Mantle cell lymphoma Diffuse large B-cell lymphoma (including subtypes) High-grade B-cell lymphoma with MYC and BCL2 rearrangements High-grade B-cell lymphoma NOS High-grade B-cell lymphoma with 11q aberrations Burkitt’s lymphoma/Burkitt’s cell leukemia Primary mediastinal large B-cell lymphoma Mediastinal grey zone lymphoma Primary large B-cell lymphoma of immune-privileged sites T CELL Mature (peripheral) T-cell neoplasms T-cell granular lymphocytic leukemia Adult T-cell leukemia/lymphoma (HTLV-1+) Extranodal NK/T-cell lymphoma, nasal type Enteropathy-associated T-cell lymphoma Hepatosplenic T-cell lymphoma Subcutaneous panniculitis-like T-cell lymphoma Mycosis fungoides Sezary syndrome Peripheral T-cell lymphoma NOS Angioimmunoblastic T-cell lymphoma Anaplastic </w:t>
      </w:r>
      <w:r w:rsidR="00A6019F" w:rsidRPr="00A6019F">
        <w:lastRenderedPageBreak/>
        <w:t xml:space="preserve">large-cell lymphoma, ALK+ Anaplastic large-cell lymphoma, ALK Plasmablastic lymphoma  Primary effusion lymphoma  HHV8+ DLBCL NOS  Intravascular large B-cell lymphoma  ALK+ large B-cell lymphoma  Abbreviations: DLBCL, diffuse large B-cell lymphoma; HHV, human herpesvirus; HTLV, human T-cell lymphotropic virus; MALT, mucosa-associated lymphoid tissue; NK, natural killer; NOS, not otherwise specified; WHO, World Health Organization. Source: Adapted from R Alaggio et al: The 5th edition of the World Health Organization classification of haematolymphoid tumours: Lymphoid neoplasms. Leukemia 36:1720, 2022. of HL. There is a slight male-to-female predominance and a higher incidence for Caucasians than for African Americans. The incidence rises steadily with age, especially after age 40, but lymphomas are also among the most common malignancies in adolescent and young adult patients. The incidence of NHL has nearly doubled over the past 20–40 years and continues to rise by 1.5–2% each year. Patients with both primary and secondary immunodeficiency states are predisposed to developing NHL. These include patients with HIV infection, patients who have undergone organ transplantation, and patients with inherited immune deficiencies and autoimmune conditions. The 5-year survival rate for NHL is 74% and is higher for Caucasians than it is for African Americans. The incidence of NHL and the patterns of expression of the various subtypes differ geographically and across age groups. T-cell lympho mas are more common in Asia than in Western countries, whereas certain subtypes of B-cell lymphomas such as follicular lymphoma (FL) are more common in Western countries. A specific subtype of NHL known as the angiocentric nasal T/NK-cell lymphoma has a striking geographic occurrence, being most frequent in southern Asia and parts of Latin America. Another subtype of NHL associated with infection by human T-cell lymphotropic virus (HTLV) 1 is seen particularly in southern Japan and the Caribbean (see Chap. 207). Likewise, there are differences in the age-dependent incidence of NHL by histologic subtype, with aggressive lymphomas like diffuse large B-cell lymphoma (DLBCL) and Burkitt’s lymphoma (BL) being the most common enti ties in children, and DLBCL and indolent lymphomas including FL being the most common forms in adults. The relative frequencies of the various types of lymphoid malignancies, including HL, plasma cell disorders, and lymphoid leukemias, are shown in Fig. 113-1. A number of environmental factors have been implicated in the occurrence of NHL, including infectious agents, chemical exposures, and medical treatments. Several studies have demonstrated an associa tion between exposure to agricultural chemicals and an increased inci dence of NHL. Patients treated for HL can develop NHL; it is unclear whether this is a consequence of the HL or its treatment, especially radiation. Several NHLs are associated with infectious agents (Table 113-2). Epstein-Barr virus (EBV) is associated with the development of BL in Central Africa and the occurrence of aggressive NHL in immuno suppressed patients in Western countries. The majority of primary central nervous system (CNS) lymphomas are associated with EBV. EBV infection is strongly associated with the occurrence of extrano dal nasal NK/T-cell lymphomas in Asia and </w:t>
      </w:r>
      <w:r w:rsidR="00A6019F" w:rsidRPr="00A6019F">
        <w:lastRenderedPageBreak/>
        <w:t xml:space="preserve">South America. HTLV-1 infects T cells and leads directly to the development of adult T-cell lymphoma (ATL) in a small percentage of patients infected as babies through ingestion of breast milk of infected mothers. The median age of patients with ATL is </w:t>
      </w:r>
      <w:r w:rsidR="00A6019F" w:rsidRPr="00A6019F">
        <w:rPr>
          <w:rFonts w:ascii="Cambria Math" w:hAnsi="Cambria Math" w:cs="Cambria Math"/>
        </w:rPr>
        <w:t>∼</w:t>
      </w:r>
      <w:r w:rsidR="00A6019F" w:rsidRPr="00A6019F">
        <w:t xml:space="preserve">56 years; thus, HTLV-1 demonstrates a long latency from infection to oncogenesis (Chap. 207). Infection with HIV predisposes to the development of aggressive B-cell NHL. This may be through overexpression of interleukin 6 by infected macrophages. Infection of the stomach by the bacterium Helicobacter pylori induces the development of gastric mucosa-associated lymphoid tissue (MALT) lymphomas. This association is supported by evidence that patients treated with antibiotics to eradicate H. pylori have regression of their MALT lymphoma. The bacterium does not transform lymphocytes to produce the lymphoma; instead, a vigorous immune response is made to the bacterium, and the chronic antigenic stimulation leads to the neoplasia. MALT lymphomas of the skin may be related to Borrelia species infections in Europe, those of the eyes to Chlamydophila psit taci, and those of the small intestine to Campylobacter jejuni. Chronic hepatitis C virus infection has been associated with the development of lymphoplasmacytic lymphoma and splenic marginal zone lymphoma (MZL). Human herpesvirus 8 is associated with primary effusion lym phoma in HIV-infected persons and multicentric Castleman’s disease, a diffuse lymphadenopathy associated with systemic symptoms of fever, malaise, and weight loss. In addition to infectious agents, a number of other diseases or expo sures may predispose to developing lymphoma (Table 113-3). Diseases of inherited and acquired immunodeficiency as well as autoimmune CHAPTER 113 Non-Hodgkin’s Lymphoma 858 Non-Hodgkin’s lymphoma subtypes Plasma cell disorders 16% CLL 9% Hodgkin’s disease 8.2% ALL 3.8% PART 4 Non-Hodgkin’s lymphoma 62.4% 31% Diffuse large B-cell lymphoma 22% Follicular lymphoma 7.6% MALT lymphoma 7.6% Mature T-cell lymphoma 6.7% Small lymphocytic lymphoma 6% Mantle cell lymphoma 2.4% Mediastinal large B-cell lymphoma 2.4% Anaplastic large-cell lymphoma 2.4% Burkitt’s lymphoma 1.8% Nodal marginal zone lymphoma 1.7% Precursor T-lymphoblastic lymphoma 1.2% Lymphoplasmacytic lymphoma 7.4% Others FIGURE 113-1 Relative frequency of lymphoid malignancies. ALL, acute lymphoid leukemia; CLL, chronic lymphocytic leukemia; MALT, mucosa-associated lymphoid tissue. Oncology and Hematology diseases are associated with an increased incidence of lymphoma. The association between immunosuppression and induction of NHLs is compelling because if the immunosuppression can be reversed, a percentage of these lymphomas regress spontaneously. The incidence of NHL is nearly a hundredfold increased for patients undergoing organ transplantation necessitating chronic immunosuppression and is greatest in the first year posttransplant. About 30% of these arise as a polyclonal B-cell proliferation that evolves into a clonal B-cell malignancy. The NHLs that occur in the context of immunosuppres sion or immunodeficiency, including HIV infection, are frequently associated with EBV. Histologically, DLBCLs are most frequently asso ciated with immunosuppression and autoimmune diseases, although almost all histologies </w:t>
      </w:r>
      <w:r w:rsidR="00A6019F" w:rsidRPr="00A6019F">
        <w:lastRenderedPageBreak/>
        <w:t xml:space="preserve">can be seen, especially MALT lymphomas in the context of autoimmune diseases such as Sjögren’s syndrome and Hashimoto’s thyroiditis. The rare inherited immunodeficiency diseases X-linked lymphoproliferative syndrome, Wiskott-Aldrich syndrome, Chédiak-Higashi syndrome, ataxia-telangiectasia, and common vari able immunodeficiency syndrome are complicated by highly aggressive TABLE 113-2 Infectious Agents Associated with the Development of Lymphoid Malignancies INFECTIOUS AGENT Epstein-Barr virus HTLV-1 HIV Hepatitis C virus Helicobacter pylori LYMPHOID MALIGNANCY Burkitt’s lymphoma Post–organ transplant lymphoma Primary CNS diffuse large B-cell lymphoma Hodgkin’s lymphoma Extranodal NK/T-cell lymphoma, nasal type Adult T-cell leukemia/lymphoma Diffuse large B-cell lymphoma Burkitt’s lymphoma Lymphoplasmacytic lymphoma Gastric MALT lymphoma Human herpesvirus 8 Primary effusion lymphoma Multicentric Castleman’s disease Abbreviations: CNS, central nervous system; HIV, human immunodeficiency virus; HTLV, human T-cell lymphotropic virus; MALT, mucosa-associated lymphoid tissue; NK, natural killer. lymphomas. The elevated incidence of lymphoma in iatrogenic immu nosuppression, AIDS, and autoimmune disease argues strongly for immune dysregulation contributing to the pathogenesis of some lym phomas. An increased risk of NHL has been observed in first-degree relatives with NHL, HL, or chronic lymphocytic leukemia (CLL). In large database studies, </w:t>
      </w:r>
      <w:r w:rsidR="00A6019F" w:rsidRPr="00A6019F">
        <w:rPr>
          <w:rFonts w:ascii="Cambria Math" w:hAnsi="Cambria Math" w:cs="Cambria Math"/>
        </w:rPr>
        <w:t>∼</w:t>
      </w:r>
      <w:r w:rsidR="00A6019F" w:rsidRPr="00A6019F">
        <w:t xml:space="preserve">9% of patients with lymphoma or CLL have a first-degree relative with a lymphoproliferative disorder. </w:t>
      </w:r>
      <w:r w:rsidR="00A6019F" w:rsidRPr="00A6019F">
        <w:rPr>
          <w:rFonts w:ascii="Arial" w:hAnsi="Arial" w:cs="Arial"/>
        </w:rPr>
        <w:t>■</w:t>
      </w:r>
      <w:r w:rsidR="00A6019F" w:rsidRPr="00A6019F">
        <w:t xml:space="preserve">IMMUNOLOGY All lymphoid cells are derived from a common hematopoietic pro genitor that gives rise to lymphoid, myeloid, erythroid, monocyte, and megakaryocyte lineages. Through the ordered and sequential activa tion of a series of transcription factors, the cell first becomes commit ted to the lymphoid lineage and then gives rise to B and T cells. About 90% of all lymphomas are of B-cell origin. A cell becomes committed to B-cell development when it expresses the master B lin eage transcription factor PAX5, which ultimately results in a transcrip tional program that leads to the rearrangement of its immunoglobulin genes, which involves chromosomal recombination as well as somatic hypermutation to create an immunoglobulin gene that is unique to that B cell. The sequence of cellular changes, including changes in TABLE 113-3 Diseases or Exposures Associated with Increased Risk of Development of Malignant Lymphoma Inherited immunodeficiency disease Klinefelter’s syndrome Chédiak-Higashi syndrome Ataxia-telangiectasia syndrome Wiskott-Aldrich syndrome Common variable immunodeficiency disease Acquired immunodeficiency diseases Iatrogenic immunosuppression HIV-1 infection Acquired hypogammaglobulinemia Autoimmune disease Sjögren’s syndrome Celiac sprue Rheumatoid arthritis and systemic lupus erythematosus Chemical or drug exposures Phenytoin Dioxin, phenoxy herbicides Radiation Prior chemotherapy and radiation therapy Anti-TNF drugs Abbreviations: HIV, human immunodeficiency virus; TNF, tumor necrosis factor. Non-Hodgkin’s Lymphoma 859 CHAPTER 113 TdT TdT HCR HCR λR or D TdT HCR κR or D H Unclassified ALL HLA–DR+ CD19+ HLA–DR+ CD19+ CD10+ HLA–DR+ CD19+ CD10+ CD20+ CD22+ HLA–DR+ CD19+ CD20+ CD22+ CD21+ </w:t>
      </w:r>
      <w:r w:rsidR="00A6019F" w:rsidRPr="00A6019F">
        <w:lastRenderedPageBreak/>
        <w:t xml:space="preserve">HLA–DR+ CD19+ CD20+ CD22+ CD21+ HLA–DR+ CD19+ CD20+ CD22+ CD21+ HLA–DR+ CD19+/− CD20+ CD22+/− CD21+/− H Burkitt’s Lymphoid follicle IgM IgD HLA–DR+ CD19+ CD10+/− CD20+ CD22+ CD21+ CD5+ HLA–DR+ CD19+ CD20+ CD22+/− CD21+ CD5+ Waldenström’s Follicular center B cells Multiple myeloma Mantle cell lymphoma CLL SL Pre–B ALL Follicular/diffuse lymphomas Bone marrow IgM IgG IgM IgM IgM IgD IgM±IgG or IgG IgM±IgD CD19+/− CD20+ CD38+ CD38+ PCA–1+ Lymphoid stem cell Early B cells Intermediate B cells Mature B cells Antigen-independent differentiation Antigen-driven differentiation Mantle zone B cells Secretory B cells FIGURE 113-2 Pathway of normal B-cell differentiation and relationship to B-cell lymphomas. HLA-DR, CD10, CD19, CD20, CD21, CD22, CD5, and CD38 are cell markers used to distinguish stages of development. Terminal transferase (TdT) is a cellular enzyme. Immunoglobulin heavy chain gene rearrangement (HCR) and light chain gene rearrangement or deletion (κR or D, λR or D) occur early in B-cell development. The approximate normal stage of differentiation associated with particular lymphomas is shown. ALL, acute lymphoid leukemia; CLL, chronic lymphocytic leukemia; SL, small lymphocytic lymphoma. cell-surface phenotype that characterizes normal B-cell development, is shown in Fig. 113-2. Most B-cell lymphomas arise following the process of immunoglobulin gene recombination and somatic hyper mutation, which leads to class switching and affinity maturation of the mature immunoglobulin, respectively, suggesting that it is the error prone nature of these genetic events that contributes to oncogenesis. Certainly the frequency of chromosomal translocations that result in the activation of an oncogene or the inactivation of a tumor-suppressor gene in B-cell NHL may be the result of these normal cellular processes gone awry (see below). In addition, the key roles of the transcription factors MYC and BCL6 and the antiapoptotic protein BCL2 in the process of B-cell development explain why the genes encoding these proteins are commonly mutated in B-cell lymphomas. A cell becomes committed to T-cell differentiation upon migration to the thymus and rearrangement of T-cell receptor (TCR) genes. This requires the expression of the T-cell master regulatory transcription factor, NOTCH-1. As in B cells, the development of the mature TCR involves the rearrangement and recombination of the TCR loci, which is error-prone and potentially oncogenic. The sequence of the events that characterize T-cell development is depicted in Fig. 113-3. Although lymphoid malignancies often retain the cell-surface phenotype of lymphoid cells at particular stages of differentiation, this information is of little clinical or prognostic consequence. The so-called stage of differentiation of a malignant lymphoma does not predict its natural history. The antigen footprint, or immunopheno type, of the cell, however, is valuable diagnostically as it allows for the distinguishing of specific NHL subtypes. It can be detected by flow cytometry of single-cell suspension from blood, bone marrow, body fluid, or disaggregated tissue using fluorescently labeled antibodies against these antigens or by immunohistochemical staining of paraffin embedded tissue sections with enzyme-linked antibodies against these antigens followed by a colorimetric reaction. As already mentioned, malignancies of </w:t>
      </w:r>
      <w:r w:rsidR="00A6019F" w:rsidRPr="00A6019F">
        <w:lastRenderedPageBreak/>
        <w:t xml:space="preserve">lymphoid cells are associated with recurring genetic abnormalities including chromosomal translo cations and genetic mutations that may in part be the result of aberrant immunoglobulin or TCR development. While specific genetic abnor malities have not been identified for all subtypes of lymphoid malig nancies, it is presumed that they exist. As previously discussed, B cells are even more susceptible to acquiring mutations during their matura tion in germinal centers; the generation of antibody of higher affinity requires the introduction of mutations into the variable region genes in the germinal centers. Given this, other nonimmunoglobulin genes, e.g., bcl-6, may acquire mutations as well. Likewise, many lymphomas con tain balanced chromosomal translocations involving the antigen recep tor genes; immunoglobulin genes on chromosomes 2, 14, and 22 in B cells; and T-cell antigen receptor genes on chromosomes 7 and 14 in T cells. The rearrangement of chromosome segments to generate mature antigen receptors must create a site of vulnerability to aberrant recom bination. Examples of this type of event include the (8;14)(q24;q32) translocation in BL, involving the MYC proto-oncogene and the IgH gene; the (14;18)(q32;q32) translocation in FL, involving the BCL2 proto-oncogene and the IgH gene; and the (11;14) (q13;q32) translo cation in mantle cell lymphoma (MCL), involving the gene encoding cyclin D1 (CCDN1) and the IgH gene. Less commonly, chromosomal 860 PART 4 Oncology and Hematology TABLE 113-4 Genetic Features of B- and T-Cell Lymphomas GENETIC FEATURE GENES LYMPHOMA t(8;14) t(2;8) t(8;22) MYC/IgH MYC/Igκ MYC/Ig λ Burkitt’s lymphoma t(11;14) BCL1 (CCND1)/IgH Mantle cell lymphoma; multiple myeloma t(14;18) t(3;14) BCL2/IgH BCL6/IgH Follicular lymphoma, diffuse large B-cell lymphoma (DLBCL) t(11;18) t(1;14) t(14;18) t(3;14) API2/MALT1 BCL10/IgH MALT1/IgH FOXP1/IgH MALT lymphoma Trisomy 3 7q21 deletion Unknown CDK6 Splenic marginal zone lymphoma t(9;14) 6q21 deletion PAX5/IgH Unknown Lymphoplasmacytic lymphoma inv(14) t(14;14) TCRα/TCL1 Peripheral T-cell lymphoma, NOS; T-PLL t(2;5) t(1;2) t(2;3) t(2;17) inv(2) NPM1/ALK TPM3/ALK TFG/ALK CTLC/ALK ATIC/ALK Anaplastic large-cell lymphoma (ALCL) Trisomy 3 Trisomy 5 Unknown Unknown Angioimmunoblastic T-cell lymphoma Isochromosome 7q Unknown Hepatosplenic T-cell lymphoma Abbreviations: MALT, mucosa-associated lymphoid tissue; NOS, not otherwise specified; T-PLL, T-cell prolymphocytic leukemia. T-CELL DIFFERENTIATION T-CELL MALIGNANCIES THYMUS Stage I Prothymocyte Stage II Thymocyte Stage III Thymocyte Majority of T-cell ALL Minority of T-ALL Majority of T-LL Minority of T-LL Rare T-ALL Majority of T-CLL, CTCL, Sezary Cell, NHL Minority of T-CLL, NHL Mature T Helper Cell Mature T Cytotoxic/ Suppressor Cell CD: 2, 7, 38, 71 CD: 1, 2, 4, 7, 8, 38 CD: 2, 3, 4/8, 5, 6, 7; TCR CD: 2, 3, 4, 5, 6, 7; TCR CD: 2, 3, 5, 6, 7, 8; TCR PERIPHERAL BLOOD AND NODES FIGURE 113-3 Pathway of normal T-cell differentiation and relationship to T-cell lymphomas. CD1, CD2, CD3, CD4, CD5, CD6, CD7, CD8, CD38, and CD71 are cell markers used to distinguish stages of development. T-cell antigen receptors (TCR) rearrange in the thymus, and mature T cells emigrate to nodes and peripheral blood. ALL, acute lymphoid leukemia; CTCL, cutaneous T-cell lymphoma; NHL, non Hodgkin’s </w:t>
      </w:r>
      <w:r w:rsidR="00A6019F" w:rsidRPr="00A6019F">
        <w:lastRenderedPageBreak/>
        <w:t xml:space="preserve">lymphoma; T-ALL, T-cell ALL; T-CLL, T-cell chronic lymphocytic leukemia; T-LL, T-cell lymphoblastic lymphoma. translocations produce fusion genes that encode chimeric oncogenic proteins. Examples of this include the (2;5)(p23;q35) translocation involving the ALK and NPM1 genes in anaplastic large-cell lymphoma (ALCL) and the t(11;18)(q21;q21) translocation involving the API2 and MLT genes in MALT lymphoma. Table 113-4 presents the most common translocations and associated oncogenes for various subtypes of lymphoid malignancies. Gene profiling using array technology allows the simultaneous assessment of the expression of thousands of genes. This technology provides the possibility to identify new genes with pathologic impor tance in lymphomas, the identification of patterns of gene expression with diagnostic and/or prognostic significance, and the identification of new therapeutic targets. Recognition of patterns of gene expression is complicated and requires sophisticated mathematical techniques. Early successes using this technology in lymphoma include the iden tification of previously unrecognized subtypes of DLBCL whose gene expression patterns resemble either those of follicular or germinal cen ter B (GCB) cells or activated peripheral blood B cells (ABC). Patients whose lymphomas have a GCB-like pattern of gene expression have a considerably better prognosis than those whose lymphomas have a pattern resembling ABCs. This improved prognosis is independent of other known prognostic factors. These subcategories have been more specifically refined into five subcategories, using more advanced genetic sequencing techniques, that differ with respect to biology and driver genes, as well as prognosis, and may have important treatment implications in the future. Similar information is being generated in FL and MCL. The challenge remains to provide information from such techniques in a clinically useful time frame. APPROACH TO THE PATIENT Regardless of the type of lymphoid malignancy, the initial evalua tion of the patient should include performance of a careful history and physical examination. These will help confirm the diagnosis, identify those manifestations of the disease that might require prompt attention, and aid in the selection of further studies to optimally characterize the patient’s status to allow the best choice of therapy. It is difficult to overemphasize the importance of a care fully done history and physical examination. They might provide observations that lead to reconsidering the diagnosis, provide hints at etiology, clarify the stage, and allow the physician to establish rap port with the patient that will make it possible to develop and carry out a therapeutic plan. The duration of symptoms and pace of symptomatic progres sion are important in distinguishing aggressive from more indo lent lymphomas, as are the presence or absence of “B” symptoms, such as fevers, night sweats, or unexplained weight loss. Patients should be asked about localizing symptoms that may point toward lymphomatous involvement of specific sites, such as the chest, abdomen, or CNS. Comorbid diagnoses that may impact therapy or monitoring on therapy should be reviewed and acknowledged, including a history of diabetes or congestive heart failure. A physi cal examination should pay close attention to all the peripherally accessible sites of lymph nodes; the liver and spleen size; Waldeyer’s ring; whether </w:t>
      </w:r>
      <w:r w:rsidR="00A6019F" w:rsidRPr="00A6019F">
        <w:lastRenderedPageBreak/>
        <w:t xml:space="preserve">there is a pleural or pericardial effusion or abdominal ascites; whether there is an abdominal, testicular, or breast mass; and whether there is cutaneous involvement because all of these findings may influence further evaluation and disease management. Laboratory studies should include a complete blood count, routine chemistries, liver function tests, and serum protein elec trophoresis to document the presence of circulating monoclonal paraproteins. The serum β2-microglobulin level and serum lactate dehydrogenase (LDH) are important independent prognostic fac tors in NHL. Staging of certain diseases may involve a bone mar row biopsy; results of other laboratory and staging studies may also warrant a marrow evaluation. A lumbar puncture for evaluation of lymphomatous involvement may be indicated in the setting of concerning neurologic signs or symptoms or diseases that are high Non-Hodgkin’s Lymphoma 861 CHAPTER 113 TABLE 113-5 Staging Evaluation for Non-Hodgkin’s Lymphoma Physical examination Documentation of B symptoms Laboratory evaluation Complete blood counts Liver function tests Uric acid Calcium Serum protein electrophoresis Serum β2-microglobulin Chest radiograph CT scan of abdomen, pelvis, and usually chest Bone marrow biopsy Lumbar puncture in lymphoblastic, Burkitt’s, and diffuse large B-cell lymphoma with positive marrow biopsy Gallium scan (SPECT) or PET scan in large-cell lymphoma Abbreviations: CT, computed tomography; PET, positron emission tomography; SPECT, single-photon emission computed tomography. TABLE 113-6 Ann Arbor Staging for Lymphomaa STAGE DESCRIPTION I Involvement of a single lymph node region (I) or single extranodal site (IE) II Involvement of two or more lymph node regions or lymphatic structures on the same side of the diaphragm alone (II) or with involvement of limited, contiguous, extralymphatic organ or tissue (IIE) III Involvement of lymph node regions on both sides of the diaphragm (III), which may include the spleen (IIIS), or limited, contiguous, extralymphatic organ or tissue (IIIE), or both (IIIES) IV Diffuse or disseminated foci of involvement of one or more extralymphatic organs or tissues, with or without associated lymphatic involvement aAll stages are further subdivided according to the absence (A) or presence (B) of systemic B symptoms including fevers, night sweats, and/or weight loss (&gt;10% of body weight over 6 months prior to diagnosis). TABLE 113-7 International Prognostic Index for NHL Five Clinical Risk Factors Age ≥60 years Serum lactate dehydrogenase levels elevated Performance status ≥2 (ECOG) or ≤70 (Karnofsky) Ann Arbor stage III or IV &gt;1 site of extranodal involvement For Diffuse Large B-Cell Lymphoma 0, 1 factor = low risk 35% of cases; 5-year survival, 73% 2 factors = low-intermediate risk 27% of cases; 5-year survival, 51% 3 factors = high-intermediate risk 22% of cases; 5-year survival, 43% 4, 5 factors = high risk 16% of cases; 5-year survival, 26% For Diffuse Large B-Cell Lymphoma Treated With R-CHOP 0 factor = good 10% of cases; 4-year survival, 94% 1, 2 factors = intermediate 45% of cases; 4-year survival, 80% 3, 4, 5 factors = poor 45% of cases; 4-year survival, 53% Abbreviations: ECOG, Eastern Cooperative Oncology Group; NHL, non-Hodgkin’s lymphoma; R-CHOP, rituximab, cyclophosphamide, doxorubicin, vincristine, prednisone. risk for CNS involvement. The latter may include </w:t>
      </w:r>
      <w:r w:rsidR="00A6019F" w:rsidRPr="00A6019F">
        <w:lastRenderedPageBreak/>
        <w:t xml:space="preserve">disease involv ing the paranasal sinuses, testes, breast, kidneys, adrenal glands, and epidural space, as well as highly aggressive histologies like BL. Since HIV and hepatitis B and C infection can be risk factors for developing NHL, and since treatment for some NHLs can result in the potentially life-threatening reactivation of hepatitis B, patients with a new diagnosis of NHL should be screened for these viruses as well. Lymphoma histology and clinical presentation dictate which imaging studies should be ordered. Chest, abdominal, and pelvic computed tomography (CT) scans are essential for accurate stag ing to assess lymphadenopathy for indolent lymphomas, whereas positron emission tomography (PET) using 18F-fluorodeoxyglucose (FDG-PET) is useful for aggressive lymphomas, including BL, DLBCL, plasmablastic lymphoma, and the aggressive T-cell NHLs. FDG-PET is highly sensitive for detecting both nodal and extra nodal sites involved by NHL. The intensity of FDG avidity, or standardized uptake value (SUV), correlates with histologic aggres siveness, and may be useful in cases when disease transformation of an indolent lymphoma to a diffuse aggressive lymphoma is sus pected. PET scanning can also differentiate between treated disease and active disease at the end of therapy in patients with residual masses on CT scans. Consensus recommendations regarding PET scanning were published as a result of an International Harmoniza tion Project and state that PET should only be used for DLBCL and HL, that scanning during therapy should only be done as part of clinical trials, and that the end-of-treatment scan should not be done before 3 weeks but preferably 6–8 weeks after chemotherapy and 8–12 weeks after radiation or chemoradiotherapy. There is no evidence that long-term follow-up should include PET scanning. More recently, though, PET scan results at the end of therapy for FL have been associated with prognosis, with patients with residual PET-avid disease at the end of treatment having a poorer prognosis than those who are PET negative, and so it may be used for this prognostic purpose. Finally, magnetic resonance imaging (MRI) is useful in detecting bone, bone marrow, and CNS disease in the brain and spinal cord. The staging evaluation is outlined in Table 113-5. The Ann Arbor staging system developed in 1971 for HL was adapted for staging NHLs (Table 113-6). This staging system focuses on the number of tumor sites (nodal and extranodal), location, and the presence or absence of systemic, or B, symptoms. Table 113-6 summarizes the essential features of the Ann Arbor system. This anatomic based system is less useful in NHL, which dis seminates widely, not in an ordered stepwise fashion. A majority of patients with NHL have advanced-stage disease at diagnosis. Apart from early-stage disease limited to a radiation field where local therapy with radiation is an option, all other disease is treated the same regardless of stage. Histology and clinical parameters at pre sentation are more important than stage with respect to prognosis. The International Prognostic Index (IPI) is perhaps the best predic tor of outcome (Table 113-7). The IPI was developed based on the analysis of &gt;2000 patients with aggressive NHLs treated with an anthracycline-containing regimen. Age (≤60 vs &gt;60), serum LDH (≤ normal vs &gt; normal), performance status (0 or 1 vs 2–4), stage (I or II vs III or IV), and extranodal involvement (1 site) were </w:t>
      </w:r>
      <w:r w:rsidR="00A6019F" w:rsidRPr="00A6019F">
        <w:lastRenderedPageBreak/>
        <w:t xml:space="preserve">identified as independently prognostic for overall survival (OS). A point is awarded for each risk factor and then summed, defining four risk groups: low (0 or 1); low-intermediate (2); high intermediate (3); and high (4–5). The 5-year OS rates for patients with scores of 0–1, 2, 3, and 4–5 were 73, 51, 43, and 26%, respec tively. The age-adjusted IPI separates patients ≤60 from patients &gt;60. For the age-adjusted IPI, only stage, LDH, and performance status were important. Younger patients with 0, 1, 2, or 3 risk factors had 5-year survival rates of 83, 69, 46, and 32%, compared to 56, 44, 37, and 21% for older patients. When factoring in the introduction and clinical benefit of rituximab, the 4-year progression-free sur vival rates are 94, 80, and 53% for 0–1, 2, or 3 or more risk factors, respectively. The Follicular Lymphoma International Prognostic Index (FLIPI) is a similar predictive model for FL, derived from the analysis of &gt;4000 patients. Age &gt;60, stage III/IV disease, the 862 FIGURE 113-4 Burkitt’s lymphoma. The neoplastic cells are homogeneous, medium sized B cells with frequent mitotic figures, a morphologic correlate of high growth fraction. Reactive macrophages are scattered through the tumor, and their pale cytoplasm in a background of blue-staining tumor cells gives the tumor a so-called starry sky appearance. PART 4 Oncology and Hematology presence of &gt;4 nodal sites, an elevated serum LDH concentration, and a hemoglobin 95% of the cases. The most common partners are chromosomes 14, 2, or 22, rearrangements that produce fusions of MYC with either the IgH (80%), kappa (15%), or lambda (5%) light chain genes, respectively. While exquisitely chemosensitive, it is imperative that treatment for BL be initiated quickly given the rapid doubling time and high morbidity of this disease. There are several effective intensive combi nation chemotherapy regimens, all of which incorporate high doses of cyclophosphamide. Prophylactic therapy to the CNS is mandatory. Cure can be expected in 80–90% of patients when treated promptly and correctly. Modified Magrath and dose-adjusted EPOCH-R (ritux imab, infusional etoposide/vincristine/doxorubicin, cyclophospha mide, prednisone) are highly effective regimens. Salvage therapy has been generally ineffective in patients whose disease progresses after upfront therapy, emphasizing the importance of the initial treatment approach and referral to a tertiary cancer center with experience treat ing this disease. Diffuse Large B-Cell Lymphoma DLBCL is the most common histologic subtype of NHL diagnosed, representing about one-third of all cases. Previously felt to be “one disease,” it is now recognized as a heterogeneous collection of multiple entities. It is slightly more com mon in Caucasians and men, and the median age at diagnosis is 64. The relative risk (RR) of DLBCL is higher among people with affected first-degree relatives (RR 3.5-fold), and patients with congenital or acquired immunodeficiency, patients on immunosuppression, and patients with autoimmune disorders also have a higher risk of develop ing DLBCL, often EBV-related. The majority of patients present with advanced-stage disease, with only 30–40% of patients having stage I or II disease; </w:t>
      </w:r>
      <w:r w:rsidR="00A6019F" w:rsidRPr="00A6019F">
        <w:rPr>
          <w:rFonts w:ascii="Cambria Math" w:hAnsi="Cambria Math" w:cs="Cambria Math"/>
        </w:rPr>
        <w:t>∼</w:t>
      </w:r>
      <w:r w:rsidR="00A6019F" w:rsidRPr="00A6019F">
        <w:t xml:space="preserve">40% of patients will have </w:t>
      </w:r>
      <w:r w:rsidR="00A6019F" w:rsidRPr="00A6019F">
        <w:rPr>
          <w:rFonts w:ascii="Aptos" w:hAnsi="Aptos" w:cs="Aptos"/>
        </w:rPr>
        <w:t>“</w:t>
      </w:r>
      <w:r w:rsidR="00A6019F" w:rsidRPr="00A6019F">
        <w:t>B</w:t>
      </w:r>
      <w:r w:rsidR="00A6019F" w:rsidRPr="00A6019F">
        <w:rPr>
          <w:rFonts w:ascii="Aptos" w:hAnsi="Aptos" w:cs="Aptos"/>
        </w:rPr>
        <w:t>”</w:t>
      </w:r>
      <w:r w:rsidR="00A6019F" w:rsidRPr="00A6019F">
        <w:t xml:space="preserve"> symptoms, and 50% of patients will have an elevated LDH. Up to 40% of patients will have involvement of non</w:t>
      </w:r>
      <w:r w:rsidR="00A6019F" w:rsidRPr="00A6019F">
        <w:rPr>
          <w:rFonts w:ascii="Aptos" w:hAnsi="Aptos" w:cs="Aptos"/>
        </w:rPr>
        <w:t>–</w:t>
      </w:r>
      <w:r w:rsidR="00A6019F" w:rsidRPr="00A6019F">
        <w:t xml:space="preserve">lymph node sites including bone marrow, CNS, gastrointestinal tract, thyroid, liver, </w:t>
      </w:r>
      <w:r w:rsidR="00A6019F" w:rsidRPr="00A6019F">
        <w:lastRenderedPageBreak/>
        <w:t xml:space="preserve">and skin. Patients with extensive bone marrow involvement or involvement of the testes, breast, kidney, adrenal gland, paranasal sinus, or epidural space are at increased risk of CNS dissemination. The tumor consists of a diffuse proliferation of large, atypical lym phocytes with a high proliferative index (Fig. 113-5). These cells typi cally express the B-cell antigens CD19, CD20, and CD79a. Expression of CD10 and BCL6 is consistent with the tumor cell being of germinal center origin (GCB), while the expression of MUM1 corresponds with the non–germinal center or ABC subtype. BCL2 is overexpressed in anywhere from 25 to 80% of DLBCLs, whereas BCL6 is positive in more than two-thirds of cases, as the result of translocations, gain of copy number, or promoter mutations. MYC is rearranged in 10% of DLBCLs, and </w:t>
      </w:r>
      <w:r w:rsidR="00A6019F" w:rsidRPr="00A6019F">
        <w:rPr>
          <w:rFonts w:ascii="Cambria Math" w:hAnsi="Cambria Math" w:cs="Cambria Math"/>
        </w:rPr>
        <w:t>∼</w:t>
      </w:r>
      <w:r w:rsidR="00A6019F" w:rsidRPr="00A6019F">
        <w:t xml:space="preserve">20% of MYC-rearranged cases have a concurrent BCL2 rearrangement, a combination referred to as </w:t>
      </w:r>
      <w:r w:rsidR="00A6019F" w:rsidRPr="00A6019F">
        <w:rPr>
          <w:rFonts w:ascii="Aptos" w:hAnsi="Aptos" w:cs="Aptos"/>
        </w:rPr>
        <w:t>“</w:t>
      </w:r>
      <w:r w:rsidR="00A6019F" w:rsidRPr="00A6019F">
        <w:t>double-hit lymphoma.</w:t>
      </w:r>
      <w:r w:rsidR="00A6019F" w:rsidRPr="00A6019F">
        <w:rPr>
          <w:rFonts w:ascii="Aptos" w:hAnsi="Aptos" w:cs="Aptos"/>
        </w:rPr>
        <w:t>”</w:t>
      </w:r>
      <w:r w:rsidR="00A6019F" w:rsidRPr="00A6019F">
        <w:t xml:space="preserve"> These double-hit lymphomas constitute one subtype of high-grade B-cell lymphoma (HGBL) and are associated with an extremely poor 863 FIGURE 113-5 Diffuse large B-cell lymphoma. The neoplastic cells are heterogeneous but predominantly large cells with vesicular chromatin and prominent nucleoli. prognosis with a median OS of only 12–18 months. The other subtype of HGBL is called HGBL not otherwise specified (NOS) and is defined based on blastoid or Burkitt-like morphologic features. Amplification and/or overexpression of MYC independent of rearrangements or amplification have also been described and are also associated with a poor, albeit better, prognosis. Combination chemotherapy offers potentially curative therapy for DLBCL, regardless of the stage. The addition of the anti-CD20 antibody rituximab to cyclophosphamide, doxorubicin, vincristine, and prednisone (R-CHOP) improved survival beyond CHOP alone and has been the standard first-line chemotherapy for this disease for decades. The combination of R-CHP (R-CHOP without vincristine) and the antibody-drug conjugate (ADC) polatuzumab was compared to R-CHOP in the randomized POLARIX study and demonstrated a progression-free survival benefit with polatuzumab–R-CHP, leading to the approval of this regimen as a new standard option for patients with IPI 2 or higher disease. For patients with early-stage disease localized to a radiation field, treatment options include full-course chemotherapy with R-CHOP every 3 weeks for six cycles or abbreviated chemo therapy for three to four cycles followed by involved field radiotherapy. The randomized FLYER studies compared four versus six cycles of R-CHOP chemotherapy for early favorable-risk DLBCL and showed no benefit to a more extended course of chemotherapy. For advanced stage DLBCL, therapy is with a full course of chemotherapy. On aver age, </w:t>
      </w:r>
      <w:r w:rsidR="00A6019F" w:rsidRPr="00A6019F">
        <w:rPr>
          <w:rFonts w:ascii="Cambria Math" w:hAnsi="Cambria Math" w:cs="Cambria Math"/>
        </w:rPr>
        <w:t>∼</w:t>
      </w:r>
      <w:r w:rsidR="00A6019F" w:rsidRPr="00A6019F">
        <w:t>65</w:t>
      </w:r>
      <w:r w:rsidR="00A6019F" w:rsidRPr="00A6019F">
        <w:rPr>
          <w:rFonts w:ascii="Aptos" w:hAnsi="Aptos" w:cs="Aptos"/>
        </w:rPr>
        <w:t>–</w:t>
      </w:r>
      <w:r w:rsidR="00A6019F" w:rsidRPr="00A6019F">
        <w:t xml:space="preserve">70% of patients with DLBCL can be expected to be cured with this approach, and the likelihood of cure is predicted by the IPI, gene expression profile cell of origin, and/or MYC cytogenetics and expres sion. Several studies, other than the above mentioned POLARIX study, have investigated alternative anthracycline-containing chemotherapy regimens and/or consolidation autologous stem cell transplanta tion in first remission for higher-risk disease without improvement over R-CHOP alone. Dose-adjusted R-EPOCH is one such regimen. Although this regimen did not appear to be better than R-CHOP for DLBCL in one </w:t>
      </w:r>
      <w:r w:rsidR="00A6019F" w:rsidRPr="00A6019F">
        <w:lastRenderedPageBreak/>
        <w:t xml:space="preserve">multicenter clinical trial, it is often used to treat primary mediastinal large B-cell lymphoma and double-hit DLBCL based on results from phase 2 and retrospective studies, respectively. CNS pro phylaxis with either intrathecal chemotherapy or high-dose systemic methotrexate and leucovorin rescue offers unclear benefit to patients at high risk for CNS relapse and is increasingly not being used based on results of retrospective and observational studies. Over one-third of patients will either have primary refractory disease or disease that relapses after first-line chemotherapy. These patients may still be cured with either salvage chemotherapy regimens followed by autologous stem cell transplantation (for patients relaps ing &gt;12 months from the completion of therapy) or CD19 chimeric antigen receptor (CAR) T cells (for patients with primary refractory or early relapsing disease or those who are not felt to be autologous stem cell transplantation candidates). However, patients with a poor performance status or certain comorbid conditions who are not can didates for such approaches are often managed with palliative inten tions. Radiation to symptomatic areas of disease can be transiently helpful. Less intensive chemotherapy with drugs such as gemcitabine, cytarabine, or bendamustine can help control disease and symptoms for a limited period of time. Newer drugs including the CD79b ADC polatuzumab in combination with bendamustine and rituximab (BR), the high-affinity CD19 monoclonal antibody (mAb) tafasitamab in combination with lenalidomide, the CD19 ADC loncastuximab, and the CD20-CD3 bispecific antibodies epcoritamab and glofitamab have been approved for use in these palliative settings as well as for patients who relapse after CAR-T therapy or autologous stem cell transplanta tion. Some of these agents can be used as a bridge to a definitive allo geneic stem cell transplantation For patients in whom more aggressive therapy is an option, treatment for late relapsing patients is with combination chemotherapy using vari ous combinations of drugs primarily in order to identify patients with chemosensitive disease. Patients with chemosensitive disease have the greatest likelihood of benefiting from high-dose chemotherapy and autologous stem cell transplant, which improves response duration and survival over salvage chemotherapy alone and leads to long-term disease-free survival in </w:t>
      </w:r>
      <w:r w:rsidR="00A6019F" w:rsidRPr="00A6019F">
        <w:rPr>
          <w:rFonts w:ascii="Cambria Math" w:hAnsi="Cambria Math" w:cs="Cambria Math"/>
        </w:rPr>
        <w:t>∼</w:t>
      </w:r>
      <w:r w:rsidR="00A6019F" w:rsidRPr="00A6019F">
        <w:t>40</w:t>
      </w:r>
      <w:r w:rsidR="00A6019F" w:rsidRPr="00A6019F">
        <w:rPr>
          <w:rFonts w:ascii="Aptos" w:hAnsi="Aptos" w:cs="Aptos"/>
        </w:rPr>
        <w:t>–</w:t>
      </w:r>
      <w:r w:rsidR="00A6019F" w:rsidRPr="00A6019F">
        <w:t xml:space="preserve">50% of patients. The randomized ZUMA-7 and TRANSFORM studies of the CD19 CAR-T therapies axicabtagene ciloleucel (axi-cel) and lisocabtagene autoleucel (liso-cel) established both of these CAR-T therapies as the most effective option for patients with primary refractory or early (80%, with &gt;50% of patients achieving a complete response. These responses appear to be durable, with 40% of patients in remission at long-term follow-up. CHAPTER 113 Non-Hodgkin’s Lymphoma Other large B-cell lymphomas include intravascular large B-cell lymphoma, T-cell/histiocyte–rich large B-cell lymphoma, EBV-positive DLBCL of the elderly, and ALK-positive large B-cell lymphoma. Patients with the latter two diseases tend to have a poor progno sis, whereas the addition of rituximab to CHOP chemotherapy has dramatically improved outcomes with intravascular large B-cell lymphoma, and the outcomes in T-cell/histiocyte–rich large B-cell lymphoma are similar to DLBCL. R-CHOP remains the </w:t>
      </w:r>
      <w:r w:rsidR="00A6019F" w:rsidRPr="00A6019F">
        <w:lastRenderedPageBreak/>
        <w:t xml:space="preserve">treatment of choice for each of these lymphomas. Follicular Lymphoma FLs are the second leading NHL diagnosis in the United States and Europe and make up 22% of NHLs worldwide and at least 30% of NHLs diagnosed in the United States. This type of lymphoma can be diagnosed accurately on morphologic findings alone and has been the diagnosis in the majority of patients in therapeutic trials for “low-grade” lymphoma in the past. Evaluation of an adequate biopsy by an expert hematopathologist is sufficient to make a diagnosis of FL. The tumor is composed of small cleaved and large cells in varying proportions organized in a follicular pattern of growth (Fig. 113-6). Confirmation of B-cell immunopheno type (monoclonal immunoglobulin light chain, CD19, CD20, CD10, and BCL6 positive, and CD5 and CD23 negative) and the existence of t(14;18) and abnormal expression of BCL2 protein are confirmatory. 864 FIGURE 113-6 Follicular lymphoma. The normal nodal architecture is effaced by nodular expansions of tumor cells. Nodules vary in size and contain predominantly small lymphocytes with cleaved nuclei along with variable numbers of larger cells with vesicular chromatin and prominent nucleoli. PART 4 Oncology and Hematology While &gt;85% of FLs will harbor a t(14;18) and overexpress the anti apoptotic protein BCL2, this genetic event is necessary but not suffi cient for malignant transformation of the B lymphocytes, and multiple genetic events are required for the development of FL. Studies have identified the most common recurrent genetic events in FL, and they included mutations in several epigenetic modifying genes, including MLL2, EZH2, CREBBP, and EP300. The major differential diagnosis is between lymphoma and reactive follicular hyperplasia. The coexistence of DLBCL must be considered. Patients with FL are often subclassi fied, or graded, into those with predominantly small cells, those with a mixture of small and large cells, and those with predominantly large cells. The WHO classification adopted grading from I to III based on the number of centroblasts, or large cells, counted per high-power field (hpf): grade I, from 0 to 5 centroblasts/hpf; grade II, from 6 to 15 centroblasts/hpf; and grade III, &gt;15 centroblasts/hpf. Grade III has been subdivided into grade IIIa, in which centrocytes predominate, and follicular large B-cell lymphoma (FLBCL), in which there are sheets of centroblasts. While this distinction cannot be made simply or very reproducibly, these subdivisions do have prognostic significance. Patients with FL with predominantly large cells have a higher prolifera tive fraction, progress more rapidly, and have a shorter OS with simple chemotherapy regimens. FLBCL is an aggressive disease and consid ered most similar to DLBCL and treated as such with curative intent. The most common presentation for FL is with new, painless lymph adenopathy. Multiple sites of lymphoid involvement are typical, and unusual sites such as epitrochlear nodes are sometimes seen. However, essentially any organ can be involved, and extranodal presentations do occur. Most patients do not have an elevated LDH or fevers, night sweats, or weight loss, although histologic transformation to DLBCL does occur at a rate of </w:t>
      </w:r>
      <w:r w:rsidR="00A6019F" w:rsidRPr="00A6019F">
        <w:rPr>
          <w:rFonts w:ascii="Cambria Math" w:hAnsi="Cambria Math" w:cs="Cambria Math"/>
        </w:rPr>
        <w:t>∼</w:t>
      </w:r>
      <w:r w:rsidR="00A6019F" w:rsidRPr="00A6019F">
        <w:t xml:space="preserve">3% per year and can be associated with these signs or symptoms. As discussed previously, prognosis is best predicted by the FLIPI. Staging is typically done with CT scans of the chest, abdomen, and pelvis, as </w:t>
      </w:r>
      <w:r w:rsidR="00A6019F" w:rsidRPr="00A6019F">
        <w:lastRenderedPageBreak/>
        <w:t xml:space="preserve">well as the neck if neck disease is suspected, although PET/CT scans can be helpful in cases where disease trans formation is suspected, as transformed disease will be more FDG avid than indolent disease, or for confirmation of early-stage disease, where definitive local therapy with radiation may be considered. Although FL is highly sensitive to chemotherapy and radiotherapy, these therapies are usually not ultimately curative, except in the setting of early-stage disease. If the disease can be encompassed in a radiation field, involved field radiotherapy at a dose of 24–30 Gy may be cura tive, with 5-, 10-, and 15-year freedom from treatment failure rates of 72, 46, and 39%, and overall 5-, 10-, and 15-year survival rates of 93, 75, and 62%, respectively. If radiation therapy would not be toler ated or if a patient prefers not to receive radiation, observation is a reasonable alternative with a median time to treatment not reached at 7 years of follow-up in one study. Many of these patients are diagnosed incidentally or at a time when their lymphoma is not causing symp toms or signs of organ function impairment. Numerous studies have shown that treating patients with asymptomatic disease does not improve survival compared with a program of close observation, with treatment reserved for symptomatic disease progression or organ dys function. Thus, asymptomatic patients should be observed. When systemic treatment is indicated, a variety of treatment options are available, including the use of the monoclonal antibody against CD20, rituximab, alone or in combination with chemotherapy or with the oral drug lenalidomide. Treatment decisions are often determined by the indication for treatment and/or by the volume of disease being treated. For patients requiring therapy for inflamma tory or autoimmune phenomenon thought to be driven by FL or for patients with low-volume disease, single-agent rituximab is associ ated with a response rate of </w:t>
      </w:r>
      <w:r w:rsidR="00A6019F" w:rsidRPr="00A6019F">
        <w:rPr>
          <w:rFonts w:ascii="Cambria Math" w:hAnsi="Cambria Math" w:cs="Cambria Math"/>
        </w:rPr>
        <w:t>∼</w:t>
      </w:r>
      <w:r w:rsidR="00A6019F" w:rsidRPr="00A6019F">
        <w:t xml:space="preserve">70% and a median response duration of &gt;2 years. This response duration is improved with the addition of main tenance rituximab following a favorable response to rituximab induc tion therapy. For patients with a larger volume of disease at the time of treatment initiation, the addition of rituximab (R) to chemotherapy regimens such as CHOP or cyclophosphamide, vincristine, and pred nisone (CVP) has improved survival in this disease. The combination of bendamustine and rituximab (BR) has been compared to R-CHOP and results in longer response duration and less toxicity. Thus, BR has become the standard of care for the first-line therapy of medium- to high-volume FL. Similarly, the addition of maintenance rituximab following a good response to R-CHOP or R-CVP improves response duration when used in newly treated FL patients. A newer anti-CD20 antibody, obinutuzumab, has been tested in combination with chemo therapy in a randomized trial against rituximab plus chemotherapy in previously untreated FL. The obinutuzumab combinations resulted in improvements in minimal residual disease (MRD) negativity as well as progression-free survival at the expense of more infection and infusion reactions. Based on these results, both rituximab plus chemotherapy and obinutuzumab plus chemotherapy are options for untreated FL in need of treatment. The superiority of one over the other has not been established. Finally, a randomized study has compared rituximab plus chemotherapy with either BR, R-CHOP, or R-CVP to </w:t>
      </w:r>
      <w:r w:rsidR="00A6019F" w:rsidRPr="00A6019F">
        <w:lastRenderedPageBreak/>
        <w:t>rituximab plus lenalidomide, and results were similar in both arms, thus making the chemotherapy-free rituximab-lenalidomide regimen an option for the frontline treatment of FL. In patients with FL, the disease nearly always recurs following therapy, after which retreatment is again reserved for symptomatic disease or disease interfering with organ function. Single-agent ritux imab or alternative chemotherapy regimens, with both rituximab and obinutuzumab, can again be employed. Both autologous and allogeneic hematopoietic stem cell transplantations yield high complete response rates in patients with relapsed FL, and long-term remissions can occur in 40 and 60% of patients, respectively. The latter is associated with con siderable treatment-related morbidity and mortality and so is usually reserved for patients with multiply relapsed FL that is no longer respon sive to chemotherapy. More targeted oral therapies like lenalidomide and the EZH2 inhibitor tazemetostat are active in relapsed FL. The PI3 kinase inhibitors idelalisib, duvelisib, and copanlisib are active in FL but are no longer available given the lack of randomized confirmatory evidence to support their efficacy. The anti-CD19–directed CAR-T therapies axi-cel and tisa-cel have been approved for relapsed FL in the third-line setting and beyond, with complete responses seen in &gt;80% of patients with multiply relapsed disease, and with many of those responses proving durable, albeit with limited follow-up. Longer follow up is needed to determine if this may be a definitive treatment strategy for a subset of relapsed FL patients. The CD20-CD3 bispecific antibody mosunetuzumab has been approved for FL in the third-line setting and beyond as well and offers a highly effective and potentially less toxic option for patients compared with CAR-T therapy. On average, most patients will live with FL for 15–20 years, a number that is increasing given our improved understanding of the genetics and microenviron ment of FL and the increasing number of drugs and therapies being tested in this disease. However, in addition to a high-risk FLIPI, patients who do not have a complete metabolic response by PET/CT scanning 865 to their primary therapy and patients who relapse within 2 years of the completion of their primary chemotherapy tend to do poorly with chemotherapy and should be considered for some of these non chemotherapy options. Randomized trials comparing chemotherapy, lenalidomide-based therapy, and CAR-T therapy in the second-line set ting for these refractory or early relapsing patients are underway. Patients with FL have a high rate of histologic transformation to DLBCL (</w:t>
      </w:r>
      <w:r w:rsidR="00A6019F" w:rsidRPr="00A6019F">
        <w:rPr>
          <w:rFonts w:ascii="Cambria Math" w:hAnsi="Cambria Math" w:cs="Cambria Math"/>
        </w:rPr>
        <w:t>∼</w:t>
      </w:r>
      <w:r w:rsidR="00A6019F" w:rsidRPr="00A6019F">
        <w:t xml:space="preserve">3% per year). This is recognized </w:t>
      </w:r>
      <w:r w:rsidR="00A6019F" w:rsidRPr="00A6019F">
        <w:rPr>
          <w:rFonts w:ascii="Cambria Math" w:hAnsi="Cambria Math" w:cs="Cambria Math"/>
        </w:rPr>
        <w:t>∼</w:t>
      </w:r>
      <w:r w:rsidR="00A6019F" w:rsidRPr="00A6019F">
        <w:t>40% of the time during the course of the illness by repeat biopsy and is present in almost all patients at autopsy. This transformation is usually heralded by rapid growth of lymph nodes</w:t>
      </w:r>
      <w:r w:rsidR="00A6019F" w:rsidRPr="00A6019F">
        <w:rPr>
          <w:rFonts w:ascii="Aptos" w:hAnsi="Aptos" w:cs="Aptos"/>
        </w:rPr>
        <w:t>—</w:t>
      </w:r>
      <w:r w:rsidR="00A6019F" w:rsidRPr="00A6019F">
        <w:t>often localized</w:t>
      </w:r>
      <w:r w:rsidR="00A6019F" w:rsidRPr="00A6019F">
        <w:rPr>
          <w:rFonts w:ascii="Aptos" w:hAnsi="Aptos" w:cs="Aptos"/>
        </w:rPr>
        <w:t>—</w:t>
      </w:r>
      <w:r w:rsidR="00A6019F" w:rsidRPr="00A6019F">
        <w:t xml:space="preserve">and the development of systemic symptoms such as fevers, sweats, and weight loss. When this happens in patients who have had previously untreated FL, treatment with R-CHOP chemotherapy, as for DLBCL, can be curative for the aggressive component while the FL may eventually recur. In patients with previously treated FL that transforms to DLBCL, prognosis is poor, and successful therapy with an aggressive combination chemo therapy regimen should be consolidated with an autologous stem cell transplant. CAR-T therapy and other therapies for relapsed/refractory DLBCL are </w:t>
      </w:r>
      <w:r w:rsidR="00A6019F" w:rsidRPr="00A6019F">
        <w:lastRenderedPageBreak/>
        <w:t xml:space="preserve">options for chemorefractory transformations. Finally, as discussed previously, grade IIIb FL is more similar to DLBCL than it is to FL and should be treated as such. Marginal Zone Lymphoma The second most common indolent B-cell NHL is MZL. There are three main types: splenic MZL, extrano dal MZL of MALT, and nodal MZL. Nodal MZL most closely resembles FL clinically, and much of the way we manage and treat it is based on studies done in FL. Tumor biopsies in this disease show parafollicular and perivascular infiltration by monocytoid-appearing atypical lymphocytes with folded nuclear contours that are positive for CD19, CD20, and CD79a but negative for CD10 and largely negative for CD5. Some cases can have plasmacytoid differentiation and can be associated with a monoclonal expression of kappa or lambda light chains and with small monoclonal immunoglob ulin spikes. Treatment is often similar to that of FL, with the exception that the BTK inhibitors ibrutinib and zanubrutinib are highly active in this disease, while largely disappointing in FL, and are good treatment options for relapsed nodal MZL as well as other MZL subtypes. CAR-T therapy is not approved in MZL but has been tested in clinical trials with similar efficacy to what has been shown in FL. Splenic MZL is largely a disease of older Caucasian patients; infec tion with hepatitis C is a risk factor for this disease, and treatment of hepatitis C can result in regression of the lymphoma. Patients present with a lymphocytosis with or without cytopenias and splenomegaly. Bone marrow involvement is common. Diagnosis can be made by flow cytometry of the peripheral blood; malignant lymphocytes will be positive for surface immunoglobulin, CD19, and CD20 and will generally lack CD5 and CD10. On peripheral smear, they have small nuclei and abundant cytoplasm with “shaggy” or villous projections. It can be differentiated from HCL by the absence of CD25, CD103, and annexin A1. Recurrent cytogenetic abnormalities include trisomy 3 and abnormalities of chromosome 7q. Therapy is indicated for symp tomatic disease or significant cytopenias. Splenectomy is reasonable for selected patients with excellent relief of symptoms and cytopenias. Splenectomy is associated with an overall response rate of 85% and estimated progression-free survival and OS rates at 5 years of 58 and 77%, respectively. Single-agent rituximab can improve splenomegaly and cytopenias in &gt;90% of patients. In a study of induction with weekly rituximab followed by maintenance, the response rate was 95%, with OS and progression-free survival rates at 5 years of 92 and 73%, respectively. Other options for therapy at relapse are similar to those used for FL and include retreatment with rituximab, alkylating agents, and purine analogues in combination with rituximab. The survival rate of patients is in excess of 70% at 10 years. MALT lymphoma is an MZL lymphoma of extranodal tissue, most commonly the stomach, but other common sites include the skin, sali vary glands, lung, small bowel, ocular adnexa, breasts, bladder, thyroid, dura, and synovium. It is associated with states of chronic inflamma tion due to either autoimmune diseases like Sjögren’s syndrome or Hashimoto’s thyroiditis or chronic infections with organisms such as H. pylori (gastric), Borrelia burgdorferi (skin), C. psittaci (conjunctiva), C. jejuni (intestines), and hepatitis C virus. The essential pathologic feature of MALT lymphoma is the </w:t>
      </w:r>
      <w:r w:rsidR="00A6019F" w:rsidRPr="00A6019F">
        <w:lastRenderedPageBreak/>
        <w:t xml:space="preserve">presence of lymphoepithelial lesions, which result from invasion of mucosal glands and crypts by the neo plastic lymphocytes. These cells are positive for CD19, CD20, and CD79a and negative for CD5 and CD10. Recurrent cytogenetic abnormalities include t(11;18), t(14;18), t(1;14), t(3;14), and trisomy 8. The t(11;18) is most common, occurring in up to 50% of MALT lymphomas. It results in the fusion of the apoptosis inhibitor 2 (API2) gene and the MALT1 gene, resulting in activation of nuclear factor-κB (NF-κB). Unlike other indolent B-cell lymphomas, MALT lymphomas present most commonly with stage I or II disease. In these cases, radiation therapy may be curative. Alternatively, patients may respond to antibiotics for the associated underlying infection. Treatment of symptomatic or organ-impairing relapsed, refractory, or advanced-stage disease is similar to approaches used in FL with chemotherapy, immunotherapy, or chemoimmunotherapy. Lymphoplasmacytic Lymphoma About 1% of all NHLs will be LPLs, which are indolent B-cell NHLs with lymphoplasmacytic differentiation, most commonly associated with a monoclonal IgM paraprotein. Nearly all patients will have stage IV disease at diagnosis with bone marrow involvement. Patients with high levels of circulating IgM paraproteins constitute a specific entity known as Waldenström’s macroglobulinemia and can have symptoms due to hyperviscosity as a result of the circulating IgM. Activating mutations in MYD88, an adap tor protein that is involved in signaling downstream of the Ig receptor leading to NF-κB activation, are present in &gt;90% of cases. Tumor biop sies are notable for proliferation of small lymphocytes, lymphoplasma cytic cells, and plasma cells, and malignant lymphocytes are positive for CD19, CD20, and surface IgM but generally negative for CD5 and CD10. Like the other indolent NHLs, treatment is indicated for disease that causes symptoms or interferes with organ function; hyperviscosity related to elevated serum IgM and paraneoplastic neuropathy are addi tional indications for therapy. Single-agent rituximab may be useful for low-volume disease but can be associated with a transient rise in serum IgM concentrations that can cause or exacerbate hyperviscos ity. Chemoimmunotherapy with regimens such as BR and rituximab, cyclophosphamide, and dexamethasone is active, as are myeloma therapies such as bortezomib. Ibrutinib and zanubrutinib in combina tion with rituximab are highly active in this disease and are options for both previously untreated and relapsed disease. Given that 85% of IgM remains intravascular, acute relief of hyperviscosity symptoms can be obtained by plasmapheresis. For recurrent disease, one can often use agents that were previously used. For patients with more refractory LPL, the mammalian target of rapamycin (mTOR) inhibitor everolimus and the bcl-2 inhibitor venetoclax are active. Selected patients with relapsed disease are considered for high-dose therapy with autologous or allogeneic stem cell transplantation. The results seen are similar to those of other indolent lymphomas. CHAPTER 113 Non-Hodgkin’s Lymphoma Mantle Cell Lymphoma MCL composes </w:t>
      </w:r>
      <w:r w:rsidR="00A6019F" w:rsidRPr="00A6019F">
        <w:rPr>
          <w:rFonts w:ascii="Cambria Math" w:hAnsi="Cambria Math" w:cs="Cambria Math"/>
        </w:rPr>
        <w:t>∼</w:t>
      </w:r>
      <w:r w:rsidR="00A6019F" w:rsidRPr="00A6019F">
        <w:t xml:space="preserve">6% of NHLs. It is an intermediate-grade lymphoma that, like the indolent B-cell NHLs, is not curable with conventional therapies but, like the aggressive lymphomas, often requires more aggressive chemoimmunotherapy </w:t>
      </w:r>
      <w:r w:rsidR="00A6019F" w:rsidRPr="00A6019F">
        <w:lastRenderedPageBreak/>
        <w:t xml:space="preserve">regimens with or without an autologous stem cell transplant to achieve a reasonable response duration. This therapy is not curative, however, and median survival with this disease is on the order of 5–10 years. An exception to this is a more indolent SOX11 variant that often presents with circulating disease with splenomegaly but without significant lymphadenopathy and with a low Ki67 (90% of cases. The remaining cases usually overexpress cyclin D2, cyclin D3, or cyclin E. Tumor cells also are positive for B-cell markers CD19 and CD20, as well as CD5. They usually lack CD10 and CD23. PART 4 Oncology and Hematology Therapies for MCL are evolving. Patients with localized dis ease might be treated with combination chemotherapy followed by radiotherapy; however, these patients are exceedingly rare. Similarly, patients with the indolent variant can be observed until disease pro gresses to cause symptoms or signs of organ function impairment. For the usual presentation with disseminated disease, standard lymphoma treatments like R-CHOP have been unsatisfactory, with the minority of patients achieving complete remission. The addition of high-dose cytarabine to an R-CHOP–like backbone with or without consolidation autologous stem cell transplantation in first remission has improved progression-free survival, but it has not elicited cures in this disease. These include the Nordic regimens and R-HyperCVAD (rituximab, cyclophosphamide, vincristine, doxorubicin, dexamethasone, cytara bine, and methotrexate). BR has activity in this disease and is more effective and better tolerated than R-CHOP. Newer studies with short follow-up suggest that strategies that combine BR with cytarabine with or without autologous stem cell transplant may be effective and well tolerated. The SHINE study randomized patients to BR alone versus BR plus ibrutinib and showed a modest benefit with the addi tion of ibrutinib. It is not clear, however, if this benefit is greater than the sequencing of upfront BR followed by BTK inhibition at relapse. Maintenance rituximab, following a good response to induction che motherapy or after autologous stem cell transplant, also improves out comes over observation alone. Increasing evidence suggests that with modern induction therapies, high-dose chemotherapy and autologous stem cell rescue may no longer provide benefit in the frontline setting. The randomized European TRIANGLE study showed no benefit of autologous transplant when added to induction chemoimmunotherapy with ibrutinib followed by rituximab and ibrutinib maintenance. An ongoing randomized study in the United States is asking a similar question for patients who are treated with chemoimmunotherapy without upfront BTK inhibition. For relapsed disease, the BTK inhibi tors ibrutinib, acalabrutinib, and zanubrutinib have single-agent activ ity with a response rate of almost 70% but a response duration of only 18–24 months. These drugs are being explored in combination with chemotherapy as well as with the BCL2 antagonist venetoclax. Anti CD19–directed CAR-T therapies are approved for the treatment of relapsed/refractory MCL; two-thirds of patients who had progressed after chemoimmunotherapy (with or without an autologous stem cell transplant) and BTK inhibition have achieved complete responses, many of which are durable through limited follow-up. As in FL, longer follow-up is needed to determine if </w:t>
      </w:r>
      <w:r w:rsidR="00A6019F" w:rsidRPr="00A6019F">
        <w:lastRenderedPageBreak/>
        <w:t xml:space="preserve">some of these patients may be cured, which would make this the only curative therapy for this disease outside of an allogeneic stem cell transplantation. The noncovalent BTK inhibitor pirtobrutinib has activity in MCL that has progressed on prior covalent BTK inhibitors and is now approved in this setting. Drugs such as lenalidomide, venetoclax, bortezomib, and temsirolimus can similarly induce transient partial responses. Appropriate patients who respond to salvage therapy, with the exception of CAR-T therapy, should be considered for allogeneic stem cell transplant, which can lead to long-term disease-free survival in 30–50% of patients. </w:t>
      </w:r>
      <w:r w:rsidR="00A6019F" w:rsidRPr="00A6019F">
        <w:rPr>
          <w:rFonts w:ascii="Arial" w:hAnsi="Arial" w:cs="Arial"/>
        </w:rPr>
        <w:t>■</w:t>
      </w:r>
      <w:r w:rsidR="00A6019F" w:rsidRPr="00A6019F">
        <w:t xml:space="preserve">MATURE (PERIPHERAL) T-CELL DISORDERS Mature T-cell disorders include cutaneous lymphomas, such as mycosis fungoides, and the PTCLs, some of which are distinguished based on specific clinical presentations or contexts or by molecular or biologic features, but many of which fall into the category of PTCL not other wise specified (NOS). T-cell NHLs are significantly rarer than B-cell NHLs, and as such, our understanding of their biology is less advanced and our therapies are less well developed. While some T-cell lympho mas, like mycosis fungoides, can behave indolently and some, like ALK-positive ALCL, can be cured with chemotherapy, the majority are associated with a poor prognosis. The advent of genomic technologies is enhancing our ability to understand the genetic and biologic basis of these neoplasms. Mycosis Fungoides Mycosis fungoides is also known as cutaneous T-cell lymphoma. This lymphoma is more often seen by dermatologists than internists. The median age of onset is in the mid-fifties, and the disease is more common in males and in blacks. Mycosis fungoides is an indolent lymphoma, with patients often having several years of eczematous or dermatitic skin lesions before the diagnosis is finally established. The skin lesions progress from patch stage to plaque stage to cutaneous tumors. Early in the disease, biopsies are often difficult to interpret, and the diagnosis may only become apparent by observing the patient over time. Adenopathy may reflect involvement with mycosis fungoides or be read as dermatopathic change. In advanced stages, the lymphoma can spread to lymph nodes and visceral organs. Patients with this lymphoma may develop general ized erythroderma and circulating tumor cells, called Sézary’s syndrome. Rare patients with localized early-stage mycosis fungoides can be cured with radiotherapy, often total-skin electron beam irradiation. More advanced disease has been treated with topical glucocorticoids, topical nitrogen mustard, phototherapy, psoralen with ultraviolet A (PUVA), extracorporeal photopheresis, retinoids (bexarotene), electron beam radiation, interferon, antibodies, fusion toxins, histone deacety lase inhibitors, brentuximab (for CD30+ disease), and systemic cyto toxic therapy. Mogamulizumab, an anti-CCR4 antibody, has activity in this disease and has been approved by the U.S. Food and Drug Adminis tration for this indication. Unfortunately, these treatments are palliative. Peripheral T-Cell Lymphoma, Not Otherwise Specified PTCLs include a number of entities, which constitute 15% of all NHLs in adults. PTCL NOS, which composes 6% of all NHLs, is the term used for cases that are not other entities defined in the WHO classification. Named varieties include ALCL, angioimmunoblastic T-cell lymphoma </w:t>
      </w:r>
      <w:r w:rsidR="00A6019F" w:rsidRPr="00A6019F">
        <w:lastRenderedPageBreak/>
        <w:t xml:space="preserve">(AITL), hepatosplenic T-cell lymphoma, enteropathy-associated T-cell lymphoma, and subcutaneous panniculitis T-cell lymphoma. PTCL NOS is a disease of older individuals, with a median age at presentation of 65, and the majority of patients will have advanced-stage disease at diagnosis, with involvement of the bone marrow, liver, spleen, and skin being common. Associated “B” symptoms and pruritis are also com mon. These lymphomas can be associated with a reactive eosinophilia as well as hemophagocytic syndrome. The IPI has been applied to PTCL NOS and provides some assessment of outcomes, but even the low-risk group has a median OS of just &gt;2 years. This diagnostic category is a collection of heterogeneous lympho mas that vary widely and lack typical findings of other specific PTCL subgroups. Because of this heterogeneity, histology, immunophe notype, and genetics are variable. Often lymph nodes are effaced by atypical lymphoid cells of various sizes, sometimes associated with vascular proliferation or an infiltrate of eosinophils and/or macro phages. As most of these lymphomas behave aggressively, note is often made of mitotic and apoptotic figures as well as geographic necrosis. The cells often are positive for CD3, and the majority of PTCL NOS is positive for CD4 rather than CD8, but some are negative for both markers. There can be loss of more mature T-cell markers like CD5 and CD7, and this is associated with a more aggressive course. There are some recurrent translocations, including t(7;14), t(11;14), inv(14), and t(14;14), all of which involve the TCR genes. The most common primary therapy for PTCL NOS involves a CHOP-like chemotherapy backbone—either CHOP alone or CHOP in combination with etoposide (CHOEP). The latter may provide the most benefit to younger patients and patients with more favorable dis ease risk factors. Brentuximab in combination with cyclophosphamide, 867 doxorubicin, and prednisone (CHP) has been tested in a randomized clinical trial against CHOP in CD30+ T-cell lymphomas; progression free survival was improved with the brentuximab-containing arm, and this was most pronounced for patients with ALCL (see below). Autolo gous stem cell transplant has been investigated for patients in their first remission and does seem to improve progression-free survival in certain contexts. Drugs such as gemcitabine, bendamustine, and prala trexate have activity in relapsed disease, as do the histone deacetylase inhibitors romidepsin and belinostat. The PI3 kinase inhibitor duvelisib is being investigated in these diseases with early signals of activity. All of these agents are associated with transient responses in a minority of patients. Patients should be considered for clinical trials. For patients who do achieve remission, reduced-intensity allogeneic stem cell trans plantation can yield long-term nonrelapse survival rates of </w:t>
      </w:r>
      <w:r w:rsidR="00A6019F" w:rsidRPr="00A6019F">
        <w:rPr>
          <w:rFonts w:ascii="Cambria Math" w:hAnsi="Cambria Math" w:cs="Cambria Math"/>
        </w:rPr>
        <w:t>∼</w:t>
      </w:r>
      <w:r w:rsidR="00A6019F" w:rsidRPr="00A6019F">
        <w:t>40</w:t>
      </w:r>
      <w:r w:rsidR="00A6019F" w:rsidRPr="00A6019F">
        <w:rPr>
          <w:rFonts w:ascii="Aptos" w:hAnsi="Aptos" w:cs="Aptos"/>
        </w:rPr>
        <w:t>–</w:t>
      </w:r>
      <w:r w:rsidR="00A6019F" w:rsidRPr="00A6019F">
        <w:t xml:space="preserve">50%. Angioimmunoblastic T-Cell Lymphoma AITL constitutes </w:t>
      </w:r>
      <w:r w:rsidR="00A6019F" w:rsidRPr="00A6019F">
        <w:rPr>
          <w:rFonts w:ascii="Cambria Math" w:hAnsi="Cambria Math" w:cs="Cambria Math"/>
        </w:rPr>
        <w:t>∼</w:t>
      </w:r>
      <w:r w:rsidR="00A6019F" w:rsidRPr="00A6019F">
        <w:t xml:space="preserve">20% of T-cell NHLs and </w:t>
      </w:r>
      <w:r w:rsidR="00A6019F" w:rsidRPr="00A6019F">
        <w:rPr>
          <w:rFonts w:ascii="Cambria Math" w:hAnsi="Cambria Math" w:cs="Cambria Math"/>
        </w:rPr>
        <w:t>∼</w:t>
      </w:r>
      <w:r w:rsidR="00A6019F" w:rsidRPr="00A6019F">
        <w:t xml:space="preserve">4% of all NHLs diagnosed. Patients present with a variety of signs and symptoms, most often including lymphade nopathy, hepatosplenomegaly, “B” symptoms, rash, polyarthritis, and hemolytic anemia. Over 80% of patients have advanced-stage disease at diagnosis, and bone marrow involvement is common. Polyclonal hypergammaglobulinemia is common, as are elevated LDH, eosino philia, a positive </w:t>
      </w:r>
      <w:r w:rsidR="00A6019F" w:rsidRPr="00A6019F">
        <w:lastRenderedPageBreak/>
        <w:t xml:space="preserve">Coombs test, and opportunistic infections. On biopsy, lymph nodes are effaced by a polymorphous infiltrate of lymphocytes, ranging in size and shape, and of immunoblasts. The neoplastic lymphocytes are positive for CD3 as well as CXCL13, PD-1, CD10, and BCL6, most closely resembling CD4-positive follicular helper T cells. There is an expanded follicular dendritic cell network surrounding tumor cells. Scattered immunoblasts are often EBV posi tive and may give rise to secondary EBV-positive B-cell lymphomas at a later time. Genetic analysis of this disease has revealed recurrent mutations in TET2 (76%), DNMT3 (33%), and IDH2 (20%). A subset of AITL can remit with immunosuppression with agents like glucocorticoids or methotrexate. Most patients, however, will need combination chemotherapy with regimens like those used in PTCL NOS. Median response duration is short, and median OS is only 15–36 months. Treatment of relapsed disease is similar to that of relapsed PTCL NOS. Anaplastic Large-Cell Lymphoma ALCL is the next most com mon T-cell lymphoma after AITL but is more common in children, accounting for up to 10% of pediatric lymphomas. Approximately 40–60% of cases harbor t(2;5), which fuses a portion of the nucleolar protein nucleophosmin-1 (NPMI) gene to a part of the anaplastic lymphoma kinase (ALK) gene, the product of which has constitutive tyrosine kinase activity. These patients have a much more favorable prognosis compared to ALK-negative ALCL, akin to that of DLBCL. There is an additional, more indolent and favorable subtype that occurs in the breast tissue of patients with breast implants, and there is a cuta neous variant. In general, this is a disease that is more common in men. ALK-positive disease is a disease of younger patients, with a median age at diagnosis of 34 years, whereas the median age at diagnosis of ALK-negative patients is 58. With the exception of the cutaneous vari ant and the variant associated with breast implants, most patients pres ent with rapidly growing lymphadenopathy with or without extranodal involvement; “B” symptoms are common. Most cases of ALCL involve large atypical lymphocytes with horse shoe-shaped nuclei with prominent nucleoli (“hallmark” cells). Tumor cells tend to be localized within the lymph node sinuses, and almost all are positive for CD30 but negative for CD15. A majority will also express CD3, CD25, CD43, and CD4. ALK-rearranged ALCL can be diagnosed by fluorescence in situ hybridization (FISH) cytogenetics for t(2;5) or by immunohistochemical staining for ALK. ALCL is generally treated with CHOP, although like PTCL NOS, CHOEP may benefit younger patients, particularly with ALK-positive disease. Overall, ALCL has a better prognosis than PTCL, and this is particularly true for ALK-positive disease, which has an 8-year OS rate of 82%, versus 49% for ALK-negative disease. Relapsed ALK-positive ALCL is treated similarly to relapsed DLBCL, with salvage combination chemotherapy to identify chemotherapy sensitivity followed by autolo gous stem cell transplant. For patients with chemotherapy-insensitive disease or for ALK-negative disease, the conjugated anti-CD30 anti body to monomethyl auristatin E (MMAE)/brentuximab is highly active, with a response rate of 86% and a complete response rate of 57%. As mentioned earlier, brentuximab in combination with CHP chemotherapy is an approved frontline regimen </w:t>
      </w:r>
      <w:r w:rsidR="00A6019F" w:rsidRPr="00A6019F">
        <w:lastRenderedPageBreak/>
        <w:t xml:space="preserve">for the treatment of CD30+ T-cell lymphomas, including ALCL. The ALK inhibitors, including crizotinib, are active in refractory ALK-positive ALCL with excellent outcomes. Other PTCL Subtypes Enteropathy-associated T-cell lymphoma, hepatosplenic T-cell lymphoma, and subcutaneous panniculitis-like T-cell lymphoma are other less common PTCL subtypes. Enteropathy type intestinal T-cell lymphoma is a rare disorder. Type I occurs in patients with a history of gluten-sensitive enteropathy and is associ ated with HLADQA1*0501, DQB1*0201; a gluten-free diet can pre vent the development of this lymphoma. Type II is now referred to as monomorphic epitheliotropic intestinal T-cell lymphoma and is not associated with celiac disease. Patients are frequently cachectic and sometimes present with intestinal perforation. The prognosis is poor, with a median survival of 10 months. Therapy is often with combina tion chemotherapy, including high-dose methotrexate, and autologous stem cell transplant in first remission. Hepatosplenic γδ T-cell lymphoma is a systemic illness that presents with sinusoidal infiltration of the liver, spleen, and bone marrow by malignant T cells. Tumor masses generally do not occur. The disease is associated with systemic symptoms and is often difficult to diagnose. Recurrent genetic events include isochromosome 7q and trisomy 8. Treatment outcome is poor, but regimens that include ifosfamide, such as ifosfamide, carboplatin, and etoposide (ICE) or ifosfamide, etopo side, and cytarabine (IVAC), are associated with better outcomes in small series of patients. Responding patients should be considered for allogeneic stem cell transplantation. Subcutaneous panniculitis-like T-cell lymphoma is a rare disorder that is often confused with panniculitis. Patients present with multiple subcutaneous nodules, which progress and can ulcerate. There is a more indolent form that tends to express α/β TCRs and can be man aged with immune suppression, whereas lymphomas that express γ/δ TCRs are more aggressive and are associated with a worse prognosis and coincident hemophagocytic syndrome. This is a disease of young men in their fifth and sixth decades of life. Patients with aggressive disease are managed with multiagent chemotherapy, and responding patients should be considered for allogeneic stem cell transplantation. CHAPTER 113 Non-Hodgkin’s Lymphoma Adult T-Cell Leukemia/Lymphoma Adult T-cell leukemia/ lymphoma (ATLL) is a disease that is most prevalent in Japan and the Caribbean basin (Chap. 207). It is a neoplasm that is driven by HTLV-1, often contracted through the breast milk of infected mothers. The average age at diagnosis is 60, so there is a long latency between viral infection and viral transformation, and only 4% of infected patients will develop the disease. This suggests that HTLV-1 may not be suffi cient to cause the malignant phenotype. There are four disease variants: acute (60% of patients), lymphomatous (20% of patients), chronic (15% of patients), and smoldering (5% of patients); prognosis varies across these groups, with median survival times of 6, 10, and 24 months, and not yet reached, respectively. Presentation depends on the subtype, but most commonly, patients present with circulating disease and bone marrow involvement, hypercalcemia, lytic bone lesions, lymphadenop athy, hepatosplenomegaly, skin lesions, and opportunistic </w:t>
      </w:r>
      <w:r w:rsidR="00A6019F" w:rsidRPr="00A6019F">
        <w:lastRenderedPageBreak/>
        <w:t xml:space="preserve">infections. The pathognomonic finding is the malignant “flower cell” that is positive for CD4 and CD25, as well as CD2, CD3, and CD5 but lack ing CD7 (Fig. 113-7). Combination chemotherapy is generally used, but for patients fortunate enough to respond, response durations are very short. Other active agents in this disease include the antiretro viral agent zidovudine, interferon α, arsenic and mogamulizumab, a humanized monoclonal antibody that blocks the CCR4 chemokine receptor. In any patients who do respond to therapy, allogeneic stem cell transplant should be considered. Extranodal NK/T-Cell Lymphoma, Nasal Type Extranodal NK/T-cell lymphoma, nasal type, is a lymphoma that is associated with 868 FIGURE 113-7 Adult T-cell leukemia/lymphoma. Peripheral blood smear showing leukemia cells with typical “flower-shaped” nucleus. PART 4 Oncology and Hematology EBV infection in nearly all cases and more common in Asia and native populations in Peru. It usually presents with a mass and obstructive symptoms in the upper aerodigestive tract with occasional extranodal sites, but over two-thirds of patients will have localized disease. It is more common in men, and the median age at diagnosis is 60. This disease has its own prognostic score, which takes into account the presence or absence of “B” symptoms, disease stage, whether LDH is elevated, and whether there is lymph node involvement. EBV viral load at diagnosis and at the end of therapy is also predictive. Treatment for early-stage disease is usually with combined-modality therapy of chemotherapy (commonly using etoposide, ifosfamide, cisplatin, and dexamethasone) and intensity-modulated radiation therapy (50–55 Gy), and patients with localized disease involving the nasal passages do quite well, with 3-year OS of </w:t>
      </w:r>
      <w:r w:rsidR="00A6019F" w:rsidRPr="00A6019F">
        <w:rPr>
          <w:rFonts w:ascii="Cambria Math" w:hAnsi="Cambria Math" w:cs="Cambria Math"/>
        </w:rPr>
        <w:t>∼</w:t>
      </w:r>
      <w:r w:rsidR="00A6019F" w:rsidRPr="00A6019F">
        <w:t xml:space="preserve">85%. Patients with more advanced-stage disease do poorly, with disseminated extranodal relapse occurring frequently, and the median OS is only 4.3 months. The most commonly used treatment regimen is the SMILE regi men (dexamethasone, methotrexate, ifosfamide, l-asparaginase, and etoposide). </w:t>
      </w:r>
      <w:r w:rsidR="00A6019F" w:rsidRPr="00A6019F">
        <w:rPr>
          <w:rFonts w:ascii="Arial" w:hAnsi="Arial" w:cs="Arial"/>
        </w:rPr>
        <w:t>■</w:t>
      </w:r>
      <w:r w:rsidR="00A6019F" w:rsidRPr="00A6019F">
        <w:t xml:space="preserve">FURTHER READING Horwitz S et al: The ECHELON-2 Trial: 5-year results of a random ized, phase III study of brentuximab vedotin with chemotherapy for CD30-positive peripheral T-cell lymphoma. Ann Oncol 33:288, 2022. Morschhauser F et al: Rituximab plus lenalidomide in advanced untreated follicular lymphoma. N Engl J Med 379:934, 2018. Tille H et al: Polatuzumab vedotin in previously untreated diffuse large B-cell lymphoma. N Engl J Med 386:351, 2022. Westin JR et al: Survival with axi-cabtagene ciloleucel in large B-cell lymphoma. N Engl J Med 389:148, 2023. 114 Hodgkin’s Lymphoma Caron A. Jacobson, Dan L. Longo Hodgkin’s lymphoma (HL) is a malignancy of mature B lymphocytes. It represents ~10% of all lymphomas diagnosed each year. The majority of HL diagnoses are classical HL (cHL), but there is a second subtype of HL, nodular lymphocyte-predominant HL (NLPHL). While this diagnosis does resemble cHL morphologically in certain respects, there is some evidence that it is more related to the indolent B-cell non-Hodgkin’s lymphomas (NHLs) biologically than it is to cHL. The majority of this chapter will be specific to cHL, with a discussion of NLPHL at the end. cHL is one of the success stories of modern oncology. Until the advent of extended-field radiotherapy in the mid-twentieth century, it was a </w:t>
      </w:r>
      <w:r w:rsidR="00A6019F" w:rsidRPr="00A6019F">
        <w:lastRenderedPageBreak/>
        <w:t xml:space="preserve">highly fatal disease of young people. Radiation therapy cured some patients with early-stage disease, and the introduction of mul tiagent chemotherapy in the 1970s resulted in further improved cure rates, for both patients with early- and advanced-stage disease. Cure rates now are &gt;85%. The new challenge in the treatment of HL is late therapy-related toxicity, including a high rate of secondary malignan cies and cardiovascular disease. Current clinical trials are aimed at minimizing this risk while preserving efficacy. </w:t>
      </w:r>
      <w:r w:rsidR="00A6019F" w:rsidRPr="00A6019F">
        <w:rPr>
          <w:rFonts w:ascii="Arial" w:hAnsi="Arial" w:cs="Arial"/>
        </w:rPr>
        <w:t>■</w:t>
      </w:r>
      <w:r w:rsidR="00A6019F" w:rsidRPr="00A6019F">
        <w:t xml:space="preserve">EPIDEMIOLOGY AND ETIOLOGY HL is of B-cell origin. The incidence of HL appears fairly stable, with an estimated 8830 new cases diagnosed in the United States in 2023. HL is more common in whites than in blacks and more common in males than in females. A bimodal distribution of age at diagnosis has been observed, with one peak incidence occurring in patients in their twen ties and the other in those in their eighties. Some of the late age peak may be attributed to confusion among entities with similar appearance such as anaplastic large-cell lymphoma and T-cell/histiocyte–rich B-cell lymphoma. There are four distinct subtypes of cHL that are differentiated based on their histopathologic features (Table 114-1): nodular scle rosis, mixed cellularity, lymphocyte-rich, and lymphocyte-depleted. Patients in the younger age groups diagnosed in the United States largely have the nodular sclerosing subtype of HL. Elderly patients, patients infected with HIV, and patients in developing countries more commonly have mixed-cellularity HL or lymphocyte-depleted HL. Together, nodular sclerosis and mixed-cellularity types account for nearly 95% of cases. Infection by HIV is a risk factor for developing HL. In addition, an association between infection by Epstein-Barr virus (EBV) and HL has been suggested. A monoclonal or oligoclonal pro liferation of EBV-infected cells in 20–40% of the patients with HL has led to proposals for this virus having an etiologic role in HL. However, the matter is not settled definitively. Viral oncogenesis appears to play a greater role in HIV-related cHL: EBV can be detected in nearly all cases of HIV-associated cHL, compared to only one-third of cases of non–HIV-associated cHL. Reed-Sternberg (HRS) cells are the malig nant cells in HL. HRS cells in HIV-associated cHL express the EBV transforming protein latent membrane protein 1 (LMP-1), and the EBV genomes from multiple disease sites in the same HIV-associated cHL patient are episomal and clonal, suggesting that EBV is directly involved in early lymphomagenesis. Histologically, the HRS cell is diagnostic of cHL (Fig. 114-1). These cells are large cells with abundant cytoplasm with bilobed and/ or multiple nuclei. By immunohistochemistry, they are often PAX-5 positive but have low to no expression of other B-cell antigens like CD19 and CD20. They express CD15 and CD30 in 85 and 100% of cases, respectively. These cells, though, comprise 10% of the body weight during the 6 months before staging investigation Unexplained, persistent, or recurrent fever with temperatures &gt;38°C during the previous month Recurrent drenching night sweats during the previous month E Localized, solitary involvement of extralymphatic tissue, excluding liver and bone marrow marrow biopsy. The initial evaluation of a patient with HL or NHL is similar. In both situations, the determination of an accurate ana tomic stage is an important part of the evaluation. Staging is done </w:t>
      </w:r>
      <w:r w:rsidR="00A6019F" w:rsidRPr="00A6019F">
        <w:lastRenderedPageBreak/>
        <w:t xml:space="preserve">using the Ann Arbor staging system (Table 114-2). The diagnosis of HL is established by review of an adequate biopsy specimen by an expert hematopathologist. HL is a tumor characterized by rare neoplastic cells of B-cell origin (immunoglob ulin genes are rearranged but not expressed) in a tumor mass that is largely polyclonal inflammatory infiltrate, probably a reaction to cytokines produced by the tumor cells. The differential diagnosis of a lymph node biopsy suspicious for HL includes inflammatory processes, mononucleosis, NHL, phenytoin-induced adenopathy, and nonlymphomatous malignancies. Staging for cHL is anatomically based given the propensity of the disease to march from one lymph node group to the next group, often contiguous to the first. Staging is important for selecting therapy of appropriate duration and intensity, but the outcome of optimal therapy for all the stages is excellent. Patients are stratified based on whether they have early-stage disease (stage I or II) or advanced-stage disease (stage III or IV). Patients with early-stage disease have a better prognosis overall but are further classified as favorable or unfavorable based on a variety of factors. These fac tors vary from study to study but include bulky disease, number of lymph node areas involved, an elevated ESR (&gt;30 if “B” symptoms are present; &gt;50 if “B” symptoms are absent), and age. Prognosis in advanced-stage disease is best predicted by the International Prog nostic Score (IPS), which ascribes 1 point for male sex, older age (&gt;45 years), stage IV disease, serum albumin 60 years at particularly high risk. The development of carcinomas as a complication of treatment for HL is a major problem. These tumors usually occur ≥10 years after treatment and are associated with use of radiotherapy. For this reason, young women treated with thoracic radiotherapy for HL should institute screening mammograms or breast MRI exams 5–10 years after treatment, and all patients who receive thoracic radiotherapy for HL should be discouraged from smoking. Medias tinal radiation also accelerates coronary artery disease, and patients should be encouraged to minimize risk factors for coronary artery disease such as smoking and elevated cholesterol levels. Cervical radiation therapy increases the risk of carotid atherosclerosis and stroke and thyroid disease, including cancer. A number of other late side effects from the treatment of HL are well known. Patients who receive thoracic radiotherapy are at very high risk for the eventual development of hypothyroidism and should be observed for this complication; intermittent mea surement of thyrotropin should be made to identify the condition before it becomes symptomatic. Lhermitte’s syndrome occurs in </w:t>
      </w:r>
      <w:r w:rsidR="00A6019F" w:rsidRPr="00A6019F">
        <w:rPr>
          <w:rFonts w:ascii="Cambria Math" w:hAnsi="Cambria Math" w:cs="Cambria Math"/>
        </w:rPr>
        <w:t>∼</w:t>
      </w:r>
      <w:r w:rsidR="00A6019F" w:rsidRPr="00A6019F">
        <w:t xml:space="preserve">15% of patients who receive thoracic radiotherapy. This syn drome is manifested by an </w:t>
      </w:r>
      <w:r w:rsidR="00A6019F" w:rsidRPr="00A6019F">
        <w:rPr>
          <w:rFonts w:ascii="Aptos" w:hAnsi="Aptos" w:cs="Aptos"/>
        </w:rPr>
        <w:t>“</w:t>
      </w:r>
      <w:r w:rsidR="00A6019F" w:rsidRPr="00A6019F">
        <w:t>electric shock</w:t>
      </w:r>
      <w:r w:rsidR="00A6019F" w:rsidRPr="00A6019F">
        <w:rPr>
          <w:rFonts w:ascii="Aptos" w:hAnsi="Aptos" w:cs="Aptos"/>
        </w:rPr>
        <w:t>”</w:t>
      </w:r>
      <w:r w:rsidR="00A6019F" w:rsidRPr="00A6019F">
        <w:t xml:space="preserve"> sensation into the lower extremities on flexion of the neck. Because of the young age at which HL is often diagnosed, infertility is a concern for patients undergoing treatment for HL. Chemotherapy regimens containing alkylating agents induce permanent infertility in nearly all men. The risk of permanent infertility in women treated with alkylat ing agent–containing chemotherapy is age-related, with younger women more likely to recover fertility. Infertility is very rare after treatment with ABVD. NODULAR LYMPHOCYTE-PREDOMINANT HODGKIN’S LYMPHOMA NLPHL is now recognized as an </w:t>
      </w:r>
      <w:r w:rsidR="00A6019F" w:rsidRPr="00A6019F">
        <w:lastRenderedPageBreak/>
        <w:t xml:space="preserve">entity distinct from cHL. Previous classification systems recognized that biopsies from a small subset of patients diagnosed as having HL contained a predominance of small lymphocytes and rare Reed-Sternberg–like cells; tumors had a nodular growth pattern and a clinical course that varied from that of patients with cHL. This is an unusual clinical entity and repre sents females) as a pulmonary infiltrate. Involvement is often entirely extra nodal and can include kidney (32%), liver (29%), skin (25%), and brain (25%). The disease often but not always occurs in the setting of immune deficiency. The disease can be remitting and relapsing in nature or can be rap idly progressive. The course is usually predicted by the histologic grade. The disease is highly responsive to combination chemotherapy and is curable in most cases. Some investigators have claimed that low-grade disease (grade I and II) can be treated with interferon α. </w:t>
      </w:r>
      <w:r w:rsidR="00A6019F" w:rsidRPr="00A6019F">
        <w:rPr>
          <w:rFonts w:ascii="Arial" w:hAnsi="Arial" w:cs="Arial"/>
        </w:rPr>
        <w:t>■</w:t>
      </w:r>
      <w:r w:rsidR="00A6019F" w:rsidRPr="00A6019F">
        <w:t>MATURE T-CELL AND NK CELL NEOPLASMS T-Cell Prolymphocytic Leukemia This is an aggressive leu PART 4 Oncology and Hematology kemia of medium-sized prolymphocytes involving the blood, mar row, nodes, liver, spleen, and skin. It accounts for 1</w:t>
      </w:r>
      <w:r w:rsidR="00A6019F" w:rsidRPr="00A6019F">
        <w:rPr>
          <w:rFonts w:ascii="Aptos" w:hAnsi="Aptos" w:cs="Aptos"/>
        </w:rPr>
        <w:t>–</w:t>
      </w:r>
      <w:r w:rsidR="00A6019F" w:rsidRPr="00A6019F">
        <w:t>2% of all small lymphocytic leukemias. Most patients present with elevated WBC count (often &gt;100,000/</w:t>
      </w:r>
      <w:r w:rsidR="00A6019F" w:rsidRPr="00A6019F">
        <w:rPr>
          <w:rFonts w:ascii="Aptos" w:hAnsi="Aptos" w:cs="Aptos"/>
        </w:rPr>
        <w:t>μ</w:t>
      </w:r>
      <w:r w:rsidR="00A6019F" w:rsidRPr="00A6019F">
        <w:t xml:space="preserve">L), hepatosplenomegaly, and adenopathy. Skin involvement occurs in 20%. The diagnosis is made from PB smear, which shows cells about 25% larger than those in small lymphocytes, with cytoplasmic blebs and nuclei that may be indented. The cells express T-cell markers like CD2, CD3, and CD7; two-thirds of patients have cells that are CD4+ and CD8–, and 25% have cells that are CD4+ and CD8+. T-cell receptor β chains are clonally rearranged. In 80% of patients, inversion of chromosome 14 occurs between q11 and q32. Ten percent have t(14;14) translocations that bring the T-cell receptor alpha/beta gene locus into juxtaposition with oncogenes TCL1 and TCL1b at 14q32.1. Chromosome 8 abnormalities are also common. Deletions in the ATM gene are also noted. Activating JAK3 mutations have also been reported. The course of the disease is generally rapid, with median survival of about 12 months. Responses have been seen with the anti-CD52 anti body alemtuzumab, nucleoside analogues, and CHOP chemotherapy. Histone deacetylase inhibitors like vorinostat and romidepsin may also have activity. Small numbers of patients with T-cell prolymphocytic leukemia have also been treated with high-dose therapy, and allogeneic BM transplantation after remission has been achieved with alemtu zumab or conventional-dose therapy. T-Cell Large Granular Lymphocytic Leukemia T-cell large granular lymphocytic (LGL) leukemia is characterized by increases in the number of LGLs in the PB (2000–20,000/μL) often accompanied by severe neutropenia, with or without concomitant anemia. Pure red cell aplasia may occur in 15–20% of patients. Splenomegaly is seen in 25% of patients; adenopathy is generally absent. B symptoms are rare, but 20–30% of patients may have infections related to the severe neutropenia. Patients may have splenomegaly and frequently have evi dence of systemic autoimmune disease, including rheumatoid arthritis, hypergammaglobulinemia, autoantibodies, and circulating immune complexes. BM involvement is mainly interstitial in pattern, with 3 months) PB monocytosis (≥0.5 × 109/L; monocytes ≥10% of </w:t>
      </w:r>
      <w:r w:rsidR="00A6019F" w:rsidRPr="00A6019F">
        <w:lastRenderedPageBreak/>
        <w:t xml:space="preserve">leukocyte count), consistent BM morphology, 10 × 109/L, hemoglobin 10%), and not otherwise classified as another myeloid neoplasm; corresponding criteria for MDS/MPN-RS T-NOS also include thrombocytosis and anemia and absence of excess blasts but, in addition, require presence of ≥15% BM ring sideroblasts and absence of SF3B1 mutation. The term MDS/MPN-NOS is reserved for MDS/MPN that does not meet criteria for either of the aforemen tioned MDS/MPN entities despite displaying thrombocytosis (≥450 × 109/L) or leukocytosis (≥13 × 109/L). </w:t>
      </w:r>
      <w:r w:rsidR="00A6019F" w:rsidRPr="00A6019F">
        <w:rPr>
          <w:rFonts w:ascii="Arial" w:hAnsi="Arial" w:cs="Arial"/>
        </w:rPr>
        <w:t>■</w:t>
      </w:r>
      <w:r w:rsidR="00A6019F" w:rsidRPr="00A6019F">
        <w:t xml:space="preserve">JUVENILE MYELOMONOCYTIC LEUKEMIA JMML is primarily a disease of early childhood and is now considered a unique clonal disorder of childhood, separated from MDS/MPN. Both CMML and JMML feature leukocytosis, monocytosis, and hepa tosplenomegaly. Additional characteristic features in JMML include thrombocytopenia and elevated fetal hemoglobin. Myeloid progenitors in JMML display granulocyte-macrophage colony-stimulating factor (GM-CSF) hypersensitivity that has been attributed to dysregulated RAS/MAPK signaling. The latter is believed to result from mutually exclusive mutations involving RAS, PTPN11, and NF1. A third of patients with JMML that is not associated with Noonan syndrome carry PTPN11 mutations, while the incidence of NF1 in patients without neurofibromatosis type 1 and RAS mutations is ~15% each. In general, ~85% of JMML cases have one of the classical RAS pathway mutations (PTPN11, NRAS, KRAS, NF1, or CBL); in addition, a myriad of other mutations, such as ASXL1, RUNX1, SETBP1, JAK3, and CUX1, among others, have recently been reported. Taken together, it is cur rently believed that almost all patients with JMML harbor mutations in the RAS pathway; clonal disorders that mimic JMML but do not harbor a RAS pathway mutation are classified as JMML-like neoplasms. The 2022 ICC diagnostic criteria for JMML require the presence of PB monocyte count ≥1 × 109/L, 70% of patients with FGFR1-rearranged myeloid/lymphoid neoplasms. The 2022 ICC includes a number of other subcategories of myeloid/ lymphoid neoplasms with eosinophilia and TKGFs (M/LN-eo-TK): (1) ETV6::ABL1, t(9;12)(q34.1;p13.2), phenotypically similar to CML and treated the same way with imatinib or similar tyrosine kinase inhibitors (TKIs) with good response; (2) PCM1::JAK2 or BCR::JAK2 or other JAK2 partners, t(8;9)(p22;p24.1), phenotypically similar to MPN or MDS/MPN with &gt;90% response rate to ruxolitinib but not durable and requiring bridging to ASCT; and (3) ETV6::FLT3, t(12;13) (p13.2;q12.2), phenotypically similar to lymphoblastic leukemia or lymphoma, CEL, or MDS/MPN, with some responses seen with FLT3 inhibitor therapy. </w:t>
      </w:r>
      <w:r w:rsidR="00A6019F" w:rsidRPr="00A6019F">
        <w:rPr>
          <w:rFonts w:ascii="Arial" w:hAnsi="Arial" w:cs="Arial"/>
        </w:rPr>
        <w:t>■</w:t>
      </w:r>
      <w:r w:rsidR="00A6019F" w:rsidRPr="00A6019F">
        <w:t xml:space="preserve">HYPEREOSINOPHILIC SYNDROME Blood eosinophilia that is neither secondary nor clonal is operationally labeled as being “idiopathic.” HES is a subcategory of idiopathic eosin ophilia with persistent increase of the AEC to ≥1.5 × 109/L and pres ence of eosinophil-mediated organ damage, including cardiomyopathy, gastroenteritis, cutaneous lesions, sinusitis, pneumonitis, neuritis, and vasculitis. In addition, some patients manifest thromboembolic com plications, hepatosplenomegaly, and either cytopenia or cytosis. BM histologic and cytogenetic/molecular studies should be exam ined before a working diagnosis of HES is made. Additional blood studies that are currently recommended during the </w:t>
      </w:r>
      <w:r w:rsidR="00A6019F" w:rsidRPr="00A6019F">
        <w:lastRenderedPageBreak/>
        <w:t xml:space="preserve">evaluation of HES include serum tryptase (an increased level suggests mastocytosis and warrants molecular studies to detect FIP1L1-PDGFRA), T-cell immunophenotyping, and T-cell receptor antigen gene rearrangement analysis (a positive test suggests an underlying clonal or phenotypically abnormal T-cell disorder). In addition, initial evaluation in HES should include echocardiogram and measurement of serum troponin levels to screen for myocardial involvement by the disease. Initial evaluation of the patient with eosinophilia should include tests that facilitate assessment of target organ damage, including com plete blood count, chest x-ray, echocardiogram, and serum troponin level. Increased level of serum cardiac troponin has been shown to correlate with the presence of cardiomyopathy in HES. Typical echo cardiographic findings in HES include ventricular apical thrombus, posterior mitral leaflet or tricuspid valve abnormality, endocardial thickening, dilated left ventricle, and pericardial effusion. In a Mayo Clinic study of 98 consecutive patients with idiopathic eosinophilia, including HES, median age was 53 years (55% male), and overt organ involvement was seen in &gt;80% of the cases, including 54% involving organs other than the skin. The frequencies of cardiac involvement, hepatosplenomegaly, and increased serum tryptase and interleukin (IL) 5 levels were 8%, 4%, 24%, and 31%, respectively. The study also revealed that 11% of the affected patients harbored pathoge netic mutations including TET2, ASXL1, and KIT; the presence of such mutations did not appear to influence phenotype, and the number of informative cases was too small to assess prognostic relevance. Instead, the study identified anemia and presence of cardiac involvement or hepatosplenomegaly as risk factors for survival. Glucocorticoids are the cornerstone of therapy in HES. Treatment with oral prednisone is usually started at 1 mg/kg per day and contin ued for 1–2 weeks before the dose is tapered slowly over the ensuing 2–3 months. If symptoms recur at a prednisone dose level of &gt;10 mg/d, either hydroxyurea or interferon α is used as steroid-sparing agent. In patients in whom usual therapy fails as outlined above, mepolizumab or alemtuzumab might be considered. Mepolizumab is a monoclonal antibody that targets IL-5, which is a well-recognized growth factor for eosinophils. Alemtuzumab targets the CD52 antigen, which has been shown to be expressed by eosinophils but not by neutrophils. In a recently reported placebo-controlled phase 3 study, HES patients received subcutaneous mepolizumab (300 mg) every 4 weeks, in addi tion to their preprotocol therapy, and experienced significantly fewer disease flare-ups or treatment discontinuations (28 vs 56% for pla cebo), without excess adverse events. Mepolizumab was U.S. Food and Drug Administration approved for use in HES on September 25, 2020. In a smaller phase 2 study, benralizumab (monoclonal antibody target ing the receptor for IL-5; 30 mg given subcutaneously every 4 weeks) was also shown to reduce eosinophil count more efficiently compared to placebo (90 vs 30%). </w:t>
      </w:r>
      <w:r w:rsidR="00A6019F" w:rsidRPr="00A6019F">
        <w:rPr>
          <w:rFonts w:ascii="Arial" w:hAnsi="Arial" w:cs="Arial"/>
        </w:rPr>
        <w:t>■</w:t>
      </w:r>
      <w:r w:rsidR="00A6019F" w:rsidRPr="00A6019F">
        <w:t xml:space="preserve">MASTOCYTOSIS SM is characterized by proliferation of neoplastic mast cells (MCs) in BM and/or other extracutaneous organs and is distinguished from cutaneous mastocytosis (CM; skin involvement only) and mast cell sarcoma (MCS; high-grade focal MC tumor). According to the ICC and WHO-proposed </w:t>
      </w:r>
      <w:r w:rsidR="00A6019F" w:rsidRPr="00A6019F">
        <w:lastRenderedPageBreak/>
        <w:t xml:space="preserve">fifth edition (WHO5) classification systems (Table 115-4), SM is subclassified into indolent (ISM), smoldering (SSM), aggressive (ASM), SM with associated myeloid (SM-AMN, per ICC) or hematologic (SM-AHN, per WHO5) neoplasm, and mast cell leukemia (MCL). WHO5 also includes an additional “low-grade” SM subtype, namely BM mastocytosis (BMM); the latter is described as consisting of (1) absence of skin lesions, (2) absence of B findings, and (3) serum tryptase level 25% MCs with atypical morphology; (2) MC expres sion of CD25, CD2, and/or CD30; (3) KIT D816V or other activating KIT mutation; and (4) increased serum tryptase &gt;20 ng/mL (needs to be adjusted in the presence of hereditary α-tryptasemia); in addi tion, presence of myeloid/lymphoid neoplasm with eosinophilia with TKGRs must be excluded. SM diagnosis per WHO5 requires the pres ence of the major criterion as well as one other minor criterion or at least three minor criteria. The term advanced SM (AdvSM) includes ASM, SM-AMN/AHN, and MCL; AdvSM is distinguished from non-AdvSM by the presence of either an associated myeloid/hematologic neoplasm (e.g., AML, CMML, MDS, MPN) or organopathy resulting from MC infiltra tion. MC-associated organopathy is defined by the presence of one or more C findings: (1) ≥1 cytopenia (hemoglobin 30% of BM cellularity on BM biopsy and serum tryptase &gt;200 ng/mL; (2) cytopenia not meeting criteria for C findings or cytosis; and (3) palpable hepatomegaly without liver func tion impairment or splenomegaly without thrombocytopenia or &gt;1 cm lymphadenopathy on palpation or imaging; in addition, KIT D816V VAF ≥10% qualifies as a B finding, per WHO5. In a study of 329 patients with AdvSM, including WHO5 subcat egories of SM-AHN (64%), ASM (30%), and MCL (6%) or ICC subcat egories of SM-AMN (64%), ASM (33%), and MCL (3%), multivariable analysis that included the Mayo Alliance risk factors for survival in SM (age &gt;60 years, anemia, thrombocytopenia, increased alkaline phosphatase) revealed more accurate survival prediction with the ICC versus WHO5 classification order: (1) survival was significantly worse with ICC-defined MCL versus WHO5-defined MCL with otherwise mature MC cytomorphology; (2) prognostic distinction was con firmed for ICC-defined MCL versus ICC-defined SM-AMN but not for WHO5-defined MCL versus WHO-defined SM-AHN; (3) survival was similar between WHO5-defined MCL with mature cytomorphol ogy versus ICC-defined SM-AMN; and (4) ICC-defined SM-AMN but not WHO-defined SM-AHN with lymphoid lineage was prognostically distinct from ASM. Accordingly, our views on the classification of AdvSM are in line with those of the ICC system. We believe that these details are therapeutically relevant considering the emergent nature of ICC-defined MCL and the fact that SM-AMN, as opposed to SM AHN, carries a prognostically worse designation that might require therapeutic intervention with ASCT sooner than later. Currently available drugs for treatment include KIT inhibitors (KITi), which exhibit remarkable activity in reducing MC and mutant KIT burden but have not been shown to extend survival. On the other hand, we are impressed by the remarkable activity of currently available KITi on the MC component of SM, with the caveat that such drugs are expensive, have significant side effects, and need long-term use. The first step in </w:t>
      </w:r>
      <w:r w:rsidR="00A6019F" w:rsidRPr="00A6019F">
        <w:lastRenderedPageBreak/>
        <w:t xml:space="preserve">treatment decision-making is to identify whether the AMN component takes priority over the SM component of the disease, for treatment purposes. High-grade AMNs, including AML, high-/very high-risk MDS or CMML, or those with &gt;10% BM blasts, likely take precedence in this regard. Accordingly, in a fit patient with SM-AML or SM-high/very-high-risk MDS, intensive remission induction therapy or hypomethylating agent (HMA) therapy can be considered. If the SM is incidentally diagnosed or is associated with minimal symptoms, we generally limit SM therapy to supportive/symptomatic care, includ ing with antihistamine and/or antileukotriene agents or cromolyn, as well as taking precautions for anaphylaxis prevention/treatment. For SM with significantly high MC or symptom burden, concurrent MC cytoreduction can be considered, particularly for those with relapsed/ refractory disease, although there are no clear protocols in this regard. ASCT has an important role in the treatment of SM-high-grade AMN, although there is no consensus regarding optimal timing, deb ulking strategy, and so on; overall survival appears to be most favorable for SM-AMN patients compared to other subgroups, and survival was superior in those receiving myeloablative versus reduced-intensity conditioning, thereby indicating the need for effective cytoreduction prior to stem cell transplantation. For SM-AMN patients with a low grade AMN, such as PV or ET, or low-risk MDS, conventional therapy for the AMN including therapeutic phlebotomies, low-dose aspirin, hydroxyurea or interferon α, or erythropoiesis-stimulating agents is pursued. If the SM disease component does not warrant cytoreduction (e.g., no C findings), supportive/symptomatic care, as described earlier, is pursued, along with intermittent monitoring of disease status. If MC cytoreduction is warranted, monotherapy with a TKI or cladribine can be pursued, depending on individual risk, benefit considerations, treat ment availability, cost considerations, and so on. We find cladribine, midostaurin, and avapritinib to be reasonable drug considerations for AdvSM as well as MCL. While avapritinib has theoretical advantages over midostaurin, including a more potent inhibitory effect on KIT D816V and proven efficacy in patients previ ously treated with midostaurin, we are agnostic regarding the choice of TKI given the lack of head-to-head comparison; instead, we recom mend an individualized approach to TKI selection that weighs drug accessibility/affordability, comorbid conditions, risk tolerance for anticipated adverse events, and provider/center experience with the particular TKI. We continue to utilize cladribine as a reasonable alter native to TKI therapy, based on decades-long experience, long-term safety record, and qualitatively better toxicity profile that is mostly limited to cytopenias, as opposed to cognitive impairment and other side effects with avapritinib and intolerance due to diarrhea with midostaurin. For ASM patients who exhibit disease progression and/ or leukemic transformation despite adequate TKI dosing or cladribine, we recommend ASCT as salvage therapy. We consider “true” MCL an oncologic emergency, and collaboration with an experienced hema topathologist to expeditiously confirm the diagnosis is critical, as is expedited molecular testing for KIT D816V and other AMN-relevant mutations. </w:t>
      </w:r>
      <w:r w:rsidR="00A6019F" w:rsidRPr="00A6019F">
        <w:rPr>
          <w:rFonts w:ascii="Arial" w:hAnsi="Arial" w:cs="Arial"/>
        </w:rPr>
        <w:t>■</w:t>
      </w:r>
      <w:r w:rsidR="00A6019F" w:rsidRPr="00A6019F">
        <w:t xml:space="preserve">DENDRITIC AND HISTIOCYTIC </w:t>
      </w:r>
      <w:r w:rsidR="00A6019F" w:rsidRPr="00A6019F">
        <w:lastRenderedPageBreak/>
        <w:t xml:space="preserve">NEOPLASMS Dendritic cell (DC) and histiocyte/macrophage neoplasms are extremely rare. DCs are antigen-presenting cells, whereas histiocyte/ macrophages are antigen-processing cells. BM myeloid stem cells (CD34+) give rise to monocyte (CD14+, CD68+, CD11c+, CD1a–) and DC (CD14–, CD11c+/–, CD1a+/c) precursors. Monocyte precursors, in turn, give rise to macrophages (CD14+, CD68+, CD11c+, CD163+, lysozyme+) and interstitial DCs (CD68+, CD1a–). DC precursors give rise to Langerhans cell DCs (Birbeck granules, CD1a+, S100+, langerin+) and plasmacytoid DCs (CD68+, CD123+). Follicular DCs (CD21+, CD23+, CD35+) originate from mesenchymal stem cells. Dendritic and histiocytic neoplasms are operationally classified into macrophage/histiocyte-related and DC-related. The former includes histiocytic sarcoma/malignant histiocytosis and the latter Langerhans cell histiocytosis, Langerhans cell sarcoma, interdigitating DC sarcoma, and follicular DC sarcoma. Histiocytic Sarcoma/Malignant Histiocytosis Histiocytic sarcoma represents malignant proliferation of mature tissue histiocytes and is often localized. Median age at diagnosis is estimated at 46 years with slight male predilection. Some patients might have a history of lymphoma, MDS, or germ cell tumors at time of disease presentation. The three typical disease sites are lymph nodes, skin, and the gastro intestinal system. Patients may or may not have systemic symptoms including fever and weight loss, and other symptoms include hepato splenomegaly, lytic bone lesions, and pancytopenia. Immunopheno type includes presence of histiocytic markers (CD68, lysozyme, CD11c, CD14) and absence of myeloid or lymphoid markers. Prognosis is poor, and treatment is often ineffective. The term malignant histiocytosis refers to a disseminated disease and systemic symptoms. Lymphoma like treatment induces complete remissions in some patients, and median survival is estimated at 2 years. In one of the largest series of histiocytic sarcoma, 330 cases were included with median age of 61 years (59% male). In the latter study, the most common sites of pre sentation were skin, connective tissue, lymph nodes, gastrointestinal tract, and hematopoietic system; median overall survival was 6 months, and treatment included systemic chemotherapy, radiotherapy, and surgery. Factors associated with poor outcome included older age, high comorbidity index, and disease involving the hematopoietic and reticuloendothelial system. CHAPTER 115 Less Common Lymphoid and Myeloid Malignancies Langerhans Cell Histiocytosis Langerhans cells (LCs) are spe cialized DCs that reside in mucocutaneous tissue and upon activation 882 nodes; oral cavity; the gastrointestinal system; skin; and breast. Sites of metastasis include lung and liver. Immunophenotype includes CD21, CD35, and CD23. Clinical course is typically indolent, and treatment includes surgical excision followed by regional radiotherapy and some times systemic chemotherapy. Hemophagocytic Lymphohistiocytosis (see Chap. 68) Hemo PART 4 Oncology and Hematology become specialized for antigen presentation to T cells. LC histiocytosis (LCH; also known as histiocytosis X) represents neoplastic proliferation of LCs (S100+, CD1a+, and Birbeck granules on electron microscopy). LCH incidence is estimated at 5 per million, and the disease typically affects children, with a male predilection. </w:t>
      </w:r>
      <w:r w:rsidR="00A6019F" w:rsidRPr="00A6019F">
        <w:lastRenderedPageBreak/>
        <w:t xml:space="preserve">Presentation can be either unifocal (eosinophilic granuloma) or multifocal. The former usually affects bones and less frequently lymph nodes, skin, and lung, while the latter is more disseminated. Unifocal disease often affects older chil dren and adults, while multisystem disease affects infants. LCH of the lung in adults is characterized by bilateral nodules. Prognosis depends on organs involved. Only 10% of patients progress from unifocal to multiorgan disease. LCH of the lung might improve upon cessation of smoking. Approximately 55% of patients with LCH harbor BRAF V600E gain-of-function mutations, which indicates high-risk disease and resistance to first-line therapy, while responses to targeted therapy with vemurafenib have been reported. Other forms of treatment for LCH include combination chemotherapy and MEK inhibitors in BRAF wild-type but with other MAPK pathway mutations. Unfortunately, such targeted therapy has not secured long-lasting treatment-free remissions. In one retrospective study, 33 adult patients with LCH were studied including 21 with single-system LCH, 10 with multisystem LCH, and 2 with pulmonary LCH. Patients with single-system unifocal involve ment were successfully treated with local therapies such as surgery and radiotherapy. Most of the multisystem LCH patients and patients with single-system multifocal involvement were treated with systemic chemotherapy. Cladribine was the first choice in 10 of 11 patients who received chemotherapy. Among all patients, the overall response rate (ORR) was 97%. Among those who had cladribine in the first line, the ORR was 81%. All these patients achieved a complete remission and were alive at the last visit. The median follow-up was 38 months (range, 2–183 months). The median progression-free survival (PFS) has not yet been reached. Ten-year PFS was 90.9%. Expert consensus recommenda tions for treatment include local therapies for unifocal disease, smoking cessation as first-line therapy for pulmonary LCH, and systemic therapy for multifocal and multisystem disease; the latter might include cladrib ine, cytarabine, and targeted therapy with BRAF and MEK inhibitors. In one study, 26 adult patients with non-LCH, including 17 with Erdheim-Chester disease (ECD), 3 with Rosai-Dorfman disease (RDD), 5 with ECD/RDD, and 1 with ECD/LCH, were treated with the MEK inhibitor trametinib; the most common treatment-related toxicity was rash (27%), whereas the response rate of the 17 evaluable patients was 71%, including 73% without a detectable BRAF V600E; median time-to-treatment failure was 37 months; most patients har bored mutations in BRAF (either classic BRAF V600E or other BRAF alterations) or alterations in other genes involved in the MAPK path way (e.g., MAP2K, NF1, GNAS, or RAS). Langerhans Cell Sarcoma Langerhans cell sarcoma (LCS) also represents neoplastic proliferation of LCs with overtly malignant mor phology. The disease can present de novo or progress from antecedent LCH. There is a female predilection, and median age at diagnosis is estimated at 41 years. Immunophenotype is similar to that seen in LCH, and liver, spleen, lung, and bone are the usual sites of disease. Prognosis is poor, and treatment is generally ineffective. Interdigitating Dendritic Cell Sarcoma Interdigitating DC sarcoma (IDCS), also known as reticulum cell sarcoma, represents neoplastic proliferation of interdigitating DCs. The disease is </w:t>
      </w:r>
      <w:r w:rsidR="00A6019F" w:rsidRPr="00A6019F">
        <w:lastRenderedPageBreak/>
        <w:t xml:space="preserve">extremely rare and affects elderly adults with no sex predilection. Typical presen tation is asymptomatic solitary lymphadenopathy. Immunophenotype includes S100+ and negative for vimentin and CD1a. Prognosis ranges from benign local disease to widespread lethal disease. Follicular Dendritic Cell Sarcoma Follicular dendritic cells (FDCs) reside in B-cell follicles and present antigen to B cells. FDC neoplasms (FDCNs) are usually localized and often affect adults. FDCN might be associated with Castleman’s disease in 10–20% of cases, and increased incidence in schizophrenia has been reported. Cervical lymph nodes are the most frequent site of involvement in FDCNs, and other sites include maxillary, mediastinal, and retroperitoneal lymph phagocytic lymphohistiocytosis (HLH) represents nonneoplastic pro liferation and activation of macrophages and cytotoxic lymphocytes that induce cytokine-mediated bone marrow suppression, features of intense phagocytosis in bone marrow and liver, and multiorgan dysfunction including cytopenias, coagulopathy, and fever. HLH may result from genetic (primary) or acquired (secondary) disorders of macrophages. The former entail genetically determined inability to regulate macrophage proliferation and activation and might include alterations in familial HLH genes, including those of perforin (PRF1, UNC13D, STXBP2, and STX11), granule/pigment abnormality genes (RAB27A, LYST, and AP3B1), or X-linked lymphoproliferative disease genes (SH2D1A and XIAP). Acquired HLH is often precipitated by viral infections, including Epstein-Barr virus. HLH might also accom pany certain malignancies such as T-cell lymphoma and autoimmune diseases, ASCT, and chimeric antigen receptor (CAR) T-cell therapy. In a recent population-based study from Sweden, the annual incidence of malignancy-associated HLH had increased 10-fold and was at least 0.71 per 100,000 adults from 2012 to 2018, and early survival improved significantly, likely due to increased awareness and more HLH-directed therapy. Regardless of the cause, the common tissue/organ-damaging pathway involves excessive inflammatory cytokine release, including IL-6, IL-2, IL-1, interferon γ, and tumor necrosis factor (TNF). Clinical presentation of HLH includes fever, severe constitutional symptoms, enlarged lymph nodes, hepatosplenomegaly, neurologic dysfunction, and abnormalities in multiple organ function tests. Diagnosis is accomplished by either detection of HLH-related muta tions or meeting five of the following eight conventional criteria: (1) hemophagocytosis in the bone marrow/spleen/lymph nodes; (2) serum ferritin ≥500 µg/L; (3) hypofibrinogenemia (fibrinogen ≤1.5 g/L) or hypertriglyceridemia (triglycerides ≥3 mmol/L); (4) low NK cell activ ity; (5) elevated soluble IL-2 receptor (CD25) ≥2400 U/mL; (6) bi- or tri-cytopenia (platelets 3 cm below left costal margin; and (8) fever. Clinical course is often fulminant and fatal with reported 1-year survival rates of 80%. </w:t>
      </w:r>
      <w:r w:rsidR="00A6019F" w:rsidRPr="00A6019F">
        <w:rPr>
          <w:rFonts w:ascii="Arial" w:hAnsi="Arial" w:cs="Arial"/>
        </w:rPr>
        <w:t>■</w:t>
      </w:r>
      <w:r w:rsidR="00A6019F" w:rsidRPr="00A6019F">
        <w:t xml:space="preserve">FURTHER READING Alaggio R et al: The 5th edition of the World Health Organization Classification of Haematolymphoid Tumours: Lymphoid neoplasms. Leukemia 36:1720, 2022. Arber DA et al: International Consensus Classification of myeloid neoplasms and acute leukemias: Integrating morphologic, clinical, and genomic data. Blood 140:1200, 2022. de Leval L et al: A practical approach to the modern diagnosis and classification </w:t>
      </w:r>
      <w:r w:rsidR="00A6019F" w:rsidRPr="00A6019F">
        <w:lastRenderedPageBreak/>
        <w:t xml:space="preserve">of T- and NK-cell lymphomas. Blood 144:1855, 2024. Khoury JD et al: The 5th edition of the World Health Organization Classification of Haematolymphoid Tumours: Myeloid and histio cytic/dendritic neoplasms. Leukemia 36:1703, 2022. Miranda RN et al: The 5th edition of the World Health Organization Classification of Hematopoietic and lymphoid tissues: Mature T-cell, NK-cell, and stroma-derived neoplasms of lymphoid tissues. Mod Pathol 37:100512, 2024. Szuber N et al: Chronic neutrophilic leukemia: 2022 update on diagno sis, genomic landscape, prognosis, and management. Am J Hematol 97:491, 2022. 116 Plasma Cell Disorders Less commonly, the M component may appear in the β2 or α2 globulin 883 Nikhil C. Munshi, Dan L. Longo, Kenneth C. Anderson The plasma cell disorders are monoclonal neoplasms related to each other by virtue of their development from common progenitors in the late B-lymphocyte lineage. Multiple myeloma (MM), Waldenström’s macroglobulinemia, primary amyloidosis (Chap. 117), and the heavy chain diseases comprise this group and may be designated by a variety of synonyms such as monoclonal gammopathies, paraproteinemias, plasma cell dyscrasias, and dysproteinemias. Mature B lymphocytes des tined to produce IgG bear surface immunoglobulin molecules of both μ and γ heavy chain isotypes with both isotypes having identical idio types (variable regions). Under normal circumstances, maturation to antibody-secreting plasma cells and their proliferation is stimulated by exposure to the antigen for which the surface immunoglobulin is spe cific; however, in the plasma cell disorders, the control over this process is lost. The clinical manifestations of all the plasma cell disorders relate to the expansion of the neoplastic cells, to the secretion of cell products (immunoglobulin molecules or subunits, lymphokines), and to some extent to the host’s response to the tumor. Normal development of B lymphocytes is discussed in Chap. 360 and depicted in Fig. 113-2. Three categories of structural variation are present among immu noglobulin molecules that form antigenic determinants, and these are used to classify immunoglobulins. Isotypes are those determinants that distinguish among the main classes of antibodies of a given species and are the same in all normal individuals of that species. Therefore, isotypic determinants are, by definition, recognized by antibodies from a distinct species (heterologous sera) but not by antibodies from the same species (homologous sera). There are five heavy chain isotypes (M, G, A, D, E) and two light chain isotypes (κ, λ). Allotypes are distinct determinants that reflect regular small differences between individuals of the same species in the amino acid sequences of otherwise similar immunoglobulins. These differences are determined by allelic genes; by definition, they are detected by antibodies made in the same spe cies. Idiotypes are the third category of antigenic determinants. They are unique to the molecules produced by a given clone of antibody producing cells. Idiotypes are formed by the unique structure of the antigen-binding portion of the molecule. Antibody molecules (Fig. 116-1) are composed of two heavy chains (~50,000 molecular weight [mol wt]) and two light chains (~25,000 mol wt). Each chain has a constant portion (limited amino acid sequence variability) and a variable region (extensive sequence </w:t>
      </w:r>
      <w:r w:rsidR="00A6019F" w:rsidRPr="00A6019F">
        <w:lastRenderedPageBreak/>
        <w:t xml:space="preserve">variability). The light and heavy chains are linked by disulfide bonds and are aligned so that their variable regions are adjacent to one another. This variable region forms the antigen recognition site of the antibody molecule; its unique structural features form idiotypes that are reliable markers for a particular clone of cells because each antibody is formed and secreted by a single clone. Because of the mechanics of the gene rearrangements necessary to specify the immunoglobulin variable regions (VDJ joining for the heavy chain, VJ joining for the light chain), a particular clone rearranges only one of the two chromosomes to produce an immuno globulin molecule of only one light chain isotype and only one allotype (allelic exclusion) (Fig. 116-1). After exposure to antigen, the variable region may become associated with a new heavy chain isotype (class switch). Each clone of cells performs these sequential gene arrange ments in a unique way. This results in each clone producing a unique immunoglobulin molecule. In most plasma cells, light chains are syn thesized in slight excess, secreted as free light chains, and cleared by the kidney, but 2 megabases, and some of the D region gene segments are only a few bases long, so the figure depicts the schematic relationship among the segments, not their actual size. The bottom portion of the figure outlines the steps in going from the noncontiguous germline gene segments to an intact antibody molecule. Two recombination events juxtapose the V-D-J (or V-J for light chains) segments. The rearranged gene is transcribed, and RNA splicing cuts out intervening sequences to produce an mRNA, which is then translated into an antibody light or heavy chain. The sites on the antibody that bind to antigen (the so-called CDR3 regions) are encoded by D and J segments for heavy chains and the J segments for light chains. (Adapted from Janeway’s Immunobiology, 8th ed by Kenneth Murphy. Copyright © 2012 by Garland Science, Taylor &amp; Francis Group, LLC. Used by permission of W. W. Norton &amp; Company, Inc.) emerged. Genome sequencing efforts have allowed for characterization of critical genes, pathways, and clonal heterogeneity in myeloma. The median number of mutations per transcribed genome in myeloma is ~58, and within the whole genome, it is &gt;7000. A very heterogeneous mutational landscape with no unifying mutation has been observed. The most frequently mutated genes are KRAS and NRAS (~20% each), followed by TP53, DIS3, FAM46C, and BRAF, all mutated in 5–10% of patients. All other mutations were observed in 75% of patients will have a serious infection at some time in their course. The susceptibility to infection has several contributing causes. First, patients with myeloma have diffuse hypogammaglobulinemia if the M component is excluded. The hypogammaglobulinemia is related to both decreased production and increased destruction of normal antibodies. The large M component results in fractional catabolic rates of 8–16% instead of the normal 2%. Moreover, some patients generate a population of circulating regulatory cells in response to their myeloma that can suppress normal antibody synthesis. These patients have very poor antibody responses, especially to polysaccharide antigens such as those on bacterial cell walls. Various abnormalities in T-cell function are also observed including decreased TH 1 response, increase in TH 17 cells producing proinflammatory cytokines, and aberrant T </w:t>
      </w:r>
      <w:r w:rsidR="00A6019F" w:rsidRPr="00A6019F">
        <w:lastRenderedPageBreak/>
        <w:t xml:space="preserve">regulatory ↑Neoangiogenesis cell function. Granulocyte lysozyme content is low, and granulocyte migration is not as rapid as normal in patients with myeloma, probably the result of a tumor product. There are also a variety of abnormalities in complement functions in myeloma patients. All these factors con tribute to the immune deficiency in these patients. Some commonly used therapeutic agents may significantly affect immune function; e.g., dexamethasone suppresses immune responses and increases sus ceptibility to bacterial and fungal infection, B-cell maturation antigen (BCMA)–targeting chimeric antigen receptor T (CAR-T) cells and bispecific antibodies can eliminate plasma cells inducing hypogamma globulinemia, and bortezomib predisposes to herpesvirus reactivation. Renal failure occurs in nearly 25% of myeloma patients, and some renal pathology is noted in &gt;50%. Of many contributing factors, hypercalcemia is the most common cause of renal failure. Glomerular deposits of amyloid, hyperuricemia, recurrent infections, frequent use of nonsteroidal anti-inflammatory agents for pain control, use of iodinated contrast dye for imaging, bisphosphonate use, and occa sional infiltration of the kidney by myeloma cells all may contribute to renal dysfunction. However, tubular damage associated with the excretion of light chains is common. Normally, light chains are filtered, reabsorbed in the tubules, and catabolized. With the increase in the amount of light chains presented to the tubule, the tubular cells become overloaded with these proteins, and tubular damage results either directly from light chain toxic effects or indirectly from the release of intracellular lysosomal enzymes. The earliest manifestation of this tubular damage is the adult Fanconi’s syndrome (a type 2 proximal renal tubular acidosis), with loss of glucose and amino acids, as well as defects in the ability of the kidney to acidify and concentrate the urine. CTLA4 Anergic Exhausted Cytotoxic T cell PD-1 PD-L1 887 deposition disease, light chain cast nephropathy, and amyloidosis is partially reversible with effective therapy. Myeloma patients are sus ceptible to developing acute renal failure if they become dehydrated. Normocytic and normochromic anemia occurs in ~80% of myeloma patients. It is usually related to the replacement of normal marrow by expanding tumor cells, to the inhibition of hematopoiesis by factors produced by the tumor, to reduced production of erythropoietin by the kidney, and to the effects of long-term therapy. In addition, mild hemolysis may contribute to the anemia. A larger than expected frac tion of patients may have megaloblastic anemia due to either folate or vitamin B12 deficiency. Granulocytopenia and thrombocytopenia are A rare except when therapy-induced. Clotting abnormalities may be seen due to the failure of antibody-coated platelets to function properly; the interaction of the M component with clotting factors I, II, V, VII, or VIII; antibody to clotting factors; or amyloid damage of endothelium. Deep venous thrombosis is also observed with the use of thalidomide, lenalidomide, or pomalidomide. Raynaud’s phenomenon and impaired circulation may result if the M component forms cryoglobulins, and hyperviscosity syndromes may develop depending on the physical properties of the M component (most common with IgM, IgG3, and IgA paraproteins). Hyperviscosity is defined based on the relative </w:t>
      </w:r>
      <w:r w:rsidR="00A6019F" w:rsidRPr="00A6019F">
        <w:lastRenderedPageBreak/>
        <w:t xml:space="preserve">viscosity of serum as compared with water. Normal relative serum vis cosity is 1.8 (i.e., serum is normally almost twice as viscous as water). Symptoms of hyperviscosity occur at a level greater than 4 centipoises (cP), which is usually reached at paraprotein concentrations of ~40 g/L (4 g/dL) for IgM, 50 g/L (5 g/dL) for IgG3, and 70 g/L (7 g/dL) for IgA; however, chemico-physical properties of the paraproteins may cause it at lower levels. Although neurologic symptoms occur in a minority of patients, they may have many causes. Hypercalcemia may produce lethargy, weak ness, depression, and confusion. Hyperviscosity may lead to headache, fatigue, shortness of breath, exacerbation or precipitation of heart failure, visual disturbances, ataxia, vertigo, retinopathy, somnolence, and coma. Bony damage and collapse may lead to cord compression, radicular pain, and loss of bowel and bladder control. Infiltration of peripheral nerves by amyloid can be a cause of carpal tunnel syndrome and other sensorimotor mono- and polyneuropathies. Neuropathy associated with monoclonal gammopathy of undetermined signifi cance (MGUS) and myeloma is more frequently sensory than motor neuropathy and is associated with IgM more than other isotypes. In &gt;50% of patients with neuropathy, the IgM monoclonal protein is directed against myelin-associated globulin (MAG). Sensory neu ropathy is also a side effect of therapy, specifically thalidomide and bortezomib. Many of the clinical features of myeloma, e.g., cord compression, pathologic fractures, hyperviscosity, sepsis, and hypercalcemia, can present as medical emergencies. Despite the widespread distribution of plasma cells in the body, tumor expansion is dominantly within bone and bone marrow and, for reasons unknown, rarely causes enlargement of spleen, lymph nodes, or gut-associated lymphatic tissue. CHAPTER 116 Plasma Cell Disorders B FIGURE 116-5 Bony lesions in multiple myeloma (MM). A. The skull demonstrates the typical “punched out” lesions characteristic of MM. The lesion represents a purely osteolytic lesion with little or no osteoblastic activity (above). B. Positron emission tomography/computed tomography showing multiple fluorodeoxyglucose (FDG)-avid lesions in skeleton (left panel) with their resolution on achieving complete response (CR) (right panel). (Part A courtesy of Dr. Geraldine Schechter; with permission. Part B courtesy of Dr. Sundar Jagannath; with permission.) The proteinuria is not accompanied by hypertension, and the protein is nearly all light chains. Generally, very little albumin is in the urine because glomerular function is usually normal. When the glomeruli are involved, nonselective proteinuria is also observed. Patients with myeloma also have a decreased anion gap [i.e., Na+ – (Cl− + HCO3 −)] because the M component is cationic, resulting in retention of chloride. This is often accompanied by hyponatremia that is felt to be artificial (pseudohyponatremia) because each volume of serum has less water as a result of the increased protein. Renal dysfunction due to light chain </w:t>
      </w:r>
      <w:r w:rsidR="00A6019F" w:rsidRPr="00A6019F">
        <w:rPr>
          <w:rFonts w:ascii="Arial" w:hAnsi="Arial" w:cs="Arial"/>
        </w:rPr>
        <w:t>■</w:t>
      </w:r>
      <w:r w:rsidR="00A6019F" w:rsidRPr="00A6019F">
        <w:t xml:space="preserve">DIAGNOSIS AND STAGING The diagnosis of myeloma requires marrow plasmacytosis (&gt;10%), a serum and/or urine M component, and at least one of the myeloma defining events detailed in Table 116-1. Bone marrow plasma cells are CD138+ and either monoclonal kappa or lambda light chain positive. The most important differential diagnosis in patients with myeloma involves their </w:t>
      </w:r>
      <w:r w:rsidR="00A6019F" w:rsidRPr="00A6019F">
        <w:lastRenderedPageBreak/>
        <w:t xml:space="preserve">separation from individuals with MGUS or smolder ing multiple myeloma (SMM). MGUS is vastly more common than myeloma, occurring in 1% of the population aged &gt;50 years and in up to 10% of individuals aged &gt;75 years. The diagnostic criteria for MGUS, SMM, and myeloma are described in Table 116-1. Although ~1% of patients per year with MGUS go on to develop myeloma, all cases of myeloma are preceded by MGUS. Non-IgG subtype, abnormal kappa/lambda free light chain ratio, and serum M protein &gt;15 g/L (1.5 g/dL) are associated with higher incidence of progression of MGUS to myeloma. Absence of all three features predicts a 5% chance of progres sion, whereas higher-risk MGUS with the presence of all three features predicts a 60% chance of progression over 20 years. The features 888 PART 4 Oncology and Hematology TABLE 116-1 Diagnostic Criteria for Multiple Myeloma, Myeloma Variants, and Monoclonal Gammopathy of Undetermined Significance Monoclonal Gammopathy of Undetermined Significance (MGUS) Serum monoclonal protein (non-IgM type) 0.25 mmol/L (&gt;1 mg/dL) higher than the upper limit of normal or &gt;2.75 mmol/L (&gt;11 mg/dL) • Renal insufficiency: creatinine clearance 177 μmol/L (&gt;2 mg/dL) • Anemia: hemoglobin value of &gt;20 g/L below the lower limit of normal, or a hemoglobin value 1 focal lesion on MRI studiese Nonsecretory Myeloma No M protein in serum and/or urine with immunofixationf Bone marrow clonal plasmacytosis ≥10% or plasmacytomaa Myeloma-related organ or tissue impairment (end-organ damage, as described above) Solitary Plasmacytoma Biopsy-proven solitary lesion of bone or soft tissue with evidence of clonal plasma cells Normal bone marrow with no evidence of clonal plasma cellsa Normal skeletal survey and MRI (or CT) of spine and pelvis (except for the primary solitary lesion) Absence of end-organ damage such as hypercalcemia, renal insufficiency, anemia, or bone lesions (CRAB) that can be attributed to a lymphoplasma cell proliferative disorder POEMS Syndrome All of the following four criteria must be met: 1. Polyneuropathy 2. Monoclonal plasma cell proliferative disorder 3. Any one of the following: (a) sclerotic bone lesions; (b) Castleman’s disease; (c) elevated levels of vascular endothelial growth factor (VEGF) 4. Any one of the following: (a) organomegaly (splenomegaly, hepatomegaly, or lymphadenopathy); (b) extravascular volume overload (edema, pleural effusion, or ascites); (c) endocrinopathy (adrenal, thyroid, pituitary, gonadal, parathyroid, and pancreatic); (d) skin changes (hyperpigmentation, hypertrichosis, glomeruloid hemangiomata, plethora, acrocyanosis, flushing, and white nails); (e) papilledema; (f) thrombocytosis/polycythemiag aClonality should be established by showing κ/λ light chain restriction on flow cytometry, immunohistochemistry, or immunofluorescence. Bone marrow plasma cell percentage should preferably be estimated from a core biopsy specimen; in case of a disparity between the aspirate and core biopsy, the highest value should be used. bMeasured or estimated by validated equations. CIf bone marrow has 10%, abnormal kappa/lambda free light chain ratio, and serum M protein &gt;30 g/L (3 g/dL). Patients with only one of these three features have a 25% chance of progression to MM in 5 years, whereas patients with high-risk SMM with all three features have a 76% chance of progression. Two important variants of </w:t>
      </w:r>
      <w:r w:rsidR="00A6019F" w:rsidRPr="00A6019F">
        <w:lastRenderedPageBreak/>
        <w:t xml:space="preserve">myeloma are solitary bone plasmacytoma and solitary extramedullary plasmacy toma. These lesions are associated with an M component in 7 g/dL Myd88 and CXCR4 mutation analysis if IgM component Abbreviations: CT, computed tomography; ISS, International Staging System; LDH, lactate dehydrogenase; MRI, magnetic resonance imaging; PET/CT, positron emission tomography/computed tomography. TABLE 116-3 Risk Stratification in Myeloma METHOD STANDARD RISK (75–80%) (EXPECTED SURVIVAL 8–10+ YEARS) HIGH RISK (20–25%) (EXPECTED SURVIVAL 3–4 YEARS) DNA sequencing or FISH if sequencing not available t(11;14) del(17p) (20% cutoff) and/ or TP53 mut  del(13) t(4;14)/t(14;16)/t(14;20) with 1q gain and/or 1p del  Hyperdiploidy Del 1p + 1q gain or biallelic del 1p Biochemical assessment β2 M &gt;5.5 with normal creatinine INTERNATIONAL STAGING SYSTEM (ISS) INTERNATIONAL STAGING SYSTEM (ISS) STAGE MEDIAN SURVIVAL, MONTHS β2 M 5.5 or β2 M 2000 plasma cells/μL. This may be seen in disproportionate frequency in IgD (12%) and IgE (25%) myelomas. Serum calcium, urea nitrogen, creatinine, and uric acid levels may be elevated. Serum alkaline phosphatase is usually normal even with extensive bone involvement because of the absence of osteoblastic activity. It is also important to quantitate serum β2-microglobulin and albumin (see below). Chest and bone radiographs may reveal lytic lesions or diffuse osteo penia. Magnetic resonance imaging (MRI) offers a sensitive means to document extent of bone marrow infiltration and cord or root com pression in patients with pain syndromes. 18F-fluorodeoxyglucose (18F-FDG) positron emission tomography (PET)/computed tomogra phy (CT) is a valuable tool to assess bone damage and detect extramed ullary sites of the disease (Fig. 116-5). The use of 18F-FDG PET/CT is now considered standard to distinguish between smoldering and active MM and to confirm a suspected diagnosis of solitary plasmacytoma. It is also a valuable tool to evaluate response in patients with oligo- or nonsecretory myeloma. </w:t>
      </w:r>
      <w:r w:rsidR="00A6019F" w:rsidRPr="00A6019F">
        <w:rPr>
          <w:rFonts w:ascii="Arial" w:hAnsi="Arial" w:cs="Arial"/>
        </w:rPr>
        <w:t>■</w:t>
      </w:r>
      <w:r w:rsidR="00A6019F" w:rsidRPr="00A6019F">
        <w:t xml:space="preserve">PROGNOSIS Serum </w:t>
      </w:r>
      <w:r w:rsidR="00A6019F" w:rsidRPr="00A6019F">
        <w:rPr>
          <w:rFonts w:ascii="Aptos" w:hAnsi="Aptos" w:cs="Aptos"/>
        </w:rPr>
        <w:t>β</w:t>
      </w:r>
      <w:r w:rsidR="00A6019F" w:rsidRPr="00A6019F">
        <w:t xml:space="preserve">2-microglobulin is the single most powerful predictor of sur vival and can substitute for staging. </w:t>
      </w:r>
      <w:r w:rsidR="00A6019F" w:rsidRPr="00A6019F">
        <w:rPr>
          <w:rFonts w:ascii="Aptos" w:hAnsi="Aptos" w:cs="Aptos"/>
        </w:rPr>
        <w:t>β</w:t>
      </w:r>
      <w:r w:rsidR="00A6019F" w:rsidRPr="00A6019F">
        <w:t xml:space="preserve">2-Microglobulin is the light chain of the class I major histocompatibility antigens (HLA-A, -B, -C) on the surface of every cell. Combination of serum </w:t>
      </w:r>
      <w:r w:rsidR="00A6019F" w:rsidRPr="00A6019F">
        <w:rPr>
          <w:rFonts w:ascii="Aptos" w:hAnsi="Aptos" w:cs="Aptos"/>
        </w:rPr>
        <w:t>β</w:t>
      </w:r>
      <w:r w:rsidR="00A6019F" w:rsidRPr="00A6019F">
        <w:t xml:space="preserve">2-microglobulin and albumin levels forms the basis for a three-stage International Staging System (ISS) (Table 116-3) that predicts survival. With the use of high dose therapy and the newer agents, the Durie-Salmon staging system is unable to predict outcome and is no longer used. High labeling index, circulating plasma cells, performance status, and high levels of lactate dehydrogenase are also associated with poor prognosis. With low proliferative activity of plasma cells, karyotype is now not recommended in myeloma. Fluorescent in situ hybridization (FISH) has become a standard investigative technique, and the current recom mendation suggests switching to DNA sequencing-based methods. Chromosome 17p deletion with 20% clonality or TP53 mutation, and translocations t(4;14), (14;16), or t(14;20) associated with del 1p or amp1q changes along with high β2-microglobulin with normal renal function are considered prognostic for high-risk disease, as described in Table 116-3. Chromosome 13q deletion and t(11;14) are not consid ered predictors of high-risk myeloma. </w:t>
      </w:r>
      <w:r w:rsidR="00A6019F" w:rsidRPr="00A6019F">
        <w:lastRenderedPageBreak/>
        <w:t xml:space="preserve">TREATMENT Multiple Myeloma MGUS, SMM, AND SOLITARY PLASMACYTOMA No specific intervention is indicated for patients with MGUS. Follow-up once a year or less frequently is adequate except in higher-risk MGUS, where serum protein electrophoresis, complete blood count, creatinine, and calcium should be repeated every 6 months. A patient with MGUS and severe polyneuropathy is con sidered for therapeutic intervention if a causal relationship can be assumed, especially in the absence of any other potential causes for neuropathy. Therapy can include plasmapheresis and occasionally rituximab in patients with IgM MGUS or myeloma-like therapy 890 PART 4 Oncology and Hematology TABLE 116-4 Standard Therapeutic Agents in Myeloma CLASS AGENT STANDARD DOSAGE AND ADMINISTRATION COMBINATION MYELOMA INDICATION Immunomodulatory drugs (IMiD) Thalidomide (T) Oral 50–200 mg qd TD, VTD Newly diagnosed and relapsed Lenalidomide (R) Oral 5–25 mg daily × 21 days q 4 weeks RD, RVD, DaRD, ERD, KRD, IRD, DaRVD Newly diagnosed, maintenance, and relapsed Pomalidomide (P) Oral 2–4 mg daily × 21 days q 4 weeks PD, KPD, DaPD Relapsed Proteasome inhibitors (PI) Bortezomib (V) IV or SC 1.3 mg/m2 days 1, 4, 8, 11 OR days 1, 8, 15 VD, VTD, VRD, DaVD, VCD DaRVD Newly diagnosed and relapsed Carfilzomib (K) IV 20–56 mg/m2 days 1, 2, 8, 9, 15, 16 q 4 weeks KD, KRD, KPD, Da KD, Da KRD, IsaKD Newly diagnosed and relapsed Ixazomib (I) Oral 4 mg days 1, 8, 15 IRD Relapsed, maintenance Antibodies Daratumumab (Da) IV or SC 16 mg/kg per week for 8 weeks then every 2 weeks for 16 weeks and then every 4 weeks thereafter Dara, DaRD, DaVD, DaPD, DaKD Newly diagnosed, maintenance, and relapsed Elotuzumab (E) IV 10 mg/kg days 1, 8, 15, and 22 for first two cycles, then on days 1 and 15; along with RD ERD, EPD Relapsed Isatuximab (Isa) IV 10 mg/kg weekly for 4 weeks and then every 2 weeks IsaPD, IsaKD Relapsed Belantamab mafodotin IV 2.5 mg/kg once every 3 weeks Relapsed or refractory—4 prior lines of therapy Selective inhibitor of nuclear export (SINE) Selinexor (S) Oral 80 mg on days 1 and 3 of each week SVD Relapsed Histone deacetylase inhibitor Panobinostat (Pa) Oral 20 mg once every other day for 3 doses/week for 2 weeks every 21 days PaVD Relapsed Alkylating agents Melphalan (M) Oral 0.25 mg/kg per day for 4 days (with P) every 4–6 weeks MP, MPT, MPR, MPV, DaMPV, high-dose M Newly diagnosed and relapsed conditioning Cyclophosphamide IV—300–500 mg/m2 weekly × 2 q 4 weeks Oral—50 mg qd × 21 days VCD Newly diagnosed and relapsed Bendamustine (B) IV 70–90 mg days 1, 2 OR days 1, 8 q 4 weeks BD or BVD Relapsed Melflufen (Me) IV 40 mg day 1 (with D 40 mg on days 1, 8, 15, and 22) q 28 days MeD Relapsed or refractory—4 prior lines of therapy Glucocorticoid Dexamethasone (D) Prednisone (P) Oral 10–40 mg q week Oral 1 mg/kg  All stages Cellular therapy Idecabtagene vicleucel (Ide-cel) IV 450 × 106 cells None At least two prior lines of therapy that includes an PI, IMiD and anti-CD38 antibody Ciltacabtagene autoleucel (Cilta-cel) IV None At least one prior line of therapy, including PI and IMiD and who are refractory to lenalidomide Bispecific antibodies Teclistamab Anti-BCMA–anti-CD3 Step-up doses of 0.06 mg and 0.3 mg per kilogram SC days 1, 4 and 1.5 mg per kilogram of body weight day 8 and q week None Relapsed or </w:t>
      </w:r>
      <w:r w:rsidR="00A6019F" w:rsidRPr="00A6019F">
        <w:lastRenderedPageBreak/>
        <w:t xml:space="preserve">refractory—4 prior lines of therapy with prior exposure to PI, IMiD, and anti-CD38 antibody Elranatamab Anti-BCMA–anti-CD3 Step-up doses of 12 and 32 mg on days 1, 4 and 76 mg SC day 8 and then q week for 25 weeks and then q 2 weeks None Talquetamab Anti-GPRC5D–anti-CD3 Two step-up doses during first week and then every week or every other week regimen None in those with IgG or IgA disease. A subset of patients with MGUS develop renal dysfunction usually based on renal damage from the monoclonal antibody. The damage may affect the glomeruli, tubules, or vessels. No consensus exists on management, but lower ing the level of the monoclonal antibody with bortezomib has had some advocates. About 10% of patients have SMM and will have an indolent course demonstrating only slow progression of disease over many years. For patients with SMM, no specific therapeutic intervention is indicated in general. But early intervention with lenalidomide alone or in combination with dexamethasone has been shown to prevent progression from high-risk SMM to active MM. At present, patients with SMM only require antitumor therapy when myeloma defining events are identified. Patients with solitary bone plasmacytomas and extramedullary plasmacytomas may be expected to enjoy prolonged disease-free survival after local radiation therapy at a dose of ~40 Gy. Occult marrow involvement may occur at low incidence in patients with solitary bone plasmacytoma. Such patients are usually identified because their serum M component falls slowly or disappears ini tially after local therapy, only to return after a few months. These patients respond well to systemic therapy. SYMPTOMATIC MM Patients with symptomatic myeloma require therapeutic inter vention. In general, such therapy has two purposes: (1) systemic therapy to control myeloma; and (2) supportive care to control symptoms of the disease, its complications, and adverse effects of therapy. Therapy can significantly prolong survival and improve the quality of life for myeloma patients. The therapy of myeloma includes an initial induction regimen followed by consolidation and/or maintenance therapy and, on subsequent progression, management of relapsed disease. All agents available for use at various stages of the therapy and their doses, schedules, and combinations are detailed in Table 116-4. Therapy is partly dictated by the patient’s age and comorbidities, which may 891 Newly diagnosed CHAPTER 116 Plasma Cell Disorders Smoldering myeloma No therapy except on clinical study or high-risk – Regular follow-up No Myeloma-defining events If appearance of MDE Transplant ineligible* Yes Induction therapy 4-drug regimen with Dara, R, V or K and d, Dara Rd, RVd-lite, VCd, Vd, Rd, VMP until maximum effect Response No response Alternate regimen Maintenance Relapse Treatment of relapsed disease: 5th line and beyond alternate regimen No response Relapse Treatment of relapsed disease 2–4 line of alternate regimen Transplant eligible Response Induction therapy 4-drug regimen with Dara, R, V or K and d; 3-drug regimen without Dara, or VCd until maximum effect HDT with ASCT/ consolidation Maintenance *Due to age or comorbidities. FIGURE 116-6 Treatment algorithm for multiple myeloma. Alternate regimen indicates combinations including daratumumab, elotuzumab, panobinostat, carfilzomib, ixazomib, </w:t>
      </w:r>
      <w:r w:rsidR="00A6019F" w:rsidRPr="00A6019F">
        <w:lastRenderedPageBreak/>
        <w:t xml:space="preserve">pomalidomide, or other agents. ASCT, autologous stem cell transplantation; C, cyclophosphamide; D, dexamethasone; HDT, high-dose therapy; M, melphalan; MDE, myeloma-defining events; P, prednisone; R, lenalidomide; RVD-lite, weekly regimen; V, bortezomib. HIGH-DOSE THERAPY WITH AUTOLOGOUS STEM CELL TRANSPLANTATION affect a patient’s ability to undergo high-dose therapy and trans plantation (Fig. 116-6). High-dose therapy (HDT) and consolidation/maintenance are stan dard practice in the majority of eligible patients. In patients who are transplant candidates and receiving lenalidomide, stem cells should be collected within 6 months because the continued use of lenalidomide may compromise the ability to collect adequate numbers of stem cells. Randomized studies comparing standard dose therapy to high-dose melphalan therapy with hematopoietic stem cell support have shown that HDT can achieve higher overall response rates, with up to 25–40% additional CRs and prolonged progression-free and overall survival; however, few, if any, patients are cured. Although two successive HDTs (tandem transplanta tions) are more effective than single HDT, the benefit is only observed in the subset of patients who do not achieve a complete or very good partial response to the first transplantation, which is a rare subset. Moreover, a randomized study failed to show any sig nificant difference in overall survival between early transplantation after induction therapy versus delayed transplantation at relapse. These data allow an option to delay transplantation, especially with the availability of newer agents and combinations. Allogeneic transplantations may also produce high response rates, but with significant toxicities. Nonmyeloablative allogeneic transplantation can reduce toxicity but is recommended only under the auspices of a clinical trial to exploit an immune graft-versus-myeloma effect while avoiding attendant toxicity. Due to effective cellular therapies, allogeneic transplantation is very rarely used. Three important classes of agents approved for treatment of newly diagnosed MM are immunomodulatory agents, proteasome inhibitors, and antibodies targeting CD38. The combination of lenalidomide with a proteasome inhibitor (bortezomib or carfil zomib) and dexamethasone achieves close to a 100% response rate and a &gt;50% complete response (CR) rate, making this combina tion one of the preferred induction regimens in transplant-eligible patients. Other similar three-drug combinations (bortezomib, tha lidomide, and dexamethasone or bortezomib, cyclophosphamide, and dexamethasone) also achieve &gt;90% response rate. Addition of a fourth agent, daratumumab or isatuximab, an anti-CD38 antibody, is providing even deeper responses and such four-drug regimens as induction therapy are becoming standard of care. Usually between four and six cycles of these combination regimens are utilized to achieve initial deep cytoreduction before consideration of high dose therapy with autologous stem cell transplantation. Maintenance therapy prolongs remissions following standard dose regimens as well as HDT. Several phase 3 studies have demonstrated improved progression-free survival, and one study showed prolonged overall survival in patients receiving lenalido mide compared to placebo as maintenance therapy after HDT. In nontransplant candidates, two phase 3 studies </w:t>
      </w:r>
      <w:r w:rsidR="00A6019F" w:rsidRPr="00A6019F">
        <w:lastRenderedPageBreak/>
        <w:t xml:space="preserve">showed prolonged In patients who are not transplant candidates due to physiologic age &gt;70 years, significant cardiopulmonary problems, or other comorbid illnesses, the same three-drug combinations described above are considered standard of care as induction therapy with age- and frailty-guided dose and schedule modifications. Com bination of daratumumab with lenalidomide and dexamethasone (DRd) and modified lenalidomide-bortezomib-dexamethasone (RVD lite) combination achieve high overall response rates (93 and 86%, respectively) and CR rates (47 and 32%, respectively). The four-drug combinations used in younger patients are also utilized in healthy older patients with excellent response. In the past, the combination of melphalan with prednisone (MP) alone or with thalidomide or bortezomib has been utilized effectively, but with the availability of newer agents and combinations, MP-based com binations are now not utilized. 892 progression-free survival with lenalidomide maintenance after MP plus lenalidomide or lenalidomide plus dexamethasone induction therapy. Although concern arises regarding an increased incidence of second primary malignancies in patients receiving lenalidomide maintenance, its benefits in reducing the risk of progressive disease and death from myeloma far outweigh the small increased risk of second cancers. In patients with high-risk cytogenetics, lenalido mide and bortezomib or an oral proteasome inhibitor, ixazomib, show promise as maintenance combination therapy after trans plantation. A phase 3 study has also demonstrated the benefit of maintenance therapy with daratumumab after HDT. RELAPSED DISEASE PART 4 Oncology and Hematology Relapsed myeloma can be treated with a number of agents includ ing lenalidomide and/or bortezomib, if previously not used. The second-generation proteasome inhibitor carfilzomib and immuno modulatory agent pomalidomide have shown efficacy in relapsed and refractory MM, even MM refractory to lenalidomide and bortezomib. An oral proteasome inhibitor, ixazomib, has also been approved in combination with lenalidomide and dexamethasone as an all-oral regimen for relapsed MM. Four antibodies are approved for treatment of relapsed MM. Daratumumab targeting CD38 achieves high response rates and improved progression-free sur vival as a single agent with further improvement in response and survival when added to bortezomib and dexamethasone or lenalidomide and dexamethasone. A formulation of daratumumab for subcutaneous administration provides decreased toxicity and improved convenience. Isatuximab, another antibody targeting CD38, achieves high response rates and improved progression-free survival in combination with pomalidomide or carfilzomib and dexamethasone. Elotuzumab, which targets SLAMF7, has shown significant activity in combination with lenalidomide and dexa methasone in relapsed/refractory myeloma but not as a single agent. Finally, belantamab mafodotin, an antibody-drug conjugate, targets B-cell maturation antigen (BCMA), which is expressed mainly on normal plasma cells and myeloma cells and delivers auristatin, a microtubule inhibitor, to the tumor cells and achieves responses in relapsed/refractory myeloma. The drug has a unique ophthalmo logic toxicity that requires close monitoring. Its efficacy increases significantly when combined with </w:t>
      </w:r>
      <w:r w:rsidR="00A6019F" w:rsidRPr="00A6019F">
        <w:lastRenderedPageBreak/>
        <w:t xml:space="preserve">pomalidomide or proteasome inhibitor. Panobinostat, a histone deacetylase inhibitor, in combination with bortezomib and dexamethasone has been approved for treat ment of relapsed/refractory myeloma based on superior response and progression-free survival compared to bortezomib and dexa methasone alone. Two additional newer agents have unique mecha nisms of action: selinexor is a first-in-class exportin inhibitor that blocks export of proteins from the cell nucleus, and melflufen is an alkylating agent conjugated to a peptide to improve specific delivery to myeloma cells that express aminopeptidase required for cleaving of the peptide to deliver the drug intracellularly in myeloma cells. Both agents have been approved based on their effectiveness in relapsed/refractory myeloma. Immunotherapeutic Approaches Two cellular therapies, both tar geting BCMA, are approved for relapsed myeloma. The anti-BCMA CAR transduced T cell, idecabtagene vicleucel (Ide-cel), is approved after at least two prior lines of therapy that includes an immu nomodulatory agent, a proteasome inhibitor, and an anti-CD38 monoclonal antibody, whereas ciltacabtagene autoleucel (Cilta-cel) is approved for patients who have received at least one prior line of therapy, including a proteasome inhibitor and an immunomodula tory agent and who are refractory to lenalidomide. In patients with advanced myeloma with a median of six prior lines of treatment, 81% of patients receiving target dose of Ide-cel responded, and a CR rate of 33% was observed. Cilta-cel in a similar patient population achieved 98% overall response with 82% achieving CR. Cytokine release syndrome and neurotoxicity remain primary toxicities requiring close monitoring and aggressive management. Three bispecific antibodies are also approved for treatment of relapsed and refractory myeloma after four prior lines of thera pies. Bispecific antibodies can bind to two different cell surface targets through two distinct binding domains. One domain binds to CD3 on human lymphocytes, while the other domain binds to a cell surface target specific for myeloma cells, bringing the T cells closer and leading to myeloma cell death. Two bispecific antibodies, teclistamab and elranatamab, target BCMA, whereas talquetamab targets a novel cell surface target on myeloma cells, G protein coupled receptor class C group 5 (GPRC5D). In patients with relapsed refractory myeloma, these antibodies result in a 60–70% response rate, with a quarter of the patients achieving CR. Bispecific antibodies are associated with toxicities including cytokine release syndrome, neurotoxicity, and significant susceptibility to infectious complications. Incorporation of the large number of active agents at various stages of treatment, including in newly diagnosed patients, is improving survival as well as quality of life. THERAPY ENDPOINT Improvement in the serum M component may lag behind the symp tomatic improvement due to longer serum half-life (~3 weeks) of the immunoglobulin. The fall in M component depends on the rate of tumor kill and the fractional catabolic rate of immunoglobulin. Serum and urine light chains with a functional half-life of ~6 h may fall much quicker within the first week of treatment. Because urine light chain levels may relate to renal tubular function, they are not a reliable measure of tumor cell kill in patients with renal dysfunc tion. Achieving CR, defined as disappearance of serum and urine monoclonal protein with </w:t>
      </w:r>
      <w:r w:rsidR="00A6019F" w:rsidRPr="00A6019F">
        <w:lastRenderedPageBreak/>
        <w:t xml:space="preserve">normal bone marrow by light microscopy, has been a standard goal of therapy. However, sequencing or multi color flow cytometry–based assessment of minimal residual disease (MRD) in bone marrow to measure the presence of one myeloma cell in a million cells is being considered as an important new end point, both in newly diagnosed and relapsed patients. Absence of MRD at this sensitivity predicts for both longer progression-free survival and longer overall survival. Although patients may not achieve complete remission, clinical responses may last for long periods of time in small numbers of patients. The median overall survival of patients with myeloma is 8+ years, with subsets of younger patients surviving &gt;10 years. The major causes of death are progressive myeloma, renal failure, sepsis, or therapy-related myelodysplasia. Nearly a quarter of patients die of myocardial infarction, chronic lung disease, diabetes, or stroke, which are all intercurrent illnesses related more to the age of the patient group than to the tumor. SUPPORTIVE THERAPY Herpes zoster prophylaxis is indicated if bortezomib is used, and neuropathy attendant to bortezomib can be decreased both by its subcutaneous administration and by administration on a weekly schedule. Lenalidomide use requires prophylaxis for deep-vein thrombosis (DVT) with either aspirin or, if patients are at a greater risk of DVT, warfarin, low-molecular-weight heparin, or direct-acting anticoagulants DOACs. Patients receiving anti-BCMA CAR-T cell therapy or bi-specific antibodies may need supplemen tation with intravenous γ globulin due to induction of prolonged hypogammaglobulinemia. Supportive care directed at the anticipated complications of the disease may be as important as primary antitumor therapy. Hypercalcemia generally responds well to bisphosphonates, glu cocorticoid therapy, hydration, and natriuresis and rarely requires calcitonin as well. Bisphosphonates (e.g., pamidronate 90 mg or zoledronate 4 mg initially once a month for 12–24 months and later every 2–3 months) reduce osteoclastic bone resorption and pre serve performance status and quality of life, decrease bone-related complications, and may also have antitumor effects. Osteonecrosis of the jaw and renal dysfunction can occur in a minority of patients receiving bisphosphonate therapy. Denosumab is an alternative agent administered intravenously at 120 mg monthly and achieves 893 a similar level of effect as bisphosphonates to prevent bone-related complications in myeloma. Treatments aimed at strengthening the skeleton such as fluorides, calcium, and vitamin D, with or without androgens, have been suggested but are not of proven efficacy. Kyphoplasty or vertebroplasty should be considered in patients with painful collapsed vertebra. Iatrogenic worsening of renal function may be prevented by maintaining a high fluid intake to prevent dehydration and enhance excretion of light chains and calcium. In the event of acute renal failure, plasmapheresis is ~10 times more effective at clearing light chains than peritoneal dialysis; however, its role in reversing renal failure remains controversial. Importantly, reducing the protein load by effective antitumor therapy with agents such as bortezomib may result in improvement in renal function in over half of the patients. Use of lenalidomide in renal failure is pos sible but requires dose modification because it is renally excreted. Urinary tract </w:t>
      </w:r>
      <w:r w:rsidR="00A6019F" w:rsidRPr="00A6019F">
        <w:lastRenderedPageBreak/>
        <w:t xml:space="preserve">infections should be watched for and treated early. Plasmapheresis may be the treatment of choice for hyperviscosity syndromes. Although the pneumococcus is a dreaded pathogen in myeloma patients, pneumococcal polysaccharide vaccines may not elicit an antibody response. The pneumococcal conjugate vaccines are more protective. Prophylactic administration of intravenous γ globulin preparations is used in the setting of recurrent serious infections and in patients receiving CAR-T therapy or bispecific antibodies. Routine chronic oral antibiotic prophylaxis is not war ranted. Patients receiving bortezomib or CD38-directed therapies receive prophylaxis against herpes zoster. Patients with myeloma and even SMM and MGUS may be at a higher risk of developing COVID-19 and thus are encouraged to have vaccination for preven tion and, if positive for infection, to receive antiviral therapy for COVID-19. Patients developing neurologic symptoms in the lower extremities, severe localized back pain, or problems with bowel and bladder control may need emergency MRI and local radiation therapy and glucocorticoids if cord compression is identified. In patients in whom neurologic deficit is increasing or substantial, emergent surgical decompression may be necessary. Most bone lesions respond to analgesics and systemic therapy, but certain pain ful lesions may respond more promptly to localized radiation. The anemia associated with myeloma may respond to erythropoietin along with hematinics (iron, folate, cobalamin). The pathogenesis of the anemia should be established and specific therapy instituted, whenever possible. WALDENSTRÖM’S MACROGLOBULINEMIA In 1948, Waldenström described a malignancy of lymphoplasmacy toid cells that secreted IgM. In contrast to myeloma, the disease was associated with lymphadenopathy and hepatosplenomegaly, but the major clinical manifestation was hyperviscosity syndrome. The dis ease resembles the related diseases CLL, myeloma, and lymphocytic lymphoma. It originates from a post–germinal center B cell that has undergone somatic mutations and antigenic selection in the lymphoid follicle and has the characteristics of an IgM-bearing memory B cell. Waldenström’s macroglobulinemia (WM) and IgM myeloma follow a similar clinical course, but therapeutic options are different. The diag nosis of IgM myeloma is usually reserved for patients with lytic bone lesions and predominant infiltration with CD138+ plasma cells usually with t(11;14) translocation in the bone marrow. Such patients are at greater risk of pathologic fractures than patients with WM. A familial occurrence is common in WM, but its molecular bases are yet unclear. A distinct MYD88 L265P somatic mutation is present in &gt;90% of patients with WM and the majority of IgM MGUS. Other commonly occurring mutations include CXCR4 (30–40%), ARID1A (17%), and CD79B (8–15%). Presence of MYD88 mutation status is now used as a diagnostic test to discriminate WM from marginal zone lymphomas (MZLs), IgM-secreting myeloma, and CLL with plasma cytic differentiation. This mutation also explains the molecular patho genesis of the disease with involvement of Toll-like receptor (TLR) and interleukin 1 receptor (IL-1R) signaling leading to activation of IL-1R associated kinase (IRAK) 4 and IRAK1 followed by nuclear factor-κB (NF-κB) activation. MYD88 mutation also triggers Bruton’s tyrosine kinase </w:t>
      </w:r>
      <w:r w:rsidR="00A6019F" w:rsidRPr="00A6019F">
        <w:lastRenderedPageBreak/>
        <w:t xml:space="preserve">(BTK) and hemopoietic cell kinase (HCK)-mediated growth and survival signaling, which are now important therapeutic targets in WM. CXCR4 mutations induce AKT and extracellular regulated kinase 1/2 (ERK1/2) signaling. This pathway can lead to development of drug resistance in the presence of its ligand CXCL12. The disease is similar to myeloma in being slightly more com mon in men and occurring with increased incidence with increasing age (median age 64 years). The IgM in some patients with macro globulinemia may have specificity for myelin-associated glycoprotein (MAG), a protein that has been associated with demyelinating disease of the peripheral nervous system and may be lost earlier and to a greater extent than the better-known myelin basic protein in patients with multiple sclerosis. Sometimes patients with macroglobulinemia develop a peripheral neuropathy, and half of these patients are positive for anti-MAG antibody. The neuropathy may precede the appearance of the neoplasm. The whole process may begin with a viral infection that may elicit an antibody response that cross-reacts with a normal tissue component. Like myeloma, the disease involves the bone marrow, but unlike myeloma, it does not cause bone lesions or hypercalcemia. Bone mar row shows &gt;10% infiltration with lymphoplasmacytic cells (surface IgM+, CD19+, CD20+, and CD22+, rarely CD5+, but CD10− and CD23−) with an increase in number of mast cells. Like myeloma, an M component is present in the serum in excess of 30 g/L (3 g/dL), but unlike myeloma, the size of the IgM paraprotein results in little renal excretion, and only ~20% of patients excrete light chains. Therefore, renal disease is not common. The light chain isotype is kappa in 80% of the cases. Patients present with weakness, fatigue, and recurrent infec tions similar to myeloma patients, but epistaxis, visual disturbances, and neurologic symptoms such as peripheral neuropathy, dizziness, headache, and transient paresis are much more common in macro globulinemia. Presence of MYD88 and CXCR4 mutations also affects disease presentation. Presence of CXCR4 mutations is associated with higher bone marrow disease burden and higher incidence of hyper viscosity. Patients with wild-type MYD88 show lower bone marrow disease burden. Physical examination reveals adenopathy and hepatosplenomegaly, and ophthalmoscopic examination may reveal vascular segmentation and dilation of the retinal veins characteristic of hyperviscosity states. Patients may have a normocytic, normochromic anemia, but rouleaux formation and a positive Coombs test are much more common than in myeloma. Malignant lymphocytes are usually present in the peripheral blood. About 10% of macroglobulins are cryoglobulins. These are pure M components and are not the mixed cryoglobulins seen in rheuma toid arthritis and other autoimmune diseases. Mixed cryoglobulins are composed of IgM or IgA complexed with IgG, for which they are specific. In both cases, Raynaud’s phenomenon and serious vascular symptoms precipitated by the cold may occur, but mixed cryoglobu lins are not commonly associated with malignancy. Patients suspected of having a cryoglobulin based on history and physical examination should have their blood drawn into a warm syringe and delivered to the laboratory in a container of warm water to avoid errors in </w:t>
      </w:r>
      <w:r w:rsidR="00A6019F" w:rsidRPr="00A6019F">
        <w:lastRenderedPageBreak/>
        <w:t xml:space="preserve">quantitating the cryoglobulin. CHAPTER 116 Plasma Cell Disorders TREATMENT Waldenström’s Macroglobulinemia A diagnosis of WM requires lymphoplasmacytic infiltrate of any level in the bone marrow and an IgM monoclonal paraprotein of any size. Treatment is usually not initiated unless the disease is symptomatic or increasing anemia, hyperviscosity, lymphadenopa thy, or hepatosplenomegaly is present. Control of serious hypervis cosity symptoms such as an altered state of consciousness or paresis can be achieved acutely by plasmapheresis because 80% of the IgM paraprotein is intravascular. The median survival of affected individuals is ~50 months. However, many patients with WM have indolent disease that does not require therapy. Pretreatment 894 parameters including older age, male sex, general symptoms, and cytopenias define a high-risk population. BTK inhibitors (ibruti nib), alkylating drugs (bendamustine and cyclophosphamide), and proteasome inhibitors (bortezomib, carfilzomib, and ixazomib), alone or more frequently in combination with rituximab, are con sidered as first-line therapy for symptomatic patients with WM. Ibrutinib targets the constitutively activated BTK. In patients with one prior line of therapy, the overall response to ibrutinib was 91%. Best responses to ibrutinib are observed in patients with mutated MYD88 and wild-type CXCR4 status, while delayed and lower response rates to ibrutinib are observed in patients with mutated CXCR4. At first relapse, in patients with an initial durable response, either the previous regimen or another primary therapy regimen can be used. The therapeutic choice is dependent upon the genomic features, drug availability, and the patient’s clinical profile. PART 4 Oncology and Hematology Rituximab can produce an IgM flare, so either plasmapher esis should be used before rituximab or its use should be initially withheld in patients with high IgM levels. Fludarabine (25 mg/m2 per d for 5 days every 4 weeks) is also an effective single agent. With identification of the MYD88 mutation, novel BTK inhibitors (acalabrutinib, zanubrutinib, and tirabrutinib), inhibitors targeting IRAK1/4, and the BCL2 antagonist venetoclax are being explored for the treatment of WM. HDT plus autologous transplantation has been utilized in the past, but it is now not recommended due to the availability of other effective agents. POEMS SYNDROME The features of this syndrome are polyneuropathy, organomegaly, endocrinopathy, M-protein, and skin changes (POEMS). Diagnostic criteria are described in Table 116-1. Patients usually have a severe, progressive sensorimotor polyneuropathy associated with sclerotic bone lesions from myeloma. Polyneuropathy occurs in ~1.4% of myelomas, but the POEMS syndrome is only a rare subset of that group. Unlike typical myeloma, hepatomegaly and lymphadenopathy occur in about two-thirds of patients, and splenomegaly is seen in one third. The lymphadenopathy frequently resembles Castleman’s disease histologically, a condition that has been linked to IL-6 overproduction. The endocrine manifestations include amenorrhea in women and impotence and gynecomastia in men. Hyperprolactinemia due to loss of normal inhibitory control by the hypothalamus may be associated with other central nervous system manifestations such as papilledema and elevated cerebrospinal fluid pressure and protein. Type 2 diabetes </w:t>
      </w:r>
      <w:r w:rsidR="00A6019F" w:rsidRPr="00A6019F">
        <w:lastRenderedPageBreak/>
        <w:t xml:space="preserve">mellitus occurs in about one-third of patients. Hypothyroidism and adrenal insufficiency are occasionally noted. Skin changes are diverse: hyperpigmentation, hypertrichosis, skin thickening, and digital club bing. Other manifestations include peripheral edema, ascites, pleural effusions, fever, and thrombocytosis. Not all the components of POEMS syndrome may be present initially. The pathogenesis of the disease is unclear, but high circulating levels of the proinflammatory cytokines IL-1, IL-6, VEGF, and TNF have been documented, and levels of the inhibitory cytokine transforming growth factor β are lower than expected. Treatment of the myeloma may result in an improvement in the other disease manifestations. Patients are often treated similarly to those with myeloma. Plas mapheresis does not appear to be of benefit in POEMS syndrome. Patients presenting with isolated sclerotic lesions may have resolution of neuropathic symptoms after local therapy for plasmacytoma with radiotherapy. Similar to MM, novel agents and HDT with autologous stem cell transplantation have been pursued in selected patients and have been associated with prolonged progression-free survival. HEAVY CHAIN DISEASES The heavy chain diseases are rare lymphoplasmacytic malignan cies. Their clinical manifestations vary with the heavy chain isotype. Patients have absence of light chain and secrete a defective heavy chain that usually has an intact Fc fragment and a deletion in the Fd region. Gamma, alpha, and mu heavy chain diseases have been described, but no reports of delta or epsilon heavy chain diseases have appeared. Molecular biologic analysis of these tumors has revealed structural genetic defects that may account for the aberrant chain secreted. </w:t>
      </w:r>
      <w:r w:rsidR="00A6019F" w:rsidRPr="00A6019F">
        <w:rPr>
          <w:rFonts w:ascii="Arial" w:hAnsi="Arial" w:cs="Arial"/>
        </w:rPr>
        <w:t>■</w:t>
      </w:r>
      <w:r w:rsidR="00A6019F" w:rsidRPr="00A6019F">
        <w:t>GAMMA HEAVY CHAIN DISEASE (FRANKLIN</w:t>
      </w:r>
      <w:r w:rsidR="00A6019F" w:rsidRPr="00A6019F">
        <w:rPr>
          <w:rFonts w:ascii="Aptos" w:hAnsi="Aptos" w:cs="Aptos"/>
        </w:rPr>
        <w:t>’</w:t>
      </w:r>
      <w:r w:rsidR="00A6019F" w:rsidRPr="00A6019F">
        <w:t xml:space="preserve">S DISEASE) This disease affects individuals of widely different age groups and countries of origin. It is characterized by lymphadenopathy, fever, anemia, malaise, hepatosplenomegaly, and weakness. It is frequently associated with autoimmune diseases, especially rheumatoid arthritis. Its most distinctive symptom is palatal edema, resulting from involve ment of nodes in Waldeyer’s ring, and this may progress to produce respiratory compromise. The diagnosis depends on the demonstra tion of an anomalous serum M component (often 65, cardiac) ATTRwt or age-related amyloidosis Negative Mutant ApoAI, ApoAII, fibrinogen, lysozyme, gelsolin Familial amyloidosis of rare type (Screen for renal, hepatic, GI involvement) + + Mass spectrometry or IHC of amyloid deposits Invasive Tissue Biopsy (Congo red staining of affected major organs) FIGURE 117-1 Algorithm for the diagnosis of amyloidosis and determination of type. Clinical suspicion: unexplained nephropathy, cardiomyopathy, neuropathy, enteropathy, arthropathy, and macroglossia. ApoAI, apolipoprotein AI; ApoAII, apolipoprotein AII; GI, gastrointestinal; IHC, immunohistochemistry. frequently elevated. Patients with glomerular kidney involvement generally have proteinuria, often in the nephrotic range, leading to hypo albuminemia that may be severe; patients with serum albumin levels 12 years. Involve ment is bilateral, and large joints (shoulders, knees, wrists, and hips) are most frequently affected. The synovial fluid is noninflammatory, and β2 M amyloid can be found if the sediment is stained with Congo red. Although less common, visceral β2 M </w:t>
      </w:r>
      <w:r w:rsidR="00A6019F" w:rsidRPr="00A6019F">
        <w:lastRenderedPageBreak/>
        <w:t xml:space="preserve">amyloid deposits do occa sionally occur in the gastrointestinal tract, heart, tendons, and subcu taneous tissues of the buttocks. There are no proven specific therapies for Aβ2 M amyloidosis, but cessation of dialysis after renal allografting may lead to symptomatic improvement. SUMMARY A diagnosis of amyloidosis should be considered in patients with unexplained nephropathy, cardiomyopathy (particularly with diastolic dysfunction), neuropathy (either peripheral or autonomic), enter opathy, or the pathognomonic soft tissue findings of macroglossia or periorbital ecchymoses. Pathologic identification of amyloid fibrils can be made with Congo red staining of aspirated abdominal fat or of an involved-organ biopsy specimen. Accurate typing by a combination of immunologic, biochemical, and genetic testing is essential in select ing appropriate therapy (Fig. 117-1). Systemic amyloidosis should be considered a treatable condition, as anti–plasma cell chemotherapy is highly effective in AL disease and targeted therapies are being developed for AA and ATTR disease. The combination of precursor and end-organ amyloid therapeutics potentially provides not only dis ease control but also functional and quality-of-life improvements for patients with amyloidosis. Tertiary referral centers can provide special ized diagnostic techniques and access to clinical trials for patients with these rare diseases. </w:t>
      </w:r>
      <w:r w:rsidR="00A6019F" w:rsidRPr="00A6019F">
        <w:rPr>
          <w:rFonts w:ascii="Arial" w:hAnsi="Arial" w:cs="Arial"/>
        </w:rPr>
        <w:t>■</w:t>
      </w:r>
      <w:r w:rsidR="00A6019F" w:rsidRPr="00A6019F">
        <w:t xml:space="preserve">FURTHER READING Adams D et al: Efficacy and safety of vutrisiran for patients with hereditary transthyretin-mediated amyloidosis with polyneuropathy: A randomized clinical trial. Amyloid 30:1, 2023. Coelho T et al: Eplontersen for hereditary transthyretin amyloidosis with polyneuropathy. JAMA 330:1448, 2023. Griffin JM et al: ATTR amyloidosis: Current and emerging man agement strategies: JACC: CardioOncology state-of-the-art review. JACC CardioOncol 3:488, 2021. Gustine JN et al: Predictors of hematologic response and survival with stem cell transplantation in AL amyloidosis: A 25-year longitudinal study. Am J Hematol 97:1189, 2022. Kastritis E et al: Daratumumab-based treatment for immunoglobulin light-chain amyloidosis. N Engl J Med 385:46, 2021. Maurer MS et al: Patisiran treatment in patients with transthyretin cardiac amyloidosis. N Engl J Med 389:1553, 2023. Merlini G et al: Systemic immunoglobulin light chain amyloidosis. Nat Rev Dis Primers 4:38, 2018. Staron A et al: Marked progress in AL amyloidosis survival: A 40-year longitudinal natural history study. Blood Cancer J 11:139, 2021. 118 BLOOD GROUP ANTIGENS AND 901 Transfusion Therapy and Biology Pierre Tiberghien, Olivier Garraud, Jacques Chiaroni Transfusion encompasses the use of blood components (BCs) to pre vent or treat anemia, hemorrhage, and bleeding disorders. Occasion ally, BCs may be used to treat infection or relapse of malignant blood diseases after allogeneic hematopoietic transplantation. BCs comprise mainly red blood cell concentrates (RBCCs), platelet concentrates (PCs), and plasma for transfusion use as opposed to plasma fraction ated into medicinal products (such as immunoglobulin, albumin, and clotting factors). Alongside transfusion safety, ensuring BC quality, assessing in vivo efficacy, and promoting evidence-based transfusion practices are critical aspects of transfusion medicine. Donor medicine does not fall within the scope of this chapter. While particularly safe, blood donations can cause adverse reactions, </w:t>
      </w:r>
      <w:r w:rsidR="00A6019F" w:rsidRPr="00A6019F">
        <w:lastRenderedPageBreak/>
        <w:t xml:space="preserve">among which are fainting reactions and iron deficiency. These reac tions require preventive approaches and appropriate treatment when needed. BLOOD COMPONENTS BC collection and manufacturing processes are described in Table 118-1. BCs are collected as whole blood or directly as com ponents by apheresis. The vast majority of BCs are homologous. Autologous BCs, collected ahead of planned surgery, are now excep tional as they present little to no advantage over homologous BCs. Nevertheless, such donation may still be of benefit in the presence of a rare blood group phenotype. All BCs comply with common quality and performance standards and guidelines. Quality assurance encompasses well-defined process ing steps and stringent BC quality controls as defined by health author ities. Reporting of adverse reactions and events associated with blood collection, BC processing, and transfusion is highly recommended. With the obvious exception of granulocyte concentrates and mono nuclear cells, most BCs are now leukocyte-reduced, and universal prestorage leukocyte reduction has been recommended. These BCs contain 99% 902 PART 4 Oncology and Hematology TABLE 118-1 Blood Components: Collection and Manufacturing Processes BLOOD OR APHERESIS COLLECTION AND INITIAL PROCESSING BLOOD COMPONENT ADDITIONAL COMPONENT PROCESSING (OPTIONAL TO MANDATORY) RATIONALE VOLUME AND CONTENT STORAGE CONDITIONS AND DURATION Whole blood collection: Separation into RBCC and platelet-rich plasma (PRP) by slow centrifugation, followed by high-speed centrifugation of the PRP to yield one unit of platelets (most often subsequently pooled) and one unit of plasma. or RBCC from whole blood or from apheresis Leukocyte reduction Deleukocytation to 7.5 to 10 within 1 h and &gt; 4.5 to 5 within 24 h after transfusion (not applicable to cold/cryopreserved platelets) Plasma (thawed frozen, never frozen and maintained at 4°C or at room temperature, freeze-dried) Transfusion: Coagulation factor–related bleeding disorders Acute hypovolemic coagulopathy (see below) Infectious disease (convalescent plasma containing pathogen-specific Abs): Argentina hemorrhagic fever, viral respiratory infections (experimental) Correct impaired hemostasis by providing missing elements of coagulation or fibrinolysis cascade, as well as elements to heal injured vessel endothelium Provide Abs against relevant pathogens ABO compatible (plasma) 10–15 mL/kg Not determined Reduced bleeding disorder Infection resolution Plasma exchange (plasma or combined plasma and albumin): Pathogenic Ab removal and supplementation of lacking enzyme (e.g., thrombotic thrombocytopenic microangiopathy or Guillain-Barré syndrome) Pathogenic Ab removal (e.g., anti-HLA Ab prior to kidney transplantation) Deplete pathogenic elements in the blood (autoantibodies such as anti-ADAMTS-13 Ab in case of TTP, excess cholesterol, etc.); plasma may also bring anti-inflammatory and/or immunomodulatory factors such as immunoglobulin ABO compatible (plasma) 45–60 mL/kg Improved disease-specific symptomatology (i.e., apyrexia and platelet recovery in case of TTP) Reduced antibody levels (e.g., anti-HLA antibodies prior to organ transplantation) (Continued) Whole blood Multicomponent (RBCC, PC, and plasma) </w:t>
      </w:r>
      <w:r w:rsidR="00A6019F" w:rsidRPr="00A6019F">
        <w:lastRenderedPageBreak/>
        <w:t xml:space="preserve">Granulocyte concentrates (apheresis or a pool of whole blood–derived granulocytes) Acute hypovolemic coagulopathy requiring massive transfusion Acute hypovolemic coagulopathy requiring massive transfusion Severe refractory bacterial or fungal infection (mainly soft tissues and lung) in patients with neutropenia (2°C Transfusion-transmitted bacterial infection Hypotension (≥30 mmHg decrease in systolic blood pressure) Hemolytic shock Anaphylactic shock Septic shock TRALI (with dyspnea at the forefront) Dyspnea TRALI (within 6 h of transfusion) TACO (within 12 h of transfusion) Severe allergy (immediate; within 4 h) Hemoglobinuria Intravascular hemolysis • Immunologic • Mechanical • Toxic • Thermic Rash 2/3 of the body during or within 2–3 h Severe allergy &gt;2/3 of the body within 5 min Associated with dyspnea and shock Anaphylaxis Icterus Delayed hemolysis New alloantibody Alloimmunization Rash, diarrhea, and fever occurring 2 days to 6 weeks after transfusion GVHD Gum bleeding, purpura 5–12 days after transfusion Posttransfusion purpura Cardiac, hepatic, and/or renal insufficiency in frequently transfused patients Posttransfusion iron overload Top-down investigation after a blood donor is subsequently found to be infected Transfusion-transmitted infection Bottom-up investigation after another recipient of a same blood donation is found to be infected Infectious symptoms within 6 months Abbreviations: Ag, antigen; FNHTR, febrile nonhemolytic transfusion reaction; GVHD, graft-versus-host disease; HLA, human leukocyte antigen; TACO, transfusion-associated circulatory overload; TRALI, transfusion-related acute lung injury. hemoglobinemia and hemoglobinuria, and elevated plasma lactate dehydrogenase and unconjugated bilirubin. The direct antiglobulin test (DAT, or direct Coombs test) that detects immunoglobulin, and pos sibly complement (C3d), on the surface of the recipient’s RBC will most often be positive (Fig. 118-2). Similarly, a positive indirect antiglobulin test (IAT, or indirect Coombs test) that detects anti-RBC alloAb in the serum will also be positive. An elution of the Ab on the surface of the RBC may allow for the identification of the culprit alloAb. The management of an immune-mediated acute hemolytic transfu sion reaction is mainly supportive. Prompt interruption of the trans fusion, biological workup, and a thorough clerical check to prevent a possible second misidentified transfusion are crucial initial steps. Vigorous hydration with isotonic saline and diuretics to maintain urine output is recommended. Although often self-limiting, acute hemolysis may also require forced alkaline diuresis, correction of elec trolyte abnormalities, and pressor support as needed. In patients with DIC and severe bleeding, PC, plasma, and cryoprecipitate or fibrino gen may be required. When transfusion of incompatible RBCCs is unavoidable, prophylaxis with steroids (100 mg of hydrocortisone) just before the transfusion and repeated 24 h later and polyvalent immunoglobulin (1.2–2.0 g/kg per day over 2–3 days, initiated just before the transfusion) have been successfully used to prevent or minimize acute and delayed hemolysis. Polyvalent immunoglobulin, anticomplement (C3) Ab, anti-B-cell Ab, or plasma exchange may be considered in case of severe posttransfusion hyperhemolysis in sickle cell patients. Immune-mediated hemolysis may also occur after allogeneic </w:t>
      </w:r>
      <w:r w:rsidR="00A6019F" w:rsidRPr="00A6019F">
        <w:lastRenderedPageBreak/>
        <w:t xml:space="preserve">hema topoietic transplantation (most often involving a peripheral blood stem cell graft) or, more seldomly, solid organ transplantation. Minor ABO incompatibility, with subsequent red cell destruction in the recipient, is the most common cause of clinically significant hemolysis in such cases. Viable donor B lymphocytes, called “passenger lymphocytes,” transferred passively with the graft, may produce alloAbs (including anti-D or anti-A1 in an A2 donor) that target recipient red cells. Such hemolysis has been reported to develop 5–14 days after transplanta tion. Reduced-intensity conditioning regimens and cyclosporine as prophylaxis against GVHD or rejection have been associated with increased risk. Transfusing RBCs compatible with the graft donor and the use of GVHD prophylaxis able to target B cells (e.g., methotrex ate) have significantly reduced the incidence of passenger lymphocyte syndrome. Allogeneic hematopoietic transplantation may also result in acute hemolysis due to incompatible donor-derived red cell (and precursor) destruction by the recipient alloAbs (i.e., major ABO incompatibility). Prolonged pure red cell aplasia may occur in such a situation. Graft deserythrocytation will reduce the risk of early acute hemolysis. 909 A Predominantly intravascular acute hemolysis occurring during or within 24 hours following transfusion CHAPTER 118 Transfusion Therapy and Biology Vasoconstriction Acute renal failure/ tubular necrosis Capillar permeability Vasodilation/Hypotension/Shock Fever DIC Endothelium alterations Mastocyte Cytokines Chemokines TNFa IL1, 6, 8 Hemoglobinuria Elimination Nitric oxide scavenging Ferric heme Hemoglobinemia Albumin Haptoglobin HemopexinA C3a/C5a C5/C9 Hemoglobin Dimers Osmotic i.v. hemolysis Membrane attack complex formation RBC transmembrane pore Conjugated bilirubin Unconjugated bilirubin + Albumin Low-level hemoglobinemia RBC lysis Partial degradation of membrane proteins Stercobilinogen Urobilinogen Conjugated bilirubin Unconjugated bilirubin + Albumin Macrophage Spherocytes Microspherocytes Low-level hemoglobinemia RBC lysis Macrophage C3b C1 A Anti-A Ab A B Predominantly extravascular acute or delayed (3 to 10 days after transfusion) hemolysis C1 Anti-Jka Ab C3d Jka C3b C Predominantly extravascular acute or delayed (3 to 10 days after transfusion) hemolysis Anti-D Ab Stercobilinogen Urobilinogen Partial degradation of membrane proteins Spherocytes D Microspherocytes FIGURE 118-1 Mechanisms of transfusion hemolytic reactions. A. Acute responses will involve preexisting antibodies (Abs), naturally occurring anti-A/anti-B IgM or IgG directed against other RBC antigens (Ags) and resulting from prior sensitization. Upon interaction with cognate antigen on transfused red blood cells (RBCs), recipient allogeneic Ab (alloAb), mostly natural anti-A/anti-B IgM, may fix and activate complement up to C5/C9. Formation of membrane attack complex (MAC) will create pores in transfused RBCs with resulting intravascular hemolysis, release of toxic moieties including free hemoglobin responsible for end-organ damage including renal failure, and tissue factors contributing to occurrence of disseminated intravascular coagulation (DIC). B. Alternatively, complement activation may be incomplete, as typically observed in a delayed hemolytic transfusion reaction involving neoformed </w:t>
      </w:r>
      <w:r w:rsidR="00A6019F" w:rsidRPr="00A6019F">
        <w:lastRenderedPageBreak/>
        <w:t xml:space="preserve">allogeneic IgG. In such cases, complement activation up to C3 results in C3b-mediated opsonization of RBCs, extravascular hemolysis, and clearance through immunophagocytosis. Anemia and jaundice will be the primary clinical manifestations. C. Lastly, alloAb may not fix complement while ensuring antibody-dependent cellular cytotoxicity (ADCC)–mediated phagocytosis of targeted RBC. (Adapted from SR Panch et al: Hemolytic transfusion reactions. N Engl J Med 381:150, 2019.) Oncology and Hematology Direct Coombs test/direct antiglobulin test PART 4 Indirect Coombs test/indirect antiglobulin test Antigens on the red blood cell surface Human anti-RBC Abs Antihuman Abs Positive test result Blood sample from a patient with immune mediated hemolytic anemia: Abs are shown attached to antigens on the RBC surface. The patient’s washed RBC(s) are incubated with antihuman Abs. 910 Positive test result Agglutination of RBC(s) occurs, because human Abs are attached to RBC(s). Recipient’s serum is obtained, containing Abs. Donor’s blood is added to the serum. Recipient’s Abs that target the donor’s RBC(s) form antibody-antigen complexes. Antihuman Abs are added to the solution. Agglutination of red blood cells occurs, because human Abs are attached to RBC(s). FIGURE 118-2 Direct and indirect Coombs test. The direct Coombs/antiglobulin test detects the presence of Abs (or complement) on the surface of erythrocytes. The indirect Coombs/antiglobulin test detects Abs in the serum that may bind to donor erythrocytes. Abs, antibodies; RBC, red blood cell. (Adapted from http://upload.wikimedia.org/wikipedia/commons/1/1c/coombs_test_schematic.png.) 911 Polyvalent immunoglobulin may contain high titers of anti-A (mostly) and/or anti-B Abs and induce acute hemolysis, most often of limited severity. Such hemolysis is particularly described in group A or AB children receiving high-dose immunoglobulin, notably for Kawasaki’s disease, as well as in adults treated for thrombotic thrombo cytopenic purpura. A similar mechanism may lead to hemolysis after anti-D immunoglobulin treatment for immune thrombocytopenia in RhD-positive patients. Nonimmune mechanisms of transfusion-associated hemolysis include thermal (overheated or cold BCs), osmotic (concurrent hypo osmotic perfusion), and mechanical (pressure related to high-flow transfusion filtering during cell saver processing) mechanisms. Autoimmune and drug-induced hemolytic anemias may be exacer bated by transfusion and can therefore mimic hemolytic transfusion reactions. Transfusion of RBCs with enzymatic defects may mimic immune-mediated hemolysis as well. Notably, severe hemolytic reac tions in patients receiving long-term transfusions for hemoglobinopa thies (mainly sickle cell disease) can precipitate bystander hemolysis, in addition to clearing transfused red cells. The mechanisms of this hyper hemolytic transfusion reaction may be a mediated RBC hemolysis-related systemic inflammatory response and resulting lysis of red cell precur sors by macrophages. This process may be immediate or delayed, with hemoglobin levels falling below the pretransfusion values, often to life-threatening levels. Further RBCC transfusion typically exacerbates ongoing hemolysis, with the exogenous (transfused) allogeneic Ags probably triggering further nonspecific hemolysis. Febrile Nonhemolytic </w:t>
      </w:r>
      <w:r w:rsidR="00A6019F" w:rsidRPr="00A6019F">
        <w:lastRenderedPageBreak/>
        <w:t xml:space="preserve">Transfusion Reaction The most fre quent reaction associated with the transfusion of cellular BCs is FNHTR (up to 300 per 105 BCs). This reaction is characterized by chills and rigors and a ≥1°C rise in body temperature and is caused by pro inflammatory cytokines in the BC or by recipient Abs directed against donor cell Ags present in the BC. FNHTR is diagnosed when other causes of fever, notably infection and hemolysis, have been excluded. Leukocyte reduction, especially prestorage, can prevent the occurrence of FNHTR. Moreover, the use of additive solutions decreases FNHTR frequency associated with PC transfusion. Premedication with anti pyretics has generally proven ineffective at decreasing the rate of such reactions and may mask relevant clinical symptoms. Allergic Reactions Most allergic transfusion reactions are mild and include rash, pruritus, urticaria, and localized edema. More rarely, allergic reactions may be severe to life-threatening with an anaphylactic reaction that can involve bronchospasm, respiratory distress, hypoten sion, nausea, vomiting, and shock. Frequencies of mild and severe allergic reactions are ~100 and ~5 per 105 BCs, respectively. Allergic reactions are related to plasma proteins found in transfused components. Mild reactions may be treated by temporarily stopping the transfusion and administering antihistamine drugs. Patients with a history of aller gic transfusion reaction may be premedicated with an antihistamine, although there is no consensus on this issue. Cellular components can be washed to remove residual plasma for extremely sensitized patients. Most of the allergic presentation may not depend on preformed Abs and may be attributable to soluble mediators triggering histamine and serotonin release from platelets and leukocytes. An anaphylactic reac tion may occur after the transfusion of only a few milliliters of the BC. Treatment includes stopping the transfusion, maintaining vascular access, and administering adrenaline (0.3–0.5 mg subcutaneously). Additional treatment with steroids, antihistamine drugs, and bronchodi lators may also be required. Patients who are IgA deficient (90% of cases. Prevention in at-risk patients relies on the irradiation of cellular BCs (minimum of 25 Gy) or treating BCs with pathogen reduction technol ogy that will deplete all living cells in the component. At-risk patients include patients with inherited immune deficiency, patients undergo ing autologous or allogeneic hematopoietic transplantation, patients treated with immunosuppressive drugs such as purine or pyrimidine analogues, anti-CD52 Ab, or antithymocyte globulin, fetuses receiving intrauterine transfusions, and recipients of BCs provided by a blood relative. Because granulocyte concentrates contain a large number of lymphocytes, they should always be irradiated. Transfusion-Related Acute Lung Injury TRALI is character ized by the occurrence or worsening of hypoxia and noncardiogenic pulmonary edema with bilateral interstitial infiltrates on chest x-ray during or within 6 h after transfusion, although delayed cases may occur up to 72 h later. Frequency of TRALI is BC dependent and ranges, on average, from 0.5 to 10 per 105 BCs. TRALI may be dif ficult to distinguish from other causes of hypoxia, such as circulatory overload, and is among the most common causes of transfusion-related fatalities. Treatment is supportive only. TRALI usually results from the transfusion of </w:t>
      </w:r>
      <w:r w:rsidR="00A6019F" w:rsidRPr="00A6019F">
        <w:lastRenderedPageBreak/>
        <w:t xml:space="preserve">donor plasma that contains high-titer anti-HLA class II Abs that bind recipient cognate Ag. Anti-HLA class I and anti-HNA Abs may also be involved. TRALI mediated by cytokines and chemo kines in the absence of an HLA-mediated interaction may occur also. Leukocytes, especially when primed by either a bacterial moiety such as lipopolysaccharide or a cytokine/chemokine, aggregate in the pul monary vasculature and release inflammatory mediators. The transfu sion of plasma and PCs from male donors and nulliparous or parous female donors without anti-HLA Abs has significantly reduced the risk of TRALI where implemented. Recipient factors associated with an increased risk of TRALI include smoking, chronic alcohol use, shock, liver surgery (transplantation), cancer surgery, mechanical ventilation, and positive fluid balance. CHAPTER 118 Transfusion Therapy and Biology Posttransfusion Purpura This rare reaction (~1/105 BCs) is defined as a thrombocytopenia-related bleeding disorder developing 5–12 days after PC (and more rarely RBCC) transfusion, predominantly in women. Platelet-specific alloAbs are found in the recipient, most fre quently anti-HPA-1a in HPA-1a-negative alloimmunized individuals. The delayed thrombocytopenia is due to a secondary increased produc tion of alloAbs. The mechanisms for the destruction of the patient’s own platelets remain unclear. Management is mostly supportive but may require polyvalent immunoglobulin, glucocorticoids, or plasma exchange. Additional platelet transfusions may worsen the thrombocy topenia or be associated with poor increments. Prevention of recurrence includes use of washed BCs or BCs from HPA-compatible donors. Alloimmunization/Platelet Refractoriness A recipient may become alloimmunized to a number of Ags on cellular blood elements and plasma proteins. AlloAbs to RBC Ags are detected during pre transfusion testing, and their presence may delay finding Ag-negative crossmatch-compatible products for transfusion. Women of childbear ing age who are sensitized to RBC Ags (i.e., D, c, E, Kell, or Duffy) are at risk of bearing a fetus with hemolytic disease of the fetus or new born. Ag matching is the only pretransfusion selection test to prevent RBC alloimmunization, which is found to occur with a frequency of 912 ~100/105 RBCC transfusions. Alloimmunization to Ags on leukocytes and platelets, most often anti-HLA Abs, can result in refractoriness to PC transfusions (as defined by a low increase in platelet count after transfusion). Once alloimmunization has developed, HLA-compatible (crossmatched) PCs should be preferred if available. If not, repeated PCs at shortened intervals may be considered. Use of leukocyte reduced cellular BCs will reduce the incidence of immunization. Transfusion refractoriness may also result from an anti-HPA alloim munization, although less commonly. Recipient factors associated with platelet refractoriness include fever, splenomegaly, bleeding, DIC, and medications such as amphotericin B. Notably, cold-stored (and cryo preserved) PCs have been found to have preserved hemostatic function in acutely bleeding patients despite poor platelet increments. PART 4 Oncology and Hematology Immunomodulation Transfusion of allogeneic blood may be associated with immunosuppression, as evidenced early on by the beneficial effect of pretransplant transfusion on kidney graft survival. The intensity of such an effect is </w:t>
      </w:r>
      <w:r w:rsidR="00A6019F" w:rsidRPr="00A6019F">
        <w:lastRenderedPageBreak/>
        <w:t xml:space="preserve">debated and, if present, is most prob ably attenuated with leukoreduced BCs. Transfusion-related immu nomodulation is indeed thought to be mainly mediated by donor leukocytes, whether transfused to the recipient or undergoing apopto sis during storage. However, leukoreduced RBCCs or PCs still release immunomodulatory mediators during storage. These mediators, along with the transfused RBCs or platelets, may exert various, possibly opposing, immune effects in vivo, including immunosuppression and inflammation. </w:t>
      </w:r>
      <w:r w:rsidR="00A6019F" w:rsidRPr="00A6019F">
        <w:rPr>
          <w:rFonts w:ascii="Arial" w:hAnsi="Arial" w:cs="Arial"/>
        </w:rPr>
        <w:t>■</w:t>
      </w:r>
      <w:r w:rsidR="00A6019F" w:rsidRPr="00A6019F">
        <w:t xml:space="preserve">NONIMMUNOLOGIC TRANSFUSION ADVERSE REACTIONS Fluid Overload TACO is a common and underrecognized transfu sion adverse reaction. Estimated frequencies vary from ~10 to 100 per 105 BCs. TACO is now the main cause of death from transfusion since the TRALI risk has been mitigated. Risk factors include older age, renal failure, preexisting fluid overload, cardiac dysfunction, administration of a large volume of BCs, and an excessive rate of transfusion in rela tion to the patient’s hemodynamic tolerance. TACO results in dyspnea, hypoxia, bilateral and predominantly alveolar infiltrates on chest x-ray, frequent systolic hypertension, and elevated brain natriuretic peptide. Fever may also exist. Prevention involves identifying at-risk patients, close monitoring, a slow transfusion rate (1 RBCC over 3–4 h), and use of diuretics in hemodynamically stable patients with a history of TACO. Treatment requires stopping the transfusion and administrat ing oxygen and diuretics. Massive Transfusion-Associated Reactions/Electrolyte and Cold Toxicity Reactions Reactions related to massive transfu sion, i.e., transfusion of 50% of the patient’s total blood volume over 3 h or &gt;5–10 units of RBCCs (plus associated BCs), include citrate toxic ity, hypothermia, hyperkalemia, and dilutional coagulopathy. Citrate, which is commonly used to anticoagulate BCs, chelates calcium. Hypo calcemia, manifested by circumoral paresthesia, and changes in cardiac function may result from multiple rapid transfusions. Although citrate is quickly metabolized to bicarbonate, calcium infusion (through a separate line) may be required. Rapid transfusion of BCs still at 4°C can result in hypothermia and cardiac dysrhythmias. Use of an inline warmer will prevent this complication. RBC leakage during storage, longer storage, and irradiation increase the concentration of potassium in the unit. Neonates and patients with renal failure or other comor bidities (e.g., hyperglycemia or hypocalcemia) are at risk of hyperka lemia and resulting acute cardiac toxicity. Treatment includes insulin, glucose, calcium gluconate, and furosemide, and prevention includes the use of washed or plasma-reduced RBCCs or a storage age of 24 h after irradiation. Iron Overload Each RBCC contains 200–250 mg of iron. In fre quently transfused recipients, iron accumulation that is left untreated will affect endocrine, hepatic, and cardiac function. Death may occur from cardiac failure or arrhythmia. Iron overload can be assessed by means of serum ferritin measurements, magnetic resonance imaging, and liver biopsy. Prevention and treatment of this frequently under reported transfusion adverse event rely on careful monitoring and iron chelation. Hypotensive Reactions Acute hypotensive transfusion reactions are defined as an abrupt drop in blood pressure of &gt;30 mmHg early after the start of transfusion and </w:t>
      </w:r>
      <w:r w:rsidR="00A6019F" w:rsidRPr="00A6019F">
        <w:lastRenderedPageBreak/>
        <w:t xml:space="preserve">resolving quickly once the transfusion is stopped, without further intervention. Respiratory, gastrointestinal, or mild allergic reactions may also be present. Estimated frequency is 1–10/105 BCs. These reactions may result from the generation of vaso active kinins in the BCs and are more likely to occur in hypertensive patients taking angiotensin-converting enzyme (ACE) inhibitors who are therefore less able to metabolize bradykinin. Upon resolution, the same blood product should not be restarted. Switching from an ACE inhibitor to an alternative drug should be considered for patients requiring further transfusions. Adverse Transfusion Reactions of Uncertain Imputability Necrotizing enterocolitis, which is common in preterm and very-low birth-weight neonates, has been infrequently described with close tem poral association with RBC transfusion. However, the causality of any association remains to be further ascertained, as does the efficacy of withholding feeds during transfusion to prevent such a complication. Posterior reversible encephalopathy syndrome is a rare syndrome char acterized by acute reversible neurologic symptoms related to subcorti cal vasogenic brain edema. It has been described within 10 days after RBCC transfusion, mainly in women with severe (and long-standing) anemia. The prognosis is most often favorable, although irreversible neurologic disturbance has been described. Prevention may include avoiding rapid correction of chronic severe anemia. Again, causality remains to be established. </w:t>
      </w:r>
      <w:r w:rsidR="00A6019F" w:rsidRPr="00A6019F">
        <w:rPr>
          <w:rFonts w:ascii="Arial" w:hAnsi="Arial" w:cs="Arial"/>
        </w:rPr>
        <w:t>■</w:t>
      </w:r>
      <w:r w:rsidR="00A6019F" w:rsidRPr="00A6019F">
        <w:t xml:space="preserve">INFECTIOUS ADVERSE REACTIONS Donor screening involves the selection of healthy donors without high risk lifestyles, medical conditions, or exposure to transmissible patho gens. Tests are performed on donated blood to detect the presence of pathogens by testing for relevant Abs or Ags or by directly detecting infectious agents by nucleic acid amplification. Increasing sensitivity of testing methods has progressively narrowed the “window” period early on after infection during which a low-titer undetectable pathogen may be present in the blood and result in a transfusion-transmitted infection. Transfusion-transmitted bacterial infection remains a significant concern, notably with PCs stored at room temperature, which allows for bacterial proliferation. However, some gram-negative bacteria such as Yersinia can grow at 4°C and therefore may be implicated in infec tions related to RBCC transfusion. Recipients of contaminated BCs may develop abrupt (during transfusion and up to several hours after) fever and chills, which can deteriorate to septic shock, DIC, and death. Endotoxin formed within the BC may be implicated. After sampling for bacterial culture, broad-spectrum antibiotics should be promptly initiated. Pathogen reduction of PC and plasma, and perhaps soon of RBCCs as well, offers an additional means of reducing transfusion infection risks. Although effective for a wide range of pathogens, such processes are most often ineffective for bacterial spores and nonenveloped viruses such as hepatitis A virus, parvovirus B19, and hepatitis E virus. Postdonation information (i.e., fever occurring within 24 h after dona tion) allows the involved BCs to be quarantined and may provide an additional safety measure. Transfusion-transmitted infections are increasingly rare. However, new or previously unidentified infectious risks may occur, as high lighted by the emergence of the </w:t>
      </w:r>
      <w:r w:rsidR="00A6019F" w:rsidRPr="00A6019F">
        <w:lastRenderedPageBreak/>
        <w:t xml:space="preserve">transfusion-associated West Nile virus infection and babesiosis in early 2000 in the United States, as well as transfusion-associated hepatitis E in early 2010 in Europe. Such occurrences require active surveillance programs and the appropri ate implementation of mitigation measures such as additional test ing, pathogen reduction, and travel-related deferral criteria. Along with West Nile virus, a number of other arbovirus-related infections Transfusion Therapy and Biology 913 CHAPTER 118 TABLE 118-6 Infectious Transfusion Adverse Events PATHOGEN DONATION PREVALENCE (/104 BLOOD DONATIONS) PREVENTION MEASURES (IN ADDITION TO DONOR DEFERRAL) INFECTION PREVALENCE IN RECIPIENTS (/106 BLOOD PRODUCTS TRANSFUSED) Bacteria Pyogenic bacteria PC: 10–20 Venipuncture sepsis, diversion of the initial 10–30 mL of blood, bacterial detection, pathogen reduction (for PC) Sepsis: PC: 5–30; with bacterial detection: 106 IU/mL,e up to 100 overall NAT Most adults are immune to parvovirus B19; up to 0.12% in seronegative adults has been reported West Nile virus Up to 3 in high season endemic regionsa NATb High season endemic regions: 50 in donors from endemic regions)a Serology (NAT soon available) 40 million volunteer donors, HLA-matched donors can be found for ~60% of patients for whom a search is initiated, with higher rates among whites and lower rates among minorities and patients of mixed race. It takes, on average, 3–4 months to complete a search and schedule and initiate an unrelated donor transplant. With improvements in HLA typing and supportive care measures, survival following matched unrelated donor transplantation is essentially the same as that seen with HLA-matched siblings. Allogeneic hematopoietic cell transplantation can be carried out across ABO blood barriers by removing isoagglutinins and/or incom patible red blood cells from the donor graft. However, depending on the direction of the mismatch, hemolysis of donor cells by persistent isoagglutinins in the host, or hemolysis of recipient red cells by isoag glutinins in the graft or developing from it may occur despite appropri ate manipulation of the donor cell product. Autologous transplantation involves the removal and storage of the patient’s own stem cells with subsequent reinfusion after the patient receives high dose myeloablative therapy. Unlike allogeneic transplan tation, there is no risk of GVHD or graft rejection with autologous transplantation. On the other hand, autologous transplantation lacks a graft-versus-tumor (GVT) effect, and the autologous stem cell product can be contaminated with tumor cells, which could lead to relapse. A variety of techniques have been developed to “purge” autologous prod ucts of tumor cells, but no prospective randomized trials have shown that any approach decreases relapse rates or improves disease-free or overall survival. Bone marrow aspirated from the posterior and anterior iliac crests initially was the source of hematopoietic stem cells for transplantation. Typically, anywhere from 1.5 to 5 × 108 nucleated marrow cells per kilogram are collected for allogeneic transplantation. Several studies have found improved survival following both matched sibling and THE TRANSPLANT PREPARATIVE REGIMEN 915 unrelated transplantation by transplanting higher numbers of bone marrow cells. Hematopoietic stem cells circulate in the peripheral blood but in very low </w:t>
      </w:r>
      <w:r w:rsidR="00A6019F" w:rsidRPr="00A6019F">
        <w:lastRenderedPageBreak/>
        <w:t xml:space="preserve">concentrations. Following the administration of a myeloid growth factor such as granulocyte colony-stimulating factor (G-CSF) and during recovery from intensive chemotherapy, the concentration of hematopoietic progenitor cells in blood, as measured either by colony-forming units or expression of the CD34 antigen, increases markedly. This makes it possible to harvest adequate numbers of stem cells from the peripheral blood for transplantation. Donors are typi cally treated with 4 or 5 days of hematopoietic growth factor, following which stem cells are collected in one or two 4-h pheresis sessions. In the autologous setting, transplantation of &gt;2.5 × 106 CD34 cells per kilogram, a number that can be collected in most circumstances, leads to rapid and sustained engraftment in virtually all cases. In the 5–10% of patients who fail to mobilize enough CD34+ cells with growth fac tor alone, the addition of plerixafor, an antagonist of CXCR4, may be useful. Blocking CXCR4 allows more stem cells to escape the marrow. When compared to the use of autologous marrow, use of periph eral blood stem cells results in more rapid hematopoietic recovery. Although this more rapid recovery diminishes the morbidity rate of transplantation, no studies show improved survival. In the setting of allogeneic transplantation, the use of growth factor mobilized peripheral blood stem cells also results in faster engraftment than seen with marrow but at the cost of more chronic GVHD because of donor T-cell contamination. With matched sibling donors, the increased chronic GVHD is more than balanced by reductions in rates of relapse and nonrelapse mortality, resulting in improved overall sur vival. However, in the setting of matched unrelated donor transplanta tion, use of peripheral blood results in more chronic GVHD without a compensatory survival advantage. Nonetheless, because of ease of collection, peripheral blood continues to be the more commonly used source of stem cells. Umbilical cord blood contains a high concentration of hematopoietic progenitor cells, allowing for its use as a source of stem cells for trans plantation. Cord blood transplantation from family members has been used when the immediate need for transplantation precludes waiting the 9 or so months generally required for the baby to mature to the point of donating marrow. Use of cord blood results in slower peripheral count recovery than seen with marrow but a lower incidence of GVHD, perhaps reflecting the low number of T cells in cord blood. Multiple cord blood banks have been developed to harvest and store cord blood for possible transplantation to unrelated patients from material that would otherwise be discarded. Currently &gt;800,000 units are cryopre served and available for use. The advantages of unrelated cord blood are rapid availability and decreased immune reactivity allowing for the use of partially matched units, which is of particular importance for those without matched unrelated donors. The risks of graft failure and trans plant-related mortality are related to the dose of cord blood cells per kilogram, which previously limited the application of single cord blood transplantation to pediatric and smaller adult patients. Subsequent trials have found that for patients without suitable single cord units, the use of double cord transplants diminishes the risk of graft failure and early mortality even though only one of the donors ultimately </w:t>
      </w:r>
      <w:r w:rsidR="00A6019F" w:rsidRPr="00A6019F">
        <w:lastRenderedPageBreak/>
        <w:t xml:space="preserve">engrafts. Given the similar survival rates seen with cord blood, matched unrelated, and haploidentical family member donors, a source of allogeneic stem cells can now be found for almost every patient in need (Table 119-1). TABLE 119-1 Probability of Identifying a Donor Based on Stem Cell Source and Patient Ethnicity UNRELATED ADULT % UNRELATED CORD % HAPLOIDENTICAL Ethnicity 8/8a Caucasian 75 Hispanic Black 35 7/8a 90 ≥4/6b  &gt;95 75 18 70 95 90 95 95 95 aMatching for HLA-A, -B, -C, and DRB1. bMatching for HLA-A, -B, and DRB1. The treatment regimen administered to patients immediately preced ing transplantation is designed to eradicate the patient’s underlying disease and, in the setting of allogeneic transplantation, immunosup press the patient adequately to prevent rejection of the transplanted stem cells. The appropriate regimen therefore depends on the dis ease setting and graft source. For example, when transplantation is performed to treat severe combined immunodeficiency and the donor is a histocompatible sibling, no preparative regimen is needed because no host cells require eradication, and the patient is already too immune incompetent to reject the transplanted graft. For aplastic anemia, there is no large population of cells to eradicate, and high dose cyclophosphamide plus antithymocyte globulin are sufficient to immunosuppress the patient adequately to accept the marrow graft. In the setting of thalassemia and sickle cell anemia, high-dose busulfan is frequently added to cyclophosphamide to eradicate hyperplastic host hematopoiesis. A variety of different regimens have been developed to treat malignant diseases. Most regimens include agents with high activity against the tumor in question at conventional doses and with myelosuppression as their predominant dose-limiting toxicity. There fore, these regimens commonly include busulfan, cyclophosphamide, melphalan, thiotepa, carmustine, etoposide, and total-body irradiation in various combinations. Although high-dose treatment regimens were the initial approach to transplantation for malignancies, the realization that much of the antitumor effect of transplantation derives from an immunologically mediated GVT response led investigators to ask if reduced-intensity conditioning regimens might be effective and more tolerable. Evidence for a GVT effect comes from studies showing that posttransplant relapse rates are lowest in patients who develop acute and chronic GVHD, higher in those without GVHD, and higher still in recipients of T cell–depleted allogeneic or syngeneic marrow. The demonstration that complete remissions can be obtained in many patients who have relapsed after transplant by simply administering viable lymphocytes from the original donor further strengthens the argument for a potent GVT effect. Accordingly, a variety of alternative regimens have been studied, ranging from nonmyeloablative, which are the very minimum required to achieve engraftment (e.g., fludarabine plus 200 cGy total body irradiation) and would cause only transient myelosuppression if no transplant were performed, to so-called reduced-intensity regi mens, which would cause significant but not necessarily fatal myelo suppression in the absence of transplantation (e.g., fludarabine plus melphalan). With the use of nonmyeloablative and reduced-intensity regimens, engraftment is readily </w:t>
      </w:r>
      <w:r w:rsidR="00A6019F" w:rsidRPr="00A6019F">
        <w:lastRenderedPageBreak/>
        <w:t xml:space="preserve">achieved with less toxicity than seen with conventional transplantation. In general, relapse rates are higher following reduced-intensity conditioning, but transplant-related mor tality is lower, favoring the use of reduced-intensity conditioning in older patients and those with significant comorbidities. High-dose regimens are favored in those felt able to tolerate the treatment, par ticularly if patients have any evidence of measurable disease at the time of transplantation. CHAPTER 119 Hematopoietic Cell Transplantation </w:t>
      </w:r>
      <w:r w:rsidR="00A6019F" w:rsidRPr="00A6019F">
        <w:rPr>
          <w:rFonts w:ascii="Arial" w:hAnsi="Arial" w:cs="Arial"/>
        </w:rPr>
        <w:t>■</w:t>
      </w:r>
      <w:r w:rsidR="00A6019F" w:rsidRPr="00A6019F">
        <w:t>THE TRANSPLANT PROCEDURE Marrow is usually collected from the donor</w:t>
      </w:r>
      <w:r w:rsidR="00A6019F" w:rsidRPr="00A6019F">
        <w:rPr>
          <w:rFonts w:ascii="Aptos" w:hAnsi="Aptos" w:cs="Aptos"/>
        </w:rPr>
        <w:t>’</w:t>
      </w:r>
      <w:r w:rsidR="00A6019F" w:rsidRPr="00A6019F">
        <w:t>s posterior and sometimes anterior iliac crests, with the donor under general or spinal anesthesia. Typically, 10</w:t>
      </w:r>
      <w:r w:rsidR="00A6019F" w:rsidRPr="00A6019F">
        <w:rPr>
          <w:rFonts w:ascii="Aptos" w:hAnsi="Aptos" w:cs="Aptos"/>
        </w:rPr>
        <w:t>–</w:t>
      </w:r>
      <w:r w:rsidR="00A6019F" w:rsidRPr="00A6019F">
        <w:t>15 mL/kg of marrow is aspirated, placed in heparinized media, and filtered through 0.3- and 0.2-mm screens to remove fat and bony spicules. The collected marrow may undergo further processing depending on the clinical situation, such as the removal of red cells to prevent hemolysis in ABO-incompatible transplants, the removal of donor T cells to prevent GVHD, or attempts to remove possible con taminating tumor cells in autologous transplantation. Marrow dona tion is safe, with only very rare complications reported. Peripheral blood stem cells are collected by leukapheresis after the donor has been treated with hematopoietic growth factors or, in the setting of autologous transplantation, sometimes after treatment with a combination of chemotherapy and growth factors. Stem cells for transplantation are infused through a large-bore central venous</w:t>
      </w:r>
    </w:p>
    <w:p w14:paraId="2F4A412D" w14:textId="77777777" w:rsidR="00F23836" w:rsidRDefault="00F23836"/>
    <w:p w14:paraId="6CC57437" w14:textId="77777777" w:rsidR="00A6019F" w:rsidRDefault="00A6019F"/>
    <w:p w14:paraId="4FBD38A6" w14:textId="77777777" w:rsidR="00A6019F" w:rsidRDefault="00A6019F"/>
    <w:p w14:paraId="03183F52" w14:textId="77777777" w:rsidR="00A6019F" w:rsidRDefault="00A6019F">
      <w:pPr>
        <w:rPr>
          <w:b/>
          <w:bCs/>
          <w:sz w:val="32"/>
          <w:szCs w:val="32"/>
        </w:rPr>
      </w:pPr>
      <w:r w:rsidRPr="00A6019F">
        <w:rPr>
          <w:b/>
          <w:bCs/>
          <w:sz w:val="32"/>
          <w:szCs w:val="32"/>
        </w:rPr>
        <w:t xml:space="preserve">Part 11 </w:t>
      </w:r>
      <w:r w:rsidRPr="00A6019F">
        <w:rPr>
          <w:b/>
          <w:bCs/>
          <w:sz w:val="32"/>
          <w:szCs w:val="32"/>
        </w:rPr>
        <w:t>Immune-Mediated, Inflammatory, and Rheumatologic Disorders</w:t>
      </w:r>
    </w:p>
    <w:p w14:paraId="30B3CA54" w14:textId="30C79F12" w:rsidR="00A6019F" w:rsidRDefault="00A6019F">
      <w:r>
        <w:t>Aaaa</w:t>
      </w:r>
    </w:p>
    <w:p w14:paraId="70147EFE" w14:textId="56A54920" w:rsidR="00A6019F" w:rsidRPr="00A6019F" w:rsidRDefault="00A6019F">
      <w:r w:rsidRPr="00A6019F">
        <w:t xml:space="preserve">Immune-Mediated, Inflammatory, and Rheumatologic Disorders PART 11 Section 1 The Immune System in Health and Disease 360 Introduction to the Immune System Barton F. Haynes, Kelly A. Cuttle, Anthony S. Fauci </w:t>
      </w:r>
      <w:r w:rsidRPr="00A6019F">
        <w:rPr>
          <w:rFonts w:ascii="Arial" w:hAnsi="Arial" w:cs="Arial"/>
        </w:rPr>
        <w:t>■</w:t>
      </w:r>
      <w:r w:rsidRPr="00A6019F">
        <w:t xml:space="preserve">DEFINITIONS </w:t>
      </w:r>
      <w:r w:rsidRPr="00A6019F">
        <w:rPr>
          <w:rFonts w:ascii="Aptos" w:hAnsi="Aptos" w:cs="Aptos"/>
        </w:rPr>
        <w:t>•</w:t>
      </w:r>
      <w:r w:rsidRPr="00A6019F">
        <w:t xml:space="preserve"> Adaptive immune system</w:t>
      </w:r>
      <w:r w:rsidRPr="00A6019F">
        <w:rPr>
          <w:rFonts w:ascii="Aptos" w:hAnsi="Aptos" w:cs="Aptos"/>
        </w:rPr>
        <w:t>—</w:t>
      </w:r>
      <w:r w:rsidRPr="00A6019F">
        <w:t xml:space="preserve">recently evolved system of immune responses mediated by T and B lymphocytes. Immune responses by these cells are based on specific antigen recognition by clonotypic receptors that are products of genes that rearrange during devel opment and throughout the life of the organism. Additional cells of the adaptive immune system include various types of antigen presenting cells (APCs). • Antibody—B cell–produced molecules encoded by genes that rear range during B-cell development consisting of immunoglobulin heavy and light chains that together form the central component of the B-cell receptor (BCR) for antigen. Antibody can exist as B cell surface antigen-recognition molecules or as secreted molecules in plasma and other body fluids. • </w:t>
      </w:r>
      <w:r w:rsidRPr="00A6019F">
        <w:lastRenderedPageBreak/>
        <w:t xml:space="preserve">Antigens—foreign or self-molecules that are recognized by the adap tive and innate immune systems resulting in immune cell triggering, T-cell activation, and/or B-cell antibody production. • Antigen-presenting cells (APCs)—a group of immune cells that process antigens to mediate both adaptive immune responses and the maintenance of peripheral tolerance. Classical APCs include dendritic cells, macrophages, and B cells. • Apoptosis—the process of programmed cell death whereby signal ing through “death receptors” on the surface of cells (e.g., tumor necrosis factor [TNF] receptors, CD95) leads to signaling cascades that involve activation of the caspase family of molecules and leads to DNA cleavage and cell death. Apoptosis, which does not lead to induction of inordinate inflammation, is to be contrasted with cell necrosis, which does lead to induction of inflammatory responses. • Autoimmune diseases—diseases such as systemic lupus erythemato sus and rheumatoid arthritis in which cells of the adaptive immune system such as autoreactive T and B cells become overreactive and produce pathogenic T-cell and antibody responses. • Autoinflammatory diseases—hereditary disorders such as heredi tary periodic fevers (HPFs) characterized by recurrent episodes of severe inflammation and fever due to mutations in controls of the innate inflammatory response, i.e., the inflammasome (see below and Table 360-5). Patients with HPFs also have rashes and serosal and joint inflammation, and some can have neurologic symptoms. Autoinflammatory diseases are different from autoimmune diseases in that evidence for activation of adaptive immune cells such as autoreactive B cells is not present. • Autophagy—lysosomal degradation pathway mechanism of cells to dispose of intracellular debris and damaged organelles. Autophagy by cells of the innate immune system is used to control intracel lular infectious agents such as mycobacteria, in part by initiation of phagosome maturation and enhancing major histocompatibility complex (MHC) class II antigen presentation to CD4 T cells. • B-cell receptor (BCR) for antigen—complex of surface molecules that rearrange during postnatal B-cell development, made up of surface immunoglobulin (Ig) and associated Ig αβ chain molecules that recognize nominal antigen via Ig heavy- and light-chain variable regions, and signal the B cell to terminally differentiate to make antigen-specific antibody. • B lymphocytes—bone marrow–derived lymphocytes that express surface immunoglobulin (the BCR for antigen) and secrete specific antibody after interaction with antigen. • B regulatory cells—a population of suppressive B cells that aid in the inhibition of inflammation through the release of cytokines such as interleukin-(IL) 10. • CD classification of human lymphocyte differentiation antigens—the development of monoclonal antibody technology led to the discov ery of a large number of new leukocyte surface molecules. From a series of International Workshop on Leukocyte Differentiation Antigens has come the cluster of differentiation (CD) classification of leukocyte antigens. • CD4 T cell—T lymphocyte subset that participates in adaptive immunity and helps B cells make antibody. • CD8 T cell—cytotoxic T lymphocyte subset that kills tumor cells and cells infected with pathogens. • Chemokines—soluble molecules that direct and determine immune cell movement </w:t>
      </w:r>
      <w:r w:rsidRPr="00A6019F">
        <w:lastRenderedPageBreak/>
        <w:t xml:space="preserve">and circulation pathways. • Complement—cascading series of plasma enzymes and effector proteins that function to lyse pathogens and/or target them to be phagocytized by neutrophils and monocyte/macrophage lineage cells of the reticuloendothelial system. • Co-stimulatory molecules—molecules of APCs (such as B7-1, B7-2, or CD40) that lead to T-cell activation when bound by ligands on activated T cells (such as CD28 or CD40 ligand). • Crystallopathies—nanoparticle- or microparticle-sized deposits of crystals, misfolded proteins, or airborne particulate matter that can stimulate the inflammasome and initiate inflammation and tissue damage. • Cytokines—soluble proteins that interact with specific cellular recep tors that are involved in the regulation of the growth and activation of immune cells and mediate normal or pathologic inflammatory and immune responses. • Dendritic cells—myeloid and/or lymphoid lineage APCs of the adaptive immune system. Immature dendritic cells (DCs), or DC precursors, are key components of the innate immune system by responding to infections with production of high levels of cytokines. DCs are key initiators of innate immune responses via cytokine pro duction and mediators of adaptive immune responses via presenta tion of antigen to T lymphocytes. • Ig fragment crystallizable (Fc) receptors (Rs)—receptors found on the surface of certain cells including B cells, natural killer (NK) cells, macrophages, neutrophils, and mast cells. Fc receptors bind to the Fc domains of antibodies that have attached to invading pathogen-infected cells. FcRs stimulate cytotoxic cells to destroy microbe-infected cells through antibody-dependent cell-mediated cytotoxicity (ADCC). Examples of important FcRs include CD16 (FcγRIIIa), CD23 (FcεR), CD32 (FcγRII), CD64 (FcγRI), and CD89 (FcαR). • Inflammasome—large cytoplasmic complexes of intracellular pro teins that link the sensing of microbial products and cellular stress to the proteolytic activation of IL-1β and IL-18 inflammatory cytokines. Activation of molecules in the inflammasome is a key step in the response of the innate immune system for intracellular recognition of microbial and other danger signals in both health and pathologic states. • Innate immune system—ancient immune recognition system of host cells bearing germline-encoded pattern recognition receptors (PRRs) that recognize pathogens and trigger a variety of mecha nisms of pathogen elimination. Cells of the innate immune system include NK cell lymphocytes, monocytes/macrophages, DCs, neu trophils, basophils, eosinophils, tissue mast cells, and epithelial cells. • Innate lymphoid cells (ILCs)—lymphocytes that do not express the type of diversified antigen receptors on T cell and B cells. ILC1s, 2756 ILC2s, and ILC3s are tissue resident cells and functionally may be analogous to CD4 TH 1, TH 2, and TH 17 cells, respectively. PART 11 Immune-Mediated, Inflammatory, and Rheumatologic Disorders • Natural killer (NK) cells—a type of ILC that kills target cells express ing few or no human leukocyte antigen (HLA) class I molecules, such as malignantly transformed cells and virally infected cells. NK cells express receptors that inhibit killer cell function when self-MHC class I is present. Innate NK cells mirror the cytolytic functions of CD8 cytotoxic T cells of the adaptive immune system. • NK T cells—innate-like lymphocytes that use an invariant T-cell </w:t>
      </w:r>
      <w:r w:rsidRPr="00A6019F">
        <w:lastRenderedPageBreak/>
        <w:t xml:space="preserve">receptor (TCR)-α chain combined with a limited set of TCR-β chains and coexpress receptors commonly found on NK cells. NK T cells recognize lipid antigens of bacterial, viral, fungal, and protozoal infectious agents. • Pathogen-associated molecular patterns (PAMPs)—invariant molec ular structures expressed by large groups of microorganisms that are recognized by host cellular PRRs in the mediation of innate immunity. • Pattern recognition receptors (PRR)—germline-encoded receptors expressed by cells of the innate immune system that recognize PAMPs. • T lymphocytes—thymus-derived lymphocytes that mediate adaptive cellular immune responses including T helper, T regulatory, and cytotoxic T lymphocyte effector cell functions. • T-cell exhaustion—state of T cells when the persistence of antigen disrupts memory T-cell function, resulting in defects in memory T-cell responses. Most frequently occurs in malignancies and in chronic viral infections such as HIV-1 and hepatitis C. • TCR for antigen—complex of surface molecules that rearrange during postnatal T-cell development made up of clonotypic TCR-α and -β chains that are associated with the CD3 complex composed of invariant γ, δ, ε, ζ, and η chains. TCR-α and -β chains recognize peptide fragments of protein antigen physically bound in APC MHC class I or II molecules, leading to signaling via the CD3 complex to mediate effector functions. • T follicular helper T cells (TFH)—CD4 T cells regulated by bcl-6 in B-cell follicle germinal centers that produce IL-4 and IL-21 and drive B-cell differentiation and affinity maturation in peripheral lymphoid tissues such as lymph node and spleen. • TH 1 T cells—CD4 helper T-cell subset regulated by transcription factor T-bet that produces interferon (IFN)-γ, IL-2, and TNF-β and participates in cell-mediated immunity. • TH 2 T cells—CD4 helper T-cell subset regulated by transcription fac tors STAT6 and GATA3 that produces IL-4, IL-5, IL-6, IL-9, IL-10, and IL-13 and regulates antibody and eosinophil responses. • T regulatory cells (Treg)—CD4 or CD8 T cells regulated by the tran scription factor forkhead box P3 (FOXP3) that play roles in modulat ing immune responses to prevent harmful immune activation. Treg cells that prevent autoimmunity can arise in the thymus (thymic Tregs) after exposure to self-antigens on thymic epithelial cells or can arise outside the thymus and are called peripheral Tregs. Intestinal Tregs are essential to preventing pathogenic immune responses to the gut microbiome, thus preventing intestinal inflammation. • TH 9 T cells—CD4 T cells regulated by the transcription factor PU.1 that secrete IL-9 and enhance inflammation in atopic disease and inflammatory bowel disease as well as mediate antitumor immunity. • TH 13 T cells—T follicular helper cells (TFH) regulated by the GATA3 transcription factor that produce IL-4, IL-5, and IL-13. TH 13 TFH induce high-affinity IgE antibody responses that cause anaphy lactic reactions to allergens. • TH 17 T cells—CD4 T cells regulated by the transcription factor RORγt that secrete IL-17, IL-22, and IL-26 and play roles in autoim mune inflammatory disorders as well as defend against bacterial and fungal pathogens. • Tolerance—B- and T-cell nonresponsiveness to antigens that results from encounter with foreign or self-antigens by B and T lympho cytes in the absence of expression of APC co-stimulatory molecules. Tolerance to antigens may be induced and maintained </w:t>
      </w:r>
      <w:r w:rsidRPr="00A6019F">
        <w:lastRenderedPageBreak/>
        <w:t xml:space="preserve">by multiple mechanisms either centrally (B-cell deletion in the thymus for T cells or bone marrow for B cells) or peripherally (by cell deletion or anergy at sites throughout the peripheral immune system). • Trained immunity—the epigenetic, transcriptional, and functional reprogramming of innate immune cells to adapt to previous encoun ters with pathogens and respond to a second challenge in an altered manner. </w:t>
      </w:r>
      <w:r w:rsidRPr="00A6019F">
        <w:rPr>
          <w:rFonts w:ascii="Arial" w:hAnsi="Arial" w:cs="Arial"/>
        </w:rPr>
        <w:t>■</w:t>
      </w:r>
      <w:r w:rsidRPr="00A6019F">
        <w:t xml:space="preserve">INTRODUCTION The human immune system has evolved over millions of years from both invertebrate and vertebrate organisms to develop sophisticated defense mechanisms that protect the host from microbes and their virulence factors. The normal immune system has three key properties: a highly diverse repertoire of antigen receptors that enables recognition of a nearly infinite range of pathogens; immune memory, to mount rapid recall immune responses; and immunologic tolerance, to avoid immune damage to self-tissues. From invertebrates, humans have inherited the innate immune sys tem, an ancient defense system that uses germline-encoded proteins to recognize pathogens. Cells of the innate immune system, such as macrophages, DCs, and NK lymphocytes, recognize PAMPs that are highly conserved among many microbes and use a diverse set of PRR molecules. Important components of the recognition of microbes by the innate immune system include recognition by germline-encoded host molecules, recognition of key microbe virulence factors but not recognition of self-molecules, and nonrecognition of benign foreign molecules or microbes such as are found in mucosal or other bar rier microbiomes. Upon contact with pathogens, cells of the innate immune system may kill pathogens directly or, in concert with DCs, activate a series of events that both slow the infection and recruit the more recently evolved arm of the human immune system, the adaptive immune system. In addition, innate immune cells undergo epigenetic, transcriptional, and functional changes that allow adapted (either enhanced or reduced) innate cell responses to repeat encounters with pathogens, called trained immunity. Adaptive immunity is found only in vertebrates and is based on the generation of antigen receptors on T and B lymphocytes by gene rear rangements, such that individual T or B cells express unique antigen receptors on their surface capable of specifically recognizing diverse antigens of infectious agents in the environment. Coupled with specific recognition mechanisms that maintain tolerance (nonreactivity) to self antigens or nonpathogenic microbes (Chap. 361), T and B lymphocytes bring both specificity and immune memory to vertebrate host defenses. This chapter describes the cellular components, key molecules (Table 360-1), and mechanisms that make up the innate and adaptive immune systems and describes how adaptive immunity is recruited to the defense of the host by innate immune responses. An appreciation of the cellular and molecular bases of innate and adaptive immune responses is critical to understanding the pathogenesis of inflam matory, autoimmune, infectious, and immunodeficiency diseases, as well as a wide range of diseases associated with inflammation such as atherosclerotic cardiovascular disease and neurodegenerative diseases. </w:t>
      </w:r>
      <w:r w:rsidRPr="00A6019F">
        <w:rPr>
          <w:rFonts w:ascii="Arial" w:hAnsi="Arial" w:cs="Arial"/>
        </w:rPr>
        <w:t>■</w:t>
      </w:r>
      <w:r w:rsidRPr="00A6019F">
        <w:t xml:space="preserve">THE INNATE IMMUNE SYSTEM All multicellular organisms, including humans, have developed the </w:t>
      </w:r>
      <w:r w:rsidRPr="00A6019F">
        <w:lastRenderedPageBreak/>
        <w:t xml:space="preserve">use of surface and intracellular germline-encoded molecules that recognize pathogens. Because of the myriad of human pathogens, host molecules of the human innate immune system sense “danger signals” and either recognize PAMPs, the common molecular structures shared by many pathogens, or recognize host cell molecules produced in response to infection such as heat shock proteins and fragments of the extracel lular matrix. PAMPs must be conserved structures vital to pathogen virulence and survival, such as bacterial endotoxin, so that pathogens cannot mutate molecules of PAMPs to evade human innate immune responses. PRRs are host proteins of the innate immune system that recognize PAMPs as host danger signal molecules (Tables 360-2 and 360-3). Thus, recognition of pathogen molecules by hematopoietic and nonhematopoietic cell types leads to activation/production of the complement cascade, cytokines, or antimicrobial peptides as effector molecules. In addition, pathogen PAMPs as host danger signal mol ecules activate DCs to mature and to express molecules on the DC sur face that optimize antigen presentation to respond to foreign antigens. Introduction to the Immune System 2757 CHAPTER 360 TABLE 360-1 Human Leukocyte Surface Antigens—The CD Classification of Leukocyte Differentiation Antigens SURFACE ANTIGEN (OTHER NAMES) FAMILY MOLECULAR MASS, kDa DISTRIBUTION LIGAND(S) FUNCTION CD1a (T6, HTA-1) Ig 49 CD, cortical thymocytes, Langerhans type of DCs TCRγδ T cells, NK T cells CD1 molecules present lipid antigens of intracellular bacteria such as Mycobacterium leprae and M. tuberculosis to TCRγδT cells or NK T cells CD1b Ig 45 CD, cortical thymocytes, Langerhans type of DCs TCRγδ T cells, NK T cells   CD1c Ig 43 DC, cortical thymocytes, subset of B cells, Langerhans type of DCs TCRγδ T cells, NK T cells   CD1d Ig 37 Cortical thymocytes, intestinal epithelium, Langerhans type of DCs TCRγδ T cells, NK T cells   CD2 (T12, LFA-2) Ig 50 T, NK CD58, CD48, CD59, CD15 Alternative T-cell activation, T-cell anergy, T-cell cytokine production, T- or NK-mediated cytolysis, T-cell apoptosis, cell adhesion CD3 (T3, Leu-4) Ig γ:25–28, δ:21 28, ε:20–25, η:21–22, ζ:16 T, NK T Associates with the TCR T-cell activation and function; ζ is the signal transduction component of the CD3 complex CD4 (T4, Leu-3) Ig 55 T, myeloid MHC-II, HIV gp120, IL-16, SABP T-cell selection, T-cell activation, signal transduction with p56lck, primary receptor for HIV-1 CD7 (3A1, Leu-9) Ig 40 T, NK K-12 (CD7L) T- and NK-cell signal transduction and regulation of IFN-γ, TNF-α production CD8 (T8, Leu-2) Ig 34 T, subset of NK MHC-I T-cell selection, T-cell activation, signal transduction with p56lck CD14 (LPS-receptor) LRG 53–55 M, G (weak), not by myeloid progenitors Endotoxin (lipopolysaccharide), lipoteichoic acid, PI TLR4 mediates with LPS and other PAMP activation of innate immunity CD16a (FcγRIIIa) Ig 50–80 NK, macrophages, neutrophils Fc portion of IgG Mediates phagocytosis and ADCC CD19 B4 Ig 95 B (except plasma cells), FDC Not known Associates with CD21 and CD81 to form a complex involved in signal transduction in B-cell development, activation, and differentiation CD20 (B1) Unassigned 33–37 B (except plasma cells) Not known Cell signaling, may be important for B-cell activation and proliferation CD21 (B2, CR2, EBV-R, C3dR) RCA 145 Mature B, FDC, subset of thymocytes C3d, C3dg, iC3b, </w:t>
      </w:r>
      <w:r w:rsidRPr="00A6019F">
        <w:lastRenderedPageBreak/>
        <w:t xml:space="preserve">CD23, EBV Associates with CD19 and CD81 to form a complex involved in signal transduction in B-cell development, activation, and differentiation; Epstein-Barr virus receptor CD22 (BL-CAM) Ig 130–140 Mature B CDw75 Cell adhesion, signaling through association with p72sky, p53/56lyn, PI3 kinase, SHP1, fLCγ CD23 (FcεRII, B6, Leu-20, BLAST-2) C-type lectin 45 B, M, FDC IgE, CD21, CD11b, CD11c Regulates IgE synthesis, cytokine release by monocytes CD28 Ig 44 T, plasma cells CD80, CD86 Co-stimulatory for T-cell activation; involved in the decision between T-cell activation and anergy CD32a (FcγRIIa) Ig 40 NK, macrophages, neutrophils Fc portion of IgG Mediates phagocytosis and ADCC CD40 TNFR 48–50 B, DC, EC, thymic epithelium, MP, cancers CD154 (CD40L) B-cell activation, proliferation, and differentiation; formation of GCs; isotype switching; rescue from apoptosis CD45 (LCA, T200, B220) PTP 180, 200, 210, 220 All leukocytes Galectin-1, CD2, CD3, CD4 T and B activation, thymocyte development, signal transduction, apoptosis CD45RA PTP 210, 220 Subset T, medullary thymocytes, “naive” T Galectin-1, CD2, CD3, CD4 Isoforms of CD45 containing exon 4 (A), restricted to a subset of T cells CD45RB PTP 200, 210, 220 All leukocytes Galectin-1, CD2, CD3, CD4 Isoforms of CD45 containing exon 5 (B) CD45RC PTP 210, 220 Subset T, medullary thymocytes, “naive” T Galectin-1, CD2, CD3, CD4 Isoforms of CD45 containing exon 6 (C), restricted to a subset of T cells CD45RO PTP 180 Subset T, cortical thymocytes, “memory” T Galectin-1, CD2, CD3, CD4 Isoforms of CD45 containing no differentially spliced exons, restricted to a subset of T cells CD64 (FcγRI) Ig 45–55 Macrophages and monocytes Fc portion of IgG Mediates phagocytosis and ADCC CD80 (B7-1, BB1) Ig 60 Activated B and T, MP, DC CD28, CD152 (CTLA-4) Co-regulator of T-cell activation; signaling through CD28 stimulates and through CD152 inhibits T-cell activation CD86 (B7-2, B70) Ig 80 Subset B, DC, EC, activated T, thymic epithelium CD28, CD152 (CTLA-4) Co-regulator of T-cell activation; signaling through CD28 stimulates and through CD152 inhibits T-cell activation CD89 (FCαR) Ig 55–100 Neutrophils, eosinophils, monocytes, and MP Fc portion of IgG Mediates phagocytosis and ADCC of IgA-coated pathogens (Continued) 2758 PART 11 Immune-Mediated, Inflammatory, and Rheumatologic Disorders TABLE 360-2 Major Components of the Innate Immune System Pattern recognition receptors (PRRs) Toll-like receptors (TLRs), C-type lectin receptors (CLRs), retinoic acid–inducible gene (RIG)-1-like receptors (RLRs), and NOD-like receptors (NLRs) Antimicrobial peptides α-Defensins, β-defensins, cathelin, protegrin, granulysin, histatin, secretory leukoprotease inhibitor, and probiotics Cells Macrophages, dendritic cells, innate lymphoid cells (ILC1, ILC2, ILC3, NK cells, lymphoid tissue inducer [LTi] cells), mucosal-associated invariant T (MAIT) cells, NK-T cells, neutrophils, eosinophils, mast cells, basophils, and epithelial cells Complement components Classic and alternative complement pathway, and proteins that bind complement components Cytokines Autocrine, paracrine, endocrine cytokines that mediate host defense and inflammation, as well as recruit, direct, and regulate adaptive immune responses Abbreviation: NK, natural killer. TABLE 360-1 Human Leukocyte Surface Antigens—The CD Classification of Leukocyte Differentiation </w:t>
      </w:r>
      <w:r w:rsidRPr="00A6019F">
        <w:lastRenderedPageBreak/>
        <w:t xml:space="preserve">Antigens SURFACE ANTIGEN (OTHER NAMES) FAMILY MOLECULAR MASS, kDa DISTRIBUTION LIGAND(S) FUNCTION CD95 (APO-1, Fas) TNFR 43 Activated T and B Fas ligand Mediates apoptosis CD112 (nekton-2, PVRL2) Ig 62 Epithelial cells, endothelial cells, other tissues DNAM-1 (CD226), TIGIT T-cell activation (DNAM-1), T-cell inhibition (TIGIT) CD134 (OX40) TNFR 48 Activated T OX40L (CD252) T-cell survival, cytokine stimulation CD137 (4-1BB) TNFR 19 Activated T, DCs, B, NK CD137L (41BBL) T-cell co-stimulation CD155 (PVR) Ig 50–65 DCs, NK, epithelial cells TIGIT, CD96, DNAM-1 T-cell inhibition (TIGIT, CD96), T-cell activation (DNAM-1) CD223 (LAG-3) Ig 57 NK, B, activated T MHC class II T-cell inhibition CD226 (DNAM-1) Ig 65 NK, monocytes, T CD112, CD155 T-cell activation (CD112), T-cell activation (CD155) CD252 (OX40L) TNFR 16–25 Antigen-presenting cells, endothelial cells OX40 T-cell survival, cytokine stimulation CD272 (BTLA) Ig 16 Activated T HVEM T-cell inhibition CD274 (PD-L1) Ig 40 T, NK, myeloid, B, tumor cells PD-1 (CD279) Inhibit TCR activation CD278 (ICOS) Ig 55–60 Activated T ICOSL T-cell activation CD357 (GTTR) TNFR 41 Activated T, Tregs GITRL T-cell activation CD152 (CTLA-4) Ig 30–33 Activated T CD80, CD86 Inhibits T-cell proliferation CD154 (CD40L) TNF 33 Activated CD4+ T, subset CD8+ T, NK, M, basophil CD40 Co-stimulatory for T-cell activation, B-cell proliferation and differentiation CD279 (PD-1) Ig 50–55 B, T, TFH PD-L1 (CD274), PD-L2 (CD273) Inhibits T-cell proliferation Abbreviations: ADCC, antibody-dependent cell-mediated cytotoxicity; BTLA, band T lymphocyte attenuators; CTLA, cytotoxic T lymphocyte–associated protein; DC, dendritic cells; DNAM-1, DNAX accessory molecule-1; EBV, Epstein-Barr virus; EC, endothelial cells; ECM, extracellular matrix; Fcγ RIII, low-affinity IgG receptor isoform A; FDC, follicular dendritic cells; G, granulocytes; GC, germinal center; GITR, glucocorticoid-induced TNFR-related protein; GPI, glycosyl phosphatidylinositol; HTA, human thymocyte antigen; HVEM, herpesvirus entry mediator; ICOS, inducible T-cell co-stimulator; Ig, immunoglobulin; IgG, immunoglobulin G; LAG-3, lymphocyte-activation gene 3; LCA, leukocyte common antigen; LPS, lipopolysaccharide; MHC-I, major histocompatibility complex class I; MP, macrophages; Mr, relative molecular mass; NK, natural killer cells; P, platelets; PBT, peripheral blood T cells; PD-1, programmed cell death-1; PI, phosphatidylinositol; PI3K, phosphatidylinositol 3-kinase; PLC, phospholipase C; PTP, protein tyrosine phosphatase; PVR, polio virus receptor; PVRL2, polio virus receptor-related 2; RCA, regulators of complement activation; SABP, seminal actin binding protein; TCR, T-cell receptor; TFH, T follicular helper cells; TIGIT, T-cell immunoreceptor with Ig and ITIM domains; TNF, tumor necrosis factor; TNFR, tumor necrosis factor receptor. Note: For an expanded list of cluster of differentiation (CD) human antigens, see Harrison’s Online at accessmedicine.com; and for a full list of CD human antigens from the most recent Human Workshop on Leukocyte Differentiation Antigens (VII), D Mason, P Andre, A Bensussan, et al (eds): Leucocyte Typing VII. Oxford: Oxford University Press, 2002. Source: Compiled from T Kishimoto et al (eds): Leukocyte Typing VI. New York: Garland Publishing, 1997; R Brines et al: Immunol Today 18S:1, 1997; and D Mason et al: CD antigens 2002. Blood 99:3877, 2002. </w:t>
      </w:r>
      <w:r w:rsidRPr="00A6019F">
        <w:rPr>
          <w:rFonts w:ascii="Arial" w:hAnsi="Arial" w:cs="Arial"/>
        </w:rPr>
        <w:t>■</w:t>
      </w:r>
      <w:r w:rsidRPr="00A6019F">
        <w:t xml:space="preserve">PATTERN RECOGNITION Major PRR families of </w:t>
      </w:r>
      <w:r w:rsidRPr="00A6019F">
        <w:lastRenderedPageBreak/>
        <w:t xml:space="preserve">proteins include transmembrane proteins, such as the Toll-like receptors (TLRs) and C-type lectin receptors (CLRs), and cytoplasmic proteins, such as the retinoic acid–inducible gene (RIG) 1-like receptors (RLRs) and NOD-like receptors (NLRs) (Table 360-4). A major group of PRR collagenous glycoproteins with C-type lectin domains are termed collectins and include the serum protein mannose binding lectin (MBL). MBL and other collectins, as well as two other protein families—the pentraxins (such as C-reactive protein and serum amyloid P) and macrophage scavenger receptors—all have the property of opsonizing (coating) bacteria for phagocytosis by macrophages and can also activate the complement cascade to lyse bacteria. Integrins are cell-surface adhesion molecules that affect attachment between cells and the extracellular matrix and mediate signal transduction that reflects the chemical composition of the cell environment. For example, integrins signal after cells bind bacterial lipopolysaccharide (LPS) and activate phagocytic cells to ingest pathogens. There are multiple connections between the innate and adaptive immune systems; these include (1) a plasma protein, LPS-binding protein, that binds and transfers LPS to the macrophage LPS recep tor, CD14; (2) the human family of proteins called Toll-like receptor proteins (TLRs), some of which are associated with CD14, bind LPS, and signal epithelial cells, DCs, and macrophages to produce cytokines and upregulate cell-surface molecules that signal the initiation of adaptive immune responses (Fig. 360-1, Table 360-3); and (3) families of intracellular microbial sensors called NLRs and RLRs. Proteins in the Toll family can be expressed on macrophages, DCs, and B cells as well as on a variety of nonhematopoietic cell types, including respira tory epithelial cells. Eleven TLRs have been identified in humans (Table 360-3). Upon ligation, TLRs activate a series of intracellular events that lead to the killing of bacteria- and viral-infected cells as well as to the recruitment and ultimate activation of antigen-specific T and B lymphocytes (Fig. 360-1). Importantly, signaling by massive amounts of LPS through TLR4 leads to the release of high levels of cytokines that mediate LPS-induced shock. Mutations in TLR4 proteins in mice pro tect from LPS shock, and TLR mutations in humans can protect from LPS-induced inflammatory diseases such as LPS-induced asthma. Table 360-4 lists diseases caused by gene variants in nucleic acid–sensing Toll family and related receptors. Two other families of cytoplasmic PRRs are the NLRs and the RLRs. These families, unlike the TLRs, are composed primarily of soluble (Continued) Introduction to the Immune System 2759 CHAPTER 360 TABLE 360-3 Pattern Recognition Receptors (PRRs) and Their Ligands PRR LOCALIZATION LIGAND ORIGIN OF THE LIGAND TLR    TLR1 Plasma membrane Triacyl lipoprotein Bacteria TLR2 Plasma membrane Lipoprotein Bacteria, viruses, parasite, self TLR3 Endolysosome dsRNA Virus TLR4 Plasma membrane LPS Bacteria, viruses, self TLR5 Plasma membrane Flagellin Bacteria TLR6 Plasma membrane Diacyl lipoprotein Bacteria, viruses TLR7 (human TLR8) Endolysosome ssRNA Virus, bacteria, self TLR9 Endolysosome CpG-DNA Virus, bacteria, protozoa, self TLR10 Endolysosome Unknown Unknown TLR11 Plasma membrane Profilin-like molecule Protozoa RLR    RIG-I Cytoplasm Short dsRNA, </w:t>
      </w:r>
      <w:r w:rsidRPr="00A6019F">
        <w:lastRenderedPageBreak/>
        <w:t xml:space="preserve">triphosphate dsRNA RNA viruses, DNA virus MDA5 Cytoplasm Long dsRNA RNA viruses (Picornaviridae) LGP2 Cytoplasm Unknown RNA viruses NLR    NOD1 Cytoplasm iE-DAP Bacteria NOD2 Cytoplasm MDP Bacteria CLR    Dectin-1 Plasma membrane β2-Glucan Fungi Dectin-2 Plasma membrane β2-Glucan Fungi MINCLE Plasma membrane SAP130 Self, fungi Abbreviations: CLR, C-type lectin receptors; dsRNA, double-strand RNA; iE-DAP, D-glutamyl-meso-diaminopimelic acid moiety; LGP2, Laboratory of Genetics and Physiology 2 protein encoded by the gene DHX58; MDA5, melanoma differentiation-associated protein 5; MDP, MurNAc-L-Ala-D-isoGln, also known as muramyl dipeptide; MINCLE, macrophage-inducible C-type lectin; NLR, NOD-like receptor; NOD, NOTCH protein domain; RIG, retinoic acid–inducible gene; RLR, RIG-like receptors; SAP130, Sin-3 associated protein 130; TLR, Toll-like receptor. Source: Reproduced with permission from O Takeuchi: Pattern recognition receptors and inflammation. Cell 140:805, 2010. CD14 LPS Inflammatory cytokines and/ or chemokines Nucleus TLR9 CpG ssRNA Endosome TLR7 or TLR8 MYD88 MYD88 MYD88 TIRAP TRIF TRIF TRAM Triacylated lipopeptides Diacylated lipopeptides Flagellin Unknown TLR4 TLR2 TLR1 TLR2 TLR6 TLR5 TLR10 Flagellin TLR11 Plasma membrane TRAF-6 IRAK NF-κB MAPK NF-κB IFN-β IRF3 IRF3 TLR3 dsRNA Endosome FIGURE 360-1 Overview of major TLR signaling pathways. All TLRs signal through MYD88, with the exception of TLR3. TLR4 and the TLR2 subfamily (TLR1, TLR2, TLR6) also engage TIRAP (Toll-interleukin 1 receptor domain-containing adapter protein). TLR3 signals through TRIF (Toll-interleukin 1 receptor domain-containing adapter-inducing interferon-β). TRIF is also used in conjunction with TRAM (TRIF-related adaptor molecule) in the TLR4-MYD88-independent pathway. Dashed arrows indicate translocation into the nucleus. dsRNA, double-strand RNA; IFN, interferon; IRF3, interferon regulatory factor 3; LPS, lipopolysaccharide; MAPK, mitogen-activated protein kinases; NF-κB, nuclear factor-κB; ssRNA, single-strand RNA; TLR, Toll-like receptor. (Reproduced with permission from D Van Duin et al: Triggering TLR signaling in vaccination. Trends Immunol 27:49, 2006.) 2760 PART 11 Immune-Mediated, Inflammatory, and Rheumatologic Disorders TABLE 360-4 Diseases Caused by Gene Variants in Nucleic Acid-Sensing Receptors and Related Proteins GENE PROTEIN CHANGE IN FUNCTION LOCATION LIGAND OR PARTNER AUTOIMMUNE OR AUTOINFLAMMATORY DISEASE IN OMIM OMIM NUMBER LUPUS SUSCEPTIBILITY ALLELES DNASE1 DNASE1 LOF Extracellular dsDNA (NETs) SLE 152700 Yes DNASE1L3 DNASE1L3 LOF Extracellular Nucleosomes exposed on microparticles or apoptotic bodies SLE16 614420 Yes TLR7 TLR7 GOF Endosomal ssRNA, 2’3’cGMP SLE 17 301080 Yes TLR9 TLR9–Endosomal CpG dsDNA N/A–No MyD88 MyD88–Endosomal TLRs N/A (GOF)–No ADA2 ADA2 LOF Endolysosomal Adenosine, Sneddon syndrome 182410 No     2’-deoxyadenosine Vasculitis, autoinflammation, immunodeficiency, and hematologic defects syndrome (DADA2) 615688  DNASE2 DNASE2 LOF Lysosomal Exogenous DNA Autoinflammatory-pancytopenia syndrome 619858 No TREX1 TREX1 LOF Cytoplasmic DNA (retroviral/retrotransposon) AGS 1 225750 Yes     Chilblain lupus </w:t>
      </w:r>
      <w:r w:rsidRPr="00A6019F">
        <w:lastRenderedPageBreak/>
        <w:t xml:space="preserve">610448       Vasculopathy, retinal, with cerebral leukoencephalopathy and systemic manifestations 192315       Susceptibility to SLE 152700  TMEM173 STING LOF Cytoplasmic cGAMP and excess DNA STING-associated vasculopathy, infantile-onset 615934 Yes CGAS cGAS–Cytoplasmic Cytosolic DNA N/A (GOF)–No SAMHD1 SAMHD1 LOF Cytoplasmic dNTPs Chilblain lupus? 614415 Yes      AGS 5 612952  RNASEH2A RNASEH2A LOF Cytoplasmic RNA in RNA-DNA hybrids AGS 4 610333 Yes RNASEH2B RNASEH2B LOF Cytoplasmic RNA in RNA-DNA hybrids AGS 2 610181 Yes RNASEH2C RNASEH2C LOF Cytoplasmic RNA in RNA-DNA hybrids AGS 3 610329 Yes IFIH1 MDA5 GOF Cytoplasmic Long dsRNA AGS 7 615846 Yes Singleton-Merten syndrome 1 182250 RIGI DDX58 GOF Cytoplasmic Short dsRNA Singleton-Merten syndrome 2 616298 No MAVS MAVS–Cytoplasmic–N/A (GOF)–No AIM2 AIM2–Cytoplasmic Cytosolic dsDNA N/A–No IFI16 IFI16–Nuclear Viral DNA or damaged self-DNA N/A (GOF)–No Note: See the online catalogue of human genes and genetic disorders (OMIM) at https://omim.org. Abbreviations: GOF, gain of function; LOF, loss of function; N/A, not applicable; SLE, systemic lupus erythematosus. Source: Reproduced with permission from CG Vinuesa CG et al: Innate virus-sensing pathways in B cell systemic autoimmunity. Science 380:478, 2023. intracellular proteins that scan host cell cytoplasm for intracellular pathogens (Tables 360-2 and 360-3). The intracellular microbial sensors, NLRs, after triggering, form large cytoplasmic complexes termed inflammasomes, which are aggre gates of molecules including NOD-like receptor pyrin (NLRP) proteins (Table 360-5). Inflammasomes activate inflammatory caspases and IL-1β in the presence of nonbacterial danger signals (cell stress) and bacterial PAMPs. Mutations in inflammasome proteins can lead to chronic inflammation in a group of periodic febrile diseases called autoinflammatory syndromes. Polymorphisms in inflammasome com ponents can either protect or enhance risk of infections or autoimmune/ autoinflammatory diseases (Table 60-4). Inflammasomes are activated upon sensing of PAMPs. Crystallopathies are diseases caused by tissue crystal deposition such as monosodium urate that can activate the inflammasome and, in the case of urate deposition, can lead to gout with arthritis or renal disease. </w:t>
      </w:r>
      <w:r w:rsidRPr="00A6019F">
        <w:rPr>
          <w:rFonts w:ascii="Arial" w:hAnsi="Arial" w:cs="Arial"/>
        </w:rPr>
        <w:t>■</w:t>
      </w:r>
      <w:r w:rsidRPr="00A6019F">
        <w:t xml:space="preserve">EFFECTOR CELLS OF INNATE IMMUNITY Cells of the innate immune system and their roles in the first line of host defense are listed in Table 360-6. Equally important as their roles in the mediation of innate immune responses are the roles that each cell type plays in recruiting T and B lymphocytes of the adaptive immune system to engage in specific pathogen responses. Monocytes-Macrophages Monocytes arise from precursor cells within bone marrow (Fig. 360-2) and circulate with a half-life ranging from 1 to 3 days. Monocytes leave the peripheral circulation via capil laries and migration into a vast extravascular cellular pool. Tissue macrophages arise from monocytes that have migrated out of the circulation and by in situ proliferation of macrophage precursors in tis sue. Common locations where tissue macrophages (and certain of their specialized forms) are found are lymph node, spleen, bone marrow, perivascular connective tissue, serous cavities such as the peritoneum, pleura, skin connective tissue, lung (alveolar macrophages), </w:t>
      </w:r>
      <w:r w:rsidRPr="00A6019F">
        <w:lastRenderedPageBreak/>
        <w:t xml:space="preserve">liver (Kupffer cells), bone (osteoclasts), central nervous system (microglia cells), and synovium (type A lining cells). In general, monocytes-macrophages are on the first line of defense associated with innate immunity and ingest and destroy microorgan isms through the release of toxic products such as hydrogen peroxide (H2 O2 ) and nitric oxide (NO). Inflammatory mediators produced by macrophages attract additional effector cells such as neutrophils to the site of infection. Macrophage mediators include prostaglandins; leukotrienes; platelet activating factor; cytokines such as IL-1, TNF-α, IL-6, and IL-12; and chemokines (Tables 360-7 and 360-8). Although monocytes-macrophages were originally thought to be the major APCs of the immune system, it is now clear that cell types called dendritic cells are the most potent and effective classical APCs in the body (see below). Monocytes-macrophages mediate innate immune effector functions such as destruction of antibody-coated bac teria, tumor cells, or even normal hematopoietic cells in certain types of autoimmune cytopenias. Monocytes-macrophages ingest bacteria Introduction to the Immune System 2761 CHAPTER 360 (Continued) TABLE 360-5 Mutations in Innate Inflammasome Molecules Associated with Clinical Disease Inherited Inflammasomopathies MUTATED GENE DISEASE INHERITED PATTERN AND EFFECT PHENOTYPE PREDOMINANT EFFECTOR CELLS NLRP1 NLRP1-associated autoinflammation with arthritis and dyskeratosis Autosomal dominant GoF Hyperkeratotic ulcerative skin lesions, fever, arthritis, ANA Keratinocytes NLRP3 Cryopyrin-associated periodic syndromes (CAPS) Autosomal dominant GoF Spectrum from cold-induced urticaria and fever to CNS inflammation and bone overgrowth Monocytes, granulocytes (neutrophils), chondrocytes NLRC4 Autoinflammatory infantile fever with enterocolitis (AIFEC) Autosomal dominant GoF Recurrent MAS, enterocolitis, cold-induced fever and urticaria, CNS inflammation Monocytes/macrophages MEFV Familial Mediterranean fever (FMF) Autosomal recessive LoF or gene-dosage-dependent autosomal dominant GoF Fever, serositis, rash, SAA amyloidosis Neutrophils, monocytes, serosal and synovial fibroblasts Genetic Polymorphisms in Inflammasome Components and Human Infectious Diseases INFECTIOUS AGENT/DISEASE GENE VARIANT ID EFFECT ON INFLAMMASOME ACTIVATION ASSOCIATION Candida albicans (recurrent vulvovaginal candidiasis) NLRP3 rs74163773 Increased Risk Chlamydia trachomatis NLRP3 rs12065526 Unknown Risk HCV NLRP3 rs1539019; rs35829419 Unknown; increased Protection HIV-1 NLRP3 rs10754558 Increased Protection  IFI16 rs1417806 Increased Protection HPV NLRP1 rs11651270 Increased Protection  NLRP3 rs10754558 Increased Protection HSV-2 IFI16 rs2276404 Increased Protection HTLV NLRP3 rs10754558 Increased Protection Microbial infection in lungs NLRC4 rs212704 Decreased Risk Mycobacterium leprae NLRP1 rs2670660, rs12150220 Increased Protection   rs2137722 (Haplotype)  Mycobacterium tuberculosis NLRP3 rs10754558 Increased Protection   rs10754558 Increased Risk  CARD8 rs6509365 Unknown Risk  NLRC4 rs385076 Decreased Protection Plasmodium vivax NLRP1 rs12150220 Increased Risk Renal parenchymal infections NLRP3 rs4612666 Increased Protection Streptococcus </w:t>
      </w:r>
      <w:r w:rsidRPr="00A6019F">
        <w:lastRenderedPageBreak/>
        <w:t xml:space="preserve">pneumoniae NLRP1 rs11651270 Increased Risk  CARD8 rs2043211 Increased  Trypanosoma cruzi NLRP1 rs11691270 Increased Risk  CASP1 rs501192 Unknown Risk Genetic Polymorphisms in Inflammasome Components and Autoimmune in Polygenic Autoinflammatory Diseases Addison disease NLRP1 rs12150220 Increased Risk Ankylosing spondylitis NLRP3 rs4612666 Increased Risk  MEFV rs224204 Unknown Risk  CARD8 rs2043211 Increased Protection Autoimmune thyroiditis NLRP1 rs12150220, rs2670660 Increased Risk  AIM2 rs855873 Unknown Risk Behçet disease AIM2 rs855873 Unknown Risk  IFI16 rs6940 Decreased  Celiac disease NLRP3 rs35829419 Increased Protection; risk IBD: Crohn’s disease (CD) and ulcerative colitis (UC) NLRP3 rs35829419 Increased Risk (men)   Increased Protection   rs10754558 Increased Risk   rs10925019 Unknown Risk   rs4925648 Unknown Risk   rs4353135, rs55646866; rs4266924, rs6672995, rs10733113 Decreased; unknown Risk 2762 PART 11 Immune-Mediated, Inflammatory, and Rheumatologic Disorders IBD: Crohn’s disease (CD) and ulcerative colitis (UC) (Cont.) MEFV rs182674, rs224217, rs224225, rs224224, rs224223, rs224222 Unknown Risk  CARD8 rs2043211 Increased Risk     Protection   rs1972619 Unknown Risk HS purpura MEFV rs3743930 Unknown Risk Kawasaki disease NLRP1 rs11651270, rs8079034, rs3744717, rs11078571, rs16954813, rs8079727 Increased (haplotype) Risk Multiple sclerosis NLRP3 rs3806265, rs10754557 Unknown Risk   rs35829419 Increased Risk  NLRC4 rs479333 Decreased Protection PFAPA CARD8 rs140826611 Unknown Risk Psoriasis NLRP1 rs8079034 Unknown Risk  NLRP3 rs3806265, rs10754557 Unknown Risk   rs10733113 Unknown Risk  CARD8 rs2043211 Increased Risk  AIM2 rs2276405 Unknown Protection Psoriatic JIA NLRP3 rs4353135 Decreased Risk   rs3806265 Unknown Risk  MEFV rs224204 Unknown Risk Rheumatoid arthritis NLRP1 rs878329 Unknown Risk  NLRP3 rs35829419 Increased Risk   rs10754558 Increased Risk   rs10159239, rs4925648, rs4925659 Unknown Risk  CASP5 rs9651713 Unknown Risk SLE NLRP1 rs12150220, rs2670660 Increased Risk Systemic sclerosis NLRP1 rs8182352 Unknown Risk Type 1 diabetes NLRP1 rs12150220 Increased Risk   rs2670660, rs11651270 Increased Protection  NLRP3 rs10754558 Increased Protection Vitiligo NLRP1 rs12150220 Increased Risk   rs2670660 Increased Risk   rs8182352 Unknown Risk   rs6502867 Unknown Risk   rs1008588 Unknown Risk Note: Mutated gene and respective syndrome name are reported for inflammasomopathies, as well as inheritance pattern and effect of mutations, clinical phenotype, and predominant disease effector cells. Inflammasome variants previously associated with infectious agents and/or diseases are briefly resumed from literature (https://www .ncbi.nlm.nih.gov/pubmed). Significantly associated polymorphisms were grouped according to the infectious agent/disease. Infectious agent or disease (in alphabetical order), gene name (gene), identification number of polymorphism (ID), resulting effect on inflammasome activation (“increased,” “decreased,” or “unknown”), cohort origin (cohort) and eventually specifications (severity, etc.), sample size (n), and type (case/control or cases only), association result (“risk” or “protection”), and </w:t>
      </w:r>
      <w:r w:rsidRPr="00A6019F">
        <w:lastRenderedPageBreak/>
        <w:t>respective reference are reported. Abbreviations: ANA, antinuclear antibodies; CNS, central nervous system; GoF, gain-of-function; HCV, hepatitis C virus; HIV, human immunodeficiency virus; HPV, human papillomavirus; HS, Henoch-Schönlein; HSV, herpes simplex virus; HTLV, human T-lymphotropic virus; IBD, inflammatory bowel disease; JIA, juvenile idiopathic arthritis; LoF, loss-of-function; MAS, macrophage activation syndrome; PFAPA, periodic fever with aphthous stomatitis, pharyngitis, and cervical adenitis; SAA, serum amyloid A; SLE, systemic lupus erythematosus. Source: Reproduced with permission from FP Fernandes et al: Inflammasome genetics and complex diseases: A comprehensive review. Eur J Hum Genet 28:1307, 2020. TABLE 360-5 Mutations in Innate Inflammasome Molecules Associated with Clinical Disease INFECTIOUS AGENT/DISEASE GENE VARIANT ID EFFECT ON INFLAMMASOME ACTIVATION ASSOCIATION or are infected by viruses, and in doing so, they frequently undergo programmed cell death or apoptosis. Macrophages that are infected by intracellular infectious agents are recognized by DCs as infected and apoptotic cells and are phagocytosed by DCs. In this manner, DCs “cross-present” infectious agent antigens of macrophages to T cells. Activated macrophages can also mediate antigen-nonspecific lytic activity and eliminate cell types such as tumor cells in the absence of antibody. This activity is largely mediated by cytokines (i.e., TNF-α and IL-1). Monocytes-macrophages express lineage-specific molecules (e.g., the cell-surface LPS receptor, CD14) as well as surface receptors for a number of molecules, including the Fc region of IgG, activated complement components, and various cytokines (Table 360-7). Dendritic Cells Human DCs contain several subsets, including myeloid DCs and plasmacytoid DCs. Myeloid DCs can differentiate into either macrophages-monocytes or tissue-specific DCs. In contrast to myeloid DCs, plasmacytoid DCs are potent producers of TLR-7 dependent type I IFN (e.g., IFN-α) in response to free virus and virus infected cells. The maturation of DCs is regulated through cell-to-cell contact and soluble factors, and DCs attract immune effectors through secretion of chemokines. When DCs come in contact with bacterial products, viral proteins, or host proteins released as danger signals from distressed host cells (Fig. 360-2), infectious agent molecules bind to various TLRs and activate DCs to release cytokines and chemokines that drive cells of the innate immune system to become activated to (Continued) Introduction to the Immune System 2763 CHAPTER 360 TABLE 360-6 Cells of the Innate Immune System and Their Major Roles in Triggering Adaptive Immunity CELL TYPE MAJOR ROLE IN INNATE IMMUNITY MAJOR ROLE IN ADAPTIVE IMMUNITY Macrophages Phagocytose and kill bacteria; produce antimicrobial peptides; bind LPS; produce inflammatory cytokines Produce IL-1 and TNF-α to upregulate lymphocyte adhesion molecules and chemokines to attract antigen-specific lymphocyte. Produce IL-12 to recruit TH 1 T helper cell responses; upregulate co-stimulatory and MHC molecules to facilitate T and B lymphocyte recognition and activation. Macrophages and dendritic cells, after LPS signaling, upregulate co-stimulatory molecules B7-1 (CD80) and B7-2 (CD86) that are required for activation of pathogen-specific T cells. There are also Toll-</w:t>
      </w:r>
      <w:r w:rsidRPr="00A6019F">
        <w:lastRenderedPageBreak/>
        <w:t xml:space="preserve">like proteins on B cells and dendritic cells that, after LPS ligation, induce CD80 and CD86 on these cells for T-cell antigen presentation. Plasmacytoid dendritic cells (DCs) of lymphoid lineage Produce large amounts of interferon-α (IFN-α), which has antitumor and antiviral activity, and are found in T-cell zones of lymphoid organs; they circulate in blood IFN-α is a potent activator of macrophage and mature DCs to phagocytose invading pathogens and present pathogen antigens to T and B cells. Myeloid DCs are of two types: interstitial and Langerhans-derived Interstitial DCs are strong producers of IL-12 and IL-10 and are located in T-cell zones of lymphoid organs, circulate in blood, and are present in the interstices of the lung, heart, and kidney; Langerhans DCs are strong producers of IL-12; are located in T-cell zones of lymph nodes, skin epithelia, and the thymic medulla; and circulate in blood Interstitial DCs are potent activators of macrophage and mature DCs to phagocytose invading pathogens and present pathogen antigens to T and B cells. ILC1 cells Weakly cytotoxic, dependent on T-bet transcription factor, first line of defense against viruses and bacteria Produce IFN-γ to recruit CD4 TH 1 T cells ILC2 cells Mediate innate responses to parasites/helminths, repair damaged tissues by producing amphiregulin Produce IL-4, IL-5, IL-13; recruit CD4 TH 2 T cells ILC3 cells Innate immune response to extracellular bacteria and gut microbiome Produce IL-22, IL-17, GM-CSF, lymphotoxin; recruit CD4 TH 17 T cells Lymphoid tissue inducer (LTi) cells Critical for formation of secondary lymphoid tissue during embryogenesis Produce lymphotoxin for lymph node and Peyer’s patch development in which adaptive immune responses occur Natural killer (NK) cells Kill foreign and host cells that have low levels of MHC+ self peptides. Express NK receptors that inhibit NK function in the presence of high expression of self-MHC. Produce TNF-α and IFN-γ, which recruit TH 1 helper T-cell responses NK-T cells Lymphocytes with both T-cell and NK surface markers that recognize lipid antigens of intracellular bacteria such as Mycobacterium tuberculosis by CD1 molecules and kill host cells infected with intracellular bacteria Produce IL-4 to recruit TH 2 helper T-cell responses, IgG1 and IgE production Neutrophils Phagocytose and kill bacteria, produce antimicrobial peptides Produce nitric oxide synthase and nitric oxide, which inhibit apoptosis in lymphocytes and can prolong adaptive immune responses Eosinophils Kill invading parasites Produce IL-5, which recruits Ig-specific antibody responses Mast cells and basophils Release TNF-α, IL-6, and IFN-γ in response to a variety of bacterial PAMPs Produce IL-4, which recruits TH 2 helper T cell responses, and recruit IgG1- and IgE-specific antibody responses Epithelial cells Produce antimicrobial peptides; tissue-specific epithelia produce mediator of local innate immunity; e.g., lung epithelial cells produce surfactant proteins (proteins within the collectin family) that bind and promote clearance of lung-invading microbes Produces TGF-β, which triggers IgA-specific antibody responses Abbreviations: GM-CSF, granulocyte-macrophage colony-stimulating factor; IL-4, IL-5, IL-6, IL-10, and IL-12, interleukin 4, 5, 6, 10, and 12, respectively; ILC, innate lymphoid cell; MHC, major histocompatibility complex: LPS, lipopolysaccharide; PAMP, pathogen-associated molecular patterns; TGF, transforming growth factor; TH , helper T </w:t>
      </w:r>
      <w:r w:rsidRPr="00A6019F">
        <w:lastRenderedPageBreak/>
        <w:t xml:space="preserve">cell; TNF-α, tumor necrosis factor-alpha. Source: Reproduced with permission from R Medzhitov, CA Janeway: Curr Opinion Immunol 9:4-9; 1997. respond to invading organisms, and recruit T and B cells of the adap tive immune system to respond. Plasmacytoid DCs produce antiviral IFN-α that activates NK cell killing of pathogen-infected cells; IFN-α also activates CD8 T cells to mature into antipathogen cytotoxic (killer) T cells. Following contact with pathogens, both plasmacytoid and myeloid DCs produce chemokines that attract helper and cytotoxic T cells, B cells, polymorphonuclear cells, and naïve and memory T cells as well as regulatory T cells to ultimately dampen the immune response once the pathogen is controlled. TLR engagement on DCs upregulates MHC class II, B7-1 (CD80), and B7-2 (CD86), which enhance DC specific antigen presentation and induce cytokine production. Thus, DCs are important bridges between early (innate) and later (adaptive) immunity. DCs also modulate and determine the types of immune responses induced by pathogens via the TLRs expressed on DCs (TLR7–9 in plasmacytoid DCs, TLR4 on monocytoid DCs) and via the TLR adapter proteins that are induced to associate with TLRs (Fig. 360-1, Table 360-1). In addition, other PRRs, such as C-type lectins, NLRs, and mannose receptors, upon ligation by pathogen products, activate cells of the adaptive immune system and, like TLR stimulation, by a variety of factors, determine the type and quality of the adaptive immune response that is triggered. Innate Lymphoid Cells ILCs are comprised of ILC1, ILC2, ILC3, lymphoid tissue inducer (LTi), and NK cells. ILC1, ILC2, ILC3, and LTi are primarily tissue resident cells. ILCs develop from a common lymphoid precursor in the bone marrow and then differentiate into one of five ILC types—ILC1, ILC2, ILC3, LTi, or NK cells—based on their development (Fig. 360-3A) and function (Fig. 360-3B). NK cells and ILC1s depend on T-bet transcription factor for their development and function and produce IFN-γ. NK cells are innate analogues to CD8 cytotoxic T cells in that they both mediate granzyme and perforin based cytotoxic cell activity. ILC1s mirror CD4 TH 1 lymphocytes and react to intracellular pathogens such as viruses and to tumors. ILC2s are the analogues of TH 2 CD4 T cells and are dependent on GATA3 and RORα factors and produce type 2 cytokines, such as IL-5 and IL-13. ILC2s respond to extracellular parasites and allergens. ILC3s and LTi cells are dependent on transcription factor retinoic acid receptor-related orphan receptor γt (RORγt) and produce IL-17. ILC3s are analogues of CD4 TH 17 lymphocytes and attack extracellular pathogens such as bacte ria and fungi. LTi cells are critical for the formation of lymph nodes and Peyer’s patches in gut during fetal development (Fig. 360-3B). In the intestine, a critical function of the immune system is not only to quickly respond to pathogens but also to ignore benign 2764 PART 11 Immune-Mediated, Inflammatory, and Rheumatologic Disorders Stem cell Lymphoid precursor Neutrophilic, eosinophilic, or basophilic granulocyte IFN-α antigen presentation Monocyte/ macrophage IL-1, IL-6 phagocytosis of microbes Dendritic cell IL-12 antigen presentation Bcl6 Tbet T cell Plasmacytoid dendritic cell IFN-α antigen presenting CD4+ T cell Differentiation/ activation CD8+ cytotoxic T cell Kill pathogen infected cells Kill tumor cells Natural killer cell Antibody dependent cellular </w:t>
      </w:r>
      <w:r w:rsidRPr="00A6019F">
        <w:lastRenderedPageBreak/>
        <w:t xml:space="preserve">cytotoxicity tumor cell killing B cell Antibodies antigen presentation GATA3 GATA3 RORγt PU 1 Fox3p TFH13 cell T follicular helper cell (TFH) IL-21 TH1 cell TH2 cell IL-13 I FN-γ IgE allergic reaction Cytotoxic T-cell responses B-cell affinity maturation in germinal centers IL-4 IL-5 IL-13 Antibody responses; stimulate eosinophils TH17 cell IL-17 IL-22 TH9 cell IL-9 Linked to autoimmune disease mediation T regulatory cell IL-10 TGF-β T-cell function downregulation; prevent autoimmune disease FIGURE 360-2 Model of immune effector cell development. Hematopoietic stem cells differentiate into T cells, antigen-presenting dendritic cells, natural killer cells, macrophages, granulocytes, or B cells. Foreign antigen is processed by dendritic cells, macrophages, and B cells, and peptide fragments of foreign antigen are presented to CD4+ and/or CD8+ T cells. CD8+ T-cell activation leads to induction of cytotoxic T lymphocyte (CTL) or killer T-cell generation, as well as induction of cytokine-producing CD8+ cytotoxic T cells. Granulocytes (neutrophils, eosinophils, or basophils) are effector cells of the innate immune system and mediate anti-infectious agent activity by cytokine production, infectious agent killing, or both. TH 1 CD4+ T cells play an important role in defense against intracellular microbes and help in the generation of CD8+ cytotoxic T cells. TH 2 CD4+ T cells producing interferon (IFN) γ or interleukin (IL) 4, IL-5, or IL-13 regulate Ig class switching and determine the type of antibody produced. TH 17 cells secrete IL-17 and IL-22, TH 9 cells secrete IL-9, and TFH13 cells secrete IL-4, IL-5, and IL-13. TH 17 and TH 9 CD4 T cells are linked to mediation of autoimmune disease, and TFH13 cells are linked to IgE-mediated anaphylaxis. CD4+ T regulatory cells produce IL-10 and transforming growth factor (TGF)-β and downregulate T- and B-cell responses once the microbe has been eliminated. Each of the types of CD4+ T cells are regulated by different transcription factors, and the key transcription factors are shown in the circles above each CD4+ T-cell type. Introduction to the Immune System 2765 CHAPTER 360 TABLE 360-7 Cytokines and Cytokine Receptors CYTOKINE RECEPTOR CELL SOURCE CELL TARGET BIOLOGIC ACTIVITY IL-1α, β Type I IL-1r, type II IL-1r Monocytes/macrophages, B cells, fibroblasts, most epithelial cells including thymic epithelium, endothelial cells All cells Upregulates adhesion molecule expression, neutrophil and macrophage emigration, mimics shock, fever, upregulates hepatic acute-phase protein production, facilitates hematopoiesis IL-2 IL-2r α, β, common γ T cells T cells, B cells, NK cells, monocytes-macrophages Promotes T-cell activation and proliferation, B-cell growth, NK-cell proliferation and activation, enhanced monocyte/macrophage cytolytic activity IL-3 IL-3r, common β T cells, NK cells, mast cells Monocytes-macrophages, mast cells, eosinophils, bone marrow progenitors Stimulates hematopoietic progenitors IL-4 IL-4r α, common γ T cells, mast cells, basophils T cells, B cells, NK cells, monocytes-macrophages, neutrophils, eosinophils, endothelial cells, fibroblasts Stimulates TH 2 helper T-cell differentiation and proliferation; stimulates B-cell Ig class switch to IgG1 and IgE anti-inflammatory action on T cells, monocytes; produced by T follicular helper cells in B-cell germinal centers that stimulate B-cell maturation IL-5 IL-5r α, common γ T cells, mast cells, eosinophils </w:t>
      </w:r>
      <w:r w:rsidRPr="00A6019F">
        <w:lastRenderedPageBreak/>
        <w:t>Eosinophils, basophils, murine B cells Regulates eosinophil migration and activation IL-6 IL-6r, gp130 Monocytes-macrophages, B cells, fibroblasts, most epithelium including thymic epithelium, endothelial cells T cells, B cells, epithelial cells, hepatocytes, monocytes-macrophages Induces acute-phase protein production, T- and B-cell differentiation and growth, myeloma cell growth, and osteoclast growth and activation IL-7 IL-7r α, common γ Bone marrow, thymic epithelial cells T cells, B cells, bone marrow cells Differentiates B-, T-, and NK-cell precursors, activates T and NK cells IL-8 CXCR1, CXCR2 Monocytes-macrophages, T cells, neutrophils, fibroblasts, endothelial cells, epithelial cells Neutrophils, T cells, monocytes-macrophages, endothelial cells, basophils Induces neutrophil, monocyte, and T-cell migration, induces neutrophil adherence to endothelial cells and histamine release from basophils, and stimulates angiogenesis; suppresses proliferation of hepatic precursors IL-9 IL-9r α, common γ T cells Bone marrow progenitors, B cells, T cells, mast cells Induces mast cell proliferation and function, synergizes with IL-4 in IgG and IgE production and T-cell growth, activation, and differentiation IL-10 IL-10r Monocytes-macrophages, T cells, B cells, keratinocytes, mast cells Monocytes-macrophages, T cells, B cells, NK cells, mast cells Inhibits macrophage proinflammatory cytokine production, downregulates cytokine class II antigen and B7-1 and B7-2 expression, inhibits differentiation of TH 1 helper T cells, inhibits NK cell function, stimulates mast cell proliferation and function, B-cell activation, and differentiation IL-11 IL-11r α, gp130 Bone marrow stromal cells Megakaryocytes, B cells, hepatocytes Induces megakaryocyte colony formation and maturation, enhances antibody responses, stimulates acute-phase protein production IL-12 (35-kDa and 40-kDa subunits) IL-12r Activated macrophages, dendritic cells, neutrophils T cells, NK cells Induces TH 1 T helper cell formation and lymphokine activated killer cell formation; increases CD8+ CTL cytolytic activity; ↓IL-17, ↑IFN-γ IL-13 IL-13r/IL-4r α T cells (TH 2) Monocytes-macrophages, B cells, endothelial cells, keratinocytes Upregulates VCAM-1 and C-C chemokine expression on endothelial cells and B-cell activation and differentiation, and inhibits macrophage proinflammatory cytokine production IL-14 Unknown T cells Normal and malignant B cells Induces B-cell proliferation, inhibits antibody secretion, and expands selected B-cell subgroups IL-15 IL-15r α, common γ, IL2r β Monocytes-macrophages, epithelial cells, fibroblasts T cells, NK cells Promotes T-cell activation and proliferation, angiogenesis, and NK cells IL-16 CD4 Mast cells, eosinophils, CD8+ T cells, respiratory epithelium CD4+ T cells, monocytes- macrophages, eosinophils Promotes chemoattraction of CD4+ T cells, monocytes, and eosinophils; inhibits HIV-1 replication; inhibits T-cell activation through CD3/T-cell receptor IL-17 IL-17r CD4+ T cells Fibroblasts, endothelium, epithelium, macrophages Enhances cytokine/chemokine secretion; promotes delayed-type reactions IL-18 IL-18r (IL-1R related protein) Keratinocytes, macrophages T cells, B cells, NK cells Upregulates IFN-γ production, enhances NK cell cytotoxicity IL-21 IL-δγ chain/IL-21R CD4 T cells NK cells Downregulates NK cell–activating molecules, NKG2D/ DAP10; produced by T follicular helper cells in B-cell germinal centers that stimulate B-</w:t>
      </w:r>
      <w:r w:rsidRPr="00A6019F">
        <w:lastRenderedPageBreak/>
        <w:t xml:space="preserve">cell maturation IL-22 IL-22 R1/IL-10R2 DC, T cells Epithelial cells Innate responses against bacterial pathogens; promotes hepatocyte survival IL-23 IL-12Rb1/IL23R Macrophages, other cell types T cells Opposite effects of IL-12 (↑IL-17, ↑IFN-γ) IL-24 IL-20R1/IL-20R2 IL-22R1/IL-20R2 Macrophages, TH 2 cells Nonhematopoietic cells such as fibroblasts Promotes wound healing (Continued) 2766 PART 11 Immune-Mediated, Inflammatory, and Rheumatologic Disorders TABLE 360-7 Cytokines and Cytokine Receptors CYTOKINE RECEPTOR CELL SOURCE CELL TARGET BIOLOGIC ACTIVITY IL-25 (also called IL-17E) IL-17RB CD4 T cells, mast cells Fibroblasts, endothelium, epithelium, macrophages Proinflammatory; induces cytokine production IL-26 IL-20R1/IL-10R2 TH 1, TH 17 T cells, synovial cells Epithelial cells Proinflammatory; induces cytokine production IL-27 gp130t wsx-1 Myeloid cells such as macrophages and DCs T cells Collaborates with other cytokines to activate T-cell differentiation IL-28A (IFN-λ2) IFN-λ receptor 1, IL-28Rα, IL-10Rβ Myeloid lineage cells; epithelial cells Epithelial cells Enhanced clearance of viral infections IL-28B (IFN-λ3) IFN-λ receptor 1, IL-28Rα, IL-10Rβ Myeloid lineage cells; epithelial cells Epithelial cells Enhanced clearance of viral infections IL-29 (IFN-λ1) IFN-λ receptor 1, IL-28Rα, IL-10Rβ Myeloid lineage cells; epithelial cells Epithelial cells Enhanced clearance of viral infections IL-30 (p28 of IL-27) IL-27Rα; gp130+wsx-1 Activated macrophages and DCs; epithelial malignancies Monocytes Anti-inflammatory cytokines; upregulation of breast and prostate cancer metastasis IL-31 IL-31RA/ oncostatin MRβ Eosinophils, CD4 T cells Epithelial cells, monocytes Pruritis, proinflammatory IL-32 (NK4) ? Monocytes, T cells, NK cells, epithelial cells Monocytes, macrophages, bone marrow stroma Angiogenesis, IL-2 production in bone marrow, proinflammatory IL-33 (NF-HEV; IL-1 F11) ST-2 Endothelial cells, epithelial cells, fibroblasts, mucosal epithelium T cells, mast cells eosinophils, basophils, ILC2s Alarmin cytokine, proinflammatory IL-34 (C16of77) CSF-1R, PTP-E, CD138 Neurons, Treg, myeloid cells Anti-inflammatory myeloid cell proliferation IL-35 IL-12Rβ2/ IL-12Rβ2, gp130/ gp130, IL-12Rb2/ gp130 Tregs, Bregs Macrophages, T cells Prevents TH 1 and TH 17 proliferation; induced Treg/Breg proliferation/anti-inflammatory IL-36α IL36β IL36γ IL36RA (IL-1 F5) IL-36R Keratocytes Mucosal epithelial cells Monocytes-macrophages Langerhans cells CD4 T cells Epithelial cells, macrophages, DCs, T cells, B cells, plasma cells TH responses, proinflammatory IL-38 IL-10 F10 IL-1R, IL-36R, IL-1RA PL1 Epithelial cells, B cells Epithelial cells, macrophages, DCs, T cells, B cells, plasma cells Blocks IL-36; anti-inflammatory IL-39 ? Macrophages, DCs, B cells Neutrophils Proinflammatory IL-40 ? B cells, bone marrow/stroma B cells Involved in IgA production, B-cell homeostasis and development IFN-α Type I interferon receptor All cells All cells Promotes antiviral activity; stimulates T-cell, macrophage, and NK-cell activity; direct antitumor effects; upregulates MHC class I antigen expression; used therapeutically in viral and autoimmune conditions IFN-β Type I interferon receptor All cells All cells Antiviral activity; stimulates T-cell, macrophage, and NK-cell activity; direct antitumor effects; upregulates MHC class I antigen expression; used therapeutically in viral and </w:t>
      </w:r>
      <w:r w:rsidRPr="00A6019F">
        <w:lastRenderedPageBreak/>
        <w:t xml:space="preserve">autoimmune conditions IFN-γ Type II interferon receptor T cells, NK cells All cells Regulates macrophage and NK-cell activations; stimulates immunoglobulin secretion by B cells; induction of class II histocompatibility antigens; TH 1 T-cell differentiation TNF-α TNFrI, TNFrII Monocytes-macrophages, mast cells, basophils, eosinophils, NK cells, B cells, T cells, keratinocytes, fibroblasts, thymic epithelial cells All cells except erythrocytes Fever, anorexia, shock, capillary leak syndrome, enhanced leukocyte cytotoxicity, enhanced NK-cell function, acute phase protein synthesis, proinflammatory cytokine induction TNF-β TNFrI, TNFrII T cells, B cells All cells except erythrocytes Cell cytotoxicity, lymph node and spleen development LT-β LTβR T cells All cells except erythrocytes Cell cytotoxicity, normal lymph node development G-CSF G-CSFr; gp130 Monocytes-macrophages, fibroblasts, endothelial cells, thymic epithelial cells, stromal cells Myeloid cells, endothelial cells Regulates myelopoiesis; enhances survival and function of neutrophils; clinical use in reversing neutropenia after cytotoxic chemotherapy GM-CSF GM-CSFr, common β T cells, monocytes-macrophages, fibroblasts, endothelial cells, thymic epithelial cells Monocytes-macrophages, neutrophils, eosinophils, fibroblasts, endothelial cells Regulates myelopoiesis; enhances macrophage bactericidal and tumoricidal activity; mediator of dendritic cell maturation and function; upregulates NK-cell function; clinical use in reversing neutropenia after cytotoxic chemotherapy (Continued) (Continued) Introduction to the Immune System 2767 CHAPTER 360 TABLE 360-7 Cytokines and Cytokine Receptors CYTOKINE RECEPTOR CELL SOURCE CELL TARGET BIOLOGIC ACTIVITY M-CSF M-CSFr (c-fms protooncogene) Fibroblasts, endothelial cells, monocytes-macrophages, T cells, B cells, epithelial cells including thymic epithelium Monocytes-macrophages Regulates monocyte-macrophage production and function LIF LIFr-α; gp130 Activated T cells, bone marrow stromal cells, thymic epithelium Megakaryocytes, monocytes, hepatocytes, possibly lymphocyte subpopulations Induces hepatic acute-phase protein production; stimulates macrophage differentiation; promotes growth of myeloma cells and hematopoietic progenitors; stimulates thrombopoiesis OSM OSMr; LIFr; gp130 Activated monocytes macrophages and T cells, bone marrow stromal cells, some breast carcinoma cell lines, myeloma cells Neurons, hepatocytes, monocytes-macrophages, adipocytes, alveolar epithelial cells, embryonic stem cells, melanocytes, endothelial cells, fibroblasts, myeloma cells Induces hepatic acute-phase protein production; stimulates macrophage differentiation; promotes growth of myeloma cells and hematopoietic progenitors; stimulates thrombopoiesis; stimulates growth of Kaposi’s sarcoma cells SCF SCFr (c-kit protooncogene) Bone marrow stromal cells and fibroblasts Embryonic stem cells, myeloid and lymphoid precursors, mast cells Stimulates hematopoietic progenitor cell growth, mast cell growth; promotes embryonic stem cell migration TGF-β (3 isoforms) Type I, II, III TGF-β receptor Most cell types Most cell types Downregulates T-cell, macrophage, and granulocyte responses; stimulates synthesis of matrix proteins; stimulates angiogenesis Lymphotactin/ SCM-1 XCR1 NK cells, mast cells, double negative thymocytes, activated CD8+ T cells T cells, </w:t>
      </w:r>
      <w:r w:rsidRPr="00A6019F">
        <w:lastRenderedPageBreak/>
        <w:t xml:space="preserve">NK cells Chemoattractant for lymphocytes; only known chemokine of C class MCP-1 CCR2 Fibroblasts, smooth-muscle cells, activated PBMCs Monocytes-macrophages, NK cells, memory T cells, basophils Chemoattractant for monocytes, activated memory T cells, and NK cells; induces granule release from CD8+ T cells and NK cells; potent histamine-releasing factor for basophils; suppresses proliferation of hematopoietic precursors; regulates monocyte protease production MCP-2 CCR1, CCR2 Fibroblasts, activated PBMCs Monocytes-macrophages, T cells, eosinophils, basophils, NK cells Chemoattractant for monocytes, memory and naïve T cells, eosinophils,? NK cells; activates basophils and eosinophils; regulates monocyte protease production MCP-3 CCR1, CCR2 Fibroblasts, activated PBMCs Monocytes-macrophages, T cells, eosinophils, basophils, NK cells, dendritic cells Chemoattractant for monocytes, memory and naïve T cells, dendritic cells, eosinophils,? NK cells; activates basophils and eosinophils; regulates monocyte protease production MCP-4 CCR2, CCR3 Lung, colon, small intestinal epithelial cells, activated endothelial cells Monocytes-macrophages, T cells, eosinophils, basophils Chemoattractant for monocytes, T cells, eosinophils, and basophils Eotaxin CCR3 Pulmonary epithelial cells, heart Eosinophils, basophils Potent chemoattractant for eosinophils and basophils; induces allergic airways disease; acts in concert with IL-5 to activate eosinophils; antibodies to eotaxin inhibit airway inflammation TARC CCR4 Thymus, dendritic cells, activated T cells T cells, NK cells Chemoattractant for T and NK cells MDC CCR4 Monocytes-macrophages, dendritic cells, thymus Activated T cells Chemoattractant for activated T cells; inhibits infection with T-cell tropic HIV-1 MIP-1α CCR1, CCR5 Monocytes-macrophages, T cells Monocytes-macrophages, T cells, dendritic cells, NK cells, eosinophils, basophils Chemoattractant for monocytes, T cells, dendritic cells, and NK cells, and weak chemoattractant for eosinophils and basophils; activates NK-cell function; suppresses proliferation of hematopoietic precursors; necessary for myocarditis associated with coxsackievirus infection; inhibits infection with monocytotropic HIV-1 MIP-1β CCR5 Monocytes-macrophages, T cells Monocytes-macrophages, T cells, NK cells, dendritic cells Chemoattractant for monocytes, T cells, and NK cells; activates NK-cell function; inhibits infection with monocytotropic HIV-1 RANTES CCR1, CCR2, CCR5 Monocytes-macrophages, T cells, fibroblasts, eosinophils Monocytes-macrophages, T cells, NK cells, dendritic cells, eosinophils, basophils Chemoattractant for monocytes-macrophages, CD4+, CD45Ro+ T cells, CD8+ T cells, NK cells, eosinophils, and basophils; induces histamine release from basophils; inhibits infections with monocytotropic HIV-1 LARC/MIP-3α/ Exodus-1 CCR6 Dendritic cells, fetal liver cells, activated T cells T cells, B cells Chemoattractant for lymphocytes ELC/MIP-3β CCR7 Thymus, lymph node, appendix Activated T cells and B cells Chemoattractant for B and T cells; receptor upregulated on EBV-infected B cells and HSV-infected T cells I-309/TCA-3 CCR8 Activated T cells Monocytes-macrophages, T cells Chemoattractant for monocytes; prevents glucocorticoid-induced apoptosis in some T-cell lines SLC/TCA-4/ Exodus-2 CCR7 Thymic epithelial cells, lymph node, </w:t>
      </w:r>
      <w:r w:rsidRPr="00A6019F">
        <w:lastRenderedPageBreak/>
        <w:t xml:space="preserve">appendix, and spleen T cells Chemoattractant for T lymphocytes; inhibits hematopoiesis DC-CK1/PARC Unknown Dendritic cells in secondary lymphoid tissues Naïve T cells May have a role in induction of immune responses (Continued) (Continued) 2768 PART 11 Immune-Mediated, Inflammatory, and Rheumatologic Disorders TABLE 360-7 Cytokines and Cytokine Receptors CYTOKINE RECEPTOR CELL SOURCE CELL TARGET BIOLOGIC ACTIVITY TECK CCR9 Dendritic cells, thymus, liver, small intestine T cells, monocytes macrophages, dendritic cells Thymic dendritic cell–derived cytokine, possibly involved in T-cell development GRO-α/MGSA CXCR2 Activated granulocytes, monocyte macrophages, and epithelial cells Neutrophils, epithelial cells,? endothelial cells Neutrophil chemoattractant and activator; mitogenic for some melanoma cell lines; suppresses proliferation of hematopoietic precursors; angiogenic activity GRO-β/MIP-2α CXCR2 Activated granulocytes and monocyte-macrophages Neutrophils and? endothelial cells Neutrophil chemoattractant and activator; angiogenic activity NAP-2 CXCR2 Platelets Neutrophils, basophils Derived from platelet basic protein; neutrophil chemoattractant and activator IP-10 CXCR3 Monocytes-macrophages, T cells, fibroblasts, endothelial cells, epithelial cells Activated T cells, tumor infiltrating lymphocytes,? endothelial cells,? NK cells IFN-γ-inducible protein that is a chemoattractant for T cells; suppresses proliferation of hematopoietic precursors MIG CXCR3 Monocytes-macrophages, T cells, fibroblasts Activated T cells, tumor infiltrating lymphocytes IFN-γ-inducible protein that is a chemoattractant for T cells; suppresses proliferation of hematopoietic precursors SDF-1 CXCR4 Fibroblasts T cells, dendritic cells,? basophils,? endothelial cells Low-potency, high-efficacy T-cell chemoattractant; required for B lymphocyte development; prevents infection of CD4+, CXCR4+ cells by T-cell tropic HIV-1 Fractalkine CX3CR1 Activated endothelial cells NK cells, T cells, monocytes-macrophages Cell-surface chemokine/mucin hybrid molecule that functions as a chemoattractant, leukocyte activator, and cell adhesion molecule PF-4 Unknown Platelets, megakaryocytes Fibroblasts, endothelial cells Chemoattractant for fibroblasts; suppresses proliferation of hematopoietic precursors; inhibits endothelial cell proliferation and angiogenesis Abbreviations: B7-1, CD80; B7-2, CD86; Breg, regulatory B cells; CCR, CC-type chemokine receptor; CXCR, CXC-type chemokine receptor; DC, dendritic cell; DC-CK, dendritic cell chemokine; EBV, Epstein-Barr virus; ELC, EB11 ligand chemokine (MIP-1b); G-CSF, granulocyte colony-stimulating factor; GM-CSF, granulocyte-macrophage colony-stimulating factor; GRP, growth-related peptide; HSV, herpes simplex virus; IFN, interferon; Ig, immunoglobulin; IL, interleukin; IP-10, IFN-γ-inducible protein-10; LARC, liver- and activation-regulated chemokine; LIF, leukemia inhibitory factor; MCP, monocyte chemotactic protein; M-CSF, macrophage colony-stimulating factor; MDC, macrophage-derived chemokine; MGSA, melanoma growth-stimulating activity; MHC, major histocompatibility complex; MIG, monokine induced by IFN-γ; MIP, macrophage inflammatory protein; NAP, neutrophil-activating protein; NK, natural killer; OSM, oncostatin M; PARC, pulmonary- and activation-regulated chemokine; PBMC, </w:t>
      </w:r>
      <w:r w:rsidRPr="00A6019F">
        <w:lastRenderedPageBreak/>
        <w:t xml:space="preserve">peripheral blood mononuclear cells; PF, platelet factor; RANTES, regulated on activation, normally T cell–expressed and –secreted; SCF, stem cell factor; SDF, stromal cell–derived factor; SLC, secondary lymphoid tissue chemokine; TARC, thymus- and activation-regulated chemokine; TCA, T-cell activation protein; TECK, thymus-expressed chemokine; TGF, transforming growth factor; TH 1 and TH 2, helper T cell subsets; TNF, tumor necrosis factor; Treg, regulatory T cells; VCAM, vascular cell adhesion molecule. Sources: Data from JS Sundy et al: Appendix B, in Inflammation, Basic Principles and Clinical Correlates, 3rd ed. J Gallin, R Snyderman (eds). Philadelphia, Lippincott Williams and Wilkins, 1999; J Ye et al: Frontiers in Pharmacology 11; HM Lazear et al: Immunity 43:15, 2015; J Catalan-Dibene et al: J Interferon and Cytokine Research 38:423, 2018. microorganisms or environmental antigens. Inability to prevent immune responses to the gut microbiome can be a factor in the cause of inflammatory bowel diseases (Chap. 337). In healthy individuals, a subset of RORγt+ ILCs, possibly ILC3s, stimulate naïve CD4 T cells to differentiate into peripheral Tregs that suppress immune responses to microbiome organisms. NK cells express surface receptors for the Fc portion of IgG (FcR) (CD16) and for NCAM-I (CD56), and many NK cells express T lineage markers, particularly CD2, CD7, and CD8, and proliferate in response to IL-2. NK cells arise in both bone marrow and thymic microenviron ments. In addition to mediating cytotoxicity to foreign or malignant cells, NK cells also mediate ADCC. ADCC is the binding of an opso nized (antibody-coated) target cell to an Fc receptor-bearing effector cell via the Fc region of antibody, resulting in target cell lysis. NK cell cytotoxicity is the MHC-unrestricted, non-antibody-mediated killing of target cells, which are usually malignant cell types, transplanted for eign cells, or virus-infected cells. Thus, NK cell cytotoxicity may play an important role in immune surveillance and destruction of malig nant and virus-infected host cells. NK cell hyporesponsiveness is also observed in patients with Chédiak-Higashi syndrome, an autosomal recessive disease associated with fusion of cytoplasmic granules and defective degranulation of neutrophil lysosomes. NK cells have a variety of surface receptors that have inhibitory or activating functions (Table 360-9). NK immunoglobulin superfamily receptors include the killer cell immunoglobulin-like activating or inhibitory receptors (KIRs), many of which have been shown to have HLA class I ligands. The KIRs are made up proteins with either two (KIR2D) or three (KIR3D) extracellular immunoglobulin domains (D). Moreover, their nomenclature designates their function as either inhibitory KIRs with a long (L) cytoplasmic tail and immunoreceptor tyrosine-based inhibitory motif (ITIM) (KIRDL) or activating KIRs with a short (S) cytoplasmic tail (KIRDS). NK cell inactivation by KIRs is a central mechanism to prevent damage to normal host cells. Genetic studies have demonstrated the association of KIRs with viral infection outcome, or to outcomes in autoimmune or malignant diseases (Table 360-10). In addition to the KIRs, a second set of immunoglobulin superfam ily receptors includes the natural cytotoxicity receptors (NCRs), which include NKp46, NKp30, and NKp44. These receptors help to mediate NK cell activation against target cells. The </w:t>
      </w:r>
      <w:r w:rsidRPr="00A6019F">
        <w:lastRenderedPageBreak/>
        <w:t xml:space="preserve">ligands to which NCRs bind on target cells have been recently recognized to be comprised of mol ecules of pathogens such as influenza, cytomegalovirus, and malaria, as well as host molecules expressed on tumor cells. Signaling lym phocytic activating molecule (SLAM) family receptors are expressed on hematopoietic cells, with SLAMF2 (CD48), SLAMF4 (2B4), and SLAMF7/CD2-like receptor activating cytotoxic cells (CRACCs) the most prominent on NK cells (Table 360-9). NK cell signaling is, therefore, a highly coordinated series of inhibit ing and activating signals that prevent NK cells from responding to uninfected, nonmalignant self-cells; however, they are activated to attack malignant and virally infected cells (Fig. 360-4). Recent evidence suggests that NK cells, although not possessing rearranging immune recognition genes, may be able to mediate recall for NK cell responses to viruses and for immune responses such as contact hypersensitivity. Some NK cells express CD3 and invariant TCR-α chains and are termed NK T cells. TCRs of NK T cells recognize lipid molecules of intracellular bacteria when presented in the context of CD1 molecules on APCs. Upon activation, NK T cells secrete effector cytokines such as IL-4 and IFN-γ. This mode of recognition of intracellular bacteria such as Listeria monocytogenes and Mycobacterium tuberculosis by NK T cells leads to induction of activation of DCs and is thought to be an important innate defense mechanism against these organisms. (Continued) Introduction to the Immune System 2769 CHAPTER 360 TABLE 360-8 CC, CXC1 , CX3 , C1 , and XC Families of Chemokines and Chemokine Receptors CHEMOKINE RECEPTOR CHEMOKINE LIGANDS CELL TYPES DISEASE CONNECTION CCR1 CCL3 (MIP-1α), CCL5 (RANTES), CCL7 (MCP-3), CCL14 (HCC1) T cells, monocytes, eosinophils, basophils Rheumatoid arthritis, multiple sclerosis CCR2 CCL2 (MCP-1), CCL8 (MCP-2), CCL7 (MCP-3), CCL13 (MCP-4), CCL16 (HCC4) Monocytes, dendritic cells (immature), memory T cells Atherosclerosis, rheumatoid arthritis, multiple sclerosis, resistance to intracellular pathogens, type 2 diabetes mellitus CCR3 CCL11 (eotaxin), CCL13 (eotaxin-2), CCL7 (MCP-3), CCL5 (RANTES), CCL8 (MCP-2), CCL13 (MCP-4) Eosinophils, basophils, mast cells, TH 2, platelets Allergic asthma and rhinitis CCR4 CCL17 (TARC), CCL22 (MDC) T cells (TH 2), dendritic cells (mature), basophils, macrophages, platelets Parasitic infection, graft rejection, T-cell homing to skin CCR5 CCL3 (MIP-1α), CCL4 (MIP-1α), CCL5 (RANTES), CCL11 (eotaxin), CCL14 (HCC1), CCL16 (HCC4) T cells, monocytes HIV-1 co-receptor (T cell–tropic strains), transplant rejection CCR6 CCL20 (MIP-3α, LARC) T cells (T regulatory and memory), B cells, dendritic cells Mucosal humoral immunity, allergic asthma, intestinal T-cell homing CCR7 CCL19 (ELC), CCL21 (SLC) T cells, dendritic cells (mature) Transport of T cells and dendritic cells to lymph nodes, antigen presentation, and cellular immunity CCR8 CCL1 (1309) T cells (TH 2), monocytes, dendritic cells Dendritic cell migration to lymph node, type 2 cellular immunity, granuloma formation CCR9 CCL25 (TECK) T cells, IgA+ plasma cells Homing of T cells and IgA+ plasma cells to the intestine, inflammatory bowel disease CCR10 CCL27 (CTACK), CCL28 (MEC) T cells T-cell homing to intestine and skin CXCR1 CXCL8 (interleukin-8), CXCL6 (GCP2) Neutrophils, monocytes </w:t>
      </w:r>
      <w:r w:rsidRPr="00A6019F">
        <w:lastRenderedPageBreak/>
        <w:t xml:space="preserve">Inflammatory lung disease, COPD CXCR2 CXCL8, CXCL1 (GROα), CXCL2 (GROα), CXCL3 (GROα), CXCL5 (ENA-78), CXCL6 Neutrophils, monocytes, microvascular endothelial cells Inflammatory lung disease, COPD, angiogenic for tumor growth CXCR3-A CXCL9 (MIG), CXCL10 (IP-10), CXCL11 (I-TAC) Type 1 helper cells, mast cells, mesangial cells Inflammatory skin disease, multiple sclerosis, transplant rejection CXCR3-B CXCL4 (PF4), CXCL9 (MIG), CXCL10 (IP-10), CXCL11 (I-TAC) Microvascular endothelial cells, neoplastic cells Angiostatic for tumor growth CXCR4 CXCL12 (SDF-1) Widely expressed HIV-1 co-receptor (T cell–tropic), tumor metastases, hematopoiesis CXCR5 CXCL13 (BCA-1) B cells, follicular helper T cells Formation of B-cell follicles CXCR6 CXCL16 (SR-PSOX) CD8+ T cells, natural killer cells, and memory CD4+ T cells Inflammatory liver disease, atherosclerosis (CXCL16) CX3 CR1 CX3CL1 (fractalkine) Macrophages, endothelial cells, smooth-muscle cells Atherosclerosis XCR1 XCL1 (lymphotactin), XCL2 T cells, natural killer cells Rheumatoid arthritis, IgA nephropathy, tumor response Abbreviations: BCA-1, B-cell chemoattractant 1; COPD, chronic obstructive pulmonary disease; CTACK, cutaneous T cell–attracting chemokine; ELC, Epstein-Barr I1-ligand chemokine; ENA, epithelial cell–derived neutrophil-activating peptide; GCP, granulocyte chemotactic protein; GRO, growth-regulated oncogene; HCC, hemofiltrate chemokine; IP-10, interferon inducible 10; I-TAC, interferon-inducible T-cell alpha chemoattractant; LARC, liver- and activation-regulated chemokine; MCP, monocyte chemoattractant protein; MDC, macrophage-derived chemokine; MEC, mammary-enriched chemokine; MIG, monokine induced by interferon-γ; MIP, macrophage inflammatory protein; PF, platelet factor; SDF, stromal cell–derived factor; SLC, secondary lymphoid-tissue chemokine; SR-PSOX, scavenger receptor for phosphatidylserine containing oxidized lipids; TARC, thymus- and activation-regulated chemokine; TECK, thymus-expressed chemokine; TH 2, type 2 helper T cells. Source: From IF Charo, RM Ranshohoff: The many roles of chemokines and chemokine receptors in inflammation. N Engl J Med 354:610, 2006. Copyright © (2006) Massachusetts Medical Society. Reprinted with permission from Massachusetts Medical Society. The receptors for the Fc portion of IgG (FcγRs) are present on NK cells, B cells, macrophages, neutrophils, and mast cells and mediate interactions of IgG with antibody-coated target cells, such as virally infected cells. Antibody-NK interaction via antibody Fc and NK cell FcR links the adaptive and innate immune systems and regulates the mediation of IgG antibody effector functions such as ADCC. There are both activation and inhibitory FcγRs. Activation FcRs, such as FcγRI (CD64), FcγRIIa (CD32a), and FcγRIIIa (CD16a), are characterized by the presence of an immunoreceptor tyrosine-based activating motif (ITAM) sequence, whereas inhibitory FcRs, such as FcγRIIb (CD32b), contain an ITIM sequence. There is evidence that dysregulation in IgG-FcγR interactions plays roles in arthritis, multiple sclerosis, and systemic lupus erythematosus. Neutrophils, Eosinophils, and Basophils Granulocytes are present in nearly all forms of inflammation and are amplifiers and effectors of innate immune responses (Fig. 360-2). Unchecked accu mulation and activation of </w:t>
      </w:r>
      <w:r w:rsidRPr="00A6019F">
        <w:lastRenderedPageBreak/>
        <w:t xml:space="preserve">granulocytes can lead to host tissue damage, as seen in neutrophil- and eosinophil-mediated systemic necrotizing vasculitis. Granulocytes are derived from stem cells in bone marrow. Each type of granulocyte (neutrophil, eosinophil, or basophil) is derived from a different subclass of progenitor cell that is stimulated to proliferate by colony-stimulating factors (Table 360-6). During termi nal maturation of granulocytes, class-specific nuclear morphology and cytoplasmic granules appear that allow for histologic identification of granulocyte type. Neutrophils express Fc receptor IIIa for IgG (CD16a) as well as receptors for activated complement components (C3b or CD35). Upon interaction of neutrophils with antibody-coated (opsonized) bacteria or immune complexes, azurophilic granules (containing myeloper oxidase, lysozyme, elastase, and other enzymes) and specific granules (containing lactoferrin, lysozyme, collagenase, and other enzymes) are released, and microbicidal superoxide radicals (O2–) are generated at the neutrophil surface. The generation of superoxide leads to inflam mation by direct injury to tissue and by alteration of macromolecules such as collagen and DNA. Eosinophils are potent cytotoxic effector cells for various para sitic organisms. In Nippostrongylus brasiliensis helminth infection, eosinophils are important cytotoxic effector cells for removal of these parasites. Key to regulation of eosinophil cytotoxicity to N. brasiliensis 2770 PART 11 Immune-Mediated, Inflammatory, and Rheumatologic Disorders worms are antigen-specific T helper cells that produce IL-4, thus pro viding an example of regulation of innate immune responses by adap tive immunity antigen-specific T cells. Intracytoplasmic contents of eosinophils, such as major basic protein, eosinophil cationic protein, and eosinophil-derived neurotoxin, are capable of directly damaging tissues and may be responsible in part for the organ system dysfunction in the hypereosinophilic syndromes (Chap. 67). Because the eosinophil granule contains anti-inflammatory types of enzymes (histaminase, arylsulfatase, phospholipase D), eosinophils may also downregulate or terminate ongoing inflammatory responses. Basophils and tissue mast cells are potent reservoirs of cytokines such as IL-4 and can respond to bacteria and viruses with cytokine production through multiple TLRs expressed on their surface. Mast cells and basophils can also mediate antipathogen immunity through the binding of antibodies. This is a particularly important host defense mechanism against parasitic diseases. Basophils express high-affinity surface receptors for IgE (FcεRII) (CD23) and, upon cross-linking of basophil-bound IgE by antigen, can release histamine, eosinophil chemotactic factor of anaphylaxis, and neutral proteases—all media tors of allergic immediate (anaphylaxis) hypersensitivity responses. CLP NKP TOX NFIL3 ID2 ETS1 T-BET EOMES CILP NFIL3 ID2 TOX TCF-1 ETS1 CHILP T-BET NFIL3 RUNX3 GATA3 PLZF ILCP NK ROR α Bci11B GATA3 ILC1 ILC2 A LTiP ROR γT TOX ID2 ROR γT AHR ID2 ILC3 LTi FIGURE 360-3 Development and function of innate lymphoid cells (ILCs). A. ILC development, mainly based on mouse ILC differentiation paths, is schematized. ILCs develop from common innate lymphoid progenitors (CILPs), which themselves differentiate from common lymphoid progenitors (CLPs). CILPs can differentiate into </w:t>
      </w:r>
      <w:r w:rsidRPr="00A6019F">
        <w:lastRenderedPageBreak/>
        <w:t xml:space="preserve">natural killer (NK) cell precursor (NKP) cells or into common helper innate lymphoid progenitors (CHILPs), which themselves give rise to lymphoid tissue inducer progenitors (LTiPs) and innate lymphoid cell precursors (ILCPs). LTiPs differentiate into lymphoid tissue inducers (LTis) and ILCPs into ILC1, ILC2, or ILC3. Each stage of differentiation is dependent on the expression of the indicated transcription factors: NFIL3 (nuclear factor IL-3 induced), Id2 (inhibitor of DNA binding 2), TOX (thymocyte selection-associated high mobility group box protein), TCF-1 (T-cell factor 1), ETS1 (avian erythroblastosis virus E26 homolog-1), GATA3 (GATA binding protein 3), PLZF (promyelocytic leukemia zinc finger), T-bet (T-box transcription factor), Eomes (eomesodermin), RUNX3 (runt-related transcription factor 3), RORα (RAR-related orphan receptor α), Bcl11b (B cell lymphoma/ leukemia 11B), RORγt (RAR-related orphan receptor γt), and AHR (Aryl hydrocarbon receptor). It has been shown in humans that ILC1 subsets may originate from precursors other than ILCPs, but the identity of these precursors remains unknown at this time. B. Some of the most well-known immune functions of each ILC subset are shown: NK cells and ILC1s react to intracellular pathogens, such as viruses, and to tumors; ILC2s respond to large extracellular parasites and allergens; ILC3s combat extracellular microbes, such as bacteria and fungi; and Lutes are involved in the formation of secondary lymphoid structures. For each ILC subset, effector molecules that can be produced upon activation are indicated AREG, amphiregulin; RANK, receptor activation of nuclear factor κB; RANK-L, RANK-ligand. (Reproduced with permission from E Vivier et al: Innate lymphoid cells: 10 years on. Cell 174:1054, 2018.) Introduction to the Immune System 2771 CHAPTER 360 NK Stimuli Mediators Immune function ILC1 ILC2 ILC3 LTi IFN-γ Granzymes Perforin IL-4 IL-5 IL-13 IL-9 AREG RANK Lymphotoxin TNF IL-17 IL-22 IL-22 IL-17 GM-CSF Lymphotoxin Type 1 immunity (macrophage activation, cytotoxicity) Type 2 immunity (alternative macrophage activation) Formation of secondary lymphoid structures Type 3 immunity (phagocytosis, antimicrobial peptides) Tumors, intracellular microbes (virus, bacteria, parasites) Large extracellular parasites and allergens Mesenchymal organizer cells (retinoic acid, CXCL13, RANK-L) Extracellular microbes (bacteria, fungi) B FIGURE 360-3 (Continued) In addition, basophils express surface receptors for activated comple ment components (C3a, C5a), through which mediator release can be directly effected. Thus, basophils, like most cells of the immune sys tem, can be activated in the service of host defense against pathogens, or they can be activated for mediator release and cause pathogenic responses in allergic and inflammatory diseases. For further discus sion of tissue mast cells, see Chap. 366. The Complement System The complement system, an impor tant soluble component of the innate immune system, is a series of plasma enzymes, regulatory proteins, and proteins that are activated in a cascading fashion, resulting in cell lysis. There are four pathways of the complement system: the classic activation pathway activated by antigen/antibody immune complexes, the MBL (a serum collectin) activation pathway activated by microbes with terminal mannose groups, the alternative activation </w:t>
      </w:r>
      <w:r w:rsidRPr="00A6019F">
        <w:lastRenderedPageBreak/>
        <w:t xml:space="preserve">pathway activated by microbes or tumor cells, and the terminal pathway that is common to the first three pathways and leads to the membrane attack complex that lyses cells (Fig. 360-5). The series of enzymes of the complement system are serine proteases. Activation of the classic complement pathway via immune complex binding to C1q links the innate and adaptive immune systems via specific antibody in the immune complex. The alternative complement activation pathway is antibody-independent and is activated by bind ing of C3 directly to pathogens and “altered self” such as tumor cells. In the renal glomerular inflammatory disease IgA nephropathy, IgA activates the alternative complement pathway and causes glomerular damage and decreased renal function. Activation of the classic comple ment pathway via C1, C4, and C2 and activation of the alternative path way via factor D, C3, and factor B both lead to cleavage and activation of C3. C3 activation fragments, when bound to target surfaces such as bacteria and other foreign antigens, are critical for opsonization (coat ing by antibody and complement) in preparation for phagocytosis. The MBL pathway substitutes MBL-associated serine proteases (MASPs) 1 and 2 for C1q, C1r, and C1s to activate C4. The MBL activation path way is activated by mannose on the surface of bacteria and viruses. The three pathways of complement activation all converge on the final common terminal pathway. C3 cleavage by each pathway results in activation of C5, C6, C7, C8, and C9, resulting in the membrane attack complex that physically inserts into the membranes of target cells or bacteria and lyses them. Thus, complement activation is a critical component of innate immunity for responding to microbial infection. The functional conse quences of complement activation by the three initiating pathways and the terminal pathway are shown in Fig. 360-5. In general, the cleavage products of complement components facilitate microbe or damaged cell clearance (C1q, C4, C3), promote activation and enhancement of inflammation (anaphylatoxins, C3a, C5a), and promote microbe or opsonized cell lysis (membrane attack complex). </w:t>
      </w:r>
      <w:r w:rsidRPr="00A6019F">
        <w:rPr>
          <w:rFonts w:ascii="Arial" w:hAnsi="Arial" w:cs="Arial"/>
        </w:rPr>
        <w:t>■</w:t>
      </w:r>
      <w:r w:rsidRPr="00A6019F">
        <w:t xml:space="preserve">CYTOKINES Cytokines are soluble proteins produced by a wide variety of cell types (Tables 360-7 and 360-8). They are critical for both normal innate and adaptive immune responses, and their expression may be perturbed in most immune, inflammatory, and infectious disease states. Cytokines are involved in the regulation of the growth, develop ment, and activation of immune system cells and in the mediation of the inflammatory response. In general, cytokines are characterized by considerable redundancy in that different cytokines have similar functions. In addition, many cytokines are pleiotropic in that they are capable of acting on many different cell types. This pleiotropism results from the expression on multiple cell types of receptors for the same cytokine (see below), leading to the formation of “cytokine networks.” The action of cytokines may be (1) autocrine when the target cell is the same cell that secretes the cytokine, (2) paracrine when the target cell is nearby, and (3) endocrine when the cytokine is secreted into the circulation and acts distal to the source. Cytokines have been named based on presumed targets or based on presumed functions. Those cytokines that are thought to primarily target leukocytes have been </w:t>
      </w:r>
      <w:r w:rsidRPr="00A6019F">
        <w:lastRenderedPageBreak/>
        <w:t xml:space="preserve">named IL-1, -2, -3, etc. Many cytokines that were originally described as having a certain function have retained those names (e.g., granulocyte colony-stimulating factor [G-CSF]). Cytokines 2772 PART 11 Immune-Mediated, Inflammatory, and Rheumatologic Disorders TABLE 360-10 Association of KIRS with Disease DISEASE KIR ASSOCIATION OBSERVATION Psoriatic arthritis KIR2DS1/KIR2DS2; HLA-Cw group homozygosity Susceptibility Spondylarthritides Increased KIR3DL2 expression Interaction of HLA-B27 homodimers with KIR3DL1/KIR3DL2; independent of peptide May contribute to disease pathology May contribute to disease pathogenesis Ankylosing spondylitis KIR3DL1/3DS1; HLA-B27 genotypes Susceptibility Rheumatoid vasculitis KIR2DS2; HLA-Cw*03 Increased KIR2L2/2DS2 in patients with extraarticular manifestations Susceptibility Clinical manifestations may have different genetic backgrounds with respect to KIR genotype Rheumatoid arthritis Decreased KIR2DS1/3DS1 in patients without bone erosions KIR2DS4; HLA-Cw4 Susceptibility  Susceptibility Scleroderma KIR2DS2+/KIR2DL2–Susceptibility Behçet’s disease Altered KIR3DL1 expression Associated with severe eye disease Psoriasis vulgaris 2DS1; HLA-Cw*06 2DS1; 2DL5; haplotype B Susceptibility Susceptibility IDDM KIR2DS2; HLA-C1 Susceptibility Type 1 diabetes KIR2DS2; HLA-C1 and no HLA-C2, no HLA-Bw4 Increased disease progression Preeclampsia KIR2DL1 with fewer KIR2DS (mother); HLA-C2 (fetus) Increased disease progression AIDS KIR3DS1; HLA-Bw4Ile80 KIR3DS1 homozygous; no HLA-Bw4Ile80 Decreased disease progression Increased disease progression HCV infection KIR2DL3 homozygous; HLA-C1 homozygous Decreased disease progression Cervical neoplasia (HPV induced) KIR3DS1; HLA-C1 homozygous and no HLA-Bw4 Increased disease progression Malignant melanoma KIR2DL2 and/or KIR2DL3; HLA-C1 Increased disease progression Abbreviations: HCV, hepatitis C virus; HLA, human leukocyte antigen; HPV, human papillomavirus; IDDM, insulin-dependent diabetes mellitus; KIR, killer cell immunoglobulin-like receptor. Source: Reproduced with permission from R Diaz-Pena et al: KIR genes and their role in spondyloarthropathies. Adv Exp Med Biol 649:286, 2009. TABLE 360-9 NK-Cell Receptors, Cognate Ligands, and Their Known Signaling Domains/Proximal Adapters RECEPTOR GENE LIGAND SIGNALING DOMAINS AND PROXIMAL ADAPTERS Inhibitory KIR Conserved epitopes on HLA I (“KIR ligands”) ITIM, Src phosphatases KIR2DL1 KIR2DL1 HLA-C2 alleles (Lys80)  KIR2DL2 KIR2DL2 HLA-C1 alleles (Asp80); HLA-C2 alleles (Lys80)  KIR2DL3 KIR2DL3 HLA-C1 alleles (Asp80)  KIR3DL1 KIR3DL1 HLA-B alleles carrying the Bw4 motif; HLA-A alleles carrying the Bw4 motif   KIR3DL2 KIR3DL2 HLA-A*03, HLA-A*11 carrying specific peptides  KIR2DL4 KIR2DL4 HLA-G  KIR2DL5 CD155  Activating KIR HLA-C2, HLA-C1, HLA-F, certain configurations of HLA peptide combinations ITAM, SFK KIR2DS1 KIR2DS1 HLA-C2 alleles (Lys80) carrying specific peptides KIR2DS2 KIR2DS2 HLA-C1 (Asp80) HLA-A*11 KIR2DS3 KIR2DS3 Unknown KIR3DS1 HLA-F KIR2DS5 Unknown Natural cytotoxicity receptors (NCRs)  NKp30 NCR3 B7-H6, BAT-3, heparan sulfates  NKp44 NCR2 PDGF, heparan sulfates, PCNA  NKp46 NCR1 Viral hemagglutinins, heparan sulfates, vimentin, ecto-calreticulin   SLAM family receptors ITSM, SAP, EAT SLAMF1 </w:t>
      </w:r>
      <w:r w:rsidRPr="00A6019F">
        <w:lastRenderedPageBreak/>
        <w:t xml:space="preserve">(SLAM, CD150, IPO-3) SLAMF1 SLAMF1  SLAMF2 (CD48, BLAST-1) CD48 SLAMF4, CD2  SLAMF3 (CD229, Ly9) LY9 SLAMF3  SLAMF4 (CD244, 2B4, ERT) CD244 SLAMF2  SLAMF6 (NTB-A, Ly108, CD352) SLAMF6 SLAMF6  SLAMF7 (CRACC, CD319) SLAMF7 SLAMF7  SLAMF8 (BLAME, CD353) SLAMF8 Unknown  Abbreviations: BAT-3, human leukocyte antigen-B-associated transcript 3; EAT, Ewing sarcoma associated transcript; HLA, human leukocyte antigens; ITAM, immunoreceptor tyrosine-based activation motif; ITIM, immunoreceptor tyrosine-based inhibitory motif; ITSM, immunoreceptor tyrosine-based switch motif; KIR, killer cell immunoglobulin-like receptor; NCRs, natural cytotoxicity receptors; NK, natural killer cell; SAP, SLAM-associated protein; SFK, Src family kinase; SLAM, signalling lymphocyte activating molecule. Source: Reproduced from S Nersesian et al: Killer instincts: Natural killer cells as multifactorial cancer immunotherapy. Front Immunol. 2023; 14:1269614. Inhibitory receptor No response 2773 A NK Activating receptor No HLA class I No activating ligands Target B C D NK NK NK HLA class I No activating ligands Target No HLA class I Activating ligands Target HLA class I Activating ligands Target FIGURE 360-4 Encounters between natural killer (NK) cells: Potential targets and possible outcomes. The amount of activating and inhibitory receptors on the NK cells and the amount of ligands on the target cell, as well as the qualitative differences in the signals transduced, determine the extent of the NK response. A. When target cells have no HLA class I or activating ligands, NK cells cannot kill target cells. B. When target cells bear self-HLA, NK cells cannot kill targets. C. When target cells are pathogen-infected and have downregulated HLA and express activating ligands, NK cells kill target cells. D. When NK cells encounter targets with both self-HLA and activating receptors, then the level of target killing is determined by the balance of inhibitory and activating signals to the NK cell. HLA, human leukocyte antigen. (Republished with permission of Annual Review of Immunology, from NK Cell Recognition, L Lanier 23:225,2005: permission conveyed through Copyright Clearance Center, Inc.) belong in general to three major structural families: the hematopoietin family; the TNF, IL-1, platelet-derived growth factor (PDGF), and trans forming growth factor (TGF) β families; and the CXC and C-C chemo kine families. Chemokines are cytokines that regulate cell movement and trafficking; they act through G protein–coupled receptors and have a distinctive three-dimensional structure (Table 360-7). In general, cytokines exert their effects by influencing gene activa tion that results in cellular activation, growth, differentiation, functional cell-surface molecule expression, and cellular effector function. In this regard, cytokines can have dramatic effects on the regulation of immune responses and the pathogenesis of a variety of diseases. Indeed, T cells have been categorized on the basis of the pattern of cytokines that they secrete, which results in either humoral immune response (TH 2) or cell mediated immune response (TH 1). A third type of T helper cell is the TH 17 cell that contributes to host defense against extracellular bacteria and fungi, particularly at mucosal sites (Fig. 360-2). Cytokine receptors can be grouped into five general families based on similarities in their extracellular amino acid </w:t>
      </w:r>
      <w:r w:rsidRPr="00A6019F">
        <w:lastRenderedPageBreak/>
        <w:t xml:space="preserve">sequences and conserved structural domains. The immunoglobulin (Ig) superfamily represents a large number of cell-surface and secreted proteins. The IL-1 receptors (type 1, type 2) are examples of cytokine receptors with extracellular Ig domains. The hallmark of the hematopoietic growth factor (type 1) receptor family is that the extracellular regions of each receptor contain two conserved motifs. One motif, located at the N terminus, is rich in Classic activation pathway Antigen/antibody immune complex C1q-C1r-C1s C4 Mannose-binding lectin activation pathway Microbes with terminal mannose groups MBL-MASP1-MASP2 C4 Alternative activation pathway Bacteria, fungi, virus, or tumor cells C3 (H2O) B D C2 No response NK attacks target cells Immune complex modification Clearance of apoptotic cells Terminal pathway C2 C3 C3b C5 C6 C7 C8 poly-C9 P Anaphylatoxin Opsonin Lymphocyte activation Anaphylatoxin Lysis CHAPTER 360 Introduction to the Immune System Membrane perturbation Outcome determined by balance of signals FIGURE 360-5 The four pathways and the effector mechanisms of the complement system. Dashed arrows indicate the functions of pathway components. (Reproduced with permission from BJ Morley, MJ Walport: The Complement Facts Books. London, Academic Press, 2000.) cysteine residues. The other motif is located at the C terminus proximal to the transmembrane region and comprises five amino acid residues, tryptophan-serine-X-tryptophan-serine (WSXWS). This family can be grouped on the basis of the number of receptor subunits they have and on the utilization of shared subunits. A number of cytokine receptors, i.e., IL-6, IL-11, IL-12, and leukemia inhibitory factor, are paired with gp130. There is also a common 150-kDa subunit shared by IL-3, IL-5, and granulocyte-macrophage colony-stimulating factor (GM-CSF) receptors. The gamma chain (γc ) of the IL-2 receptor is common to the IL-2, IL-4, IL-7, IL-9, and IL-15 receptors. Thus, the specific cytokine receptor is responsible for ligand-specific binding, whereas the sub units such as gp130, the 150-kDa subunit, and γc are important in sig nal transduction. The γc gene is on the X chromosome, and mutations in the γc protein result in the X-linked form of severe combined immune deficiency syndrome (X-SCID) (Chap. 362). The members of the interferon (type II) receptor family include the receptors for IFN-γ and -β, which share a similar 210-amino-acid binding domain with conserved cysteine pairs at both the amino and carboxy termini. The members of the TNF (type III) receptor family share a common binding domain composed of repeated cysteine-rich regions. Members of this family include the p55 and p75 receptors for TNF (TNF-R1 and TNF-R2, respectively); CD40 antigen, which is an important B-cell surface marker involved in immunoglobulin isotype switching; fas/Apo-1, whose triggering induces apoptosis; CD27 and CD30, which are found on activated T cells and B cells; and nerve growth factor receptor. The common motif for the seven transmembrane helix family was originally found in receptors linked to GTP-binding proteins. This family includes receptors for chemokines (Table 360-8), β-adrenergic receptors, and retinal rhodopsin. It is important to note that two mem bers of the chemokine receptor family, CXC chemokine receptor type 4 (CXCR4) and β chemokine receptor type 5 (CCR5), have </w:t>
      </w:r>
      <w:r w:rsidRPr="00A6019F">
        <w:lastRenderedPageBreak/>
        <w:t xml:space="preserve">been found to serve as the two major co-receptors for binding and entry of HIV-1 into CD4-expressing host cells (Chap. 208). Significant advances have been made in defining the signaling pathways through which cytokines exert their intracellular effects. The Janus family of protein tyrosine kinases (JAK) is a critical ele ment involved in signaling via the hematopoietin receptors. Four JAK 2774 PART 11 Immune-Mediated, Inflammatory, and Rheumatologic Disorders cytotoxic T cells capable of lysis of virus-infected or foreign cells (short-lived effector T cells) and CD4+ T cells capable of T-cell help for CD8+ T-cell and B-cell development. Two populations of long-lived memory T cells are triggered by infections: effector memory and cen tral memory T cells. Effector memory T cells reside in nonlymphoid organs and respond rapidly to repeated pathogenic infections with cytokine production and cytotoxic functions to kill virus-infected cells. Central memory T cells home to lymphoid organs where they replenish long- and short-lived and effector memory T cells as needed. kinases, JAK1, JAK2, JAK3, and Tyk2, preferentially bind different cytokine receptor subunits. Cytokine binding to its receptor brings the cytokine receptor subunits into apposition and allows a pair of JAKs to transphosphorylate and activate one another. The JAKs then phosphorylate the receptor on the tyrosine residues and allow signal ing molecules to bind to the receptor, whereby the signaling mol ecules become phosphorylated. Signaling molecules bind the receptor because they have domains (SH2, or src homology 2 domains) that can bind phosphorylated tyrosine residues. There are a number of these important signaling molecules that bind the receptor, such as the adapter molecule SHC, which can couple the receptor to the acti vation of the mitogen-activated protein kinase pathway. In addition, an important class of substrate of the JAKs is the signal transducers and activators of transcription (STAT) family of transcription factors. STATs have SH2 domains that enable them to bind to phosphorylated receptors, where they are then phosphorylated by the JAKs. It appears that different STATs have specificity for different receptor subunits. The STATs then dissociate from the receptor and translocate to the nucleus, bind to DNA motifs that they recognize, and regulate gene expression. The STATs preferentially bind DNA motifs that are slightly different from one another and thereby control transcription of specific genes. The importance of this pathway is particularly relevant to lym phoid development. Mutations of JAK3 itself also result in a disorder identical to X-SCID; however, because JAK3 is found on chromosome 19 and not on the X chromosome, JAK3 deficiency occurs in boys and girls (Chap. 362). A new class of immunosuppressive drugs of JAK inhibitors has been developed that are approved to treat chronic inflammatory diseases such as rheumatoid arthritis (Chap. 370), psoriatic arthritis (Chap. 374), ulcerative colitis (Chap. 337), atopic dermatitis (Chap. 59), and alopecia areata (Chap. 61). </w:t>
      </w:r>
      <w:r w:rsidRPr="00A6019F">
        <w:rPr>
          <w:rFonts w:ascii="Arial" w:hAnsi="Arial" w:cs="Arial"/>
        </w:rPr>
        <w:t>■</w:t>
      </w:r>
      <w:r w:rsidRPr="00A6019F">
        <w:t xml:space="preserve">THE ADAPTIVE IMMUNE SYSTEM Adaptive immunity is characterized by antigen-specific responses to a foreign antigen or pathogen. A key feature of adaptive immunity is that following the initial contact with antigen (immunologic priming), subsequent antigen exposure leads to more rapid and vigorous immune responses (immunologic memory). The adaptive immune system con </w:t>
      </w:r>
      <w:r w:rsidRPr="00A6019F">
        <w:lastRenderedPageBreak/>
        <w:t xml:space="preserve">sists of dual limbs of cellular and humoral immunity. The principal effectors of cellular immunity are T lymphocytes, whereas the principal effectors of humoral immunity are B lymphocytes. Both B and T lym phocytes derive from a common stem cell (Fig. 360-6). The proportion and distribution of immunocompetent cells in various tissues reflect cell traffic, homing patterns, and functional capabilities. Bone marrow is the major site of maturation of B cells, monocytes-macrophages, DCs, and granulocytes and contains pluripo tent stem cells that, under the influence of various colony-stimulating factors, can give rise to all hematopoietic cell types. T-cell precursors also arise from hematopoietic stem cells and home to the thymus for maturation. Mature T lymphocytes, B lymphocytes, monocytes, and DCs enter the circulation and home to peripheral lymphoid organs (lymph nodes, spleen) and mucosal surface-associated lymphoid tis sue (gut, genitourinary, and respiratory tracts) as well as the skin and mucous membranes and await activation by foreign antigen. T Cells The pool of effector T cells is established in the thymus early in life and is maintained throughout life both by new T-cell production in the thymus and by antigen-driven expansion of virgin peripheral T cells into “memory” T cells that reside in peripheral lymphoid organs. The thymus exports ~2% of the total number of thymocytes per day throughout life, with the total number of daily thymic emigrants decreasing by ~3% per year during the first four decades of life. Mature T lymphocytes constitute 70–80% of normal peripheral blood lymphocytes (only 2% of the total-body lymphocytes are contained in peripheral blood), 90% of thoracic duct lymphocytes, 30–40% of lymph node cells, and 20–30% of spleen lymphoid cells. In lymph nodes, T cells occupy deep paracortical areas around B-cell germinal centers, and in the spleen, they are located in periarteriolar areas of white pulp (Chap. 70). T cells are the primary effectors of cell-mediated immunity, with subsets of T cells maturing into CD8+ In general, CD4+ T cells are the primary regulatory cells of T and B lymphocyte and monocyte function by the production of cytokines and by direct cell contact (Fig. 360-2). In addition, T cells regulate erythroid cell maturation in bone marrow and, through cell contact (CD40 ligand), have an important role in activation of B cells and induc tion of Ig isotype switching. Considerable evidence now exists that colonization of the gut by commensal bacteria (the gut microbiome) is responsible for expansion of the peripheral CD4+ T-cell compartment in normal children and adults. Human T cells express cell-surface proteins that mark stages of intrathymic T-cell maturation or identify specific functional subpopu lations of mature T cells. Many of these molecules mediate or partici pate in important T-cell functions (Table 360-1, Fig. 360-6, Chap. 361). The earliest identifiable T-cell precursors in bone marrow are CD34+ pro-T cells (i.e., cells in which TCR genes are neither rear ranged nor expressed). In the thymus, CD34+ T-cell precursors begin cytoplasmic (c) synthesis of components of the CD3 complex of TCR associated molecules (Fig. 360-6). Within T-cell precursors, TCR for antigen gene rearrangement yields two T-cell lineages, expressing either TCR-αβ chains or TCR-γδ chains. T cells expressing the TCR-αβ chains constitute the majority of peripheral T cells in blood, lymph node, and spleen and </w:t>
      </w:r>
      <w:r w:rsidRPr="00A6019F">
        <w:lastRenderedPageBreak/>
        <w:t>terminally differentiate into either CD4+ or CD8+ cells. Cells expressing TCR-γδ chains circulate as a minor popu lation in blood; their functions have been postulated to be those of immune surveillance at epithelial surfaces and cellular defenses against mycobacterial organisms and other intracellular bacteria through rec ognition of bacterial lipids. In the thymus, the recognition of self-peptides on thymic epithelial cells, thymic macrophages, and DCs plays an important role in shap ing T-cell repertoire. As immature cortical thymocytes begin to express surface TCR for antigen, thymocytes with TCRs capable of interacting with self-peptides in the context of self-MHC antigens with low affinity are activated and survive (positive selection). Thymocytes with TCRs that are incapable of binding to self-MHC antigens or bind with high affinity die of attrition (no selection) or by apoptosis (negative selec tion). Thymocytes that are positively selected undergo maturation into CD4 or CD8 single positive T cells, and then migrate to the thymus medulla where they interact with self-peptide–self-MHC molecules, where they can again undergo selection. The purpose of negative and positive thymocyte selection is to eliminate potential pathogenic auto reactive T cells, and at the same time, select a repertoire of mature T cells capable of recognizing foreign antigens. Mature TCRαβ thymocytes that are positively selected are func tional MHC class II–restricted CD4+ T cells (Fig. 360-2), or they are CD8+ T cells destined to become CD8+ MHC class I–restricted cytotoxic T cells. MHC class I or class II restriction means that T cells recognize antigen peptide fragments only when they are presented in the antigen-recognition site of a class I or class II MHC molecule, respectively. After thymocyte maturation and selection, CD4 and CD8 thymocytes leave the thymus and migrate to the peripheral immune system. The thymus can continue to be a contributor to the periph eral immune system well into adult life, both normally and when the peripheral T-cell pool is damaged, such as occurs in AIDS and cancer chemotherapy. MOLECULAR BASIS OF T-CELL RECOGNITION OF ANTIGEN The TCR for antigen is a complex of molecules consisting of an antigen-binding heterodimer of either αβ or γδ chains noncovalently linked with five CD3 subunits (γ, δ, ε, ζ, and η) (Fig. 360-7). The CD3 ζ chains are either disulfide-linked homodimers (CD3-ζ2 ) or disulfide-linked 2775 Thymus medulla and peripheral T-cell pools CHAPTER 360 Introduction to the Immune System CD7 CD2 CD3, TCRαβ CD4 mmature T Mature T CD7 CD2 CD3, TCRαβ CD8 Mature T Mature B cell IgM IgD ro-T Pro-T I Pro-T P CD7 CD2 cCD3, TCRαβ CD1 CD4, CD8 α-VJ Rearranged β-VDJ Rearranged CD7 CD2 CD3 α-Germline β-VDJ Rearranged CD34+ CD7lo+ or α,β Germline CD34+ Hematopoietic α,β Germline Immature B cell Mature T CD7 CD2 CD3, TCRγδ CD8 Small pre-B cell Large pre-B cell Late pro-B cell Early pro-B cell Hematopoietic stem cell CD34+ VDJ rearranged VJ rearranged IgD and IgM made from alternatively spliced H-chain transcripts VDJ rearranged VJ rearranged IgM expressed on cell surface VDJ rearranged VJ rearranging µ H-chain in cytoplasm µ H-chain at surface as part of the pre-B receptor (orange) containing surrogate light chain (SLC). Receptor is mainly intra cellular VDJ rearranged Germline VDJ rearranging Germline Absent D-J rearranging Germline Absent Heavy-</w:t>
      </w:r>
      <w:r w:rsidRPr="00A6019F">
        <w:lastRenderedPageBreak/>
        <w:t xml:space="preserve">chain genes Light-chain genes Surface Ig CD19 CD20 CD21 CD19 CD20 CD19 CD20 CD38 CD19 CD20 CD38 CD10 CD19 CD38 CD40 CD34 CD10 CD38 Surface marker proteins FIGURE 360-6 Development stages of T and B cells. Elements of the developing T- and B-cell receptor for antigen are shown schematically. The classification into the various stages of B-cell development is primarily defined by rearrangement of the immunoglobulin (Ig) heavy (H) and light (L) chain genes and by the absence or presence of specific surface markers. The classification of stages of T-cell development is primarily defined by cell-surface marker protein expression (sCD3, surface CD3 expression; cCD3, cytoplasmic CD3 expression; TCR, T-cell receptor). For B-cell development, the pre-B-cell receptor is shown as a blue-orange B-cell receptor. (Adapted from Janeway’s Immunobiology, 9th ed by Kenneth Murphy and Casey Weaver. Copyright © 2017 by Garland Science, Taylor &amp; Francis Group, LLC. Used by permission of W. W. Norton &amp; Company, Inc.) the gene segments encoding the α, β, γ, and δ chains of these molecules are recombined and selected in the thymus, culminating in synthesis of the completed molecule. In both T- and B-cell precursors (see below), DNA rearrangements of antigen receptor genes involve the same enzymes, recombinase activating gene RAG1 and RAG2, both DNA dependent protein kinases. TCR diversity is created by the different V, D, and J segments that are possible for each receptor chain by the many permutations of V, D, and J segment combinations, by “N-region diversification” due to the addition of nucleotides at the junction of rearranged gene seg ments, and by the pairing of individual chains to form a TCR dimer. As T cells mature in the thymus, the repertoire of antigen-reactive T cells is modified by selection processes that eliminate many autoreactive T cells, enhance the proliferation of cells that function appropriately with self-MHC molecules and antigen, and allow T cells with nonpro ductive TCR rearrangements to die. TCR-αβ cells do not recognize native protein or carbohydrate anti gens. Instead, T cells recognize only short (~9–13 amino acids) peptide fragments derived from protein antigens taken up or produced in APCs. Foreign antigens may be taken up by endocytosis into acidified heterodimers composed of one ζ chain and one η chain. TCR-αβ or TCR-γδ molecules must be associated with CD3 molecules to be inserted into the T-cell surface membrane, TCR-α being paired with TCR-β and TCR-γ being paired with TCR-δ. Molecules of the CD3 complex mediate transduction of T-cell activation signals via TCRs, whereas TCR-α and -β or -γ and -δ molecules combine to form the TCR antigen-binding site. The α, β, γ, and δ TCR for antigen molecules have amino acid sequence homology and structural similarities to immunoglobulin heavy and light chains and are members of the immunoglobulin gene superfamily of molecules. The genes encoding TCR molecules are encoded as clusters of gene segments that rearrange during T-cell mat uration. This creates an efficient and compact mechanism for housing the diversity requirements of antigen receptor molecules. The TCR-α chain is on chromosome 14 and consists of a series of V (variable), J (joining), and C (constant) regions. The TCR-β chain is on chromo some 7 and consists of multiple V, D (diversity), J, and C TCR-β loci. The TCR-γ chain is on </w:t>
      </w:r>
      <w:r w:rsidRPr="00A6019F">
        <w:lastRenderedPageBreak/>
        <w:t xml:space="preserve">chromosome 7, and the TCR-δ chain is in the middle of the TCR-α locus on chromosome 14. Thus, molecules of the TCR for antigen have constant (framework) and variable regions, and 2776 APC B7-1 β α ITK PART 11 Immune-Mediated, Inflammatory, and Rheumatologic Disorders PtdIns (4,5)P3 Lipid raft InsP3 Release of Ca2+ Translocation of NFAT to the nucleus PKC CD3 RAS DAG LFA-3 TCR CD28 CD2 ICAM-1 LFA-1 LCK GRB2 LAT SOS RASGRP Activation of downstream effectors such as NFkB, AP1, and NFAT to induce specific gene transcription leading to cell proliferation and differentiation MAPK activation ZAP70 PLCγ GADS HPK1 Cytoskeletal reorganization VAV1 NCK ADAP Integrin activation FIGURE 360-7 Signaling through the T-cell receptor. Activation signals are mediated via immunoreceptor tyrosine-based activation (ITAM) sequences in LAT and CD3 chains (blue bars) that bind to enzymes and transduce activation signals to the nucleus via the indicated intracellular activation pathways. Ligation of the T-cell receptor (TCR) by MHC complexed with antigen results in sequential activation of LCK and γ-chain-associated protein kinase of 70 kDa (ZAP70). ZAP70 phosphorylates several downstream targets, including LAT (linker for activation of T cells) and SLP76 (SCR homology 2 [SH2] domain-containing leukocyte protein of 76 kDa). SLP76 is recruited to membrane-bound LAT through its constitutive interaction with GADS (GRB2-related adaptor protein). Together, SLP76 and LAT nucleate a multimolecular signaling complex, which induces a host of downstream responses, including calcium flux, mitogen-activated protein kinase (MAPK) activation, integrin activation, and cytoskeletal reorganization. APC, antigen-presenting cell; NFAT, nuclear factor of activated T cells. (Reproduced with permission from GA Koretzky, F Abtahian, MA Silverman. SLP76 and SLP65: Complex regulation of signalling in lymphocytes and beyond. Nat Rev Immunol 6:67, 2006.) intracellular vesicles or by phagocytosis and degraded into small pep tides that associate with MHC class II molecules (exogenous antigen presentation pathway). Other foreign antigens arise endogenously in the cytosol (such as from replicating viruses) and are broken down into small peptides that associate with MHC class I molecules (endogenous antigen-presenting pathway). Thus, APCs proteolytically degrade for eign proteins and display peptide fragments embedded in the MHC class I or II antigen-recognition site on the MHC molecule surface, where foreign peptide fragments are available to bind to TCR-αβ or TCR-γδ chains of reactive T cells. CD4 molecules act as adhesives and, by direct binding to MHC class II (DR, DQ, or DP) molecules, stabilize the interaction of TCR with peptide antigen (Fig. 360-7). Similarly, CD8 molecules also act as adhesives to stabilize the TCR-antigen inter action by direct CD8 molecule binding to MHC class Ia (HLA A, B, or C) molecules or to MHC class Ib (HLA E). Antigens that arise in the cytosol and are processed via the endog enous antigen-presentation pathway are cleaved into small peptides by a complex of proteases called the proteasome. From the proteasome, antigen peptide fragments are transported from the cytosol into the lumen of the endoplasmic reticulum by a heterodimeric complex termed transporters associated with antigen processing or TAP proteins. There, MHC class I molecules in the endoplasmic reticulum mem brane </w:t>
      </w:r>
      <w:r w:rsidRPr="00A6019F">
        <w:lastRenderedPageBreak/>
        <w:t xml:space="preserve">physically associate with processed cytosolic peptides. Following peptide association with class I molecules, peptide–class I complexes are exported to the Golgi apparatus, and then to the cell surface, for recognition by CD8+ T cells. Antigens taken up from the extracellular space via endocytosis into intracellular acidified vesicles are degraded by vesicle proteases into peptide fragments. Intracellular vesicles containing MHC class II molecules fuse with peptide-containing vesicles, thus allowing peptide fragments to physically bind to MHC class II molecules. Peptide–MHC class II complexes are then transported to the cell surface for recogni tion by CD4+ T cells. Whereas it is generally agreed that the TCR-αβ receptor recognizes peptide antigens in the context of MHC class I or class II molecules, lipids in the cell wall of intracellular bacteria such as M. tuberculosis can also be presented to a wide variety of T cells, including subsets of TCR-γδ T cells, and a subset of CD8+ TCR-αβ T cells. Importantly, bacterial lipid antigens are not presented in the context of MHC class I or II molecules, but rather are presented in the context of MHC-related CD1 molecules. Some γδ T cells that recognize lipid antigens via CD1 molecules have very restricted TCR usage, do not need antigen prim ing to respond to bacterial lipids, and may be a form of innate rather than acquired immunity to intracellular bacteria. Just as foreign antigens are degraded and their peptide fragments presented in the context of MHC class I or class II molecules on APCs, endogenous self-proteins also are degraded, and self-peptide frag ments are presented to T cells in the context of MHC class I or class II molecules on APCs. In peripheral lymphoid organs, there are T cells that are capable of recognizing self-protein fragments but normally are anergic or tolerant, i.e., nonresponsive to self-antigenic stimulation, due to lack of self-antigen upregulating APC co-stimulatory molecules such as B7-1 (CD80) and B7-2 (CD86) (see below and Chap. 361). Once engagement of mature T-cell TCR by foreign peptide occurs in the context of self-MHC class Ia (A, B, or C), class 1b (E), or class II molecules, binding of non-antigen-specific adhesion ligand pairs such as CD54-CD11/CD18 and CD58-CD2 stabilizes MHC peptide-TCR binding, and the expression of these adhesion molecules is upregu lated. Once antigen ligation of the TCR occurs, the T-cell membrane is partitioned into lipid membrane microdomains, or lipid rafts, that coalesce the key signaling molecules TCR/CD3 complex, CD28, CD2, LAT (linker for activation of T cells), intracellular activated 2777 (dephosphorylated) src family protein tyrosine kinases (PTKs), and the key CD3ζ-associated protein-70 (ZAP-70) PTK (Fig. 360-7). Impor tantly, during T-cell activation, the CD45 molecule, with protein tyro sine phosphatase activity, is partitioned away from the TCR complex to allow activating phosphorylation events to occur. The coalescence of signaling molecules of activated T lymphocytes in microdomains has suggested that T cell–APC interactions can be considered immunologic synapses, analogous in function to neuronal synapses. After TCR-MHC binding is stabilized, activation signals are trans mitted through the cell to the nucleus and lead to the expression of gene products important in mediating the wide diversity of T-cell func tions such as the secretion of IL-2. The TCR does not have intrinsic signaling activity but is linked to a </w:t>
      </w:r>
      <w:r w:rsidRPr="00A6019F">
        <w:lastRenderedPageBreak/>
        <w:t xml:space="preserve">variety of signaling pathways via ITAMs expressed on the various CD3 chains that bind to proteins that mediate signal transduction. Each of the pathways results in the activa tion of particular transcription factors that control the expression of cytokine and cytokine receptor genes. Thus, antigen-MHC binding to the TCR induces the activation of the src family of PTKs, Fyn and Lck (Lck is associated with CD4 or CD8 co-stimulatory molecules); phos phorylation of CD3ζ chain; activation of the related tyrosine kinases ZAP-70 and Syk; and downstream activation of the calcium-dependent calcineurin pathway, the ras pathway, and the protein kinase C path way. Each of these pathways leads to activation of specific families of transcription factors (including NF-AT, fos and jun, and rel/NF-κB) that form heteromultimers capable of inducing expression of IL-2, IL-2 receptor, IL-4, TNF-α, and other T-cell mediators. In addition to the signals delivered to the T cell from the TCR complex and CD4 and CD8, molecules on the T cell, such as CD28 and inducible co-stimulator (ICOS), and molecules on DCs, such as B7-1 (CD80) and B7-2 (CD86), also deliver important co-stimulatory signals that upregulate T-cell cytokine production and are essential for T-cell activation. If signaling through CD28 or ICOS does not occur, or if CD28 is blocked, the T cell becomes anergic rather than activated (see “Immune Tolerance and Autoimmunity” below and Chap. 361). CTLA-4 (CD152) is similar to CD28 in its ability to bind CD80 and CD86. Unlike CD28, CTLA-4 transmits an inhibitory signal to T cells, acting as an off switch. T-CELL EXHAUSTION IN VIRAL INFECTIONS AND CANCER In chronic viral infections such as HIV-1, hepatitis C virus, and hepatitis B virus and in chronic malignancies, the persistence of antigen disrupts mem ory T-cell function, resulting in defects in memory T-cell responses. This has been defined as T-cell exhaustion and is associated with T-cell programmed cell death protein 1 (PD-1) (CD279) expression. Exhausted T cells have compromised proliferation and lose the ability to produce effector molecules, like IL-2, TNF-α, and IFN-γ. PD-1 and CTLA-4 activation downregulates T-cell responses and is associated with T-cell exhaustion and tumor progression. Inhibition of T-cell PD-1 or CTLA-4 activity to enhance effector T-cell killing of tumor cells has become a critical component of therapy for certain malignan cies (Chap. 361). T-CELL SUPERANTIGENS Conventional antigens bind to MHC class I or II molecules in the groove of the αβ heterodimer and bind to T cells via the V regions of the TCR-α and -β chains. In contrast, superantigens bind directly to the lateral portion of the TCR-β chain and MHC class II β chain and stimulate T cells based solely on the Vβ gene segment used independent of the D, J, and Vα sequences present. Superantigens are protein molecules capable of activating up to 20% of the peripheral T-cell pool, whereas conventional antigens activate 1500 different kappa light chain combinations. There are ~70 Vλ genes and 4 Jλ genes for &gt;280 different lambda light chain combinations. The number of distinct light chains that can be generated is increased by somatic mutations within the V and J genes, thus creating large numbers of possible specificities from a limited amount of germline genetic information. As noted above, in heavy chain Ig gene rearrangement, the VH domain is created by the joining of three types of germline genes called VH , DH , and JH , thus </w:t>
      </w:r>
      <w:r w:rsidRPr="00A6019F">
        <w:lastRenderedPageBreak/>
        <w:t xml:space="preserve">allowing for even greater diversity in the variable region of heavy chains than of light chains. The most immature B-cell precursors (early pro-B cells) lack cyto plasmic Ig (cIg) and sIg (Fig. 360-6). The large pre-B cell is marked by the acquisition of the surface pre-BCR composed of μ heavy (H) chains and a pre-B light chain, termed V pre-B. V pre-B is a surrogate light chain receptor encoded by the non-rearranged V pre-B and the γ5 light chain locus (the pre-BCR). Pro- and pre-B cells are driven to proliferate and mature by signals from bone marrow stroma—in particular, IL-7. Light chain rearrangement occurs in the small pre-B-cell stage such that the full BCR is expressed at the immature B-cell stage. Imma ture B cells have rearranged Ig light chain genes and express sIgM. As immature B cells develop into mature B cells, sIgD is expressed as well as sIgM. At this point, B lineage development in bone marrow is complete, and B cells exit into the peripheral circulation and migrate to secondary lymphoid organs to encounter specific antigens. 2778 Heavy chain Fab region PART 11 Immune-Mediated, Inflammatory, and Rheumatologic Disorders RAS MAPK activation Light chain BCR LYN Cytoskeletal reorganization Igα Igβ PtdIns(4,S)P3 SYK b a VAV1 NCK SOS GRB2 BTK PLCγ SLP65 InsP3 Release of Ca2+ DAG RASGRP PKCβ Activation of downstream effectors FIGURE 360-8 B-cell receptor (BCR) activation results in the sequential activation of protein tyrosine kinases, which results in the formation of a signaling complex and activation of downstream pathways as shown. Whereas SLP76 is recruited to the membrane through GADS and LAT, the mechanism of SLP65 recruitment is unclear. Studies have indicated two mechanisms: (a) direct binding by the SH2 domain of SLP65 to immunoglobulin (Ig) of the BCR complex or (b) membrane recruitment through a leucine zipper in the amino terminus of SLP65 and an unknown binding partner. ADAP, adhesion- and degranulation-promoting adaptor protein; AP1, activator protein 1; BTK, Bruton’s tyrosine kinase; DAG, diacylglycerol; GRB2, growth factor receptor-bound protein 2; HPK1, hematopoietic progenitor kinase 1; InsP3 , inositol-1,4,5-trisphosphate; ITK, interleukin-2-inducible T-cell kinase; NCK, noncatalytic region of tyrosine kinase; NF-B, nuclear factor B; PKC, protein kinase C; PLC, phospholipase C; PtdIns(4,5)P2 , phosphatidylinositol-4,5-bisphosphate; RASGRP, RAS guanyl-releasing protein; SOS, son of sevenless homologue; SYK, spleen tyrosine kinase. (Reproduced with permission from GA Koretzky et al: SLP76 and SLP65: Complex regulation of signalling in lymphocytes and beyond. Nat Rev Immunol 6:67, 2006.) Random rearrangements of Ig genes occasionally generate self reactive antibodies, and mechanisms must be in place to correct these mistakes. One such mechanism is BCR editing, whereby autoreactive BCRs are mutated to not react with self-antigens. If receptor editing is unsuccessful in eliminating autoreactive B cells, then autoreactive B cells may undergo negative selection in the bone marrow through induction of apoptosis after BCR engagement of self-antigen. After leaving the bone marrow, B cells populate peripheral B-cell sites, such as lymph node and spleen, and await contact with foreign antigens that react with each BCR. Antigen-driven B-cell activation occurs through the BCR, and somatic hypermutation takes place whereby point mutations in rearranged H- and L-genes give </w:t>
      </w:r>
      <w:r w:rsidRPr="00A6019F">
        <w:lastRenderedPageBreak/>
        <w:t xml:space="preserve">rise to mutant sIg molecules, some of which bind antigen better than the original sIg molecules. Somatic hypermutation, therefore, is a process whereby memory B cells in peripheral lymph organs have the best binding or the highest-affinity antibodies. This overall process of generating the best antibodies is called affinity maturation of antibody. Lymphocytes that synthesize IgG, IgA, and IgE are derived from sIgM+, sIgD+ mature B cells. Ig class switching occurs in lymph node and other peripheral lymphoid tissue germinal centers. CD40 on B cells and CD40 ligand on T cells constitute a critical co-stimulatory receptor ligand pair of immune-stimulatory molecules. Pairs of CD40+ B cells and CD40 ligand+ T cells bind and drive B-cell Ig class switching via T cell–produced cytokines such as IL-4 and TGF-β. IL-1, -2, -4, -5, and -6 synergize to drive mature B cells to proliferate and differentiate into Ig-secreting cells. Humoral Mediators of Adaptive Immunity: Immunoglobulins Immunoglobulins are the products of differentiated B cells and mediate the humoral arm of the immune response. The primary functions of antibodies are to bind specifically to antigen and bring about the inac tivation or removal of the offending toxin, microbe, parasite, or other foreign substance from the body. The structural basis of Ig molecule function and Ig gene organization has provided insight into the role of antibodies in normal protective immunity, pathologic immune mediated damage by immune complexes, and autoantibody formation against host determinants. All immunoglobulins have the basic structure of two heavy and two light chains (Fig. 360-8). Immunoglobulin isotype (i.e., G, M, A, D, E) is determined by the type of Ig heavy chain present. IgG and IgA iso types can be divided further into subclasses (G1, G2, G3, G4, and A1, A2) based on specific antigenic determinants on Ig heavy chains. The characteristics of human immunoglobulins are outlined in Table 360-11. The four chains are covalently linked by disulfide bonds. Each chain is made up of a V region and C regions (also called domains), themselves made up of units of ~110 amino acids. Light chains have one variable (VL ) and one constant (CL ) unit; heavy chains have one variable unit (VH ) and three or four constant (CH ) units, depending on isotype. As the name suggests, the constant, or C, regions of Ig molecules are made up of homologous sequences and share the same primary structure as all other Ig chains of the same isotype and subclass. Constant regions are involved in biologic functions of Ig molecules. The CH 2 domain of IgG and the CH 4 units of IgM are involved with the binding of the C1q portion of C1 during complement activation. The CH region at the carboxy-terminal end of the IgG molecule, the Fc region, binds to surface Fc receptors (CD16, CD32, CD64) of macrophages, DCs, NK cells, B cells, neutrophils, and eosinophils. The Fc of IgA binds to FcαR (CD89), and the Fc of IgE binds to FcεR (CD23). Introduction to the Immune System 2779 CHAPTER 360 Variable regions (VL and VH ) constitute the antibody-binding (Fab) region of the molecule. Within the VL and VH regions are hypervari able regions (extreme sequence variability) that constitute the antigen binding site unique to each Ig molecule. The idiotype is defined as the specific region of the Fab portion of the Ig molecule to which antigen binds. Antibodies against the idiotype portion of an </w:t>
      </w:r>
      <w:r w:rsidRPr="00A6019F">
        <w:lastRenderedPageBreak/>
        <w:t xml:space="preserve">antibody molecule are called anti-idiotype antibodies. The formation of such antibodies in vivo during a normal B-cell antibody response may generate a negative (or “off”) signal to B cells to terminate antibody production. IgG constitutes ~75–85% of total serum immunoglobulin. The four IgG subclasses are numbered in order of their level in serum, IgG1 being found in greatest amounts and IgG4 the least. IgG subclasses have clinical relevance in their varying ability to bind macrophage and neutrophil Fc receptors and to activate complement (Table 360-11). Moreover, selective deficiencies of certain IgG subclasses give rise to clinical syndromes in which the patient is inordinately susceptible to bacterial infections. IgG antibodies are frequently the predominant antibody made after rechallenge of the host with antigen (secondary antibody response). IgM antibodies normally circulate as a 950-kDa pentamer with 160-kDa bivalent monomers joined by a molecule called the J chain, a 15-kDa nonimmunoglobulin molecule that also effects polymerization of IgA molecules. IgM is the first immunoglobulin to appear in the immune response (primary antibody response) and is the initial type of antibody made by neonates. Membrane IgM in the monomeric form also functions as a major antigen receptor on the surface of mature B cells (Table 360-11). IgM is an important component of immune com plexes in autoimmune diseases. For example, IgM antibodies against IgG molecules (rheumatoid factors) are present in high titers in rheu matoid arthritis, other collagen diseases, and some infectious diseases (subacute bacterial endocarditis). IgA constitutes only 7–15% of total serum immunoglobulin but is the predominant class of immunoglobulin in secretions. IgA in secretions (tears, saliva, nasal secretions, gastrointestinal tract fluid, and human milk) is in the form of secretory IgA (sIgA), a polymer consisting of two IgA monomers, a joining molecule, again termed the J chain, and a glycoprotein called the secretory protein. Of the two IgA subclasses, IgA1 is primarily found in serum, whereas IgA2 is more prevalent in secretions. IgA fixes complement via the alternative complement pathway and has potent antiviral activity in humans by prevention of virus binding to respiratory and gastrointestinal epithe lial cells. IgD is found in minute quantities in serum and, together with IgM, is a major receptor for antigen on the naïve B-cell surface. IgE, which is present in serum in very low concentrations, is the major class of TABLE 360-11 Physical, Chemical, and Biologic Properties of Human Immunoglobulins PROPERTY IgG IgA IgM IgD IgE Usual molecular form Monomer Monomer, dimer Pentamer, hexamer Monomer Monomer Other chains None J chain, SC J chain None None Subclasses G1, G2, G3, G4 A1, A2 None None None Heavy chain allotypes Gm (=30) No A1, A2m (2) None None None Molecular mass, kDa 150 160, 400 950, 1150 175 190 Serum level in average adult, mg/mL 9.5–12.5 1.5–2.6 0.7–1.7 0.04 0.0003 Percentage of total serum Ig 75–85 7–15 5–10 0.3 0.019 Serum half-life, days 23 6 5 3 2.5 Synthesis rate, mg/kg per day 33 65 7 0.4 0.016 Antibody valence 2 2, 4 10, 12 2 2 Classical complement activation +(G1, 2?, 3)–++–– Alternate complement activation +(G4) +–+ Binding cells via Fc Macrophages, neutrophils, large granular lymphocytes Lymphocytes Lymphocytes None Mast cells, basophils, B cells Biologic properties </w:t>
      </w:r>
      <w:r w:rsidRPr="00A6019F">
        <w:lastRenderedPageBreak/>
        <w:t xml:space="preserve">Placental transfer, secondary antibody for most antipathogen responses Secretory immunoglobulin Primary antibody responses Marker for mature B cells Allergy, antiparasite responses Source: Reproduced with permission from L Carayannopoulos, JD Capra, in WE Paul (ed): Fundamental Immunology, 3rd ed. New York, Raven, 1993. immunoglobulin involved in arming mast cells and basophils by bind ing to these cells via the Fc region. Antigen cross-linking of IgE mol ecules on basophil and mast cell surfaces results in release of mediators of the immediate hypersensitivity (allergic) response (Table 360-11). </w:t>
      </w:r>
      <w:r w:rsidRPr="00A6019F">
        <w:rPr>
          <w:rFonts w:ascii="Arial" w:hAnsi="Arial" w:cs="Arial"/>
        </w:rPr>
        <w:t>■</w:t>
      </w:r>
      <w:r w:rsidRPr="00A6019F">
        <w:t xml:space="preserve">CELLULAR INTERACTIONS IN REGULATION OF NORMAL IMMUNE RESPONSES The net result of activation of the humoral (B-cell) and cellular (T-cell) arms of the adaptive immune system by foreign antigen is the elimina tion of antigen directly by specific effector T cells or in concert with specific antibody. The expression of adaptive immune cell function is the result of a complex series of immunoregulatory events that occur in phases. Both T and B lymphocytes mediate immune functions, and each of these cell types, when given appropriate signals, passes through stages, from activation and induction through proliferation, differentiation, and ultimately effector functions. The effector function expressed may be at the end point of a response, such as secretion of antibody by a differentiated plasma cell, or it might serve a regulatory function that modulates other functions, such as is seen with CD4 and CD8 T lym phocytes that modulate both differentiation of B cells and activation of CD8 cytotoxic T cells. TH 1 CD4+ T cells, through elaboration of IFN-γ, have a central role in mediating intracellular killing by a variety of pathogens. TH 1 CD4+ T cells also provide T-cell help for generation of cytotoxic T cells and some types of opsonizing antibody, and they generally respond to antigens that lead to delayed hypersensitivity types of immune responses for many intracellular viruses and bacteria (such as HIV-1 or M. tuberculosis). In contrast, TH 2 cells have a primary role in regula tory humoral immunity and isotype switching. TH 2 cells, through production of IL-4 and IL-10, have a regulatory role in limiting proin flammatory responses mediated by TH 1 cells (Fig. 360-2). In addition, TH 2 CD4+ T cells provide help to B cells for specific Ig production and respond to antigens that require high antibody levels for foreign antigen elimination (extracellular encapsulated bacteria such as Strep tococcus pneumoniae and certain parasite infections). TH 17 cells secrete cytokines IL-17, -22, and -26 and have been shown to play a role in autoimmune inflammatory disorders in addition to defense against extracellular bacteria and fungi, particularly at mucosal surfaces. TH 9 cells are defined by their secretion of IL-9 and have been shown to play a role in atopic disease, inflammatory bowel disease, and antitumor immunity. Moreover, the TFH subset of helper T cells secrete IL-21 and is crucial for providing the necessary signals to B cells in germinal centers to undergo affinity maturation. TFH13 cells secrete IL-4, IL-5, and IL-13 in response to allergens and and have been postulated to 2780 PART 11 Immune-Mediated, Inflammatory, and Rheumatologic Disorders mediate anaphylaxis reactions (Fig. 360-2). In summary, the type of T-cell response generated in an immune response is determined by the microbe PAMPs presented to the DCs, the TLRs on the DCs that </w:t>
      </w:r>
      <w:r w:rsidRPr="00A6019F">
        <w:lastRenderedPageBreak/>
        <w:t xml:space="preserve">become activated, the types of DCs that are activated, and the cytokines that are produced (Table 360-7). Commonly, myeloid DCs produce IL-12 and activate TH 1 T-cell responses that result in IFN-γ and cytotoxic T-cell induction, and plasmacytoid DCs produce IFN-α and lead to TH 2 responses that result in IL-4 production and enhanced antibody responses. As shown in Fig. 360-2, upon activation by DCs, T-cell subsets that produce IL-2, IL-3, IFN-γ, and/or IL-4, -5, -6, -10, and -13 are gener ated and exert positive and negative influences on effector T and B cells. For B cells, trophic effects are mediated by a variety of cytokines, particularly T cell–derived IL-3, -4, -5, and -6, that act at sequential stages of B-cell maturation, resulting in B-cell proliferation, differentia tion, and ultimately antibody secretion. For cytotoxic T cells, trophic factors include inducer T-cell secretion of IL-2, IFN-γ, and IL-12. Important types of immunomodulatory T cells that control immune responses are CD4 and CD8 Treg cells. These cells express the α chain of the IL-2 receptor (CD25), produce IL-10, and suppress both T- and B-cell responses. T regulatory cells (Tregs) are induced by immature DCs and play key roles in maintaining tolerance to self-antigens. Loss of Treg cells is the cause of organ-specific autoimmune disease in mice such as autoimmune thyroiditis, adrenalitis, and oophoritis and plays a role in inflammatory bowel disease (see “Immune Tolerance and Auto immunity” below, Chap. 361). Tregs also play key roles in controlling the magnitude and duration of immune responses to microbes. Nor mally, after the initial immune response to a microbe has eliminated the invader, Tregs are activated to suppress the antimicrobe response and prevent host injury. Some microbes have adapted to induce Treg activation at the site of infection to promote parasite infection and sur vival. In Leishmania infection, the parasite induces Treg accumulation at skin infection sites that dampens anti-Leishmania T-cell responses and prevents parasite elimination. Although B cells recognize native antigen via B-cell surface Ig receptors, B cells require T-cell help to produce high-affinity antibody of multiple isotypes that are the most effective in eliminating foreign antigen. In B-cell germinal centers, CD4 T cells that promote B-cell maturation and affinity maturation are termed T follicular helper (TFH) cells. T cell–B cell interactions that lead to high-affinity antibody production require (1) processing of native antigen by B cells and expression of peptide fragments on the B-cell surface for presentation to TH cells, (2) the ligation of B cells by both the TCR complex and the CD40 ligand, (3) induction of the pro cess termed antibody isotype switching in antigen-specific B-cell clones, and (4) induction of the process of affinity maturation of antibody in the germinal centers of B-cell follicles of lymph node and spleen. Naïve B cells express cell-surface IgD and IgM, and initial contact of naïve B cells with antigen is via binding of native antigen to B-cell surface IgM. T-cell cytokines, released following TH 2 cell contact with B cells or by a “bystander” effect, induce changes in Ig gene conforma tion that promote recombination of Ig genes. These events then result in the switching of expression of heavy chain exons in a triggered B cell, leading to the secretion of IgG, IgA, or, in some cases, IgE antibody with the same V region antigen specificity as the original IgM antibody, for response to a wide variety of </w:t>
      </w:r>
      <w:r w:rsidRPr="00A6019F">
        <w:lastRenderedPageBreak/>
        <w:t xml:space="preserve">extracellular bacteria, protozoa, and helminths. CD40 ligand expression by activated T cells is critical for induction of B-cell antibody isotype switching and for B-cell respon siveness to cytokines. Patients with mutations in T-cell CD40 ligand have B cells that are unable to undergo isotype switching, resulting in lack of memory B-cell generation and the immunodeficiency syn drome of X-linked hyper-IgM syndrome (Chaps. 361 and 362). </w:t>
      </w:r>
      <w:r w:rsidRPr="00A6019F">
        <w:rPr>
          <w:rFonts w:ascii="Arial" w:hAnsi="Arial" w:cs="Arial"/>
        </w:rPr>
        <w:t>■</w:t>
      </w:r>
      <w:r w:rsidRPr="00A6019F">
        <w:t xml:space="preserve">IMMUNE TOLERANCE AND AUTOIMMUNITY Immune tolerance is defined as the absence of activation of pathogenic autoreactivity to self-antigens. Mechanisms of immune tolerance can be classified as cell intrinsic or cell extrinsic. Cell intrinsic mechanisms of tolerance include apoptosis and induction of cell unresponsiveness (anergy). Mechanisms of cell extrinsic tolerance include suppression of immune responses by immunomodulatory cells such as Tregs. Autoimmune diseases are syndromes caused by the activation of T or B cells or both, with no evidence of other causes such as infections or malignancies (Chaps. 361 and 367). Low levels of autoreactivity of T and B cells with self-antigens in the periphery are critical to T- and B-cell survival. Similarly, low levels of autoreactivity and thymocyte recognition of self-antigens in the thymus are the mechanisms whereby normal T cells are positively selected to survive and leave the thymus to respond to foreign microbes in the periphery and T cells highly reac tive to self-antigens are negatively selected and die to prevent overly self-reactive T cells from migrating to the periphery (central toler ance). Unlike the presentation of microbial antigens by mature DCs, the presentation of self-antigens by immature DCs neither activates nor matures the DCs to express high levels of co-stimulatory molecules such as B7-1 (CD80) or B7-2 (CD86). When peripheral T cells are stimulated by DCs expressing self-antigens in the context of HLA mol ecules, sufficient stimulation of T cells occurs to keep them alive, but otherwise, they remain anergic, or nonresponsive, until T cells contact a DC with high levels of co-stimulatory molecules expressing microbial antigens and become activated to respond to the microbe. If B cells have high self-reactive BCRs, they normally undergo either deletion in the bone marrow or receptor editing to express a less autoreactive receptor. Although many autoimmune diseases are characterized by abnormal or pathogenic autoantibody production (see Chap. 361, Table 361-4), most autoimmune diseases are caused by a combination of excess T- and B-cell reactivity. Multiple factors contribute to the genesis of autoimmune disease syndromes, including genetic susceptibility (e.g., HLA-B27 with anky losing spondylitis), environmental immune stimulants such as drugs (e.g., procainamide and phenytoin [Dilantin] with drug-induced systemic lupus erythematosus), infectious agent triggers (e.g., Epstein Barr virus and autoantibody production against red blood cells and platelets), and loss of Treg cells (leading to thyroiditis, adrenalitis, and oophoritis). Immunity at Mucosal Surfaces Mucosa covering the respiratory, digestive, and urogenital tracts; the eye conjunctiva; the inner ear; and the ducts of all exocrine glands contain cells of the innate and adaptive mucosal immune system that protect these surfaces against pathogens. In the healthy adult, mucosa-associated lymphoid tissue (MALT) contains 80% of all immune cells within the </w:t>
      </w:r>
      <w:r w:rsidRPr="00A6019F">
        <w:lastRenderedPageBreak/>
        <w:t xml:space="preserve">body and constitutes the largest mammalian lymphoid organ system. MALT has three main functions: (1) to protect the mucous mem branes from invasive pathogens; (2) to prevent uptake of foreign anti gens from food, commensal organisms, and airborne pathogens and particulate matter; and (3) to prevent pathologic immune responses from foreign antigens if they do cross the mucosal barriers of the body. MALT is a compartmentalized system of immune cells that func tions independently from systemic immune organs. Whereas the systemic immune organs are essentially sterile under normal condi tions and respond vigorously to pathogens, MALT immune cells are continuously bathed in foreign proteins and commensal bacteria, and they must select those pathogenic antigens that must be eliminated. MALT contains anatomically defined foci of immune cells in the intestine, tonsil, appendix, and peribronchial areas that are inductive sites for mucosal immune responses. From these sites, immune T and B cells migrate to effector sites in mucosal parenchyma and exocrine glands where mucosal immune cells eliminate pathogen-infected cells. In addition to mucosal immune responses, all mucosal sites have strong mechanical and chemical barriers and cleansing functions to repel pathogens. Key components of MALT include specialized epithelial cells called “membrane” or “M” cells that take up antigens and deliver them to DCs or other APCs. Regulatory cells that maintain gut homeostasis include ILC APCs, likely ILC3, that drive the development of CD4 Tregs that suppress pathogenic immune responses to benign commensal micro biota. Effector cells in MALT include B cells producing antipathogen neutralizing antibodies of secretory IgA as well as IgG isotype, T cells producing similar cytokines as in systemic immune responses, and T helper and cytotoxic T cells that respond to pathogen-infected cells. 2781 Secretory IgA is produced in amounts of &gt;50 mg/kg of body weight per 24 h and functions to inhibit bacterial adhesion, inhibit macromol ecule absorption in the gut, neutralize viruses, and enhance antigen elimination in tissue through binding to IgA and receptor-mediated transport of immune complexes through epithelial cells. Recent studies have demonstrated the importance of commensal gut and other mucosal bacteria to the health of the human immune system. Normal commensal flora induces anti-inflammatory events in the gut and protects epithelial cells from pathogens through TLRs and other PRR signaling. When the gut is depleted of normal com mensal flora, the immune system becomes abnormal, with loss of TH 1 T-cell function. Restoration of the normal gut flora can reestablish the balance in Treg and T helper cell ratios characteristic of the normal immune system. Diet also has an impact on the gut microbiome. Altered microbiome composition has been etiologically related to obesity, insulin resistance, inflammatory bowel disease, and diabetes. When the gut barrier is intact, either antigens do not transverse the gut epithelium or, when pathogens are present, a self-limited, protec tive MALT immune response eliminates the pathogen. However, when the gut barrier breaks down, immune responses to commensal flora antigens can contribute to Crohn’s disease and, perhaps, ulcerative colitis (Chap. 337). Uncontrolled MALT immune responses to food antigens, such as gluten, can cause </w:t>
      </w:r>
      <w:r w:rsidRPr="00A6019F">
        <w:lastRenderedPageBreak/>
        <w:t xml:space="preserve">celiac disease (Chap. 337). </w:t>
      </w:r>
      <w:r w:rsidRPr="00A6019F">
        <w:rPr>
          <w:rFonts w:ascii="Arial" w:hAnsi="Arial" w:cs="Arial"/>
        </w:rPr>
        <w:t>■</w:t>
      </w:r>
      <w:r w:rsidRPr="00A6019F">
        <w:t xml:space="preserve">THE CELLULAR AND MOLECULAR CONTROL OF PROGRAMMED CELL DEATH The process of apoptosis (programmed cell death) plays a crucial role in regulating normal immune responses to antigen. In general, a wide variety of stimuli trigger one of several apoptotic pathways to eliminate microbe-infected cells, eliminate cells with damaged DNA, or eliminate activated immune cells that are no longer needed. The largest known family of “death receptors” is the TNF receptor (TNF-R) family (TNF-R1, TNF-R2, Fas [CD95], death receptor 3 [DR3], death receptor 4 [DR4; TNF-related apoptosis-including ligand receptor 1, or TRAIL-R1], and death receptor 5 [DR5, TRAIL-R2]); their ligands are all in the TNF-α family. Binding of ligands to these death recep tors leads to a signaling cascade that involves activation of the caspase family of molecules that leads to DNA cleavage and cell death. Two other pathways of programmed cell death involve nuclear p53 in the elimination of cells with abnormal DNA and mitochondrial cytochrome c to induce cell death in damaged cells. A number of human diseases have now been described that result from, or are associated with, mutated apoptosis genes. These include mutations in the Fas and Fas ligand genes in autoimmune and lymphoproliferation syndromes, and multiple associations of mutations in genes in the apoptotic pathway with malignant syndromes (Chap. 361). </w:t>
      </w:r>
      <w:r w:rsidRPr="00A6019F">
        <w:rPr>
          <w:rFonts w:ascii="Arial" w:hAnsi="Arial" w:cs="Arial"/>
        </w:rPr>
        <w:t>■</w:t>
      </w:r>
      <w:r w:rsidRPr="00A6019F">
        <w:t xml:space="preserve">MECHANISMS OF IMMUNE-MEDIATED DAMAGE TO MICROBES OR HOST TISSUES Several responses by the host innate and adaptive immune systems to foreign microbes culminate in rapid and efficient elimination of microbes. In these scenarios, the classic weapons of the adaptive immune system (T cells, B cells) interface with cells (macrophages, DCs, NK cells, neutrophils, eosinophils, basophils) and soluble prod ucts (microbial peptides, pentraxins, complement and coagulation systems) of the innate immune system (Chaps. 67 and 363). There are five general phases of host defenses: (1) migration of leukocytes to sites of antigen localization; (2) antigen-nonspecific rec ognition of pathogens by macrophages and other cells and systems of the innate immune system; (3) specific recognition of foreign antigens mediated by T and B lymphocytes; (4) amplification of the inflamma tory response with recruitment of specific and nonspecific effector cells by complement components, cytokines, kinins, arachidonic acid metabolites, and mast cell–basophil products; and (5) macrophage, neutrophil, and lymphocyte participation in destruction of antigen with ultimate removal of antigen particles by phagocytosis (by macro phages or neutrophils) or by direct cytotoxic mechanisms (involving macrophages, neutrophils, DCs, or lymphocytes). Under normal cir cumstances, orderly progression of host defenses through these phases results in a well-controlled immune and inflammatory response that protects the host from the offending antigen. However, dysfunction of any of the host defense systems can damage host tissue and produce clinical disease. Furthermore, for certain pathogens or antigens, the nor mal immune response itself might contribute substantially to the tissue damage. For example, the immune and inflammatory response in the brain to certain pathogens such as M. tuberculosis may be responsible for much of the morbidity rate of this disease in that organ system </w:t>
      </w:r>
      <w:r w:rsidRPr="00A6019F">
        <w:lastRenderedPageBreak/>
        <w:t xml:space="preserve">(Chap. 183). In addition, the morbidity rate associated with certain pneumonias such as that caused by Pneumocystis jirovecii may be associated more with inflammatory infiltrates than with the tissue destructive effects of the microorganism itself (Chap. 227). Molecular Basis of Lymphocyte–Endothelial Cell Interac tions The control of lymphocyte circulatory patterns between the bloodstream and peripheral lymphoid organs operates at the level of lymphocyte–endothelial cell interactions to control the specificity of lymphocyte subset entry into organs. Similarly, lymphocyte–endothelial cell interactions regulate the entry of lymphocytes into inflamed tissue. Adhesion molecule expression on lymphocytes and endothelial cells regulates the retention and subsequent egress of lymphocytes within tissue sites of antigenic stimulation, delaying cell exit from tissue and preventing reentry into the circulating lymphocyte pool (Fig. 360-9). All types of lymphocyte migration begin with lymphocyte attachment to specialized regions of vessels, termed high endothelial venules (HEVs). An important concept is that adhesion molecules do not generally bind their ligand until a conformational change (ligand activation) occurs in the adhesion molecule that allows ligand binding. Induction of a conformation-dependent determinant on an adhesion molecule can be accomplished by cytokines or via ligation of other adhesion molecules on the cell. CHAPTER 360 Introduction to the Immune System The first stage of lymphocyte–endothelial cell interactions, attach ment and rolling, occurs when lymphocytes leave the stream of flowing blood cells in a postcapillary venule and roll along venule endothelial cells (Fig. 360-9). Lymphocyte rolling is mediated by the l-selectin molecule (LECAM-1, LAM-1, CD62L) and slows cell transit time through venules, allowing time for activation of adherent cells. The second stage of lymphocyte–endothelial cell interactions, firm adhesion with activation-dependent stable arrest, requires stimulation of lymphocytes by chemoattractants or by endothelial cell–derived cytokines. Cytokines thought to participate in adherent cell activa tion include members of the IL-8 family, platelet-activation factor, leukotriene B4 , and C5a. In addition, HEVs express chemokines, SLC (CCL21) and ELC (CCL19), which participate in this process. Fol lowing activation by chemoattractants, lymphocytes shed l-selectin from the cell surface and upregulate cell CD11b/18 (MAC-1) or CD11a/18 (LFA-1) molecules, resulting in firm attachment of lym phocytes to HEVs. Lymphocyte homing to peripheral lymph nodes involves adhesion of l-selectin to glycoprotein HEV ligands collectively referred to as peripheral node addressin (PNAd), whereas homing of lymphocytes to intestine Peyer’s patches primarily involves adhesion of the α4β7 integrin to mucosal addressin cell adhesion molecule-1 (MAdCAM-1) on the Peyer’s patch HEVs. However, for migration to mucosal Peyer’s patch lymphoid aggregates, naïve lymphocytes primarily use l-selectin, whereas memory lymphocytes use α4β7 integrin. α4β1 integrin (CD49d/CD29, VLA-4)–VCAM-1 interactions are important in the initial interaction of memory lymphocytes with HEVs of multiple organs in sites of inflammation. The third stage of leukocyte emigration in HEVs is sticking and arrest. Sticking of the lymphocyte to endothelial cells and arrest at the site of sticking are </w:t>
      </w:r>
      <w:r w:rsidRPr="00A6019F">
        <w:lastRenderedPageBreak/>
        <w:t xml:space="preserve">mediated predominantly by ligation of a1β2 integrin LFA-1 to the integrin ligand ICAM-1 on HEVs. Whereas the first three stages of lymphocyte attachment to HEVs take only a few seconds, the fourth stage of lymphocyte emigration, transendothelial migration, takes ~10 min. Although the molecular mechanisms that control lymphocyte transendothelial migration are not fully character ized, the HEV CD44 molecule and molecules of the HEV glycocalyx (extracellular matrix) are thought to play important regulatory roles in 2782 Blood vessel lumen 1. Tethering and rolling PART 11 Immune-Mediated, Inflammatory, and Rheumatologic Disorders Basement membrane Lymph vessel 2. Chemokine signal 3. Arrest DC 4. Polarization and diapedesis 5. Junctional rearrangement 6. Proteolysis 8. DC migration to draining LN Selectin Damaged or inflamed tissue sialomucin Resting actve integrins Cytokine stimulated parenchymal cell 7. Interstitial migration Inflammatory chemoattractants ICAM-1 or VCAM-1 GPCR ECM with GAG CCL19 CCL21 CCR7 Collagen FIGURE 360-9 Key migration steps of immune cells at sites of inflammation. Inflammation due to tissue damage or infection induces the release of cytokines (not shown) and inflammatory chemoattractants (red arrowheads) from distressed stromal cells and “professional” sentinels, such as mast cells and macrophages (not shown). The inflammatory signals induce upregulation of endothelial selectins and immunoglobulin “superfamily” members, particularly ICAM-1 and/or VCAM-1. Chemoattractants, particularly chemokines, are produced by or translocated across venular endothelial cells (red arrow) and are displayed in the lumen to rolling leukocytes. Those leukocytes that express the appropriate set of trafficking molecules undergo a multistep adhesion cascade (steps 1–3) and then polarize and move by diapedesis across the venular wall (steps 4 and 5). Diapedesis involves transient disassembly of endothelial junctions and penetration through the underlying basement membrane (step 6). Once in the extravascular (interstitial) space, the migrating cell uses different integrins to gain “footholds” on collagen fibers and other ECM molecules, such as laminin and fibronectin, and on inflammation-induced ICAM-1 on the surface of parenchymal cells (step 7). The migrating cell receives guidance cues from distinct sets of chemoattractants, particularly chemokines, which may be immobilized on glycosaminoglycans (GAG) that “decorate” many ECM molecules and stromal cells. Inflammatory signals also induce tissue dendritic cells (DCs) to undergo maturation. Once DCs process material from damaged tissues and invading pathogens, they upregulate CCR7, which allows them to enter draining lymph vessels that express the CCR7 ligand CCL21 (and CCL19). In lymph nodes (LNs), these antigen-loaded mature DCs activate naïve T cells and expand pools of effector lymphocytes, which enter the blood and migrate back to the site of inflammation. T cells in tissue also use this CCR7-dependent route to migrate from peripheral sites to draining lymph nodes through afferent lymphatics. (Reproduced with permission from AD Luster et al: Immune cell migration in inflammation: present and future therapeutic targets. Nat Immunol 6:1182, 2005.) this process (Fig. 360-10). Finally, expression of matrix metalloprote ases capable of digesting the subendothelial basement membrane, rich in </w:t>
      </w:r>
      <w:r w:rsidRPr="00A6019F">
        <w:lastRenderedPageBreak/>
        <w:t xml:space="preserve">nonfibrillar collagen, appears to be required for the penetration of lymphoid cells into the extravascular sites. Abnormal induction of HEV formation and use of the molecules discussed above have been implicated in the induction and mainte nance of inflammation in a number of chronic inflammatory diseases. In animal models of type 1 diabetes mellitus, MAdCAM-1 and GlyCAM-1 have been shown to be highly expressed on HEVs in inflamed pancre atic islets, and treatment of these animals with inhibitors of l-selectin and a4 integrin function blocked the development of type 1 diabetes mellitus (Chap. 415). A similar role for abnormal induction of the adhesion molecules of lymphocyte emigration has been suggested in rheumatoid arthritis (Chap. 370), Hashimoto’s thyroiditis (Chap. 394), Graves’ disease (Chap. 394), multiple sclerosis (Chap. 455), Crohn’s disease (Chap. 337), and ulcerative colitis (Chap. 337). Immune-Complex Formation Clearance of antigen by immune complex formation between antigen, complement, and antibody is a highly effective mechanism of host defense. However, depending on the level of immune complexes formed and their physicochemi cal properties, immune complexes may or may not result in host and foreign cell damage. After antigen exposure, certain types of soluble antigen-antibody complexes freely circulate and, if not cleared by the reticuloendothelial system, can be deposited in blood vessel walls and in other tissues such as renal glomeruli and cause vasculitis or glomerulonephritis syndromes (Chaps. 326 and 375). Deficiencies of early complement components are associated with inefficient clearance of immune complexes and immune complex–mediated autoimmune syndromes or encapsulated bacterial infections such as S. pneumoniae, whereas deficiencies of the later complement components are associ ated with susceptibility to recurrent Neisseria infections (Table 360-12). Immediate-Type Hypersensitivity Helper T cells that drive antiallergen IgE responses are usually TH 2-type inducer T cells that secrete IL-4, IL-5, IL-6, and IL-10. A subset of TFH, TFH13, cells have been identified that produce IL-4, IL-5, and IL-13, which play a key role in responses to allergens that induce IgE and mediate ana phylaxis. Mast cells and basophils have high-affinity receptors for the Fc portion of IgE (FcRI), and cell-bound antiallergen IgE effectively TABLE 360-12 Complement Deficiencies and Associated Diseases 2783 COMPONENT ASSOCIATED DISEASES Classic Pathway Clq, Clr, Cls, C4 C2 C1 inhibitor Immune-complex syndromes,a pyogenic infections Immune-complex syndromes,a few with pyogenic infections Rare immune-complex disease, few with pyogenic infections C3 and Alternative Pathway C3 C3 D Properdin I H Immune-complex syndromes,a pyogenic infections Pyogenic infections Neisseria infections Pyogenic infections Hemolytic-uremic syndrome Membrane Attack Complex C5, C6, C7, C8 C9 Recurrent Neisseria infections, immune-complex disease Rare Neisseria infections aImmune-complex syndromes include systemic lupus erythematosus (SLE) and SLE-like syndromes, glomerulonephritis, and vasculitis syndromes. Source: After JA Schifferli, DK Peters: Lancet 322:957, 1983. Copyright 1983. “arms” basophils and mast cells. Mediator release is triggered by antigen (allergen) interaction with Fc receptor-bound IgE, and the mediators released </w:t>
      </w:r>
      <w:r w:rsidRPr="00A6019F">
        <w:lastRenderedPageBreak/>
        <w:t xml:space="preserve">are responsible for the pathophysiologic changes of allergic diseases. Mediators released from mast cells and basophils can be divided into three broad functional types: (1) those that increase vascular permeability and contract smooth muscle (histamine, platelet activating factor, SRS-A, BK-A), (2) those that are chemotactic for or activate other inflammatory cells (ECF-A, NCF, leukotriene B4 ), and (3) those that modulate the release of other mediators (BK-A, platelet activating factor) (Chap. 363). Cytotoxic Reactions of Antibody In this type of immunologic injury, complement-fixing (C1-binding) antibodies against normal or foreign cells or tissues (IgM, IgG1, IgG2, IgG3) bind complement via the classic pathway and initiate a sequence of events similar to that initiated by immune-complex deposition, resulting in cell lysis or tissue injury. Examples of antibody-mediated cytotoxic reactions include red cell lysis in transfusion reactions, Goodpasture’s syndrome with anti–glomerular basement membrane antibody formation, and pemphigus vulgaris with anti-epidermal antibodies inducing blistering skin disease. Delayed-Type Hypersensitivity Reactions Inflammatory reactions initiated by mononuclear leukocytes and not by antibody alone have been termed delayed-type hypersensitivity reactions. The term delayed has been used to contrast a secondary cellular response that appears 48–72 h after antigen exposure with an immediate hyper sensitivity response generally seen within 12 h of antigen challenge and initiated by basophil mediator release or preformed antibody. For example, in an individual previously infected with M. tuberculo sis organisms, intradermal placement of tuberculin purified protein derivative as a skin test challenge results in an indurated area of skin at 48–72 h, indicating previous exposure to tuberculosis. The cellular events that result in classic delayed-type hypersensitiv ity responses are centered on T cells (predominantly, although not exclusively, IFN-γ, IL-2, and TNF-α-secreting TH 1-type helper T cells) and macrophages. Recently, NK cells have been suggested to play a major role in the form of delayed hypersensitivity that occurs follow ing skin contact with immunogens. First, local immune and inflam matory responses at the site of foreign antigen upregulate endothelial cell adhesion molecule expression, promoting the accumulation of lymphocytes at the tissue site. In the scheme outlined in Fig. 360-2, antigen is processed by DCs and presented to small numbers of CD4+ T cells expressing a TCR specific for the antigen. IL-12 produced by APCs induces T cells to produce IFN-γ (TH 1 response). Macrophages frequently undergo epithelioid cell transformation and fuse to form multinucleated giant cells in response to IFN-γ. This type of mono nuclear cell infiltrate is termed granulomatous inflammation. Examples of diseases in which delayed-type hypersensitivity plays a major role are fungal infections (histoplasmosis; Chap. 218), mycobacterial infec tions (tuberculosis, leprosy; Chaps. 183 and 184), chlamydial infections (lymphogranuloma venereum; Chap. 194), helminth infections (schis tosomiasis; Chap. 241), reactions to toxins (berylliosis; Chap. 300), and hypersensitivity reactions to organic dusts (hypersensitivity pneumoni tis; Chap. 299). In addition, delayed-type hypersensitivity responses play important roles in tissue damage in autoimmune diseases such as </w:t>
      </w:r>
      <w:r w:rsidRPr="00A6019F">
        <w:lastRenderedPageBreak/>
        <w:t xml:space="preserve">rheumatoid arthritis, temporal arteritis, and granulomatosis with poly angiitis (Chaps. 370 and 375). Autophagy Autophagy is a process that involves a lysosomal deg radation pathway mechanism of cells to dispose of intracellular debris and damaged organelles. Autophagy by cells of the innate immune sys tem is used to control intracellular infectious agents such as M. tuber culosis, in part by initiation of phagosome maturation and enhancing MHC class II antigen presentation to CD4 T cells. </w:t>
      </w:r>
      <w:r w:rsidRPr="00A6019F">
        <w:rPr>
          <w:rFonts w:ascii="Arial" w:hAnsi="Arial" w:cs="Arial"/>
        </w:rPr>
        <w:t>■</w:t>
      </w:r>
      <w:r w:rsidRPr="00A6019F">
        <w:t xml:space="preserve">CLINICAL EVALUATION OF IMMUNE FUNCTION Clinical assessment of immunity requires investigation of the four major components of the immune system that participate in host defense and in the pathogenesis of autoimmune diseases: (1) humoral immunity (B cells); (2) cell-mediated immunity (T cells, monocytes); (3) phagocytic cells of the reticuloendothelial system (macrophages), as well as polymorphonuclear leukocytes; and (4) complement. Clini cal problems that require an evaluation of immunity include chronic infections, recurrent infections, unusual infecting agents, and certain autoimmune syndromes. The type of clinical syndrome under evalu ation can provide information regarding possible immune defects (Chap. 362). Defects in cellular immunity generally result in viral, mycobacterial, and fungal infections. An extreme example of defi ciency in cellular immunity is AIDS (Chap. 208). Antibody deficien cies result in recurrent bacterial infections, frequently with organisms such as S. pneumoniae and Haemophilus influenzae (Chap. 362). Dis orders of phagocyte function are frequently manifested by recurrent skin infections, often due to Staphylococcus aureus (Chap. 67). Finally, deficiencies of early and late complement components are associated with autoimmune phenomena and recurrent Neisseria infections (Table 360-12). Artificial intelligence/machine learning algorithms are now being tested for improving the diagnosis of infectious, immune deficiency, and autoimmune diseases. For further discussion of useful initial screening tests of immune function, see Chap. 362. CHAPTER 360 Introduction to the Immune System </w:t>
      </w:r>
      <w:r w:rsidRPr="00A6019F">
        <w:rPr>
          <w:rFonts w:ascii="Arial" w:hAnsi="Arial" w:cs="Arial"/>
        </w:rPr>
        <w:t>■</w:t>
      </w:r>
      <w:r w:rsidRPr="00A6019F">
        <w:t xml:space="preserve">IMMUNOTHERAPY Many therapies for autoimmune and inflammatory diseases involve the use of nonspecific immune-modulating or immunosuppressive agents such as glucocorticoids or cytotoxic drugs. The goal of development of new treatments for immune-mediated diseases is to design ways to specifically interrupt pathologic immune responses, leaving nonpatho logic immune responses intact (Chap. 361). Novel ways to interrupt pathologic immune responses that are under investigation include the use of anti-inflammatory cytokines or specific cytokine inhibitors as anti-inflammatory agents, the use of monoclonal antibodies against T or B lymphocytes as therapeutic agents, the use of intravenous Ig for certain infections and immune complex–mediated diseases, the use of specific cytokines to reconstitute components of the immune system, and bone marrow transplantation to replace the pathogenic immune system with a more normal immune system (Chaps. 67, 208, 361, and 362). CTLA-4 inhibitors such as ipilimumab and tremelimumab and anti-PD-1 antibodies such as nivolumab are termed checkpoint inhibitors and have been shown to reverse CD8 T-cell exhaustion in melanoma and other solid tumors and induce immune cell </w:t>
      </w:r>
      <w:r w:rsidRPr="00A6019F">
        <w:lastRenderedPageBreak/>
        <w:t xml:space="preserve">control of tumor growth (Chap. 361). A technique that engineers autologous T cells to express antibody receptors that target leukemic cells, termed chimeric antigen receptor T cells (CAR T cells), has been approved by the U.S. Food and Drug Administration (FDA) for the treatment of certain types of leukemias and lymphomas (Chap. 361). Cell-based therapies have been studied for many years, includ ing ex vivo activation of NK cells for reinfusion into patients with 2784 </w:t>
      </w:r>
      <w:r w:rsidRPr="00A6019F">
        <w:rPr>
          <w:rFonts w:ascii="Arial" w:hAnsi="Arial" w:cs="Arial"/>
        </w:rPr>
        <w:t>■</w:t>
      </w:r>
      <w:r w:rsidRPr="00A6019F">
        <w:t xml:space="preserve">FURTHER READING PART 11 Immune-Mediated, Inflammatory, and Rheumatologic Disorders malignancies and DC therapy of ex vivo priming of DCs for enhanced presentation of cancer antigens, with reinfusion of primed DCs into the patient. One such strategy for DC therapy has been approved by the FDA for treatment of advanced prostate cancer. Cytokines and Cytokine Inhibitors Several TNF inhibitors are used as biological therapies in the treatment of rheumatoid arthritis; these include monoclonal antibodies, TNF-R Fc fusion proteins, and Fab fragments. Use of anti-TNF-α antibody therapies such as adalim umab, infliximab, and golimumab has resulted in clinical improvement in patients with these diseases and has opened the way for targeting TNF-α to treat other severe forms of autoimmune and/or inflamma tory disease (Chap. 361). Blockage of TNF-α has been effective in rheumatoid arthritis, psoriasis, Crohn’s disease, and ankylosing spondyli tis. Other cytokine inhibitors are recombinant soluble TNF-α receptor (R) fused to human Ig and anakinra (soluble IL-1 receptor antagonist, or IL-1ra). TNF-αR-Fc fusion protein (etanercept) and IL-1ra act to inhibit the activity of pathogenic cytokines in rheumatoid arthritis, i.e., TNF-α and IL-1, respectively. Similarly, anti-IL-6, IFN-β, and IL-11 act to inhibit pathogenic proinflammatory cytokines. Anti-IL-6 (tocili zumab) inhibits IL-6 activity, whereas IFN-β and IL-11 decrease IL-1 and TNF-α production (Chap. 361). Of particular note has been the successful use of IFN-γ in the treatment of the phagocytic cell defect in chronic granulomatous disease (Chap. 67). TH 17 CD4 T cells have been implicated in the pathogenesis of psoria sis, ulcerative colitis, and other autoimmune diseases. Monoclonal anti bodies have now been developed that target cytokines (IL-12, IL-23) that induce TH 17 T-cell differentiation and are licensed by the FDA for treatment of psoriasis and inflammatory bowel disease. Monoclonal antibodies that directly target IL-17 have also recently been licensed for psoriasis and psoriatic arthritis treatment. Monoclonal antibodies against cytokines and immunoregulatory molecules are now mainstays of cancer and autoimmune disease therapy (Chap. 361). Intravenous Immunoglobulin (IVIg) IVIg has been used suc cessfully to block reticuloendothelial cell function and immune complex clearance in various immune cytopenias such as immune thrombocytopenia (Chap. 120). In addition, IVIg is useful for pre vention of tissue damage in certain inflammatory syndromes such as Kawasaki disease (Chap. 375) and as Ig replacement therapy for certain types of immunoglobulin deficiencies (Chap. 362). In addition, controlled clinical trials support the use of IVIg in selected patients with graft-versus-host disease, multiple sclerosis, myasthenia gravis, Guillain-Barré syndrome, and chronic demyelinating polyneuropathy. Stem Cell Transplantation Hematopoietic stem cell transplan tation (SCT) is now being studied to treat several </w:t>
      </w:r>
      <w:r w:rsidRPr="00A6019F">
        <w:lastRenderedPageBreak/>
        <w:t xml:space="preserve">autoimmune diseases including systemic lupus erythematosus, multiple sclerosis, and scleroderma. The goal of immune reconstitution in autoimmune disease syndromes is to replace a dysfunctional immune system with a normally reactive immune cell repertoire. Controlled clinical trials in these three diseases are now being launched in the United States and Europe to compare the toxicity and efficacy of conventional immunosuppression therapy with that of myeloablative autologous SCT. Recently, SCT was used in the setting of HIV-1 infection. HIV-1 infection of CD4+ T cells requires the presence of surface CD4 receptor and the chemokine receptor 5 (CCR5) co-receptor. Studies have demonstrated that patients who are homozygous for a 32-bp deletion in the CCR5 allele do not express CD4+ T-cell CCR5 and thus are resistant to HIV-1 infection with HIV-1 strains that use this co-receptor. Stem cells from a homozygous CCR5 delta32 donor were transplanted to an HIV-1-infected individual following standard con ditioning for such transplants and resulted in long-term control of the virus without antiretrovirals. Thus, a number of recent insights into immune system function have spawned a new field of interventional immunotherapy and have enhanced the prospect for development of more specific and nontoxic therapies for immune and inflammatory diseases (Chap. 361). Altan-Bonnet G, Mukherjee R: Cytokine-mediated communica tion: A quantitative appraisal of immune complexity. Nat Rev Immu nol 19:205, 2020. Brown CC, Rudensky AY: Spatiotemporal regulation of peripheral T cell tolerance. Science 380:472, 2023. McLean KC, Mandal M: It takes three receptors to raise a B cell. Trends Immunol 41:629, 2020. Nersesian S et al: Killer instincts: Natural killer cells as multifactorial cancer immunotherapy. Front Immunol 14:1269614, 2023. Netea MG et al: Defining trained immunity and its role in health and disease. Nat Rev Immunol 20:375, 2020. Pellicci DG et al: Thymic development of unconventional T cells: How NKT, cells MAIT cells and γδ T cells emerge. Nat Rev Immunol 20:756, 2020. Pulendran B: Immunology taught by vaccines. Science 366:1074, 2019. Travis MA, Romagnani C: How regulatory T cells are primed to aid tolerance of gut bacteria. Nature 610:638, 2022. Vinuesa CG et al: Innate virus-sensing pathways in B cell systemic autoimmunity. Science 380:478, 2023. Vivier E et al: Innate lymphoid cells: 10 years on. Cell 174:1054, 2018. 361 Mechanisms of Regulation and Dysregulation of the Immune System Barton F. Haynes, Kelly A. Cuttle, Anthony S. Fauci DEFINITIONS Anergy—A reversible tolerance mechanism in which the T or B cell is in an unresponsive state following an antigen encounter but remains alive. Chimeric antigen receptor T cells (CAR T)—Synthetic hybrid receptors created by recombinant techniques that combine an extracellular domain, usually derived from an antibody single-chain variable fragment (scFv), with intracellular signaling domains from activat ing co-stimulatory molecules (from endogenous T-cell receptors [TCRs], CD28, or 4-1BB) that allow for retargeting of T cells to antigens on malignant cells. Checkpoint inhibition therapy—A form of cancer immunotherapy whereby antibodies against T-cell or antigen-presenting cell regula tors of immune cell inhibition are used to activate cytotoxic T cells to kill tumor cells. Co-stimulation of T cells—A secondary signal that T </w:t>
      </w:r>
      <w:r w:rsidRPr="00A6019F">
        <w:lastRenderedPageBreak/>
        <w:t xml:space="preserve">cells require for activation following presentation of peptide antigen by major histo compatibility complex (MHC) molecules to TCRs on either CD4 or CD8 T cells. A prime mediator of co-stimulation is the T cell CD28 molecule binding to B7-1 (CD80, CD86) on antigen-presenting cells. Cytokines—Soluble proteins that interact with specific cellular recep tors that are involved in the regulation of the growth and activation of immune cells and mediate normal and pathologic inflammatory and immune responses. Immune homeostasis—Balanced protective immunity that does not overreact to pathogens and harm the host, and immunity that is not deficient and does not predispose the host to harmful infections or malignancies. Immunoediting—Process of immunity selecting clones of cancer cells with reduced immunogenicities resulting in tumor escape. 2785 Natural killer cells—Lymphocytes with cytotoxic potential for host cells with non-self-antigens, such as cells infected with pathogens or tumor cells expressing tumor-specific neoantigens. T-cell exhaustion—State of T cells when the persistence of antigen dis rupts memory T-cell function, resulting in defects in memory T-cell responses. Most frequently occurs in malignancies and in chronic viral infections such as HIV-1 and hepatitis C. T regulatory cells (Tregs)—CD4 or CD8 T cells regulated by the tran scription factor FOXP3 that play roles in downmodulating B- and T-cell responses in peripheral lymphoid tissues to prevent deleteri ous immune activation that can lead to autoimmune diseases. Tumor-infiltrating lymphocytes—Lymphocytes that infiltrate tumors that may be in the exhausted state and upon which checkpoint inhi bition therapy works. Tumor neoantigens—Molecules in malignant cells that develop muta tions that create non-self-antigens that are recognized by host T cells as non-self and against which tumor-infiltrating CD4 and CD8 T cells respond to reject the tumor. INTRODUCTION Immune homeostasis is the maintenance of balanced immunity that protects the host and prevents dysregulated immunity that predisposes the host to immunodeficiency, autoimmunity, malignancy, or harm ful immune responses to infectious agents. Overactivity of innate and adaptive immunity leads to autoimmunity and/or inflammatory diseases. Underactivity of immune responses can lead to both immune deficiency and autoimmunity. Disruption of immune homeostasis con tributes either directly or indirectly to many forms of disease. Thus, a major goal of immunotherapy is to either maintain immune homeosta sis or reestablish immune balance in diseases of immune dysregulation. This is an important time in the study of the biology of the immune system. The development of high-throughput genome sequencing, full genome transcriptome analysis, proteomics, metabolomics, and the realization of the importance of the human microbiome to immune system homeostasis have provided remarkable opportunities for devel opment of new treatments for immune-mediated and malignant diseases. The emerging concept is that the immune system itself can be manipulated to be used as a therapeutic intervention for cancer and also can be safely manipulated for control of autoimmune dis ease. Moreover, new data are emerging that immune dysregulation is involved in the pathogenesis of diseases not traditionally thought of as immune-related, such as </w:t>
      </w:r>
      <w:r w:rsidRPr="00A6019F">
        <w:lastRenderedPageBreak/>
        <w:t xml:space="preserve">neurodegenera tive diseases and atherosclerotic cardiovascular disease, and that the normal process of aging is associated with inflammatory processes. Thus, a new frontier of medicine is to understand basic regulatory mechanisms of the innate and adaptive immune system with the goal of learning specific rules of immune system regulation, such that eventually the immune system can be “tuned” to safely stay in the zone of immune homeostasis and, at the same time, effec tively protect against emerging and reemerging infec tious diseases or eliminate malignancies as they arise. Moreover, when inflammatory or autoimmune diseases arise, effective strategies of immune regulation can be developed to safely treat them. Thus, this chapter builds on Chap. 360, Introduction to the Immune System, to discuss T- and B-cell immu noregulation, to highlight recent successes in translating basic immunologic research into treatments of various hematopoietic and solid tumors, and to discuss mecha nisms of immune dysregulation in autoimmunity and aging. T cell cells must deliver an activating co-stimulating signal in addition to TCR ligation. To avoid responding to cells bearing self-antigens, T cells must also maintain immune tolerance. Central T-cell tolerance is maintained by autoreactive T-cell deletion in the thymus, while peripheral toler ance is either by cell apoptosis or anergy (cell intrinsic mechanisms), or maintained by extrinsic mechanism suppression by immune modulat ing cells such as regulatory T cells (Treg) (see section below, “Mecha nisms of Immune Dysregulation in Autoimmune Disease”). Thus, T-cell activation is an integral component of the adaptive immune response to pathogens as well as to tumor neoantigens. Two stimulatory signals are required for T-cell activation. One T-cell signal is delivered by antigen peptide presented in the context of MHC (Chap. 360). However, in the absence of a co-stimulating signal, the T cell will not be activated by peptide MHC alone but rather will become anergic or unresponsive. A second co-stimulatory signal is needed for T-cell activation, resulting in cytoskeletal remodeling, production of cytokines, and cell survival and differentiation. In addition to the TCR/CD3 complex (Chap. 360), T cells express a complex array of co-stimulatory as well as inhibitory molecules that bind to their respec tive receptors on the surface of antigen-presenting cells (APCs) and orchestrate both initiation and control of T-cell activation to maintain immune homeostasis (Fig. 361-1, and see Chap. 360, Table 360-1). Of these, CD28, cytotoxic T lymphocyte antigen 4 (CTLA-4), and programmed cell death protein 1 (PD-1) and their ligands were among the first to be recognized to be central to control of T-cell activation. The CD28 molecule is a member of the immunoglobulin (Ig) super family and is the original member of a subfamily of co-stimulatory or inhibitory molecules on the surface of T cells that includes CTLA-4, inducible T-cell costimulator (ICOS), PD-1, T-cell immunoreceptor with Ig and ITIM domains (TIGIT), and B- and T-cell attenuator (BTLA) (Fig. 361-1). CD28 stimulates intracellular signaling through AKT and PI3 kinase, resulting in induction of NF-κB, AP-1, and NFAT, which are all critical for T-cell activation and differentiation (Chap. 360, Fig. 360-7). CTLA-4 and PD-1 are CD28 subfamily members that control T-cell activation by inhibiting the stimulating activity of CD28 and </w:t>
      </w:r>
      <w:r w:rsidRPr="00A6019F">
        <w:lastRenderedPageBreak/>
        <w:t xml:space="preserve">other T-cell co-stimulatory molecules. CTLA-4 is a key negative regulator of T-cell activation that down modulates the T-cell response to antigen by interaction with its ligands, B7-1 and B7-2, to control unchecked T-cell proliferation. CTLA-4 is upregulated following TCR engagement with MHC/peptide, thus CHAPTER 361 Mechanisms of Regulation and Dysregulation of the Immune System APC, tumor, or other cells CTLA4 (CD152) CD28 TCR PD1 (CD279) ICOS (CD278) OX40 (CD134) GITR (CD357) CD40 4-IBB (CD137) TIM-3 BTLA-4 (CD272) TIGIT DNAM-1(CD226) LAG-3 (CD223) MECHANISMS OF REGULATION OF T-CELL ACTIVATION Key roles of T cells are to respond to and eliminate cells bearing foreign antigens and to ignore cells expressing self-antigens. To respond to foreign antigens, stimulating B7-2 (CD86) B7-1 (CD80) MHC Class I or II PD-LI (CD274) PD-L2 (CD273) ICOS-L (CD275) OX40L (CD252) GITRL CD40L (CD154) 4-IBBL (CD137L) Phosphatidylserine Galectin-9 HVEM CD155 CD112 MHC Class II FIGURE 361-1 Regulatory stimulating or inhibiting molecules on T cells or antigen-presenting cells (APCs), tumor cells, or other cells. 2786 PART 11 Immune-Mediated, Inflammatory, and Rheumatologic Disorders APC CTLA4 T cell PI3K and AKT signaling Ca2+ and MAPK signaling Cell intrinsic signaling? Competitive inhibition Other signaling? Tumor cell APC APC pMHC TCR A B Attenuation Activation Therapy APC PD-1 PD-1 B7-1 B7-2 B7-1 B7-2 B7-1 B7-2 PD-1 anti-PD-L1 Enhanced effector activity Enhanced effector activity anti PD-1 anti CTLA4 Tumor cell Tumor cell SHP2 PD-1 PD-L1 PD-L2 B7-1 P7-2 CD28 TCR pMHC PD-L1 PD-L1 CTLA4 CTLA4 CD28 CD28 SHP2 FIGURE 361-2 Molecular mechanisms of CTLA-4 and PD-1 attenuation of T-cell activation and schematic of the molecular mechanisms of action of CTLA-4 and PD-1 blockade. A. Schematic of the molecular interactions and downstream signaling induced by ligation of CTLA-4 and PD-1 by their respective ligands. The possibility of additional downstream cell-intrinsic signaling mechanisms is highlighted for both CTLA-4 and PD-1. B. The stepwise progression of T-cell activation, attenuation by normal regulatory mechanisms, and release of such negative regulation by therapeutic intervention using anti-CTLA-4 or anti-PD-1 antibodies is outlined. (Reprinted from Cancer Discovery, 2018,8/9, 1069–1086, SC Wei et al: Fundamental Mechanisms of Immune Checkpoint Blockade Therapy, with permission from AACR.) TABLE 361-1 Monogenetic Mutations That Lead to Immune Dysregulation and Autoimmunity MUTATIONS AND FUNCTIONAL DEFICITS DISEASES OR SYNDROME RAG1, RAG2; lymphopenia with recombinase deficiency Severe combined immune deficiency (Omenn’s syndrome) with autoreactive T cells Fas, FasL, CASP10; apoptosis defects Autoimmune lymphoproliferative disease AIRE, deletion chromosome 22q11.2; decrease in central tolerance Ch. 22q11.2: DiGeorge’s syndrome with autoimmune T cells AIRE: autoimmunity, polyneuropathy, candidiasis, ectodermal dysplasia (APECED syndrome) FOXP3, CD25, CTLA-4, LRBA; decrease in peripheral immune tolerance with decrease in Treg function FOXP3: IPEX syndrome (immune dysregulation, polyendocrinopathy, enteropathy, X-linked) CD25: enteropathy, dermatitis, autoimmunity, susceptibility to infections CTLA-4: associated with multiple </w:t>
      </w:r>
      <w:r w:rsidRPr="00A6019F">
        <w:lastRenderedPageBreak/>
        <w:t xml:space="preserve">autoimmune syndromes LRBA: infant with enteritis; hypogammaglobulinemia, autoimmune cytopenias STAT-1, STAT-3; modulation of type 1 interferons STAT-1 deficiency: decreased IFN-γ, susceptible to TB STAT-1 gain of function: chronic mucocutaneous candidiasis with autoimmune diseases STAT-3 deficiency: hyper-IgE syndrome (Job’s syndrome) STAT-3 gain of function: lymphopenia, autoimmune cytopenias, diabetes, enteropathy C1q, C1r/s, C2, C4; complement deficiencies Systemic lupus erythematosus (SLE) FcfRII, FcfRIII, C-reactive protein, complement receptor for C3bi (ITGAM or compliment receptor 3), COPA, tripeptidyl peptidase; lack of removal of cell debris FcfII, FcfIII, CRP, complement receptor for C3bi: systemic lupus erythematosus COPA: autoimmune lung, renal, joint disease Tripeptidyl peptidase II: susceptibility to bacterial, viral, and fungal pathogens Phosphoinositide-3-kinase delta (PI3Kc), phospho-lipase Cf2, protein kinase Cc (PKCc) deficiency, protein kinase Cc (PKCc) deficiency; hyperactivation of lymphocytes PI3Kc: lymphoproliferation, respiratory infections, hypogammaglobulinemia Phospholipase Cf2: cold urticaria, antibody deficiency, autoimmunity PKCc: early-onset SLE with decreased B-cell apoptosis, autoantibody-mediated renal disease and lymphoproliferation Activation-induced cytidine deaminase (AID); class-impaired B-cell development Hyper IgM syndrome type 2, low IgA, IgG, recurrent bacterial switch recombination; infections, autoimmune cytopenias, SLE Abbreviations: APECED, autoimmune polyendocrinopathy-candidiasis-ectodermal dystrophy; AIRE, autoimmune regulator; COPA, gene encodes the non-clathrin-coated vesicular coat protein, COP-alpha; CTLA-4, cytotoxic T lymphocyte associated protein-4; FcγR, Fcγ receptor; FOXP3, forkhead box P3; IFN, interferon; ITGAM, integrin alpha M; LRBA, lipopolysaccharide (LPS)-responsive and beige-like anchor protein; RAG, recombinase activating gene; STAT, signal transducer and activator of transcription; TB, tuberculosis; Treg, T regulatory cell. Source: B Grimbacher et al: The crossroads of autoimmunity and immunodeficiency: Lessons from polygenic traits and monogenic defects. J Allergy Clin Immunol 137:3, 2016. dampening TCR signaling by competing with CD28 binding to B7 ligands (B7-1 [CD80] and B7-2 [CD86]) on APCs by virtue of higher affinity of CTLA-4 for B7 ligands. In this manner, T cells respond to foreign antigen but are prevented from damaging host tissues due to overexuberant responses (Fig. 361-2A). CTLA-4 thus mediates its dampening effect on T-cell activation by competing with T-cell CD28 binding to B7 receptors, as well as through the suppressive effect of CTLA-4-positive Tregs. The human CTLA4 gene is just one of several genes in which monogenetic mutations are associated with decreased Treg function and autoimmune syndromes (Table 361-1). PD-1 is also a major inhibitory molecule of T-cell activation by interaction with its ligands PD-L1 and PD-L2 on APCs (Fig. 361-1). While initially thought to be a cell death receptor, PD-1 is expressed upon activation of T and B cells and is also a marker of T follicular helper CD4+ T cells in B-cell germinal centers. PD-1 acts to dampen T-cell activation by dephosphorylation of CD28 via the Src homology region 2–containing protein tyrosine phosphatase 2 (SHP2). Although a marker of immune cell activation, </w:t>
      </w:r>
      <w:r w:rsidRPr="00A6019F">
        <w:lastRenderedPageBreak/>
        <w:t xml:space="preserve">PD-1 is also a marker for exhausted T cells. T-cell exhaustion is an important mechanism of maintaining immune homeostasis and preventing host tissue T-cell Mechanisms of Regulation and Dysregulation of the Immune System 2787 CHAPTER 361 damage, but also leads to immune dysfunction in the setting of chronic antigenic stimulation such as occurs in chronic viral diseases (HIV-1, hepatitis C) and in cancer. Chronic viral diseases and tumors lead to transcriptional and metabolic signatures that define the exhausted T-cell state. T-cell exhaustion has been a major roadblock to overcome for successful cancer immunotherapy. CHECKPOINT INHIBITION THERAPY FOR CANCER The field of immune checkpoint therapy has joined surgery, radiation, chemotherapy, and targeted therapy as a mainstay for cancer therapy. There are now an extensive number of therapeutic monoclonal anti bodies approved by the U.S. Food and Drug Administration (FDA), initially starting with melanoma in 2011–2014 and now available for a wide range of malignancies including kidney, lung, liver, head and neck, and gastric tumors (Table 361-2). Both CTLA-4 and PD-1 blockade have proved remarkably successful in treating a number of tumors, but only in a fraction of patients. Because each receptor ligand pair regulates distinct T-cell inhibitory pathways, combination therapy using anti-PD-1 and anti-CTLA-4 antibodies has been especially useful and has induced significant tumor regression in ~50% of melanoma patients. What is different in the use of checkpoint inhibitor antibod ies is that the therapy is not targeted to the tumor per se, but rather is targeted to immunoregulatory molecules on host T cells. Moreover, therapy is not targeted to specific molecules on tumors, but rather is targeted to release exhausted tumor-infiltrating T cells (TILs) to be activated to kill tumor cells by removing immune regulatory inhibition. CTLA-4 induces tumor rejection by a number of mechanisms. First, anti-CTLA-4 antibody mediates direct blockade of CTLA-4 competition with CD28 for B7-1 and B7-2 co-stimulatory ligands, thus allowing CD28-mediated T-cell activation (Fig. 361-2B). Tumor cells do not express B7 molecules; thus, CTLA-4 blockade likely occurs in tumor-draining lymph nodes where exhausted T cells interact with APCs presenting tumor neoantigens to T cells. A second mechanism of CTLA-4 blockade–induced tumor rejection is depletion or reduction in suppressive effects of Tregs. Suppressive effect of Tregs include secre tion of immunosuppressive cytokines such as transforming growth factor (TGF)-β or interleukin- (IL) 10 or by direct inhibition of T-cell TABLE 361-2 Summary of the Tumor Types for Which Immune Checkpoint Blockade Therapies Are Approved by the U.S. Food and Drug Administration (FDA) TUMOR TYPE THERAPEUTIC AGENT TARGET FDA APPROVAL YEAR Melanoma Ipilimumab CTLA-4 2011 Melanoma Nivolumab PD-1 2014 Melanoma Pembrolizumab PD-1 2014 Non-small-cell lung cancer Nivolumab PD-1 2015 Non-small-cell lung cancer Pembrolizumab PD-1 2015 Melanoma (BRAF wild-type) Ipilimumab + nivolumab CTLA-4 + PD-1 2015 Melanoma (adjuvant) Ipilimumab CTLA-4 2015 Renal cell carcinoma Nivolumab PD-1 2015 Hodgkin’s lymphoma Nivolumab PD-1 2016 Urothelial carcinoma Atezolizumab PD-L1 2016 Head and neck squamous cell carcinoma Nivolumab PD-1 2016 Head and neck squamous cell </w:t>
      </w:r>
      <w:r w:rsidRPr="00A6019F">
        <w:lastRenderedPageBreak/>
        <w:t xml:space="preserve">carcinoma Pembrolizumab PD-1 2016 Melanoma (any BRAF status) Ipilimumab + nivolumab CTLA-4 + PD-1 2016 Non-small-cell lung cancer Atezolizumab PD-L1 2016 Hodgkin’s lymphoma Pembrolizumab PD-1 2017 Merkel cell carcinoma Avelumab PD-L1 2017 Urothelial carcinoma Avelumab PD-L1 2017 Urothelial carcinoma Durvalumab PD-L1 2017 Urothelial carcinoma Nivolumab PD-1 2017 Urothelial carcinoma Pembrolizumab PD-1 2017 MSI-high or MMR-deficient solid tumors of any histology Pembrolizumab PD-1 2017 MSI-high, MMR-deficient metastatic colorectal cancer Nivolumab PD-1 2017 Pediatric melanoma Ipilimumab CTLA-4 2017 Hepatocellular carcinoma Nivolumab PD-1 2017 Gastric and gastroesophageal carcinoma Pembrolizumab PD-1 2017 Non-small-cell lung cancer Durvalumab PD-L1 2018 Renal cell carcinoma Ipilimumab + nivolumab CTLA-4 + PD-1 2018 Endometrial cancer Dostarlimab PD-1 2021 Melanoma Relatlimab + nivolumab LAG-3 + PD-1 2022 Liver cancer Tremelimumab CTLA-4 2022 Merkle cell cancer Retifanlimab PD-1 2023 Nasopharyngeal carcinoma, esophageal squamous cell carcinoma Toripalimab PD-1 2023 Note: A summary of the tumor indications, therapeutic agents, and year of FDA approval for immune checkpoint blockade therapies. FDA approval includes regular approval and accelerated approval granted as of December 2023. Ipilimumab is an anti-CTLA-4 antibody. Nivolumab and pembrolizumab are anti-PD-1 antibodies. Atezolizumab, avelumab, and durvalumab are anti-PD-L1 antibodies. Tumor type reflects the indications for which treatment has been approved. Only the first FDA approval granted for each broad tissue type or indication for each therapeutic agent is noted. In cases where multiple therapies received approval for the same tumor type in the same year, agents are listed alphabetically. Abbreviations: BRAF, v-raf murine sarcoma viral oncogene, homolog B1; MMR, mismatch repair; MSI, microsatellite instability. Source: Reprinted from Cancer Discovery, 2018,8/9, 1069–1086, WC Spencer et al: Fundamental mechanisms of immune checkpoint blockade therapy, with permission from AACR. 2788 PART 11 Immune-Mediated, Inflammatory, and Rheumatologic Disorders proliferation and/or cytolytic activity. A third potential mechanism of anti-CTLA-4 blockade is remodeling and broadening of the peripheral TCR repertoire for tumor antigens. Evidence suggests that the effects of anti-CTLA-4 antibody are restricted primarily to tumor neoantigen specific CD8 T cells within the tumor microenvironment and not to T cells in lymph nodes or spleen. PD-1 blockade by PD-1 antibody also induces tumor regression by reversing T-cell exhaustion, leading to enhanced T-cell killing of tumor cells. Optimal PD-1 antibody-mediated checkpoint inhibition is seen when infiltrating CD8 T cells are present in the tumor micro environment and reversal of the exhausted T-cell state can occur in situ. PD-1 blockade can also act by reversal of metabolic reprogram ming of exhausted T cells, leading to enhanced cytolytic T-cell effector function. Antibodies to the primary PD-1 receptor, PD-L1, are also sufficient to induce reversal of T-cell exhaustion and induce tumor killing and are approved by the FDA for treatment of non-small-cell lung cancer (Table 361-2). PD-L1 is induced on tumor cells by TH 1 cytokines, which may explain anti-PD-L1 </w:t>
      </w:r>
      <w:r w:rsidRPr="00A6019F">
        <w:lastRenderedPageBreak/>
        <w:t xml:space="preserve">efficacy since TH 1 cytokines drive cytotoxic T-cell responses (Chap. 360). Efficacy of anti-PD-L1 may also be due in part to mediation of antibody-dependent cellular cytotoxicity (ADCC) killing of tumor cells (Chap. 360). Tumor cells express neoantigens that are targets for T-cell recogni tion in the tumor microenvironment. Immune pressure within the tumor microenvironment can select for tumor cells that present few or mutated neoantigens and thus escape ongoing antitumor immunity. Moreover, a low number of tumor-infiltrating lymphocytes, tumor microenvironment production of immunosuppressive indoleamine 2,3-dioxygenase (IDO), and tumor infiltration with either myeloid derived suppressor cells or Tregs can also limit checkpoint blockade therapy. Other strategies for improving the immunoregulation of antitumor responses include combinations of anti-PD-1, anti-CTLA-4, or anti PD-L1 antibodies with other checkpoint inhibitors (see Chap. 360, Table 360-1, and Fig. 361-1). For example, engagement of the ICOS pathway enhances the efficacy of CTLA-4 blockade in animal models of cancer immunotherapy. T-cell immunoglobulin and mucin-domain containing-3 (TIM-3), TIGIT, or lymphocyte-activation gene 3 (LAG-3) inhibition has been suggested to enhance checkpoint inhibition and augment CD8 tumor cell killing. A new transcription factor, thymo cyte-selection-associated high mobility box (TOX), has been defined as a key controller of CD8 T-cell exhaustion. Thus, TOX inhibition could synergize with checkpoint inhibition therapy to reverse the T-cell exhaustion state. The combination of checkpoint inhibition with other cancer treatments including chemotherapy, radiation, tumor signaling pathway inhibitors, and epigenetic modulators is being tested. Modified mRNAs have revolutionized the field of infectious disease vaccine development, and this technology is now being applied to cancer vaccine development. Tumor neoantigens are being sequenced from individual patients, and mRNAs that encode them are being studied for their ability to boost antitumor CD8 T-cell responses. Messenger RNAs that encode individualized tumor antigens are being tested with checkpoint inhibitors such as pembrolizumab (anti-PD-1) or with traditional chemotherapy. Anti-PD-L1 antibodies also mediate antitumor effects by ADCC, which utilizes natural killer (NK) effector cells (Chap. 360). Indeed, a number of checkpoint inhibitor molecules have been found to be expressed on NK cells including CTLA-4, PD-1, LAG-3, TIGIT, and TIM-3 (Fig. 361-1; see also Chap. 360, Table 360-1). A new field of work is to target NK cells with existing checkpoint inhibitors and with antibodies against an NK-specific inhibitory molecule, NKG2A, that are designed release NK cells to kill tumor cells. One such anti-NKG2A antibody, monalizumab, has entered human clinical trials. NK cells also express natural cytotoxicity-activating receptors including NKp30, NKp44, and NKp46 receptors (Chap. 360). Engagement of natural cytotoxicity-activating receptors in concert with the NK FcγRIII (CD16) and antibody against a tumor antigen also can enhance NK cell targeting of tumor antigens and is in preclinical development. An important consequence of checkpoint blockade for cancer treat ment is the frequent occurrence of immune-related adverse events (irAEs). Clinically, irAEs occur most often at skin, lungs, and the gastrointestinal (GI) </w:t>
      </w:r>
      <w:r w:rsidRPr="00A6019F">
        <w:lastRenderedPageBreak/>
        <w:t xml:space="preserve">tract—barrier sites to invading antigens. Colitis is among the most common irAE. Endocrinopathies with organ-specific autoantibodies such as antithyroid or antipituitary antibodies have also been reported. While the pathophysiology of irAEs is not fully known, it is likely that both checkpoint inhibitor–released autoimmunity with decreased inhibition of Treg cell function and bystander activation of immune cells with nonspecific inflammation contribute to checkpoint inhibitor side effects. The makeup of the gut microbiome can affect the efficacy of checkpoint inhibition therapy, and in addition, certain microbiome bacterial strains are associated with the occurrence of irAEs. CHIMERIC ANTIGEN RECEPTOR T CELLS Chimeric antigen receptor (CAR) T cells are synthetic hybrid recep tors created by recombinant techniques that combine an extracellular domain, usually derived from an antibody single-chain variable frag ment (scFv), with intracellular signaling domains from activating co-stimulatory molecules (from endogenous TCRs, CD28, or 4-1BB) that allow for retargeting of T cells to antigens on malignant cells (Fig. 361-3). A CAR T cell targeting the CD19 molecule on malignant B cells provided the first and most promising therapeutic results in the treatment of B-cell malignancies, with complete response rates of 70–90%. CAR T cells targeting the NY-ESO antigen on sarcoma cells have induced remissions in patients with synovial cell sarcoma. CAR T cells targeting B-cell maturation antigen (BCMA) on myeloma cells have also induced clinical responses. The CAR T-cell strategy is being developed for targeting solid tumors and modified as universal CAR T cells to overcome the need for MHC matching with T CAR recipients. One such strategy is to modify T cells to release cytokine, express co stimulatory ligands, or secrete checkpoint-blocking single-chain vari able fragment (scFvs). The next generation of CAR T cells are known as T cells redirected for universal cytokine-mediated killing (TRUCKs). Cytokine-secreting tumor-specific T cells could harness the adjuvant effect of recombinant cytokines by local delivery to the tumor to decrease cytokine side effects of excess inflammation, termed cytokine release syndrome, that can be seen with CAR T-cell therapy. Messenger RNAs that encode for tumor antigens are now being combined with CAR T cells with specificity for the same tumor antigens to expand tumor-specific CAR T cells and amplify their therapeutic effect. Cancer cell T cell A Antigen MHC complex NY-ESO antigen CAR antigen CD19 Anti-CD19 CAR T-cell receptor (TCR) Chimeric antigen receptor (CAR) Target antigen: CD19 anti-CD19 scFV costim. motif (CD28 or 4-1BB) TCR signaling motif (CD3z) Chimeric antigen receptor (CAR) B cell cancer CAR T cell Output • Killing • Proliferation • Cytokines B FIGURE 361-3 Platforms for redirecting T cells to cancer. A. T-cell receptors (TCRs; e.g., anti-NY-ESOI) or chimeric antigen receptors (CARs; e.g., anti-CD19 CAR). B. CAR structure includes an extracellular antigen recognition domain fused to intracellular TCR signaling domains (CD3z) and co-stimulatory domains (e.g., CD28 or 4-1BB). (Reproduced with permission from WA Lim, CH June: The principles of engineering immune cells to treat cancer. Cell 168:724, 2017.) Mechanisms of Regulation and Dysregulation of the Immune System 2789 CHAPTER 361 TABLE 361-3 Immune Tolerance Checkpoints in T- and B-Cell Immunity </w:t>
      </w:r>
      <w:r w:rsidRPr="00A6019F">
        <w:lastRenderedPageBreak/>
        <w:t xml:space="preserve">CENTRAL TOLERANCE PERIPHERAL TOLERANCE THYMUS PERIPHERAL LYMPHOID TISSUES– TCR editing by V(D)J– B- and T-cell anergy and inhibitory signaling (CTLA-4, PD-1, and other checkpoint molecules)– Thymic negative selection– TCR or BCR induction of BIM– T-cell anergy and inhibitory signaling– T-cell competition for IL-2, IL-7, IL-15, and peptide-MHC– T regulatory cell differentiation– B-cell competition for survival cytokine BAFF  – T-cell growth dependence on CD28 ligands and other co-stimulatory molecules  – Elimination of antigen-bearing dendritic cells by activated T cells producing perforin or FasL  – Suppression of T- and B-cell responses by T regulatory cells and TGF-β, IL-10  – T-cell death by FasL  – Regulation of T follicular helper cell differentiation and function BONE MARROW– B-cell growth dependence on BCR ligands– Immature B cell maturation arrest– B-cell growth dependence on TCR ligands– BCR editing by V(D)J recombination– B-cell death by FasL on T cells– Immature B cell deletion– BCR modulation of plasma cell differentiation  – BCR-induced death of germinal center B cells  – Germinal center B-cell dependence on T follicular helper cells (CD40L, IL-21) Abbreviations: BAFF, B cell activating factor; BCR, B-cell receptor; BIM, Bcl-2-like protein 11; FasL, Fas ligand that binds to the death receptor; IL, interleukin; MHC, major histocompatibility complex; TCR, T cell receptor; TGF-β, transforming growth factor beta; V(D)J, variable, diversity, joining regions of antibody V region. Source: Adapted from CG Goodnow: Multistep pathogenesis of autoimmune disease. Cell 130:25, 2007. MECHANISMS OF IMMUNE DYSREGULATION IN AUTOIMMUNE DISEASE Autoimmune diseases occur in ~5% of people and are caused by immune dysregulation from breakdowns in immune tolerance. A complex array of immune checkpoints is involved in the maintenance of immune homeo stasis and, when mutated, can result in autoimmune syndromes (Table 361-1 and Table 361-3). Central tolerance for deletion of autoreac tive T cells or modification of their TCRs occurs in the thymus, and for B cells with self-reactive B-cell receptors, central deletion occurs in bone marrow. Peripheral tolerance occurs in lymph nodes, spleen, and tissue associated lymphoid tissue such as gastrointestinal tract Peyer’s patches. The sites and modes of peripheral tolerance are varied and reflect the complex cellular and cytokine interactions that occur in mediation of T- and B-cell adaptive immunity (Chap. 360). While B- and T-cell dele tion by immune cell apoptosis can occur in the periphery, peripheral tolerance can also occur with cell inactivation termed anergy, a state of immune unresponsiveness following contact with antigen. T- and B-cell responses are also dampened in the periphery by Tregs producing TGF-β and IL-10. The result of immune dysregulation in autoimmune disease is the production of a myriad of antibodies against self-antigens (autoanti bodies), many of which are pathogenic for the clinical manifestations of the autoimmune disease (Table 361-4). Tregs are CD4 or CD8 T cells that downmodulate B- and T-cell responses in peripheral lymphoid tissues to prevent autoimmune dis eases, and the transcriptional regulator FOXP3 is centrally involved in the establishment of the Treg phenotype. Mutations in genes that lead to loss of Tregs or their function result in autoimmune and inflam matory syndromes (Table 361-1). Mutations in FOXP3 lead to an </w:t>
      </w:r>
      <w:r w:rsidRPr="00A6019F">
        <w:lastRenderedPageBreak/>
        <w:t>X-linked syndrome characterized by immune dysregulation, polyendo crinopathy, and enteropathy (IPEX). Similarly, mutations in the CD25 (IL-2 receptor α) molecule expressed on Tregs lead to enteropathy, dermatitis, other manifestations of autoimmunity, and susceptibility to infections. Mutations in the checkpoint inhibitor T-cell molecule CTLA-4—also expressed on Tregs—lead to loss of Treg function and result in multiple autoimmune syndromes in humans depending on the CTLA-4 mutation. In mice, knockout of the ctla4 gene leads to massive uncontrolled lymphoproliferation and early death. Finally, mutations in the lipopolysaccharide (lipopolysaccharide-responsive and beige-like anchor [LRBA]) protein cause a syndrome in infants characterized by enteritis, hypogammaglobulinemia, and autoimmune cytopenias. Chronic viral infections can perturb Treg number and function. In HIV-1 infection, chronic antigenic stimulation leads to shifts in the B-cell repertoire toward an autoimmune permissive state, with increased numbers of autoreactive B cells and decreased CD4+ Tregs leading to serum autoantibodies or clinical manifestations of autoim mune disease in ~50% of untreated HIV-1-infected individuals. In addition to checkpoint inhibition for cancer immunotherapy, monoclonal antibodies can be used for immune modulation to correct dysregulated immunity in autoimmune diseases to restore normal levels of immunoregulatory tolerance control. Monoclonal therapies have been developed and successfully used for the treat ment of autoimmune and inflammatory diseases (Table 361-5). Some of the monoclonal antibodies such as anti-CD20 (rituximab) have also been used for the treatment of B-cell malignancies. CTLA 4-Fc has been developed to prevent CD28-induced T-cell activation, resulting in immune suppression for rheumatoid arthritis (RA) and transplantation. TNF-α has been shown to play a central role in RA pathogenesis, and anti-TNF-α antibodies have been successful in treatment of RA and are approved for other autoimmune syndromes including other forms of arthritis, inflammatory bowel disease, and psoriasis. Antibodies against α4 integrin block the migration of α4β7+ T cells to the gastrointestinal tract and are used to treat inflammatory bowel disease (IBD). The TH 17 cytokine IL-17 has been found to be overproduced in psoriasis, and monoclonal anti IL-17 antibody therapy for psoriasis is now approved by the FDA (Chap. 60). Tregs are therapeutic candidates for restoring immune tolerance in autoimmune and autoinflammatory diseases, with the prospect of reducing or replacing immunosuppressive drugs. Like CAR T cells, Treg therapy involves expanding autologous Treg cells in vitro and reinfusing them into individuals with autoimmune or inflammatory diseases. To make Treg therapy more targeted for suppression of antigen-specific immune responses, CAR T technology is being used to redirect Tregs to pathogenic T and B cells. Treg cellular therapy is in human clinical trials for the treatment of graft-versus-host disease in the setting of transplantation and for prevention of progression of type 1 diabetes mellitus (Chap. 416). IMMUNE DYSREGULATION IN AGING Aging of the immune system in humans is characterized by decline in both innate and adaptive immunity. Aging is also paradoxically asso ciated with a state of chronic inflammation, termed “inflammaging,” 2790 PART 11 Immune-</w:t>
      </w:r>
      <w:r w:rsidRPr="00A6019F">
        <w:lastRenderedPageBreak/>
        <w:t xml:space="preserve">Mediated, Inflammatory, and Rheumatologic Disorders Recombinant or Purified Autoantigens Recognized by Autoantibodies Associated with Human Autoimmune Disorders AUTOANTIGEN AUTOIMMUNE DISEASES Cell- or Organ-Specific Autoimmunity Acetylcholine receptor Myasthenia gravis Actin Chronic active hepatitis, primary biliary cirrhosis Adenine nucleotide translator (ANT) Dilated cardiomyopathy, myocarditis β-Adrenoreceptor Dilated cardiomyopathy Aromatic l-amino acid decarboxylase Autoimmune polyendocrine syndrome type 1 (APS-1) Asialoglycoprotein receptor Autoimmune hepatitis Bactericidal/permeability-increasing protein (Bpi) Cystic fibrosis vasculitides Calcium-sensing receptor Acquired hypoparathyroidism Cholesterol side-chain cleavage enzyme (CYP11a) Autoimmune polyglandular syndrome 1 Citrullinated proteins Rheumatoid arthritis Collagen type IV-α3-chain Goodpasture’s syndrome Cytochrome P450 2D6 (CYP2D6) Autoimmune hepatitis Desmin Crohn’s disease, coronary artery disease Desmoglein 1 Pemphigus foliaceus Desmoglein 3 Pemphigus vulgaris F-actin Autoimmune hepatitis GM gangliosides Guillain-Barré syndrome Glutamate decarboxylase (GAD65) Type 1 diabetes, stiff-person syndrome Glutamate receptor (GLUR) Rasmussen encephalitis H/K ATPase Autoimmune gastritis 17-α-Hydroxylase (CYP17) Autoimmune polyglandular syndrome 1 21-Hydroxylase (CYP21) Addison’s disease IA-2 (ICA512) Type 1 diabetes Insulin Type 1 diabetes, insulin hypoglycemic syndrome (Hirata’s disease) Insulin receptor Type B insulin resistance, acanthosis, systemic lupus erythematosus Intrinsic factor type 1 Pernicious anemia Leukocyte function-associated antigen (LFA-1) Treatment-resistant Lyme arthritis Myelin-associated glycoprotein (MAG) Polyneuropathy Myelin-basic protein Multiple sclerosis, demyelinating diseases Myelin oligodendrocyte glycoprotein (MOG) Multiple sclerosis Myosin Rheumatic fever p-80-Collin Atopic dermatitis Pyruvate dehydrogenase complex-E2 (PDC-E2) Primary biliary cirrhosis Sodium iodide symporter (NIS) Graves’ disease, autoimmune hypothyroidism SOX-10 Vitiligo Thyroid and eye muscle shared protein Thyroid-associated ophthalmopathy Thyroglobulin Autoimmune thyroiditis Thyroid peroxidase Autoimmune Hashimoto’s thyroiditis Thyrotropin receptor Graves’ disease Tissue transglutaminase Celiac disease Transcription coactivator p75 Atopic dermatitis Tryptophan hydroxylase Autoimmune polyglandular syndrome 1 Tyrosinase Vitiligo, metastatic melanoma Tyrosine hydroxylase Autoimmune polyglandular syndrome 1 Systemic Autoimmunity  Adrenocorticotropic hormone (ACTH) ACTH deficiency Aminoacyl-tRNA histidyl synthetase Myositis, dermatomyositis (Continued) AUTOANTIGEN AUTOIMMUNE DISEASES Aminoacyl-tRNA synthetase (several) Polymyositis, dermatomyositis Cardiolipin Systemic lupus erythematosus, antiphospholipid syndrome Carbonic anhydrase II Systemic lupus erythematosus, Sjögren’s syndrome, systemic sclerosis Collagen (multiple types) Rheumatoid arthritis, systemic lupus erythematosus, progressive systemic sclerosis Centromere-associated proteins Systemic sclerosis DNA-dependent nucleoside stimulated ATPase Dermatomyositis Fibrillarin Scleroderma Fibronectin Systemic lupus erythematosus, rheumatoid </w:t>
      </w:r>
      <w:r w:rsidRPr="00A6019F">
        <w:lastRenderedPageBreak/>
        <w:t xml:space="preserve">arthritis, morphea Glucose-6-phosphate isomerase Rheumatoid arthritis β2-Glycoprotein I (B2-GPI) Primary antiphospholipid syndrome Golgin (95, 97, 160, 180) heat shock protein Sjögren’s syndrome, systemic lupus erythematosus, rheumatoid arthritis, various immune-related disorders Hemidesmosomal protein 180 Bullous pemphigoid, herpes gestationis, cicatricial pemphigoid Histone H2A-H2B-DNA Systemic lupus erythematosus IgE receptor Chronic idiopathic urticaria Keratin-8 Rheumatoid arthritis Ku-DNA-protein kinase Systemic lupus erythematosus Ku-nucleoprotein La phosphoprotein (La 55-B) Connective tissue syndrome Sjögren’s syndrome Myeloperoxidase Necrotizing and crescentic glomerulonephritis, systemic vasculitis Proteinase 3 (PR3) Granulomatosis with polyangiitis (Wegener’s), Churg-Strauss syndrome RNA polymerase I–III (RNP) Systemic sclerosis, systemic lupus erythematosus Signal recognition protein (SRP54) Polymyositis Topoisomerase-1 (Scl-70) Scleroderma, Raynaud’s syndrome Tublin Chronic liver disease, visceral leishmaniasis Vimentin Systemic autoimmune disease Plasma Protein and Cytokine Autoimmunity C1 inhibitor Autoimmune C1 deficiency C1q Systemic lupus erythematosus, membrane proliferative glomerulonephritis Cytokines (IL-1α, IL-1β, IL-6, TNF-α, IFN-γ IL17A, IL-17F, GM-CSF) IL-1α, IL-1β: rheumatoid arthritis, systemic sclerosis, systemic lupus erythematosus; IL-6: bacterial infections; IFN-γ: bacterial infections, varicella zoster virus reactivation; IL-17A, IL-17F: chronic mucocutaneous candidiasis; GM-CSF: pulmonary alveolar proteinosis, fungal infections Factor II, factor V, factor VII, factor VIII, factor IX, factor X, factor XI, thrombin vWF Prolonged coagulation time Glycoprotein IIb/IIIg and Ib/IX Autoimmune thrombocytopenia purpura IgA Immunodeficiency associated with systemic lupus erythematosus, pernicious anemia, thyroiditis, Sjögren’s syndrome, and chronic active hepatitis Oxidized LDL (OxLDL) Atherosclerosis Cancer and Paraneoplastic Autoimmunity Amphiphysin Neuropathy, small-cell lung cancer Cyclin B1 Hepatocellular carcinoma DNA topoisomerase II Liver cancer TABLE 361-4 Mechanisms of Regulation and Dysregulation of the Immune System 2791 CHAPTER 361 AUTOANTIGEN AUTOIMMUNE DISEASES Desmoplakin Paraneoplastic pemphigus Gephyrin Paraneoplastic stiff-person syndrome Hu proteins Paraneoplastic encephalomyelitis Neuronal nicotinic acetylcholine receptor Subacute autonomic neuropathy, cancer p53 Cancer, systemic lupus erythematosus p62 (IGF-II mRNA-binding protein) Hepatocellular carcinoma (China) AUTOANTIGEN AUTOIMMUNE DISEASES Recoverin Cancer-associated retinopathy Ri protein Paraneoplastic opsoclonus myoclonus ataxia βIV spectrin Lower motor neuron syndrome Synaptotagmin Lambert-Eaton myasthenic syndrome Voltage-gated calcium channels Lambert-Eaton myasthenic syndrome Yo protein Paraneoplastic cerebellar degeneration TABLE 361-4 Recombinant or Purified Autoantigens Recognized by Autoantibodies Associated with Human Autoimmune Disorders (Continued) Abbreviations: ATPase, enzymes that catalyze hydrolysis of adenosine; Histone 2A and 2B, core histone proteins at the periphery of the nucleosome; Hu proteins, neuronal molecules; IGF-II, insulin-like growth factor-2; Ku, </w:t>
      </w:r>
      <w:r w:rsidRPr="00A6019F">
        <w:lastRenderedPageBreak/>
        <w:t xml:space="preserve">protein complex for DNA repair; La, Sjogren’s syndrome antigen B (SSB) involved in RNA processing; RI, ribonuclease inhibitor; SOX-10, SRY-related HMG-box-10 transcription factor; Yo antigen, cellular degeneration-related antigen. Source: From A Lernmark et al: J Clin Invest 108:1091, 2001; G Ceppelano et al: Am J Clin Exp Immunol 1:136, 2012; C-L Ku et al: Hum Genet 139:783, 2020. TABLE 361-5 Monoclonal Antibodies Approved for Clinical Use in Autoimmune Disease, Some of Which Are Also Used in Malignanciesa TARGET MOLECULE FUNCTION FDA-APPROVED mAbs, TRAPS, AND BISPECIFIC mAbs AUTOIMMUNE/ INFLAMMATORY MALIGNANCY OTHER/COMMENTS CD52 Marker of T and B lymphocyte subsets Alemtuzumab (Lemtrada) Multiple sclerosis Chronic lymphocytic leukemia Trade name changed from Campath-1H (cancer) to Lemtrada (multiple sclerosis) Humanized IgG1k CD25 Alpha-chain of the IL-2 receptor Basiliximab (Simulect) Multiple sclerosis Basiliximab: chimeric mouse/ human IgG1k   Daclizumab (Zenapax) Transplant rejection Daclizumab: humanized IgG1 CD20 Participates in B-cell differentiation Obinutuzumab (Gazyva) Ibritumomab tiuxetan (Zevalin) Rheumatoid arthritis B-cell malignancies Obinutuzumab is the first approved glycoengineered IgG1 mAb with enhanced ADCC   Tositumomab (Bexxar)a Ofatumumab (Arzerra) Rituximab (Rituxan)   Rituximab is chimeric mouse/ human IgG1k Ibritumomab tiuxetan and tositumomab are radio conjugates that can be used when tumors stop responding to the anti-CD20 mAbs      Ibritumomab and tositumomab are mouse IgG2a α4 β7 integrin (LPAM) Block immune cell migration Vedolizumab (Entyvio) Ulcerative colitis, Crohn’s disease  Humanized IgG1 CD80/CD86 Provide co-stimulatory signals necessary for T-cell activation and survival; ligand trap prevents activation of CD28 immune checkpoint resulting in immune suppression Belatacept (Nulojix) Abatacept (Orencia) (both CTLA-4-Fc fusion proteins)   Rheumatoid arthritis Transplant rejection    IGF-IR Human IgG1; binds insulin like growth factor-1 receptor on orbital fibroblasts and decreases inflammatory cytokine production Teprotumumab (Tepezza) Thyroid eye disease   TNF-α Inflammatory cytokine that drives multiple autoimmune diseasesa Adalimumab (Humira) Certolizumab pegol (Cimzia) Golimumab (Simponi) Infliximab (Remicade) Etanercept (Enbrel) There are more than 20 anti-TNF biosimilars in various stages of development. Already approved are infliximab biosimilars (Remsima, Inflectra, Flixabi), etanercept biosimilars (Erelzi, Benepali), and adalimumab biosimilars (Amjevita). This field will change very rapidly as many dossiers are now under regulatory scrutiny. Biosimilars are given a suffix, e.g., etanercept-szzs (Erelzi) Crohn’s disease, ulcerative colitis, RA, juvenile idiopathic arthritis, psoriatic arthritis, ankylosing spondylitis, plaque psoriasis, hidradenitis suppurativa, uveitis  Not all TNF blockers are approved for all indications Drugs in italics are biosimilars: adalimumab, infliximab, infliximab, Inflectra, adalimumab-atto are IgG1k mAbs; certolizumab pegol is a pegylated Fab fragment; etanercept is a soluble Fc:TNF receptor trap that binds TNF (there is one biosimilar). At least four biosimilar TNF blockers have been approved in the EU (two each for infliximab and etanercept) (Continued) 2792 PART 11 Immune-Mediated, Inflammatory, and Rheumatologic Disorders TABLE 361-5 Monoclonal </w:t>
      </w:r>
      <w:r w:rsidRPr="00A6019F">
        <w:lastRenderedPageBreak/>
        <w:t xml:space="preserve">Antibodies Approved for Clinical Use in Autoimmune Disease, Some of Which Are Also Used in Malignanciesa TARGET MOLECULE FUNCTION FDA-APPROVED mAbs, TRAPS, AND BISPECIFIC mAbs AUTOIMMUNE/ INFLAMMATORY MALIGNANCY OTHER/COMMENTS VEGF Cytokine that stimulates vasculogenesis and angiogenesis. Overproduced in some inflammatory disorders and tumors to induce increased blood supply. Bevacizumab (Avastin) Ramucirumab (Cyramza) Aflibercept (Eylea/Zaltrap) Ranibizumab (Lucentis) Age-related macular degeneration, macular edema, diabetic macular edema, diabetic retinopathy Colorectal cancer, nonsquamous NSCLC, breast cancer, glioblastoma, renal cell carcinoma, gastric cancer or gastroesophageal junction adenocarcinoma Bevacizumab and ramucirumab are IgG1 mAbs for cancer therapy (ramucirumab was derived from phage display); ranibizumab is a Fab fragment (single arm binder). It has a short half-life if administered intravenously, but it is stable when locally injected into the eye. Aflibercept is a ligand trap with optical (Eylea) and cancer (Zaltrap) applications. IL-4 receptor alpha subunit Receptor that mediates IL-4 and IL-13-induced inflammation Dupilumab (Dupixent) Atopic dermatitis (eczema), steroid dependent asthma    IgE Binds to mast cells, basophils, and other cells that express Fc-epsilon receptor and induces release of inflammatory cytokines Omalizumab (Xolair) Asthma IgG1k mAb also used off-label to treat IgE-related conditions (allergic rhinitis, drug allergies, other) Alpha-4 integrin Alpha-4 integrin facilitates exit of inflammatory cells from blood into intestine or across the blood-brain barrier Vedolizumab (Entyvio) Natalizumab (Tysabri) Multiple sclerosis, Crohn’s disease, and ulcerative colitis  IgG4 natalizumab therapy has been associated with PML caused by John Cunningham virus in immunocompromised patients. IgG1k vedolizumab may not be associated with PML. Complement C5 Inhibits complement cascade Eculizumab (Solaris)      Pozelimab (Vepoz) Prevents destruction of red blood cells by activated complement (paroxysmal nocturnal hemoglobinuria) Treats complement hyperactivation, angiopathic thrombosis, and protein-losing enteropathy (CHAPLE)  IgG2/4 mAb          Pozelimab, IgG4 FcRn Delivers IgG antibodies to tissues Rozanolixizumab (Rustiggo) Myasthenia gravis IgG4. Rozanolixizumab binds to human neonatal Fc receptor (FcRn), thus reducing the concentration of pathogenic IgG autoantibodies. IL-1 Mutations in cryopyrin lead to overproduction of IL-1 and inflammatory disease; IL-1 also drives other inflammatory diseases Canakinumab (Ilaris) Rilonacept (Arcalyst)a Rare inflammatory syndromes, active juvenile arthritis, gouty arthritis  Canakinumab is an IgG1k mAb; rilonacept is an IL-1 trap designed from the IL-1R fused with human mAb Fc region. IL-6 Overexpression of IL-6 is associated with multiple malignancies Siltuximab (Sylvant) Pseudo malignancy: Castleman’s disease (similar to lymphoma) Murine/human chimeric IgG1κ IL-6R (IL-6 receptor) Current approvals based on role of IL-6 in promoting inflammatory autoimmune disease Tocilizumab (Actemra) Rheumatoid arthritis, polyarticular juvenile arthritis, juvenile idiopathic arthritis  Human/mouse chimeric mAb with initial approval for efficacy in RA after failure of TNF blocker BAFF (tumor necrosis factor superfamily member 13b) Role in </w:t>
      </w:r>
      <w:r w:rsidRPr="00A6019F">
        <w:lastRenderedPageBreak/>
        <w:t xml:space="preserve">proliferation and differentiation of B cells Belimumab (Benlysta) Systemic lupus erythematosus  IgG1-γ/λ SLAMF7/CD319 SLAMF7 triggers the activation and differentiation of a wide variety of immune cells (innate and adaptive immune response) perhaps primarily mediated by natural killer cells and myeloma cells Elotuzumab (Empliciti) Multiple myeloma This IgG1k mAb is thought to activate SLAMF7 receptor and to have a secondary mechanism of mediating ADCC vs multiple myeloma cells (Continued) (Continued) Primary Immune Deficiency Diseases 2793 CHAPTER 362 TABLE 361-5 Monoclonal Antibodies Approved for Clinical Use in Autoimmune Disease, Some of Which Are Also Used in Malignanciesa TARGET MOLECULE FUNCTION FDA-APPROVED mAbs, TRAPS, AND BISPECIFIC mAbs AUTOIMMUNE/ INFLAMMATORY MALIGNANCY OTHER/COMMENTS IL-5 Induces differentiation and survival of eosinophils Reslizumab (Cinqair) Mepolizumab (Nucala) Asthma Both IgG1k mAbs IL-13 Inflammatory cytokine Lebrikizumab (Ebglyss) Tralokinumab (Adtralza; Adbry) Atopic dermatitis IgG4 IL-17A Inflammatory cytokine Ixekizumab (Taltz) Secukinumab (Cosentyx) Plaque psoriasis, ankylosing spondylitis  Ixekizumab is an IgG4; secukinumab is an IgG1k IL-23p19 Mirikizumab (Omvoh)   Risankizumab (Skyrizi)  Guselkumab (Tremfya)  Ulcerative colitis    Plaque psoriasis    Plaque psoriasis  Mirikizumab humanized IgG4  Risankizumab humanized IgG4  Guselkumab humanized IgG4  aApproved for use in United States only. Note: An actively updated summary of MAb approvals can be found at www.antibodysociety.org. mAbs can be murine, chimeric (human Fc region), humanized, or human; traps are derived from receptors and compete with natural receptor for binding target; bispecific mAbs are engineered to bind to two different targets simultaneously (usually to bring immune cell into contact with target cell, thereby triggering target cell killing). Antibody-drug conjugate (X): toxin or radioisotope attached to mAb to increase efficacy. Agents approved for use in the United States only are noted; others are approved in both United States and United Kingdom. Abbreviations: ADCC, antibody-dependent cell-mediated cytotoxicity; BAFF, B-cell activating factor; CTLA-4, cytotoxic T-cell lymphocyte-associated protein-4; EU, European Union; Ig, immunoglobulin; FDA, U.S. Food and Drug Administration; IL, interleukin; mAb, monoclonal antibody; NSCLC, non-small-cell lung cancer; PML, progressive multifocal leukoencephalopathy; RA, rheumatoid arthritis; SLAMF7, signaling lymphocyte activation molecule family member 7; TNF, tumor necrosis factor; VEGF, vascular endothelial growth factor. Source: Reproduced with permission from HM Shepard et al: Developments in therapy with monoclonal antibodies and related proteins. Clin Med (Lond) 17:220, 2017. with an increased risk of autoimmune disease. Aging is associated with reduced NK cell function, reduced monocyte/macrophage immune cell expression of toll-like receptors, reduced chemotaxis and phagocytosis, and reduced MHC expression and signaling. Other phagocytic cells such as polymorphonuclear cells are similarly dysfunctional. Dendritic cells in aged individuals are present in reduced numbers with impaired antigen-presenting function and signaling. Adaptive immunity is simi larly impaired with </w:t>
      </w:r>
      <w:r w:rsidRPr="00A6019F">
        <w:lastRenderedPageBreak/>
        <w:t xml:space="preserve">decreased antibody repertoire breadth, decrease in number of B cells, and decrease in B-cell responses to specific antigens. Similarly, T-cell responses to antigen are decreased, such as to seasonal influenza vaccination. Aging is characterized by accumulation of senescent cells in many tissues that secrete inflammatory cytokines, chemokines, and other inflammatory mediators. The best example of the role of enhanced cytokine production in the “inflammaging” syndrome is in thymic atrophy, which is a major event contributing to age-associated immune system decline. During life, the thymus decreases in size and naïve T-cell output decreases; beginning with puberty, thymo cytes progressively decrease in number, such that after ~50 years of age, ~90% of thymocytes have been replaced by adipocytes in the thymus perivascular space. Thymic adipocytes produce leu kemia inhibitory factor, oncostatin M, IL-6, and stem cell factor (SCF). Administration of these cytokines to young mice induces thymic atrophy, demonstrating that these thymosuppressive cyto kines actively induce thymocyte loss. Adipocytes in other sites also produce inflammatory cytokines, contributing to tissue senescence. Finally, respiratory failure due to SARS-CoV-1, Middle Eastern respiratory syndrome, or SARS-CoV-2 infection is associated with a cytokine release syndrome with IL-6 overproduction, which occurs most frequently in older individuals. </w:t>
      </w:r>
      <w:r w:rsidRPr="00A6019F">
        <w:rPr>
          <w:rFonts w:ascii="Arial" w:hAnsi="Arial" w:cs="Arial"/>
        </w:rPr>
        <w:t>■</w:t>
      </w:r>
      <w:r w:rsidRPr="00A6019F">
        <w:t xml:space="preserve">FURTHER READING Baker D et al: CAR T therapy beyond cancer: The evolution of a living drug. Nature 619:707, 2023. Burke KP et al: Immune checkpoint receptors in autoimmunity. Curr Opin Immunol 80:102283, 2023. Ferreira LMR et al: Next-generation regulatory T cell therapy Nat Rev Drug Discov 18:749, 2019. Kuchroo JR et al: The double-edged sword: Harnessing PD-1 block ade in tumor and autoimmunity. Sci Immunol 6:65, 2021. Lim WA, June CH: The principles of engineering immune cells to treat cancer. Cell 168:724, 2017. Schildberg FA et al: Coinhibitory pathways in the B7-CD28 ligand receptor family. Immunity 44:955, 2016. Sharma P, Allison JP: Dissecting the mechanisms of immune check point therapy. Nature Rev Immunol 20:75, 2020. Sharpe A, Pauken KE: The diverse functions of the PD-1 pathway. Nat Rev Immunol 18:153, 2018. (Continued) Primary Immune Deficiency Diseases Alain Fischer 362 Immunity is intrinsic to life and an important tool in the fight for sur vival against pathogenic microorganisms. The human immune system can be divided into two major components: the innate immune system and the adaptive immune system (Chap. 360). The innate immune sys tem provides the rapid triggering of inflammatory responses based on the recognition (at the cell surface or within cells) of either molecules expressed by microorganisms or molecules that serve as “danger sig nals” released by cells under attack. These receptor/ligand interactions trigger signaling events that ultimately lead to inflammation. Virtually all cell lineages (not just immune cells) are involved in innate immune responses; however, myeloid cells (i.e., neutrophils and macrophages) play a major role because of their phagocytic capacity. The adaptive immune system operates by clonal recognition of antigens followed by a dramatic expansion of antigen-reactive cells and execution of an immune effector program. Most of the effector cells die off rapidly, whereas memory cells persist. Although both T and B </w:t>
      </w:r>
      <w:r w:rsidRPr="00A6019F">
        <w:lastRenderedPageBreak/>
        <w:t xml:space="preserve">lymphocytes recognize distinct chemical moieties and execute distinct adaptive immune responses, the latter is largely dependent on the former in 2794 Today, PIDs tend to be integrated in a larger group of inborn errors of immunity that also include autoinflammatory syndromes. PART 11 Immune-Mediated, Inflammatory, and Rheumatologic Disorders generating long-lived humoral immunity. Adaptive responses utilize components of the innate immune system; for example, the antigen presentation capabilities of dendritic cells help to determine the type of effector response. Not surprisingly, immune responses are controlled by a series of regulatory mechanisms. Hundreds of gene products have been characterized as effectors or mediators of the immune system (Chap. 360). Whenever the expres sion or function of one of these products is genetically impaired (pro vided the function is nonredundant), a primary immunodeficiency (PID) occurs. PIDs are genetic diseases with primarily Mendelian inheritance. More than 550 conditions have now been described, and deleterious mutations in ~500 genes have been identified. The overall prevalence of PIDs has been estimated in various countries at 5–10 per 100,000 individuals; however, given the difficulty in diagnosing these rare and complex diseases, this figure is probably an underestimate. PIDs can involve all possible aspects of immune responses, from innate through adaptive, cell differentiation, and effector function and regulation. For the sake of clarity, PIDs should be classified according to (1) the arm of the immune system that is defective and (2) the mechanism of the defect (when known). Table 362-1 classifies the most prevalent PIDs according to this manner of classification; however, one should bear in mind that the classification of PIDs sometimes involves arbitrary deci sions because of overlap and, in some cases, lack of data. TABLE 362-1 Classification of Primary Immune Deficiency Diseases Deficiencies of the Innate Immune System • Phagocytic cells: • Impaired production: severe congenital neutropenia (SCN) • Asplenia • Impaired adhesion: leukocyte adhesion deficiency (LAD) • Impaired killing: chronic granulomatous disease (CGD) • Innate immunity receptors and signal transduction: • Defects in Toll-like receptor signaling • Mendelian susceptibility to mycobacterial disease • Complement deficiencies: • Classical, alternative, and lectin pathways • Lytic phase Deficiencies of the Adaptive Immune System • T lymphocytes: • Impaired development • Impaired survival, migration, function • B lymphocytes: • Impaired development • Impaired function Regulatory Defects • Innate immunity • Adaptive immunity Severe combined immune deficiencies (SCIDs) DiGeorge’s syndrome Combined immunodeficiencies Hyper-IgE syndrome (autosomal dominant) DOCK8 deficiency CD40 ligand deficiency Wiskott-Aldrich syndrome Ataxia-telangiectasia and other DNA repair deficiencies XL and AR agammaglobulinemia Hyper-IgM syndrome Common variable immunodeficiency (CVID) IgA deficiency Autoinflammatory syndromes (outside the scope of this chapter) Severe colitis Hemophagocytic lymphohistiocytosis (HLH) Autoimmune lymphoproliferation syndrome (ALPS) Autoimmunity and inflammatory diseases (IPEX, APECED) Abbreviations: APECED, autoimmune polyendocrinopathy candidiasis ectodermal </w:t>
      </w:r>
      <w:r w:rsidRPr="00A6019F">
        <w:lastRenderedPageBreak/>
        <w:t xml:space="preserve">dysplasia; AR, autosomal recessive; IPEX, immunodysregulation polyendocrinopathy enteropathy X-linked syndrome; XL, X-linked. The consequences of PIDs vary widely as a function of the molecules that are defective. This concept translates into multiple levels of vulner ability to infection by pathogenic and opportunistic microorganisms, ranging from extremely broad (as in severe combined immunodefi ciency [SCID]) to narrowly restricted to a single microorganism (as in Mendelian susceptibility to mycobacterial disease [MSMD]). The loca tions of the sites of infection and the causal microorganisms involved will thus help physicians arrive at proper diagnoses. PIDs can also lead to immunopathologic responses such as allergy (as in Wiskott-Aldrich syndrome [WAS]), lymphoproliferation, and autoimmunity. A combi nation of recurrent infections, inflammation, and autoimmunity can be observed in a number of PIDs, thus creating obvious therapeutic challenges. Finally, some PIDs increase the risk of cancer, notably but not exclusively lymphocytic cancers, for example, lymphoma. DIAGNOSIS OF PRIMARY IMMUNODEFICIENCIES The most frequent symptom prompting the diagnosis of a PID is the presence of recurrent or unusually severe infections. As mentioned above, recurrent allergic or autoimmune manifestations may also alert the physician to a possible diagnosis of PID. In such cases, a detailed account of the subject’s personal and family medical history should be obtained. It is of the utmost importance to gather as much medi cal information as possible on relatives and up to several generations of ancestors. In addition to the obvious focus on primary symptoms, the clinical examination should evaluate the size of lymphoid organs and, when appropriate, look for the characteristic signs of a number of complex syndromes that may be associated with a PID. The performance of laboratory tests should be guided to some extent by the clinical findings. Infections of the respiratory tract (bron chi, sinuses) mostly suggest a defective antibody response. In general, invasive bacterial infections can result from complement deficiencies, signaling defects of innate immune responses, asplenia, or defective antibody responses. Viral infections, recurrent Candida infections, and opportunistic infections are generally suggestive of impaired T-cell immunity. Skin infections and deep-seated abscesses primarily reflect innate immune defects (such as chronic granulomatous disease); however, they may also appear in the autosomal dominant hyper-IgE syndrome. Table 362-2 summarizes the laboratory tests that are most frequently used to diagnose a PID. More specific tests (notably genetic tests) are then used to make a definitive diagnosis. Genomic tools now allow us to more efficiently track genetic defects through usage of gene panel resequencing and/or whole exome/genome sequencing. The PIDs discussed below have been grouped together according to the affected cells and the mechanisms involved (Table 362-1, Fig. 362-1). PRIMARY IMMUNODEFICIENCIES OF THE INNATE IMMUNE SYSTEM PIDs of the innate immune system are relatively rare and account for ~10% of all PIDs. </w:t>
      </w:r>
      <w:r w:rsidRPr="00A6019F">
        <w:rPr>
          <w:rFonts w:ascii="Arial" w:hAnsi="Arial" w:cs="Arial"/>
        </w:rPr>
        <w:t>■</w:t>
      </w:r>
      <w:r w:rsidRPr="00A6019F">
        <w:t>SEVERE CONGENITAL NEUTROPENIA Severe congenital neutropenia (SCN) consists of a group of inherited diseases that are characterized by severely impaired neutrophil counts (30,000/</w:t>
      </w:r>
      <w:r w:rsidRPr="00A6019F">
        <w:rPr>
          <w:rFonts w:ascii="Aptos" w:hAnsi="Aptos" w:cs="Aptos"/>
        </w:rPr>
        <w:t>μ</w:t>
      </w:r>
      <w:r w:rsidRPr="00A6019F">
        <w:t xml:space="preserve">L) in the blood (mostly granulocytes). Patients with </w:t>
      </w:r>
      <w:r w:rsidRPr="00A6019F">
        <w:lastRenderedPageBreak/>
        <w:t xml:space="preserve">LAD III also develop bleeding because the </w:t>
      </w:r>
      <w:r w:rsidRPr="00A6019F">
        <w:rPr>
          <w:rFonts w:ascii="Aptos" w:hAnsi="Aptos" w:cs="Aptos"/>
        </w:rPr>
        <w:t>β</w:t>
      </w:r>
      <w:r w:rsidRPr="00A6019F">
        <w:t xml:space="preserve">2 integrin in platelets is not functional. Use of immunofluorescence and functional assays to detect β2 integrin can help form a diagnosis. Severe forms of LAD may require HSCT, although gene therapy is also now being considered. Inflammatory consequences of LAD can be mitigated by anti-interleukin (IL)-17A antibody therapy. Neutrophil specific granule deficiency (a very rare condition caused by a mutation in the gene for transcription factor C/EBPα) results in a condition that is clinically similar to LAD. Infrequent additional leukocyte motility defects have also been reported. </w:t>
      </w:r>
      <w:r w:rsidRPr="00A6019F">
        <w:rPr>
          <w:rFonts w:ascii="Arial" w:hAnsi="Arial" w:cs="Arial"/>
        </w:rPr>
        <w:t>■</w:t>
      </w:r>
      <w:r w:rsidRPr="00A6019F">
        <w:t xml:space="preserve">CHRONIC GRANULOMATOUS DISEASES Chronic granulomatous diseases (CGDs) are characterized by impaired phagocytic killing of microorganisms by neutrophils and macrophages (Chap. 67). The incidence is ~1 per 200,000 live births. About 70% of cases are associated with X-linked recessive inheritance versus autoso mal inheritance in the remaining 30%. CGD causes deep-tissue bacte rial and fungal abscesses in macrophage-rich organs such as the lymph nodes, liver, and lungs. Recurrent skin infections (such as folliculitis) are common and can prompt an early diagnosis of CGD. The infectious agents are typically catalase-positive bacteria (such as Staphylococcus aureus and Serratia marcescens) but also include Burkholderia cepacia, pathogenic mycobacteria (in certain regions of the world), and fungi (mainly filamentous molds, such as Aspergillus). CGD is caused by defective production of reactive oxygen species (ROS) in the phagolysosome membrane following phagocytosis of microorganisms. It results from the lack of a component of NADPH oxidase (gp91phox or p22phox) of the associated adapter/activating proteins (p47phox, p67phox, or p40phox) or a regulator of NADPH oxidase expression (CYBC1) that mediates the transport of electrons Under normal circumstances, these ROS either directly kill engulfed microorganisms or enable the rise in pH needed to activate the phago somal proteases that contribute to microbial killing. Diagnosis of CGD is based on assays of ROS production in neutrophils and monocytes (Table 362-2). As its name suggests, CGD is also a granulomatous dis ease. Macrophage-rich granulomas can often arise in the liver, spleen, and other organs. These are sterile granulomas that cause disease by obstruction (bladder, pylorus, etc.) or protracted inflammation (colitis, restrictive lung disease). The management of infections in patients with CGD can be a com plex process. The treatment of bacterial infections is generally based on combination therapy with antibiotics that are able to penetrate into cells. The treatment of fungal infections requires aggressive, long-term use of antifungals. Inflammatory/granulomatous lesions are usually steroid-sensitive, but often become glucocorticoid-dependent; liver abscesses are best managed by administering antibiotics together with glucocorticoids. The treatment of CGD mostly relies on preventing infections. It has been unambiguously demonstrated that prophylactic usage of trimethoprim/sulfamethoxazole is both well tolerated and highly effective in reducing the risk of bacterial infection. Daily admin istration of azole derivatives (notably itraconazole) also reduces the frequency of fungal complications. It has long been suggested that interferon γ administration is helpful, although medical experts con </w:t>
      </w:r>
      <w:r w:rsidRPr="00A6019F">
        <w:lastRenderedPageBreak/>
        <w:t xml:space="preserve">tinue to disagree over this controversial issue. Patients may do reason ably well for some time with prophylaxis and careful management. However, patients are at high risk lifelong of severe and persistent fungal infections and/or chronic inflammatory complications, leading to consideration of performing HSCT. Due to an increase in reported successes, HSCT is now an established curative approach for CGD; however, the risk-versus-benefit ratio must be carefully assessed on a case-by-case basis. Gene therapy approaches are also being evaluated. </w:t>
      </w:r>
      <w:r w:rsidRPr="00A6019F">
        <w:rPr>
          <w:rFonts w:ascii="Arial" w:hAnsi="Arial" w:cs="Arial"/>
        </w:rPr>
        <w:t>■</w:t>
      </w:r>
      <w:r w:rsidRPr="00A6019F">
        <w:t>MENDELIAN SUSCEPTIBILITY TO MYCOBACTERIAL DISEASE This group of diseases is characterized by a defect in the IL-12</w:t>
      </w:r>
      <w:r w:rsidRPr="00A6019F">
        <w:rPr>
          <w:rFonts w:ascii="Aptos" w:hAnsi="Aptos" w:cs="Aptos"/>
        </w:rPr>
        <w:t>–</w:t>
      </w:r>
      <w:r w:rsidRPr="00A6019F">
        <w:t xml:space="preserve">interferon (IFN) </w:t>
      </w:r>
      <w:r w:rsidRPr="00A6019F">
        <w:rPr>
          <w:rFonts w:ascii="Aptos" w:hAnsi="Aptos" w:cs="Aptos"/>
        </w:rPr>
        <w:t>γ</w:t>
      </w:r>
      <w:r w:rsidRPr="00A6019F">
        <w:t xml:space="preserve"> axis (including IL-12p40, IL-12 receptor [R] β1 and β2 , IFN-γ R1 and R2 , TYK2, STAT1, IRF8, and ISG515 deficiencies), which ulti mately leads to impaired IFN-γ-dependent macrophage activation. Both recessive and dominant inheritance modes have been observed. The hallmark of this PID is a specific and relatively narrow vulnerabil ity to tuberculous and nontuberculous mycobacteria. The most severe phenotype (as observed in complete IFN-γ receptor deficiency) is char acterized by disseminated infection that can be fatal even when aggres sive and appropriate antimycobacterial therapy is applied. In addition to mycobacterial infections, MSMD patients (and particularly those with an IL-12/IL-12R deficiency) are prone to developing Salmonella infections. Although MSMDs are very rare, they should be considered in any patient with persistent mycobacterial infection. Treatment with IFN-γ may efficiently bypass an IL-12/IL-12R deficiency. HSCT is a therapeutic option for the most severe cases. </w:t>
      </w:r>
      <w:r w:rsidRPr="00A6019F">
        <w:rPr>
          <w:rFonts w:ascii="Arial" w:hAnsi="Arial" w:cs="Arial"/>
        </w:rPr>
        <w:t>■</w:t>
      </w:r>
      <w:r w:rsidRPr="00A6019F">
        <w:t xml:space="preserve">TOLL-LIKE RECEPTOR (TLR) PATHWAY DEFICIENCIES In a certain group of patients with early-onset, invasive Streptococcus pneumoniae infections or (less frequently) Staphylococcus aureus or other pyogenic infections, conventional screening for PIDs does not identify the cause of the defect in host defense. It has been established that these patients carry recessive mutations in genes that encode essential adaptor molecules (IRAK4 and MYD88) involved in the signaling pathways of the majority of known TLRs (Chap. 360). Remarkably, susceptibility to infection appears to decrease after the first few years of life—perhaps an indication that adaptive immunity (once triggered by an initial microbial challenge) is then able to prevent recurrent infections. Certain TLRs (TLR-3, -7, -8, and -9) are involved in the recognition of RNA and DNA and usually become engaged during viral infec tions. Very specific susceptibility to herpes simplex encephalitis has 2797 been described in patients with a deficiency in Unc93b (a molecule associated with TLR-3, -7, -8, and -9 required for correct subcellular localization), TLR-3, or associated signaling molecules TRIF, TBK1, and TRAF3, resulting in defective type I IFN production. The fact that no other TLR deficiencies have been found—despite extensive screening of patients with unexplained, recurrent infections—strongly suggests that these receptors are functionally redundant. Hypomorphic mutations in NEMO/IKK-γ (a member of the NF-κB complex, which is activated downstream of TLR receptors) lead to a complex, variable immunodeficiency and a number of associated features. Susceptibil ity to both invasive, pyogenic infections and mycobacteria may be observed in this particular </w:t>
      </w:r>
      <w:r w:rsidRPr="00A6019F">
        <w:lastRenderedPageBreak/>
        <w:t xml:space="preserve">setting. Rare cases of predisposition to severe viral infections (influenza, live measles vaccine) have been found in patients with genetic defects in IFN type I receptor and signaling pathways (STAT1, STAT2, KRF9, IRF7, MDA5). TLR7 deficiency has been shown to be a vulnerability factor of severe COVID-19. Autoantibodies to IFN-α or β, as observed in some PIDs (AIRE, NF-κB deficiencies), are also associated with severe COVID-19 disease. </w:t>
      </w:r>
      <w:r w:rsidRPr="00A6019F">
        <w:rPr>
          <w:rFonts w:ascii="Arial" w:hAnsi="Arial" w:cs="Arial"/>
        </w:rPr>
        <w:t>■</w:t>
      </w:r>
      <w:r w:rsidRPr="00A6019F">
        <w:t xml:space="preserve">COMPLEMENT DEFICIENCY The complement system is composed of a complex cascade of plasma proteins (Chap. 360) that leads to the deposition of C3b fragments on the surface of particles and the formation of immune complexes that can culminate in the activation of a lytic complex at the bacterial surface. C3 cleavage can be mediated via three pathways: the classic, alternate, and lectin pathways. C3b coats particles as part of the opso nization process that facilitates phagocytosis following binding to cog nate receptors. A deficiency in any component of the classic pathway (C1q, C1r, C1s, C4, and C2) can predispose an individual to bacterial infections that are tissue-invasive or that occur in the respiratory tract. Likewise, a C3 deficiency or a deficiency in factor I (a protein that regulates C3 consumption, thus leading to a C3 deficiency due to its absence) also results in the same type of vulnerability to infection. It has recently been reported that a very rare deficiency in ficolin-3 pre disposes affected individuals to bacterial infections. Deficiencies in the alternative pathway (factors D and properdin) are associated with the occurrence of invasive Neisseria infections. Lastly, deficiencies of any complement component involved in the lytic phase (C5, C6, C7, C8, and, to a lesser extent, C9) predispose affected individuals to systemic infection by Neisseria. This is explained by the critical role of complement in the lysis of the thick cell wall pos sessed by this class of bacteria. Diagnosis of a complement deficiency relies primarily on testing the status of the classic and alternate pathway via functional assays, that is, the CH50 and AP50 tests, respectively. When either pathway is profoundly impaired, determination of the status of the relevant components in that pathway enables a precise diagnosis. Appropriate vaccinations and daily administration of oral penicillin are efficient means of preventing recurrent infections. It is noteworthy that several complement deficiencies (in the classic pathway and the lytic phase) may also predispose affected individuals to autoimmune diseases (notably systemic lupus erythematosus; Chap. 368). PRIMARY IMMUNODEFICIENCIES OF THE ADAPTIVE IMMUNE SYSTEM </w:t>
      </w:r>
      <w:r w:rsidRPr="00A6019F">
        <w:rPr>
          <w:rFonts w:ascii="Arial" w:hAnsi="Arial" w:cs="Arial"/>
        </w:rPr>
        <w:t>■</w:t>
      </w:r>
      <w:r w:rsidRPr="00A6019F">
        <w:t xml:space="preserve">T LYMPHOCYTE DEFICIENCIES (TABLE 362-1, FIGS. 362-2 AND 362-3) CHAPTER 362 Primary Immune Deficiency Diseases Given the central role of T lymphocytes in adaptive immune responses (Chap. 360), PIDs involving T cells generally have severe pathologic consequences; this explains the poor overall prognosis and the need for early diagnosis and the early intervention with appropriate therapy. Several differentiation pathways of T-cell effectors have been described, γδ Orai1 TAP LAT Thymus SCID CLP ZAP70 NK cells B cells HSC ZAP70 MHCII CD8 CD4 STIM1 STIM1 Tc γIFN, etc... HLH Cytotoxicity γIFN, TNF, etc... TH1 MSMD TH2 Th Orai1 CD40L SAP ICOS IPEX (Foxp3) CD25, STAT5b Myeloid XLP (SAP) RORC STAT3 TH17 TFh Treg NKT γIFN, etc... IL4, etc... DOCK 8 CMC </w:t>
      </w:r>
      <w:r w:rsidRPr="00A6019F">
        <w:lastRenderedPageBreak/>
        <w:t xml:space="preserve">IL17, IL17F, IL17RA, IL17RC, STAT1 gof IL21, etc... IL10, TGFβ, etc... IL4, cytotoxicity γIFN, etc... FIGURE 362-2 T-cell differentiation, effector pathways, and related primary immunodeficiencies (PIDs). Hematopoietic stem cells (HSCs) differentiate into common lymphoid progenitors (CLPs), which, in turn, give rise to the T-cell precursors that migrate to the thymus. The development of CD4+ and CD8+ T cells is shown. Known T-cell effector pathways are indicated, that is, γδ cells, cytotoxic T cells (Tc), TH 1, TH 2, TH 17, TFh (follicular helper) CD4 effector T cells, regulatory T cells (Treg), and natural killer T cells (NKTs); abbreviations for PIDs are contained in boxes. Vertical bars indicate a complete deficiency; broken bars a partial deficiency. DOCK8, autosomal recessive form of hyper-IgE syndrome; HLH, hematopoietic lymphohistiocytosis; IL17F, IL17RA, STAT1 (gof: gain of function), CMC (chronic mucocutaneous candidiasis), CD40L, ICOS, SAP deficiencies; IPEX, immunodysregulation polyendocrinopathy enteropathy X-linked syndrome; LAT, linker for activation of T cells; MHCII, major histocompatibility complex class II deficiency; MSMD, Mendelian susceptibility to mycobacterial disease; Orai1, STIM1 deficiencies; RORC, RAR related orphan receptor C; SCID, severe combined immunodeficiency; STAT3, autosomal dominant form of hyper-IgE syndrome; TAP, TAP1 and TAP2 deficiencies; XLP, X-linked proliferative syndromes; ZAP70, zeta-associated protein deficiency. 2798 Prevention of cell apoptosis DNA replication (purine metabolism) ADA PART 11 Immune-Mediated, Inflammatory, and Rheumatologic Disorders CLP HSC Myeloid compartment γc cytokine-dependent signal γc, JAK-3, IL7Rα Pre TCR/TCR signalling CD45, CD3δ, ε, ζ NK CD8 CD4 Thymus Cell survival Adenylate kinase 2 V(D)J recombination Rag-1/-2, Artemis, DNA PKcs, DNA L4, Cernunnos B FIGURE 362-3 T-cell differentiation and severe combined immunodeficiencies (SCIDs). The vertical bars indicate the five mechanisms currently known to lead to SCID. The names of deficient proteins are indicated in the boxes adjacent to the vertical bars. A broken line means that deficiency is partial or involves only some of the indicated immunodeficiencies. ADA, adenosine deaminase deficiency; CLPs, common lymphoid progenitors; DNAL4, DNA ligase 4; HSCs, hematopoietic stem cells; NKs, natural killer cells; TCR, T-cell receptor. one or all of which may be affected by a given PID (Fig. 362-2). Follicular helper CD4+ T cells in germinal centers are required for T-dependent antibody production, including the generation of Ig class-switched, high-affinity antibodies. CD4+ TH 1 cells provide cytokine-dependent (mostly IFN-γ-dependent) help to macrophages for intracellular kill ing of various microorganisms, including mycobacteria and Salmo nella. CD4+ TH 2 cells produce IL-4, IL-5, and IL-13 and thus recruit and activate eosinophils and other cells required to fight helminth infections. CD4+ TH 17 cells produce IL-17 and IL-22 cytokines that recruit neutrophils to the skin and lungs to fight bacterial and fungal infections. Cytotoxic CD8+ T cells can kill infected cells, notably in the context of viral infections. In addition, certain T-cell deficiencies predispose affected individuals to Pneumocystis jirovecii lung infections early in life and to chronic gut/biliary duct/liver infections by Crypto sporidium and related genera later on in life. Lastly, naturally </w:t>
      </w:r>
      <w:r w:rsidRPr="00A6019F">
        <w:lastRenderedPageBreak/>
        <w:t xml:space="preserve">occurring or induced regulatory T cells are essential for controlling inflammation (notably reactivity to commensal bacteria in the gut) and autoimmu nity. The role of other T-cell subsets with limited T-cell receptor (TCR) diversity (such as γδTCR T cells or natural killer T [NKT] cells) in PIDs is less well known; however, these subsets can be defective in certain PIDs, and this finding can sometimes contribute to the diagnosis (e.g., NKT-cell deficiency in X-linked proliferative syndrome [XLP]). T-cell deficiencies account for ~20% of all cases of PID. Severe Combined Immunodeficiencies SCIDs constitute a group of rare PIDs characterized by a profound block in T-cell devel opment and thus the complete absence of these cells. The develop mental block is always the consequence of an intrinsic deficiency. The incidence of SCID is estimated to be 1 in 50,000 live births. Given the severity of the T-cell deficiency, clinical consequences occur early in life (usually within 3–6 months of birth). The most frequent clinical manifestations are recurrent oral candidiasis, failure to thrive, and protracted diarrhea and/or acute interstitial pneumonitis caused by P. jirovecii (although the latter can also be observed in the first year of life in children with B-cell deficiencies). Severe viral infections or invasive bacterial infections can also occur. Patients may also experience com plications related to infections caused by live vaccines (notably Rota virus causing protracted diarrhea or bacille Calmette-Guérin [BCG]) that may lead not only to local and regional infection but also to dis seminated infection manifested by fever, splenomegaly, and skin and lytic bone lesions. A scaly skin eruption can be observed in a context of maternal T-cell engraftment (see below). A diagnosis of SCID can be suspected based on the patient’s clinical history and, possibly, a family history of deaths in very young children (suggestive of either X-linked or recessive inheritance). Lymphocytopenia is strongly suggestive of SCID in &gt;90% of cases (Table 362-2). The absence of a thymic shadow on a chest x-ray can also be suggestive of SCID. An accurate diagnosis relies on precise determination of the number of circulating T, B, and NK lymphocytes and their subsets. T-cell lymphopenia may be masked in some patients by the presence of maternal T cells (derived from maternal-fetal blood transfers) that cannot be eliminated. Although counts are usually low (20% of the population at some time during their life span. Urticaria can occur on any area of the body as well circumscribed wheals with erythematous raised serpiginous borders and blanched centers that may coalesce to become giant wheals. Urticarial lesions last for 6 weeks are designated chronic. </w:t>
      </w:r>
      <w:r w:rsidRPr="00A6019F">
        <w:rPr>
          <w:rFonts w:ascii="Arial" w:hAnsi="Arial" w:cs="Arial"/>
        </w:rPr>
        <w:t>■</w:t>
      </w:r>
      <w:r w:rsidRPr="00A6019F">
        <w:t xml:space="preserve">PREDISPOSING FACTORS AND ETIOLOGY Acute or chronic urticaria and/or angioedema can occur at any point in the life span, with the third to fifth decades the most common for chronic disease. Women are affected more often than men, with a slight predominance for those with a history of atopy. Acute urticaria is most often the result of exposure to a food, environmental, or drug allergen or viral infection, while chronic urticaria is often spontaneous, without an identifiable cause. More than two-thirds of new-onset urticaria cases are ultimately diagnosed as acute. The classification of urticaria and angioedema, presented in Table 363-1, focuses on the different precipitating factors eliciting clinical disease and can be useful for differential </w:t>
      </w:r>
      <w:r w:rsidRPr="00A6019F">
        <w:lastRenderedPageBreak/>
        <w:t xml:space="preserve">diagnosis. Additional urticaria syndromes include inducible urticarias from physical stimuli such as cold, heat, solar UV radiation, exercise, and mechanical irritation. These urticarias can be distinguished by the precipitating event and other aspects of the clinical presentation. Der matographism, which occurs in 2–5% of the population, is defined by the appearance of a linear wheal with surrounding erythema at the site of a brisk stroke with a firm object (Fig. 363-3). Dermatographism has a prevalence that peaks in the second to third decades, is not influenced by atopy, and has a duration generally of 24 h. </w:t>
      </w:r>
      <w:r w:rsidRPr="00A6019F">
        <w:rPr>
          <w:rFonts w:ascii="Arial" w:hAnsi="Arial" w:cs="Arial"/>
        </w:rPr>
        <w:t>■</w:t>
      </w:r>
      <w:r w:rsidRPr="00A6019F">
        <w:t xml:space="preserve">DIAGNOSIS The classification of urticaria and angioedema as presented in Table 363-1 in terms of duration can facilitate identification of possible precipitating factors. History alone of self-limited episodes can be sufficient to make a diagnosis in the setting of acute disease trig gered by drug, environmental, or food allergen with history-directed confirmatory skin testing or assay for serum allergen-specific IgE. Provocation and threshold testing for inducible urticaria is particu larly valuable because it so often establishes the cause of the lesion. In chronic urticaria with or without angioedema, initial diagnostic test ing should be guided by history and physical exam. Practice guide lines provide clinicians two options if history and physical exam are unrevealing: no laboratory testing or limited testing, which includes complete blood count with assessment for eosinophilia, erythrocyte sedimentation rate, or C-reactive protein. Extended testing, such as in thyroid-related tests, varies by guideline. The vast majority of chronic urticaria is associated with no laboratory abnormality. Urticarial lesions that last longer than 36 h, result in scarring, and are reported as painful and not pruritic warrant biopsy to evaluate for cellular infiltration, nuclear debris, and fibrinoid necrosis of the venules consistent with urticarial vasculitis. Isolated angioedema without urticaria additionally warrants assessment of basic chemis tries with liver function tests and complement levels. Further testing, including for paraproteinemia, may be guided by patient presenta tion. Concomitant flushing and hyperpigmented papules that urticate with stroking in the absence of angioedema raise the question of mastocytosis. An appropriate travel history should trigger an evalua tion for parasites. Symptom activity and burden can be assessed using validated scoring instruments. The diagnosis of HAE is suggested not only by family history and age of onset but also by the lack of pruritus and of urticarial lesions, the prominence of recurrent gastrointestinal attacks of colic, episodes of laryngeal edema, and (in contrast to urticaria) a failure to respond to H1 antagonists. Laboratory diagnosis depends on demonstrating a deficiency of C1INH antigen (type 1) or a nonfunctional protein (type 2) by a catalytic inhibition assay. C4 and C2 are chronically depleted and fall further during attacks due to the activation of addi tional C1. Patients with the acquired forms of C1INH deficiency have the same clinical manifestations but differ in the lack of a familial history. Furthermore, their sera exhibit a reduction of C1 function and C1q protein as well as C1INH, C4, and C2. Lastly, type 3 HAE is associated with normal levels of complement proteins and often an identifiable gene mutation. TREATMENT Urticaria and Angioedema For most forms of urticaria, H1 antihistamines </w:t>
      </w:r>
      <w:r w:rsidRPr="00A6019F">
        <w:lastRenderedPageBreak/>
        <w:t xml:space="preserve">effectively attenu ate both urtication and pruritus; long-acting, nonsedating agents, such as loratadine and fexofenadine, or low-sedating agents, such as cetirizine, generally are used first and can be increased to up to four times daily dosing. Earlier generation antihistamines, such as diphenhydramine, are sedating and induce psychomotor impair ment. Their anticholinergic (muscarinic) effects include visual disturbance, urinary retention, and constipation. Some clinical practice guidelines indicate that the addition of an H2 antagonist such as ranitidine or famotidine in conventional dosages and a CysLT1 receptor antagonist, such as montelukast 10 mg daily, may add benefit when H1 antihistamines are inadequate. For chronic 2809 urticaria that fails to respond to first-line options, a monoclonal anti-IgE antibody (omalizumab) is the next line of therapy. Older agents with antihistamine properties such as doxepin, cyprohep tadine, and hydroxyzine have proven effective when H1 antihista mines fail but are less effective than omalizumab and are sedating. Cyclosporine is efficacious for patients with chronic spontaneous urticaria that is severe and poorly responsive to other modalities. Phase III trial data of a Btk inhibitor, remibrutinib, showed prom ise in the treatment of chronic spontaneous urticaria that resisted improvement with H1 antagonists. Topical glucocorticoids are of no value, and systemic glucocor ticoids are generally avoided in idiopathic, allergen-induced, or inducible urticarias due to long-term toxicity. Systemic glucocorti coids are useful in the management of patients with pressure urti caria, vasculitic urticaria (especially with eosinophil prominence), idiopathic angioedema with or without urticaria, or chronic urti caria that responds poorly to conventional treatment and should be considered in any patient with debilitating disease. With persistent vasculitic urticaria, hydroxychloroquine, dapsone, or colchicine may be added to the regimen before or along with systemic glu cocorticoids. In certain contexts, refractory chronic spontaneous urticaria may be treated with immunosuppressants (i.e., calcineu rin inhibitors) and anti-inflammatory agents (i.e., hydroxychloro quine), though evidence is lacking. BRADYKININ-MEDIATED ANGIOEDEMA Infusion of plasma-derived C1INH protein, a monoclonal anti plasma kallikrein antibody (lanadelumab), and a small-molecule plasma kallikrein inhibitor (berotralstat) are approved for prophy laxis of HAE attacks. Administration of plasma-derived or recombi nant C1INH protein, a bradykinin 2 receptor antagonist (icatibant), or a kallikrein inhibitor (ecallantide) may be used for treatment of an acute attack of HAE. Older, less expensive preventative options include attenuated androgens, which stimulate production by the normal gene of an amount of functional C1INH. The antifibri nolytic agent ε-aminocaproic acid may be used for preoperative prophylaxis but is contraindicated in patients with thrombotic tendencies or arterial atherosclerosis. Fresh frozen plasma infusion can be used for acute attacks in a setting where newer modalities are not available. Published studies are conflicting on the efficacy of bradykinin 2 receptor antagonists and C1INH protein in the treatment of ACE inhibitor–induced angioedema. Treatment of the underlying autoimmune disease or malignancy is indicated for acquired C1INH deficiency. ALLERGIC RHINITIS </w:t>
      </w:r>
      <w:r w:rsidRPr="00A6019F">
        <w:rPr>
          <w:rFonts w:ascii="Arial" w:hAnsi="Arial" w:cs="Arial"/>
        </w:rPr>
        <w:lastRenderedPageBreak/>
        <w:t>■</w:t>
      </w:r>
      <w:r w:rsidRPr="00A6019F">
        <w:t xml:space="preserve">DEFINITION Rhinitis is characterized by sneezing; rhinorrhea; obstruction of the nasal passages; conjunctival, nasal, and pharyngeal itching; and lacri mation. It can be classified as allergic or nonallergic based on the pres ence or absence of IgE specific for relevant antigens. A clinical history of rhinitis symptoms occurring in a temporal relationship to allergen exposure and documentation of sensitization to an environmental allergen are required for diagnosis. Although commonly seasonal due to elicitation by airborne pollens, it can be perennial in an environment of chronic exposure to house dust mites, animal danders, or insect (cockroach) products. The overall prevalence in North America has increased in the past 20 years and is 10–30%, with the peak prevalence (&gt;30%) occurring in the fifth decade. </w:t>
      </w:r>
      <w:r w:rsidRPr="00A6019F">
        <w:rPr>
          <w:rFonts w:ascii="Arial" w:hAnsi="Arial" w:cs="Arial"/>
        </w:rPr>
        <w:t>■</w:t>
      </w:r>
      <w:r w:rsidRPr="00A6019F">
        <w:t>PREDISPOSING FACTORS AND ETIOLOGY Allergic rhinitis generally occurs in atopic individuals, often in asso ciation with atopic dermatitis, food allergy, urticaria, and/or asthma (Chap. 298). Up to 50% of patients with allergic rhinitis manifest asthma, whereas 70</w:t>
      </w:r>
      <w:r w:rsidRPr="00A6019F">
        <w:rPr>
          <w:rFonts w:ascii="Aptos" w:hAnsi="Aptos" w:cs="Aptos"/>
        </w:rPr>
        <w:t>–</w:t>
      </w:r>
      <w:r w:rsidRPr="00A6019F">
        <w:t xml:space="preserve">80% of individuals with asthma and 80% of individuals with chronic bilateral sinusitis experience allergic rhinitis. Female sex, particulate air pollution exposure, and maternal tobacco smoking increase the risk of developing allergic rhinitis. Wind-pollinated trees, grasses, and weeds produce sufficient quantities of pollen suitable for wide distribution by air currents to elicit seasonal allergic rhinitis. The dates of pollination of these spe cies historically varied little from year to year in a particular locale but may differ in another climate. In the temperate areas of North America, trees typically pollinate from March through May, grasses in June and early July, and weeds from mid-August to early October. Molds, which are widespread in nature because they occur in soil or decaying organic matter, propagate spores in a pattern that depends on climatic conditions. Climate change is impacting these patterns with early tree pollination and prolonged ragweed season with the delay of the first frost. In laboratory studies, exposure to high car bon dioxide concentrations increases pollen production in ragweed and timothy grass. Perennial allergic rhinitis occurs in response to allergens that are present throughout the year, including animal dander, cockroach-derived proteins, mold spores, or dust mites such as Dermatophagoides farinae and Dermatophagoides pteronyssinus. Dust mites are scavengers of human skin and excrete cysteine pro tease allergens in their feces. Similarly, cockroach allergens are fecal cysteine proteases. </w:t>
      </w:r>
      <w:r w:rsidRPr="00A6019F">
        <w:rPr>
          <w:rFonts w:ascii="Arial" w:hAnsi="Arial" w:cs="Arial"/>
        </w:rPr>
        <w:t>■</w:t>
      </w:r>
      <w:r w:rsidRPr="00A6019F">
        <w:t xml:space="preserve">PATHOPHYSIOLOGY AND MANIFESTATIONS Episodic rhinorrhea, sneezing, obstruction of the nasal passages with lacrimation, and pruritus of the conjunctiva, nasal mucosa, and oro pharynx are the hallmarks of allergic rhinitis. The nasal mucosa is pale and boggy, the conjunctiva congested and edematous, and the phar ynx generally unremarkable. Swelling of the turbinates and mucous membranes with obstruction of the sinus ostia and eustachian tubes precipitates secondary infections of the sinuses and middle ear, respec tively. A growing number of patients with seasonal allergic rhinitis demonstrate pollen-associated food allergen syndrome characterized by oropharyngeal pruritus and/or mild swelling following the ingestion of plant-based foods in the same plant family as a tree, grass, or weed, which contain cross-reacting </w:t>
      </w:r>
      <w:r w:rsidRPr="00A6019F">
        <w:lastRenderedPageBreak/>
        <w:t xml:space="preserve">allergens. CHAPTER 363 Urticaria, Angioedema, and Allergic Rhinitis The nose presents a large mucosal surface area through the folds of the turbinates and serves to adjust the temperature and moisture content of inhaled air and to filter out particulate materials &gt;10 μm in size by impingement in a mucous blanket; ciliary action moves the entrapped particles toward the pharynx. Entrapment of pol len and digestion of the outer coat by mucosal enzymes such as lysozymes release protein allergens. The initial interaction occurs between the allergen and intraepithelial mast cells and then pro ceeds to involve deeper perivenular mast cells, both of which are sensitized with specific IgE. During the symptomatic season when the mucosae are already swollen and hyperemic, there is enhanced adverse reactivity to the seasonal pollen as well as irritants such as tobacco smoke and fragrances. Biopsy specimens of nasal mucosa during seasonal rhinitis show submucosal edema with infiltration by eosinophils, along with some basophils and neutrophils, and intraepithelial mast cells. The mucosal surface fluid contains IgA and IgE, which appar ently arrives by diffusion from plasma cells in proximity to mucosal surfaces. IgE fixes to mucosal and submucosal mast cells, and the intensity of the clinical response to inhaled allergens is quantitatively related to the naturally occurring pollen dose. In sensitive indi viduals, the introduction of allergen into the nose is associated with sneezing, nasal obstruction, and discharge, and the fluid contains histamine, PGD2 , and leukotrienes. Thus, the mast cells of the nasal mucosa and submucosa generate and release mediators through IgE dependent reactions that are capable of producing tissue edema and eosinophilic infiltration. </w:t>
      </w:r>
      <w:r w:rsidRPr="00A6019F">
        <w:rPr>
          <w:rFonts w:ascii="Arial" w:hAnsi="Arial" w:cs="Arial"/>
        </w:rPr>
        <w:t>■</w:t>
      </w:r>
      <w:r w:rsidRPr="00A6019F">
        <w:t xml:space="preserve">DIAGNOSIS The diagnosis of seasonal allergic rhinitis depends largely on an accurate history of symptoms lasting &gt;4 weeks coincident with the pollination of the offending allergen. The continuous character of perennial allergic rhinitis due to allergens found in the home or place 2810 PART 11 Immune-Mediated, Inflammatory, and Rheumatologic Disorders of work makes historic analysis difficult, but there may be variability in symptoms that can be related to exposure to animal dander, dust mite and/or cockroach allergens, fungal spores, or work-related allergens such as latex. Patients with perennial rhinitis commonly develop the problem in adult life and manifest nasal congestion and a postnasal discharge, often associated with thickening of the sinus membranes demonstrated by radiography. Perennial nonallergic rhinitis with eosinophilia syndrome (NARES) occurs in the middle decades of life and is characterized by nasal obstruction, anosmia, chronic sinusitis, and prominent eosinophilic nasal discharge in the absence of allergen sensitization. The term vasomotor rhinitis or perennial nonallergic rhinitis designates a condition of enhanced reac tivity of the nasopharynx in which a symptom complex resembling perennial allergic rhinitis occurs with nonspecific stimuli, including chemical odors, temperature and humidity variations, and position changes but occurs without tissue eosinophilia or an allergic etiology. Other entities to be excluded are structural abnormalities of the naso pharynx, including nasal foreign bodies in children, symptoms due to exposure to irritants, gustatory rhinitis associated with cholinergic activation that occurs while </w:t>
      </w:r>
      <w:r w:rsidRPr="00A6019F">
        <w:lastRenderedPageBreak/>
        <w:t xml:space="preserve">eating or ingesting alcohol, hypothyroid ism, upper respiratory tract infection, hormonal rhinitis, including pregnancy, atrophic rhinitis in populations outside the United States and Europe, prolonged topical use of α-adrenergic agents in the form of nasal sprays (rhinitis medicamentosa), and the use of certain sys temic agents such as β-adrenergic antagonists, ACE inhibitors, direct vasodilators (hydralazine), α1-adrenergic receptor antagonists, estro gens, progesterone, nonsteroidal anti-inflammatory drugs, gabapen tin, phosphodiesterase-5 inhibitors, and psychotropics (risperidone, chlorpromazine, amitriptyline). The nasal secretions of allergic patients can be rich in eosinophils, and a modest peripheral eosinophilia can be observed. Local neutro philia implies infection. Total serum IgE may be moderately elevated, but the demonstration of immunologic specificity for IgE is critical to an etiologic diagnosis. A skin test by the intracutaneous route (punc ture or prick) with the allergens of interest provides a rapid and reli able approach to identifying allergen-specific IgE that has sensitized cutaneous mast cells. A positive intracutaneous skin test with 1:10–1:20 weight/volume of extract has a high predictive value for the presence of allergy. An intradermal test with a 1:500–1:1000 dilution of 0.05 mL may follow if indicated by history when the intracutaneous test is nega tive, but while more sensitive, it is less dependable due to the reactivity of some asymptomatic individuals at the test dose. Enzyme-linked immunosorbent assays (ELISAs) employing anti IgE bound to either a solid-phase or a liquid-phase particle provide rapid and cost-effective determinations of IgE. Measurements of spe cific anti-IgE in serum are obtained by its binding to an allergen and quantitation by subsequent uptake of labeled anti-IgE. As compared to the skin test, the assay of specific IgE in serum is less sensitive but has high specificity. TREATMENT Allergic Rhinitis Although allergen avoidance is the most cost-effective means of managing allergic rhinitis, only in the case of animal dander and possibly dust mites is it feasible. Treatment with pharmacologic agents represents the standard initial approach to seasonal or perennial allergic rhinitis. Oral long-acting H1 antihistamines, such as fexofenadine, loratadine, desloratadine, cetirizine, and levocetirizine, are effective for nasopharyngeal itching, sneez ing, and watery rhinorrhea and for such ocular manifestations as itching, tearing, and erythema, but they are less efficacious for the nasal congestion. They reduce nasal and ocular symptoms by about one-third. These antihistamines are less lipophilic and more H1 selective, thus minimizing their ability to cross the blood-brain barrier and therefore diminishing their sedating and anticholin ergic effect; they do not differ appreciably in efficacy for relief of rhinitis and/or sneezing. Intranasal high-potency glucocorticoids are the most effective drugs available for the relief of persistent rhinitis, seasonal or perennial, and are effective in relieving nasal congestion as well as ocular symptoms. They provide efficacy with substantially reduced side effects as compared with this same class of agent administered orally. Their most frequent side effect is local irritation, with fungal overgrowth being a rare occurrence. The currently available intra nasal glucocorticoids are equally effective for nasal symptom relief, including nasal congestion, achieving up to 70% overall symptom relief with some variation in the </w:t>
      </w:r>
      <w:r w:rsidRPr="00A6019F">
        <w:lastRenderedPageBreak/>
        <w:t xml:space="preserve">onset of benefit. The nasal antihis tamines azelastine and olopatadine as a first-line option may benefit individuals with nonallergic rhinitis and intermittent or mild aller gic rhinitis, as well as have additive benefit to intranasal steroids in persistent allergic rhinitis, but they have an adverse effect of dysgeusia in some patients. Alternative nasal decongestants for sig nificant mucosal edema or unresponsive nasal congestion include α-adrenergic agents such as phenylephrine or oxymetazoline; how ever, the duration of their efficacy is limited because of rebound rhinitis (i.e., 7- to 14-day use can lead to rhinitis medicamentosa) and such systemic responses as hypertension. Oral α-adrenergic agonist decongestants containing pseudoephedrine can improve management of nasal congestion, generally in combination with an antihistamine. These pseudoephedrine combination products can cause insomnia and are precluded from use in a variety of patient populations, such as those with narrow-angle glaucoma, urinary retention, uncontrolled hypertension, cerebrovascular dis ease, marked coronary artery disease, or a first-trimester pregnancy. The CysLT1 antagonist montelukast is approved for treatment of both seasonal and perennial rhinitis. However, it is less effective than H1 antihistamines and nasal glucocorticoids, and reports of neuropsychiatric events have led to increased U.S. Food and Drug Administration precautions. Cromolyn sodium nasal spray inhibits mast cell degranulation and can be used prophylactically on a con tinuous basis during allergen season or as needed before a known exposure. Topical ipratropium is an anticholinergic agent effective in reducing rhinorrhea, including that of patients with peren nial nonallergic symptoms. For concomitant allergic conjunctivitis, topical treatment with cromolyn sodium is effective in treating mild allergic symptoms, and topical antihistamines such as olopatadine, azelastine, ketotifen, or epinastine administered to the eye provide rapid relief of itching and redness and are more effective than oral antihistamines. Immunotherapy Immunotherapy consists of repeated exposure to the allergen(s) considered to be specifically responsible for the symptom complex. Two forms of immunotherapy, subcutaneous (SCIT) and sublingual (SLIT), are currently available. Random ized, controlled studies of ragweed, grass, dust mite, and cat dander allergens administered via SCIT for treatment of allergic rhinitis have demonstrated significant improved symptom control over medications alone with the advantage of providing a durable benefit, as well as a reduction in asthma symptoms, medication use, and bronchial hyperreactivity in allergic asthma. Clinical practice guidelines recommend a duration of SCIT of 3–5 years, with discontinuation being based on minimal symptoms over two consecutive seasons of exposure to the allergen. Clinical benefit appears related to the administration of a high dose of relevant allergen, gradually uptitrating concentration and advancing from weekly to monthly intervals. SCIT injections occur in a licensed treatment site; 2–3% of SCIT patients experience a systemic reaction, including anaphylaxis, over a 12-month period. The majority of these reactions occur soon after injection, and thus, patients should remain at the treatment site for at least 30 min after allergen administration. Local reactions with erythema and induration are </w:t>
      </w:r>
      <w:r w:rsidRPr="00A6019F">
        <w:lastRenderedPageBreak/>
        <w:t xml:space="preserve">not uncommon and may persist for 1–3 days. SLIT is prepared as a tablet to be dissolved under the tongue at home after the first dose. The efficacy of SLIT is comparable to SCIT but only for the three allergen formulations currently available: dust mite, timothy/northern grasses, and short ragweed. Systemic Symptoms &gt; 4 weeks? No Acute 2811 Chronic Exclude medication-induced rhinitis Yes Anatomic defects, polyps, foreign body, or sinusitis present? Yes No Allergy evaluation History/skin test or blood test for allergen-specific IgE Assess for asthma Infectious symptoms present? No Allergic rhinitis history? Treat medically If chronic sinusitis, consider immune deficiency evaluation Refer to ENT Severe intermittent or mild/moderate persistent symptoms Allergic rhinitis Specific allergen identified Environmental allergen control Yes No Treat as allergic rhinitis (+) intranasal cromolyn (preventive) Mild intermittent symptoms Yes Treat as infection (viral vs bacterial) Exclude foreign body and anatomic defect Non-allergic rhinitis Intranasal glucocorticoids (+ antihistamines [inhaled or oral], + oral pseudoephedrine if needed) Consider nasal saline Consider intranasal cromolyn Persistent rhinorrhea Oral or intranasal antihistamines, + decongestants, or intranasal glucocorticoids Persistent/uncontrolled symptoms Intranasal ipratropium bromide Immunotherapy If associated with severe asthma or chronic urticaria consider omalizumab Oral glucocorticoid burst No-specific allergen identified Topical intranasal antihistamines and/or intranasal glucocorticoids If no response or moderate/severe symptoms Oral pseudoephedrine or intranasal decongestants If persistent rhinorrhea Intranasal ipratropium bromide If inadequate response ENT evaluation Add-on therapy FIGURE 363-4 Algorithm for the diagnosis and management of rhinitis. Persistent is defined as &gt;4 days per week for &gt;4 weeks. Moderate/severe is defined as abnormal sleep, impaired daily activities (school, work, sport, leisure), and/or troublesome symptoms. CysLT, cysteinyl leukotriene; ENT, ear, nose, and throat; IgE, immunoglobulin E. reactions are less frequent with SLIT, but transient oral pruritus is common. Immunotherapy is contraindicated in patients with significant cardiovascular disease or unstable asthma. Severe cases of anaphylaxis have occurred after allergen immunotherapy when patients were taking a β-adrenergic blocking agent. Thus, immunotherapy should be conducted with caution in any patient requiring β-adrenergic blocking therapy. Immunotherapy should be reserved for clearly documented seasonal or perennial rhinitis that is clinically related to defined allergen exposure with confirmation by the presence of allergen- specific IgE through skin or serum-specific IgE testing. The response to immunotherapy is associated with a complex of cellular and humoral effects that includes a modulation in T lymphocyte cytokine production and allergen-specific IgG4 expansion. Systemic treatment with omalizumab, an anti-IgE monoclonal antibody, is efficacious for allergic rhinitis and can be used with immuno therapy to enhance safety and efficacy. However, omalizumab is not currently approved for treatment of allergic rhinitis. A sequence for the management of allergic or perennial rhinitis based on an allergen-specific diagnosis and stepwise management as required for symptom control would include the following: (1) identification of the offending </w:t>
      </w:r>
      <w:r w:rsidRPr="00A6019F">
        <w:lastRenderedPageBreak/>
        <w:t xml:space="preserve">allergen(s) by history with confirma tion of the presence of allergen-specific IgE by skin test and/or serum assay; (2) avoidance of the offending allergen if possible; and (3) medical management in a stepwise fashion with treatment stepdown as symptoms permit (Fig. 363-4). Mild symptoms of allergic rhini tis are treated with oral antihistamines, intranasal antihistamines, intranasal corticosteroids, or intranasal cromolyn (for short-term prevention). Moderate to more severe allergic rhinitis is man aged with intranasal glucocorticoids and intranasal antihistamines; additional therapies include oral antihistamines, antihistamine- decongestant combinations, and intranasal anticholinergics. Persistent or seasonal moderate to severe allergic rhinitis that remains uncontrolled with maximal medical therapy or coexist ing allergic rhinitis with asthma merit consideration of allergen specific immunotherapy. </w:t>
      </w:r>
      <w:r w:rsidRPr="00A6019F">
        <w:rPr>
          <w:rFonts w:ascii="Arial" w:hAnsi="Arial" w:cs="Arial"/>
        </w:rPr>
        <w:t>■</w:t>
      </w:r>
      <w:r w:rsidRPr="00A6019F">
        <w:t xml:space="preserve">FURTHER READING Bernstein DI et al: Allergic rhinitis: Mechanisms and treatment. Immunol Allergy Clin North Am 36:261, 2016. Cho SH et al: Chronic rhinosinusitis without nasal polyps. J Allergy Clin Immunol Pract 4:575, 2016. Cicardi M et al: Classification, diagnosis, and approach to treatment for angioedema: Consensus report from the Hereditary Angioedema International Working Group. Allergy 69:602, 2014. Corren J et al: Allergic and nonallergic rhinitis, in Middleton’s Allergy: Principles and Practice, 8th ed. NF Adkinson et al (eds). Philadelphia, Saunders, 2014, pp 664–685. Dwyer DF et al: Human airway mast cells proliferate and acquire distinct inflammation-driven phenotypes during type 2 inflammation. Sci Immunol 6:56, 2021. Dykewicz MS et al: Rhinitis 2020: A practice parameter update. J Allergy Clin Immunol 146:4, 2020. Jutel M et al: International consensus on allergen immunotherapy II: Mechanisms, standardization, and pharmacoeconomics. J Allergy Clin Immunol 137:358, 2016. Maurer M et al: Omalizumab for the treatment of chronic idiopathic or spontaneous urticaria. N Engl J Med 368:924, 2013. Saini SS: Urticaria and angioedema, in Middleton’s Allergy: Principles and Practice, 8th ed. NF Adkinson et al (eds). Philadelphia, Saunders, 2014, pp 575–587. Zuberbier T et al: The international EAACI/GA2LEN/EuroGuiDerm/ APAAACI guideline for the definition, classification, diagnosis and management of urticaria. Allergy 77:734, 2022. CHAPTER 363 Urticaria, Angioedema, and Allergic Rhinitis 2812 Anaphylaxis PART 11 Immune-Mediated, Inflammatory, and Rheumatologic Disorders 364 David Hong, Joshua A. Boyce </w:t>
      </w:r>
      <w:r w:rsidRPr="00A6019F">
        <w:rPr>
          <w:rFonts w:ascii="Arial" w:hAnsi="Arial" w:cs="Arial"/>
        </w:rPr>
        <w:t>■</w:t>
      </w:r>
      <w:r w:rsidRPr="00A6019F">
        <w:t xml:space="preserve">BACKGROUND Anaphylaxis is a potentially life-threatening systemic allergic reac tion involving one or more organ systems that typically occurs within seconds to minutes of exposure to the anaphylactic trigger, most often a drug, food, or Hymenoptera sting. The term anaphylaxis was first described in 1902 by Charles Richet and Paul Portier who attempted to immunize dogs against sea anemone toxin in the same way Pasteur was able to vaccinate individuals against the smallpox virus. To their surprise, repeated administration of small, sublethal doses of sea anem one toxin reliably induced acute-onset death when readministered 2–3 weeks after initial “vaccination” to the toxin. The phenomenon was termed ana (anti)-phylaxis (“protection or guarding”) because vaccination with anemone toxin resulted in the opposite intended immune effect. Charles Richet was awarded the Nobel Prize in </w:t>
      </w:r>
      <w:r w:rsidRPr="00A6019F">
        <w:lastRenderedPageBreak/>
        <w:t xml:space="preserve">Physiol ogy or Medicine in 1913 for this work which led to further insights into hypersensitivity and mast cell biology. </w:t>
      </w:r>
      <w:r w:rsidRPr="00A6019F">
        <w:rPr>
          <w:rFonts w:ascii="Arial" w:hAnsi="Arial" w:cs="Arial"/>
        </w:rPr>
        <w:t>■</w:t>
      </w:r>
      <w:r w:rsidRPr="00A6019F">
        <w:t>CLINICAL MANIFESTATIONS While 80</w:t>
      </w:r>
      <w:r w:rsidRPr="00A6019F">
        <w:rPr>
          <w:rFonts w:ascii="Aptos" w:hAnsi="Aptos" w:cs="Aptos"/>
        </w:rPr>
        <w:t>–</w:t>
      </w:r>
      <w:r w:rsidRPr="00A6019F">
        <w:t>90% of anaphylactic episodes are uniphasic, about 10</w:t>
      </w:r>
      <w:r w:rsidRPr="00A6019F">
        <w:rPr>
          <w:rFonts w:ascii="Aptos" w:hAnsi="Aptos" w:cs="Aptos"/>
        </w:rPr>
        <w:t>–</w:t>
      </w:r>
      <w:r w:rsidRPr="00A6019F">
        <w:t xml:space="preserve">20% of cases are biphasic, in which anaphylactic symptoms return about an hour or longer after resolution of initial symptoms. Anaphylactic reactions are particularly dangerous when hypotension or hypoxia occurs, leading potentially to cardiovascular collapse or respiratory failure, respectively. There may be upper or lower airway obstruc tion or both. Laryngeal edema may be experienced as a </w:t>
      </w:r>
      <w:r w:rsidRPr="00A6019F">
        <w:rPr>
          <w:rFonts w:ascii="Aptos" w:hAnsi="Aptos" w:cs="Aptos"/>
        </w:rPr>
        <w:t>“</w:t>
      </w:r>
      <w:r w:rsidRPr="00A6019F">
        <w:t>lump</w:t>
      </w:r>
      <w:r w:rsidRPr="00A6019F">
        <w:rPr>
          <w:rFonts w:ascii="Aptos" w:hAnsi="Aptos" w:cs="Aptos"/>
        </w:rPr>
        <w:t>”</w:t>
      </w:r>
      <w:r w:rsidRPr="00A6019F">
        <w:t xml:space="preserve"> in the throat, hoarseness, or stridor, whereas bronchial obstruction is associ ated with a feeling of tightness in the chest and/or audible wheezing. Patients with underlying asthma are predisposed to severe involvement of the lower airways and increased mortality associated with anaphy laxis. In fatal cases with clinical bronchial obstruction, the lungs show marked hyperinflation on gross and microscopic examination. The microscopic findings in the bronchi, however, are limited to luminal secretions, peribronchial congestion, submucosal edema, and eosino philic infiltration, and the acute emphysema is attributed to intractable bronchospasm that subsides with death. Angioedema resulting in death by mechanical obstruction occurs in the epiglottis and larynx. This process can also be evident in the hypopharynx and trachea. On microscopic examination, there is wide separation of the collagen fibers and the glandular elements. Vascular congestion and eosino philic infiltration may also be present. Patients dying of vascular col lapse without antecedent hypoxia from respiratory insufficiency have visceral congestion with a presumed loss of intravascular fluid volume. The associated electrocardiographic abnormalities in some patients, with or without infarction, may reflect a primary cardiac event medi ated by mast cells (which are prominent near the coronary vessels) or may be secondary to a critical reduction in intravascular volume. Gastrointestinal manifestations represent another severe presenta tion of anaphylaxis and include nausea, vomiting, crampy abdominal pain, and/or fecal incontinence. Angioedema of the bowel wall may also cause sufficient intravascular volume depletion to precipitate car diovascular collapse. Cutaneous manifestations are among the most common presenta tions of anaphylaxis (&gt;90% of cases). Symptoms include urticarial eruptions, flushing with diffuse erythema, and/or a feeling of general ized warmth. Urticarial eruptions are intensely pruritic and may be localized or disseminated. They may coalesce to form large urticarial plaques but seldom persist beyond 48 h. </w:t>
      </w:r>
      <w:r w:rsidRPr="00A6019F">
        <w:rPr>
          <w:rFonts w:ascii="Arial" w:hAnsi="Arial" w:cs="Arial"/>
        </w:rPr>
        <w:t>■</w:t>
      </w:r>
      <w:r w:rsidRPr="00A6019F">
        <w:t>PATHOPHYSIOLOGY Many of the important early mediators of anaphylaxis are derived from mast cells, basophils, and eosinophils. Mast cells contain preformed granules comprised of histamine, proteases (tryptase, chymase), pro teoglycans (heparin, chondroitin sulfate), and tumor necrosis factor-</w:t>
      </w:r>
      <w:r w:rsidRPr="00A6019F">
        <w:rPr>
          <w:rFonts w:ascii="Aptos" w:hAnsi="Aptos" w:cs="Aptos"/>
        </w:rPr>
        <w:t>α</w:t>
      </w:r>
      <w:r w:rsidRPr="00A6019F">
        <w:t xml:space="preserve">, which are rapidly released into surrounding tissue upon cell activation, a process known as degranulation. Basophils, like mast cells, contain and release histamine. Mast cells, basophils, and eosinophils are also sources of arachidonic acid–derived products, which include cysteinyl leukotrienes, prostaglandins, and platelet-activating factor (PAF). Histamine release results in flushing, urticaria, pruritus, and, in high </w:t>
      </w:r>
      <w:r w:rsidRPr="00A6019F">
        <w:lastRenderedPageBreak/>
        <w:t xml:space="preserve">concentrations, hypotension and tachycardia. Cysteinyl leukotrienes and prostaglandin D2 cause bronchoconstriction and increased micro vascular permeability. Prostaglandin D2 causes cutaneous flushing and attracts eosinophils and basophils to the site of mast cell activation. Serum PAF levels correlate with anaphylaxis severity and are inversely proportional to the constitutive level of PAF acetylhydrolase, which is necessary for PAF inactivation. Tryptase and chymase can activate complement and coagulation pathways. Activation of these pathways results in production of the anaphylatoxins, C3a and C5a, and activa tion of the kallikrein-kinin system, which regulates blood pressure and vascular permeability. The actions of these anaphylactic mediators are likely additive or synergistic at the target tissues. </w:t>
      </w:r>
      <w:r w:rsidRPr="00A6019F">
        <w:rPr>
          <w:rFonts w:ascii="Arial" w:hAnsi="Arial" w:cs="Arial"/>
        </w:rPr>
        <w:t>■</w:t>
      </w:r>
      <w:r w:rsidRPr="00A6019F">
        <w:t xml:space="preserve">PREDISPOSING FACTORS AND MECHANISMS Because the most dangerous manifestations of anaphylaxis involve the cardiovascular and/or respiratory systems, preexisting asthma and underlying cardiovascular disease could lead to more rapid decompen sation from anaphylaxis. Atopy is not generally thought to be a risk fac tor for anaphylaxis from drug reactions or Hymenoptera stings, but it is associated with radiocontrast sensitivity, exercise-induced anaphylaxis, idiopathic anaphylaxis, and allergy to foods or latex. Severe Hyme noptera-induced anaphylaxis (generally with prominent hypotension) is the most common initial presentation for patients with underlying systemic mastocytosis. For this reason, it is important to check a base line tryptase (a reflection of mast cell burden) in patients who present with sting-induced anaphylaxis to screen for this condition. Hyme noptera allergy is also more likely in patients whose occupations (i.e., beekeepers, trash haulers, and landscape workers) place them in regu lar proximity to stinging insects. Most commonly, allergen-induced cross-linking of IgE-bound FcεRI receptors on mast cells and basophils initiates the signal transduction events leading to hypersensitivity syndromes, including anaphylaxis. The generation of allergen-specific IgE is the end result of sensitization via the adaptive immune system. While the mechanisms underlying sensitization are beyond the scope of this chapter, environmental factors, innate immune responses, and cytokines are among the many variables leading to antigen-specific IgE production by B cells and plasma cells. IgE-mediated drug allergies are most common with antibiotics and certain chemotherapy drugs, though theoretically, they can occur with almost any medication. As is the case with environmental allergies, repeated exposure to the allergy-causing antigen is an important risk factor to keep in mind when evaluating patients with anaphylaxis. In the case of allergy to carboplatin, the incidence of hypersensitivity is 27% in patients who have had ≥7 lifetime infusions and as high as 46% in patients who have had ≥15 lifetime infusions. Similarly, patients with cystic fibrosis have a relatively high incidence of allergic reactions to IV antibiotics, particularly beta-lactams, that they receive periodically for intermittent “clean-outs” to maintain airway clearance. Drugs can also function as haptens that form immunogenic conjugates with host proteins. The conjugating hapten may be the parent compound, a nonenzymatically derived storage product, or a metabolite formed in the host. Recom binant biologics in some cases can </w:t>
      </w:r>
      <w:r w:rsidRPr="00A6019F">
        <w:lastRenderedPageBreak/>
        <w:t xml:space="preserve">also induce the formation of IgE against the proteins or against glycosylated structures that serve as immunogens. Outbreaks of anaphylaxis to the epidermal growth factor receptor (EGFR) antibody, cetuximab, have been reported in associa tion with elevated titers of serum IgE to alpha-1,3-galactose (alpha gal), an oligosaccharide found in nonprimate mammals. Cetuximab is derived from a mouse cell line expressing a transferase that tags the Fab′ portion of the cetuximab heavy chain with alpha-gal. Interestingly, patients with a history of multiple bites from Amblyomma americanum ticks commonly found in the Carolinas, Arkansas, and Tennessee are more likely to have anti-alpha-gal IgE as compared to patients living outside those states. A subset of individuals with anti-alpha-gal IgE TABLE 364-1 Differential Diagnoses for IgE-Mediated Anaphylaxis 2813 can develop episodes of delayed-onset anaphylaxis about 3–6 h after consuming mammalian meat (beef, lamb, or pork) in a condition now known as alpha-gal syndrome (AGS). The mechanisms behind AGS are not yet well understood. It is also important to remember that allergic reactions caused by the effector cells and mediators described previously can be triggered by a variety of mechanisms that may not require the presence of sensitizing IgE. Non-IgE-mediated mast cell activation secondary to certain drugs is clinically indistinguishable from classical IgE-mediated hypersensi tivity reactions but can occur with first known exposure since there is no prior need for mast cell sensitization by IgE. MRGPRX2, a G protein–coupled receptor that is highly expressed in skin mast cells, has been shown in mouse models and in vitro studies using human cells to induce mast cell activation and mediator release secondary to neuromuscular blocking drugs (NMBDs), quinolones, and icatibant. These findings are clinically significant since NMBDs are needed for procedures done under general anesthesia while quinolones are a commonly used antibiotic family. Icatibant, a bradykinin-2 receptor antagonist administered by subcutaneous injection for the treatment of acute attacks of hereditary angioedema, is known to frequently result in local injection site reactions. Another example of non-IgE-mediated anaphylaxis is demonstrated with paclitaxel, a chemotherapy agent most commonly used in combination with carboplatin to treat ovar ian cancer. It is derived from yew tree bark and needles that require polyethoxylated castor oil (Cremophor) to be solubilized into aqueous solution. Cremophor has been shown in vitro to activate the comple ment cascade, resulting in complement-dependent histamine release from mast cells and basophils. A version of paclitaxel that is solubilized by being bound to albumin nanoparticles, Abraxane, has a far lower rate of hypersensitivity, especially for patients who have had infusion reactions to Cremophor-solubilized paclitaxel. Reactions such as flush ing, hives, angioedema, and/or anaphylaxis to radiocontrast, opiates, vancomycin, and nonsteroidal anti-inflammatory drugs (NSAIDs) are other examples of non-IgE-mediated hypersensitivity. An example of non-IgE-mediated food anaphylaxis is scombroid poisoning, caused by the ingestion of a pharmacologically significant dose of histamine from contaminated fish. This is most commonly associated with fish that are rich in histidine, such as mahi-mahi, mackerel, and tuna. If improperly stored, </w:t>
      </w:r>
      <w:r w:rsidRPr="00A6019F">
        <w:lastRenderedPageBreak/>
        <w:t xml:space="preserve">surface contaminant bacteria expressing histidine decarboxylase convert histidine into histamine, which is not broken down by baking or broiling. Scombroid poison ing leads to symptoms including flushing, oropharyngeal pruritis/ angioedema, nausea/vomiting, and lightheadedness. Symptoms are often self-limited but still treatable with antihistamines and, if needed, epinephrine. Because the source of histamine is exogenous, tryptase levels are not elevated. A final example of non-IgE-mediated anaphylaxis occurred in clustered cases of anaphylaxis to IV unfractionated heparin in Europe and North America in 2008. Cases were attributable to specific lots of heparin found to be enriched in a contaminant, oversulfated chon droitin sulfate (OSCS). OSCS is able to activate the contact activation system, leading to the generation of bradykinin and the anaphylatoxins C3a and C5a, which led to the anaphylactic symptoms. Heparin is now routinely screened for this contaminant to prevent further outbreaks. </w:t>
      </w:r>
      <w:r w:rsidRPr="00A6019F">
        <w:rPr>
          <w:rFonts w:ascii="Arial" w:hAnsi="Arial" w:cs="Arial"/>
        </w:rPr>
        <w:t>■</w:t>
      </w:r>
      <w:r w:rsidRPr="00A6019F">
        <w:t xml:space="preserve">DIAGNOSIS The diagnosis of an anaphylactic reaction depends primarily on a his tory revealing the onset of symptoms and signs within seconds to min utes after the putative trigger is encountered. An exception is delayed anaphylaxis to mammalian meats in patients with AGS. Table 364-1 lists other possibilities to consider on the differential for IgE-mediated anaphylaxis. Every attempt to identify the specific cause or causes should be made to minimize the risk of recurrent anaphylaxis. If a particular drug or food is suspected, skin or serum-specific IgE testing can be useful to confirm clinical suspicions. If a specific trigger cannot be identified by history or testing, a workup of underlying baseline atopic diatheses may be useful to identify risk factors that could play potential contributory roles alone or in concert. In the acute setting, laboratory biomarkers of mast cell degranulation may be useful to CONDITION Mastocytosis Pheochromocytoma Carcinoid syndrome Hereditary angioedema DISTINGUISHED BY Elevated baseline tryptase, spindle shaped mast cells (MCs) on bone marrow Elevated urine metanephrines Elevated urine 5-hydroxyindoleacetic acid Decreased C4 during attacks Acquired angioedema Systemic capillary leak syndrome Scombroid poisoning Drugs (opiates, neuromuscular blocking agents, vancomycin), computed tomography radiocontrast Decreased C1q Severe hypotension on presentation with lack of response to first line hypersensitivity medications (epinephrine, antihistamines) Tryptase not elevated; negative skin test and oral challenge to fish Direct MC degranulation triggered through MRGPRX2 receptor or other as-yet-undetermined mechanism document the severity of an anaphylactic episode. The most obvious serum biomarker to assay, histamine, has an extremely short serum half-life with a measurable time-window that expires 3000 pg/mL (normal, 85% of patients with recent reactions. In a prospective study of 126 women who received six or more carboplatin treatments, repeat ST before each exposure identified reactors, with seven anaphylactic reactions in seven patients who agreed to be reexposed to carboplatin despite positive ST. Oxaliplatin reaction phenotypes include CRR and mixed reactions with conversion from type I to CRR and mixed phenotypes during DD. Oxaliplatin-induced immune-mediated thrombocytopenia (OIIT) with bleeding is a rare complication that precludes further DD. </w:t>
      </w:r>
      <w:r w:rsidRPr="00A6019F">
        <w:lastRenderedPageBreak/>
        <w:t xml:space="preserve">Carboplatin DD started in early 2000 and a large study in 2016 with 370 patients (212 carboplatin-allergic and 13 cisplatin-allergic patients), who underwent 2177 DDs, mostly in the outpatient setting with three- or four-bag protocols, showed 20% mild BTRs, non superior costs compared to regular infusions, and a life expectancy advantage at 5 years in ovarian cancer patients compared to nonallergic patients. A study of 272 patients allergic to platins, taxanes, and mono clonals who underwent 1471 DDs with three-bag 12-step protocols reported similar safety. Oxaliplatin DD poses challenges due to the heterogeneity of phenotypes and phenotype switching. A study of 48 patients with 200 DDs who underwent three-bag 12-step protocols showed mild to moderate BTRs in 18 patients, 1 patient with OIIT, and 2 patients with hemolytic anemia. A study of patients with type I, CRR, and mixed reactions who underwent 273 DDs indicated a switch from type I to CRR and mixed reactions during DD, with elevated IL-6, and two patients developed OIIT. The survival of platinum-desensitized patients is noninferior to nonallergic patients. Doxorubicin and Other Chemotherapy Drugs Doxorubicin reactions are rare, occurring at first exposure, and a study of 30 patients and 128 DDs, mostly with three-bag 12-step protocols, showed 16% mild BTRs, and one patient required epinephrine. DDs for etoposide, cyclophosphamide, methotrexate, gemcitabine, and other chemother apy drugs have shown similar safety. </w:t>
      </w:r>
      <w:r w:rsidRPr="00A6019F">
        <w:rPr>
          <w:rFonts w:ascii="Arial" w:hAnsi="Arial" w:cs="Arial"/>
        </w:rPr>
        <w:t>■</w:t>
      </w:r>
      <w:r w:rsidRPr="00A6019F">
        <w:t xml:space="preserve">MONOCLONALS/BIOLOGICALS Infusion reactions of the type I IgE/non-IgE mediated, CRR, mixed, and delayed-reaction phenotypes have been reported for monoclonal antibodies (MoAbs). Hypersensitivity reactions can occur on first exposure or after multiple exposures (Fig. 365-2). Reactions are more frequent with chimeric MoAbs but also occur with humanized and fully humanized MoAbs. Skin testing is limited by cost. Patients with cetuximab-induced anaphylaxis react to galactose-alpha-1-3-galactose, a nonhuman carbohydrate in the Fab chain of cetuximab, due to pre existing IgE acquired through tick bite sensitization. DDs have been reported for most IV and SC available MoAbs (Fig. 365-3). The first series of MoAb desensitizations included 23 patients with moderate to severe type I and mixed reactions to trastuzumab, infliximab, and ritux imab who underwent 105 DDs with three bags and 12 steps and had 29% mild BTRs. A study of 104 patients who reacted to 16 MoAbs with type I, CRR, mixed, and delayed reactions and received 526 DDs, mostly with three bags and 12 steps in the outpatient setting, presented with 23% mild BTRs. Tryptase was elevated in type I and IL-6 in CRR BTRs. </w:t>
      </w:r>
      <w:r w:rsidRPr="00A6019F">
        <w:rPr>
          <w:rFonts w:ascii="Arial" w:hAnsi="Arial" w:cs="Arial"/>
        </w:rPr>
        <w:t>■</w:t>
      </w:r>
      <w:r w:rsidRPr="00A6019F">
        <w:t xml:space="preserve">SMALL MOLECULES Epidermal growth factor receptor and tyrosine kinase inhibitors such as imatinib, osimertinib, and olaparib can induce type I and type IV reac tion phenotypes, and successful DDs with multiple oral doubling doses have been reported, allowing for continued long-term maintenance. </w:t>
      </w:r>
      <w:r w:rsidRPr="00A6019F">
        <w:rPr>
          <w:rFonts w:ascii="Arial" w:hAnsi="Arial" w:cs="Arial"/>
        </w:rPr>
        <w:t>■</w:t>
      </w:r>
      <w:r w:rsidRPr="00A6019F">
        <w:t xml:space="preserve">NONSTEROIDAL ANTINFLAMMATORY DRUGS (NSAIDS) Aspirin (ASA) and other NSAIDs can induce type I reactions with urticaria and anaphylaxis thought to be IgE-mediated and, in patients with asthma and dysregulated lipid metabolism, a syndrome termed aspirin-exacerbated respiratory disease (AERD) with bronchospasm. Patients with AERD have universal intolerance to COX-1 inhibitors but tolerate COX-2 inhibitors. The American </w:t>
      </w:r>
      <w:r w:rsidRPr="00A6019F">
        <w:lastRenderedPageBreak/>
        <w:t xml:space="preserve">Academy of Allergy, Asthma, and Immunology Work Group Report in 2020 reviewed 14 series of ASA DDs with intranasal ketorolac or oral aspirin in &gt;900 AERD patients. More than 70% of patients reported improvement of asthma, lack of polyp recurrence, recovery of sense of smell, and less steroid usage, with cross-desensitization and tolerance to all COX-1 inhibitors while maintained on daily ASA. For type I reactions in car diac and neurologic patients, DD with rapid doubling doses has been proven safe and effective. </w:t>
      </w:r>
      <w:r w:rsidRPr="00A6019F">
        <w:rPr>
          <w:rFonts w:ascii="Arial" w:hAnsi="Arial" w:cs="Arial"/>
        </w:rPr>
        <w:t>■</w:t>
      </w:r>
      <w:r w:rsidRPr="00A6019F">
        <w:t xml:space="preserve">OTHER DRUGS Symptoms of progestogen hypersensitivity (PH) are cyclical and include type I and delayed phenotypes. PH can lead to miscarriage, and oral and vaginal DD protocols have resulted in viable pregnancies. Reactions to iron formulations include type I, CRR, mixed, and delayed phenotypes that are responsive to DD. Allopurinol-induced delayed rashes respond to PO and IV DD protocols. Corticosteroids, glatiramer acetate, vaccines, and other medication DDs have been reported with doubling multistep PO, IV, and SC protocols. IMPACT CHAPTER 366 Mastocytosis Discontinuing drugs inducing allergic symptoms affects patients for whom second-line therapies may not be available, are more expensive, or do not provide similar therapeutic benefits. DD protocols allow for the safe reintroduction of first-line therapies, and their use should be extended to all patients in need. </w:t>
      </w:r>
      <w:r w:rsidRPr="00A6019F">
        <w:rPr>
          <w:rFonts w:ascii="Arial" w:hAnsi="Arial" w:cs="Arial"/>
        </w:rPr>
        <w:t>■</w:t>
      </w:r>
      <w:r w:rsidRPr="00A6019F">
        <w:t xml:space="preserve">FURTHER READING Adnan A, Acharya S: Multistep IgE mast cell desensitization is a dose- and time-dependent process partially regulated by SHIP-1. J Immunol 210:709, 2023. Castells M et al: Penicillin allergy. N Engl J Med 381:2338, 2019. Dhopeshwarkar N: Drug-induced anaphylaxis documented in elec tronic health records. J Allergy Clin Immunol Pract 7:103, 2019. Isabwe GAC: Hypersensitivity reactions to therapeutic monoclonal antibodies: Phenotypes and endotypes. J Allergy Clin Immunol 142:159, 2018. Sloane D: Safety, costs, and efficacy of rapid drug desensitizations to chemotherapy and monoclonal antibodies. J Allergy Clin Immunol Pract 4:497, 2016. 366 Mastocytosis Matthew P. Giannetti, Joshua A. Boyce </w:t>
      </w:r>
      <w:r w:rsidRPr="00A6019F">
        <w:rPr>
          <w:rFonts w:ascii="Arial" w:hAnsi="Arial" w:cs="Arial"/>
        </w:rPr>
        <w:t>■</w:t>
      </w:r>
      <w:r w:rsidRPr="00A6019F">
        <w:t xml:space="preserve">DEFINITION AND EPIDEMIOLOGY Mastocytosis is defined by accumulation of clonally expanded mast cells in tissues such as skin, bone marrow, liver, spleen, and gut. Diag nostically, mast cell expansion is most readily identified in skin and/ or bone marrow. Mastocytosis occurs at any age, although it is most commonly diagnosed in infancy and young adulthood. The prevalence of mastocytosis is estimated at ~1 in 10,000 people. Most forms of the disease are characterized by somatic gain-of-function mutations in the stem cell factor receptor (KIT) gene, and &gt;90% of patients carry the KIT D816V mutation. Familial occurrence is rare, and atopy is not increased compared with the general population. </w:t>
      </w:r>
      <w:r w:rsidRPr="00A6019F">
        <w:rPr>
          <w:rFonts w:ascii="Arial" w:hAnsi="Arial" w:cs="Arial"/>
        </w:rPr>
        <w:t>■</w:t>
      </w:r>
      <w:r w:rsidRPr="00A6019F">
        <w:t xml:space="preserve">CLASSIFICATION AND PATHOPHYSIOLOGY A consensus classification for mastocytosis recognizes cutaneous mas tocytosis with variants, systemic mastocytosis with five variants, and mast cell sarcoma (Table 366-1). Cutaneous mastocytosis is the most common diagnosis in children and indicates disease limited to skin with absence of pathologic infil trates in internal organs. It is usually diagnosed within the first year 2820 TABLE 366-1 Classification of Mastocytosis PART 11 Immune-Mediated, Inflammatory, and Rheumatologic Disorders Cutaneous mastocytosis (CM) </w:t>
      </w:r>
      <w:r w:rsidRPr="00A6019F">
        <w:lastRenderedPageBreak/>
        <w:t xml:space="preserve">Maculopapular cutaneous mastocytosis (MPCM) Solitary mastocytoma of skin Diffuse cutaneous mastocytosis Systemic mastocytosis Indolent systemic mastocytosis (ISM) Smoldering systemic mastocytosis Systemic mastocytosis with associated clonal hematologic non–mast cell lineage disease (SM-AHNMD) Aggressive systemic mastocytosis (ASM) Mast cell leukemia (MCL) Mast cell sarcoma (MCS) Source: Modified from DA Arber et al: International consensus classification of myeloid neoplasms and acute leukemias: integrating morphologic, clinical, and genomic data. Blood 140:1200, 2022. of life with demonstration of fixed, maculopapular, polymorphic, and hyperpigmented lesions (known as maculopapular cutaneous mas tocytosis [MPCM]), solitary mastocytoma(s), or diffuse cutaneous mastocytosis. Although mast cell accumulation is limited to the skin, children often have systemic symptoms. Systemic mastocytosis (SM) refers to involvement of an extracutaneous site (most often bone mar row). There are five distinct variants of SM. Indolent systemic mastocy tosis (ISM) accounts for &gt;70% of adult patients. ISM is diagnosed when there is no evidence of organ dysfunction due to mast cell infiltration, an associated hematologic disorder, or mast cell leukemia. ISM is asso ciated with a normal life expectancy. Smoldering systemic mastocytosis (SSM) is characterized by high mast cell burden including bone mar row infiltration of &gt;30% and a baseline serum tryptase &gt;200 ng/mL (B findings), but absence of systemic mastocytosis associated with clonal hematologic non–mast cell lineage disease (SM-AHNMD) or aggressive systemic mastocytosis (ASM) (Table 366-2). In SM-AHNMD, the prog nosis is determined by the nature of the associated disorder, which can range from dysmyelopoiesis to leukemia. In ASM, mast cell infiltration may occur in multiple organs such as liver, spleen, gut, bone, and bone marrow resulting in one or more C findings and a poor prognosis (Table 366-2). Mast cell leukemia (MCL) is the rarest form of SM and is invariably fatal at present; the peripheral blood contains circulating, metachromatically staining, atypical mast cells. An aleukemic form of MCL is recognized without circulating mast cells when the percentage of high-grade immature mast cells in bone marrow smears exceeds 20% in a nonspicular area. Mast cell sarcoma is a rare solid mast cell tumor with malignant invasive features. TABLE 366-2 B and C Findings for Diagnosis of SSM and ASM B Findings (2 or more in the absence of any C findings are required for a diagnosis of SSM): 1. High MC burden: MC infiltration in bone marrow of &gt;30%, basal serum tryptase level &gt;200 ng/mL, and/or KIT D816V &gt;10% VAF in bone marrow 2. Hypercellular bone marrow with signs of dysmyelopoiesis but without cytopenias meeting C criteria or WHO criteria for an MDS or MPN 3. Palpable hepatomegaly, palpable splenomegaly, or lymphadenopathy (on CT or ultrasound: &gt;2 cm) without impaired liver function or hypersplenism C Findings (1 or more required for a diagnosis of ASM). C findings should be reasonably attributable to high tissue MC infiltration: 1. Cytopenia(s): ANC 15 mast cells per aggregate) in bone marrow or other extracutaneous tissues Minor: Abnormal mast cell morphology (spindle shape or atypical immature morphology) in &gt;25% of mast cells Aberrant mast cell phenotype with expression of CD25, CD2, or CD30 Detection of KIT D816V </w:t>
      </w:r>
      <w:r w:rsidRPr="00A6019F">
        <w:lastRenderedPageBreak/>
        <w:t xml:space="preserve">mutation or other activating KIT mutation in peripheral blood, bone marrow, or an extracutaneous organ Total serum tryptase &gt;20 ng/mL aDiagnosis requires either the major criterion and one minor criterion or three minor criteria. </w:t>
      </w:r>
      <w:r w:rsidRPr="00A6019F">
        <w:rPr>
          <w:rFonts w:ascii="Arial" w:hAnsi="Arial" w:cs="Arial"/>
        </w:rPr>
        <w:t>■</w:t>
      </w:r>
      <w:r w:rsidRPr="00A6019F">
        <w:t xml:space="preserve">DIAGNOSIS AND DIFFERENTIAL DIAGNOSIS Cutaneous mastocytosis is diagnosed by observing the characteristic lesions of MPCM or mastocytoma(s). A skin biopsy may be obtained to confirm these subvariants of CM, whereas patients with suspected DCM and bullous mastocytosis require a skin biopsy to confirm the diagnosis. Although the diagnosis of SM is generally suspected based on clinical history, physical examination findings, and laboratory procedures, it can only be confirmed with a tissue diagnosis. The diagnosis of SM necessitates a lesional biopsy to meet the criteria of one major plus one minor or three minor findings (Table 366-3). The major criterion requires mast cell aggregates of &gt;15 mast cells, often in paratrabecular and perivascular locations with associated lymphocytes and eosinophils. Minor criteria include abnormal “spindled” mast cell morphology, aberrant mast cell membrane immunophenotype, or an activating KIT mutation (classically KIT D816V). A basal serum tryptase level is a noninvasive approach to consider before bone mar row biopsy. A rare histopathologic subvariant called well-differentiated systemic mastocytosis (WDSM) is characterized by clusters of mature appearing, fully granulated and round mast cells, lack of aberrant CD25 and CD2 expression, and lack of D816V KIT mutation in most patients. These patients often have a history of childhood-onset cuta neous disease, and their mast cells may display aberrant CD30 expres sion and other markers of clonality such as atypical (non-D816V) KIT mutations. Additional studies directed by the presentation include a bone densitometry, bone scan, or skeletal survey; computed tomogra phy scan or endoscopy; and a neuropsychiatric evaluation. Osteoporo sis is increased in mastocytosis and may lead to pathologic fractures. Some patients presenting with recurrent symptoms referrable to mast cell activation (particularly anaphylaxis with hypotensive syn cope) have been found to have underlying mastocytosis. A subset of these patients may be found to have evidence of a clonal hematologic process such as the D816V KIT mutation, but lack full diagnostic criteria for SM. Such patients are termed to have monoclonal mast cell activation syndrome. The differential diagnosis requires the exclusion of other disorders. A 24-h urine assessment of 5-hydroxy-indoleacetic acid and meta nephrines should exclude a carcinoid tumor and pheochromocytoma, respectively. Hereditary α-tryptasemia may be characterized by symp toms consistent with mast cell activation in addition to multisystem involvement and elevated baseline serum tryptase. These patients have autosomal dominant inheritance of extra-allelic copies of the α-tryptase gene at the TPSAB1 locus. Most patients with recurrent IgE-induced or idiopathic anaphylaxis present with urticaria, angio edema, and/or bronchospasm, which are not typical manifestations of anaphylaxis in SM. TREATMENT Mastocytosis The management of SM is symptom control using a stepwise symptom/ sign–directed approach. Medications include an H1 antihistamine for flushing and pruritus, an H2 antihistamine or proton pump inhibitor for </w:t>
      </w:r>
      <w:r w:rsidRPr="00A6019F">
        <w:lastRenderedPageBreak/>
        <w:t xml:space="preserve">gastric acid hypersecretion, oral cromolyn sodium for diarrhea and abdominal pain, and occasionally aspirin (in those who are known to be tolerant of NSAIDs) for severe flushing to block biosynthesis of prostaglandin D2 . Systemic glucocorticoids appear to alleviate malabsorption. A self-injectable epinephrine prescription is recommended for most patients due to increased incidence of anaphylaxis. Patients with a history of systemic Hyme noptera venom reaction should be evaluated for venom-specific IgE and placed on lifelong venom immunotherapy if positive. Mast cell cytoreductive therapy consisting of midostaurin, avapritinib, IFN-α, or cladribine has classically been reserved for advanced variants of SM. Targeted tyrosine kinase inhibitors (such as avapritinib) are now considered first-line therapy for those with advanced SM or refractory symptoms in ISM. In ISM, avapritinib reduces bone marrow mast cell burden and improves symptoms. The efficacy of cytoreductive therapy in mastocytosis is variable, perhaps because of side effects that limit dosage. Imatinib is not effective in most cases as the D816V KIT mutation mediates resis tance. Combination chemotherapy is appropriate for the frank leukemias. Stem cell transplantation has been shown to be effective in a small subset of patients with advanced mastocytosis. </w:t>
      </w:r>
      <w:r w:rsidRPr="00A6019F">
        <w:rPr>
          <w:rFonts w:ascii="Arial" w:hAnsi="Arial" w:cs="Arial"/>
        </w:rPr>
        <w:t>■</w:t>
      </w:r>
      <w:r w:rsidRPr="00A6019F">
        <w:t xml:space="preserve">FURTHER READING Akin C: Mastocytosis: A Comprehensive Guide. New York, Springer International Publishing, 2020. Arber DA et al: International consensus classification of myeloid neo plasms and acute leukemias: Integrating morphologic, clinical, and genomic data. Blood 140:1200, 2022. Gotlib J et al: Avapritinib versus placebo in indolent systemic masto cytosis. NEJM Evid 2:6, 2023. Hartmann K et al: Cutaneous manifestations in patients with masto cytosis: Consensus report of the European Competence Network on Mastocytosis; the American Academy of Allergy, Asthma &amp; Immu nology; and the European Academy of Allergology and Clinical Immunology. J Allergy Clin Immunol 137:35, 2016. Theoharides TC et al: Mast cells, mastocytosis, and related disorders. N Engl J Med 373:163, 2015. Valent P et al: European Competence Network on Mastocytosis. Pro posed diagnostic algorithm for patients with suspected mastocytosis: A proposal of the European Competence Network on Mastocytosis. Allergy 69:1267, 2014. 367 Autoimmunity and Autoimmune Diseases Mariana J. Kaplan DEFINITION, INCIDENCE, AND PREVALENCE A key function of the human immune system is to protect the body from harmful external and internal insults, including infections, vari ous toxins, and cancer cells. In addition to the chemical and structural barriers that protect from noxious agents, the immune system provides two mechanisms of defense: innate and adaptive immune responses. Importantly, an effective immune system should be able to distinguish self from nonself and avoid harmful responses to the body’s tissues. As such, while self-recognition is important developmentally to clear dead cells throughout the body and to shape the lymphocytes’ immune receptors repertoire, bona fide autoreactive responses that are harmful to the organism are suppressed under normal conditions. Autoimmunity is defined as the development of adaptive immune responses (autoantibodies [autoAbs] or T lymphocyte responses) that CHAPTER 367 Autoimmunity and Autoimmune Diseases 2822 PART 11 Immune-Mediated, Inflammatory, and </w:t>
      </w:r>
      <w:r w:rsidRPr="00A6019F">
        <w:lastRenderedPageBreak/>
        <w:t xml:space="preserve">Rheumatologic Disorders affect predominantly females. As a group, ADs are in the top 10 leading causes of death in women. An individual affected by an AD has a high risk of developing another autoimmune condition, of having other family members who will develop autoimmunity, and of developing certain cancers and premature cardiovascular disease. PATHOGENESIS </w:t>
      </w:r>
      <w:r w:rsidRPr="00A6019F">
        <w:rPr>
          <w:rFonts w:ascii="Arial" w:hAnsi="Arial" w:cs="Arial"/>
        </w:rPr>
        <w:t>■</w:t>
      </w:r>
      <w:r w:rsidRPr="00A6019F">
        <w:t xml:space="preserve">GENETIC AND EPIGENETIC FACTORS react with autoantigens (autoAgs). This phenomenon is present in all individuals, does not necessarily carry pathogenic consequences, and tends to be more prevalent with age. In contrast, in autoimmune dis eases (ADs), an aberrant response of the innate and adaptive immune system develops, leading to a loss of tolerance to self that results in clinically relevant pathogenic responses. In these instances, the immune system attacks various cells, tissues, and organs by mistaking them for external organisms, causing damage and clinical manifesta tions. Approximately 150 ADs (organ-specific and systemic) have been described (some of them are highlighted in Table 367-1). With scien tific and technologic advances, a better characterization of the patho genic pathways leading to clinical manifestations in autoimmunity is being defined, and it is very likely that new definitions of diseases (based on clinical features and/or on pathophysiologic pathways) will continue to emerge. Overall, AD are chronic and incurable conditions that significantly affect the quality of life and, in many cases, are char acterized by accelerated mortality. From various epidemiologic studies, there appears to be an ongo ing trend for increased incidence and prevalence of many ADs. It was estimated that, in the United States in 2009, the prevalence of AD was 7.6–9.4% of the general population, or ~25–31 million people, which is likely an underestimation. ADs can occur at any age, and many of them TABLE 367-1 Examples of Some Organ-Specific and Systemic Autoimmune Diseases (ADs) ORGAN-SPECIFIC AD Hashimoto’s thyroiditis Graves’ disease Type 1 diabetes mellitus Addison’s disease Pernicious anemia Celiac disease Autoimmune hepatitis Primary biliary cholangitis Primary sclerosing cholangitis Vitiligo Pemphigus and other autoimmune bullous diseases Multiple sclerosis Myasthenia gravis Autoimmune polyglandular syndromes Autoimmune oophoritis Autoimmune orchitis Primary CNS angiitis Isolated aortitis Cutaneous arteritis Cutaneous leukocytoclastic angiitis Guillain-Barré syndrome Immune thrombocytopenic purpura Autoimmune hemolytic anemia Autoimmune pancreatitis Dermatitis herpetiformis Autoimmune autonomic ganglionopathy Autoimmune encephalitis Autoimmune inner ear disease Autoimmune myocarditis Autoimmune myelofibrosis Autoimmune retinopathy Autoimmune sudden sensorineural hearing loss Chronic inflammatory demyelinating polyneuropathy Cutaneous lupus SYSTEMIC AD Systemic lupus erythematosus Rheumatoid arthritis Primary antiphospholipid syndrome Ankylosing spondylitis Idiopathic inflammatory myopathies Sjögren syndrome Progressive systemic sclerosis Mixed connective tissue disease Giant cell arteritis Takayasu arteritis Polyarteritis nodosa ANCA-associated vasculitis Anti glomerular basement membrane disease Cryoglobulinemic vasculitis IgA vasculitis (Henoch-Schönlein) Hypocomplementemic urticarial vasculitis Kawasaki </w:t>
      </w:r>
      <w:r w:rsidRPr="00A6019F">
        <w:lastRenderedPageBreak/>
        <w:t xml:space="preserve">disease Behcet’s disease Cogan’s syndrome Psoriasis/psoriatic arthritis Inflammatory bowel disease Rheumatic fever Sarcoidosis Undifferentiated connective tissue disease   Abbreviations: ANCA, antineutrophil cytoplasmic antibody; CNS, central nervous system; IgA, immunoglobulin A. The development of AD is considered a multistep process, where both genetic and environmental factors play key roles in leading to immune dysregulation and loss of tolerance, which can precede the develop ment of clinical symptoms by many years. A variety of susceptibility genes associated to autoimmunity have been described, and there is familiar aggregation of AD. Furthermore, in type 1 diabetes mellitus (T1DM), rheumatoid arthritis (RA), multiple sclerosis (MS), and sys temic lupus erythematosus (SLE), the disease concordance in monozy gotic and dizygotic twins is between 15 and 30% and 150 susceptibility loci from genome wide association studies (GWAS). Genetic studies have identified groups of immunoregulatory genes associated with SLE, reflecting common pathways that may contribute to pathogenesis. It is pos sible that each pathway differentially contributes to the expression of disease, accounting for clinical heterogeneity. The most common genetic association is within the major histocompatibility complex that contains genes for antigen presentation molecules (class I and class II), several complement components, and cytokines. Nearly half of the susceptibility loci are associated with type 1 interferon (IFN) production or its downstream signaling. For example, some suscep tibility genes lead to increased IFN through defects in nucleic acid sensing and metabolism (TLR7, ADAR, IFIH1, SAMHD1, RNASEH2B, TREX1) or nucleic acid degradation (DNASE1, DNASE1L3), whereas other IFN-related susceptibility genes amplify the IFN response (IRF5, IRF7, IRF8, STAT4). Many predisposing genes are immune cell type specific, affecting activation and survival of T cells (OX40L) or B cells (BANK1, BACH2). The complement cascade (C1Q, C1r, C1s, C2, C4), Predisposing Factors Neutrophils and dying cells release debris which is essential for clearance of apoptotic cellular debris and immune complexes, is often affected in monogenic cases, leading to severe SLE. </w:t>
      </w:r>
      <w:r w:rsidRPr="00A6019F">
        <w:rPr>
          <w:rFonts w:ascii="Arial" w:hAnsi="Arial" w:cs="Arial"/>
        </w:rPr>
        <w:t>■</w:t>
      </w:r>
      <w:r w:rsidRPr="00A6019F">
        <w:t xml:space="preserve">ENVIRONMENT About a quarter of monozygotic twins are clinically concordant for SLE, implicating environmental factors in disease expression. Low socioeconomic status is associated with the development of SLE and may include exposures to environmental toxins, including mercury, pesticides, and diet. Viral infections such as Epstein-Barr virus likely contribute to disease development by inducing the IFN response dur ing an acute infection or by expressing viral proteins that activate SLE susceptibility genes. Ultraviolet light can impact DNA methylation, generate self-stimulatory nucleic acids, activate keratinocyte immune responses, and produce autoreactive T cells. Finally, emerging evidence suggests that the gut microbiome may increase gut permeability, pro moting the translocation of certain gut microbes into the blood with the development of lupus-specific autoantibodies contributing to SLE pathogenesis. </w:t>
      </w:r>
      <w:r w:rsidRPr="00A6019F">
        <w:rPr>
          <w:rFonts w:ascii="Arial" w:hAnsi="Arial" w:cs="Arial"/>
        </w:rPr>
        <w:t>■</w:t>
      </w:r>
      <w:r w:rsidRPr="00A6019F">
        <w:t xml:space="preserve">INNATE IMMUNITY Multiple innate immune cell defects contribute to increased cellular breakdown and reduced cell debris clearance, culminating in the pro duction of autoantibodies. Neutrophils are typically short-lived </w:t>
      </w:r>
      <w:r w:rsidRPr="00A6019F">
        <w:lastRenderedPageBreak/>
        <w:t xml:space="preserve">and abundant immune cells, representing a large burden of cellular debris that is usually cleared without inducing an immune response. Patients with SLE, however, have neutrophils with higher turnover, delivering a large load of stimulatory nucleic acids and autoantigens. Cellular debris and immune complexes are typically cleared by macrophages and dendritic cells through complement-mediated phagocytosis and nucleic acid digestion; these mechanisms are dysregulated in SLE. In turn, the burden of cellular debris exceeds that which can be cleared in SLE, triggering nucleic acid sensors and toll-like receptors (TLRs) in plasmacytoid dendritic cells to express type 1 IFN. Consequently, IFN primes neutrophils for further turnover and sensitizes the adaptive The innate immune system processes debris Environmental triggers and potential mechanism UV light - induces apoptosis and autoantigen release. Crystalline silica - induces inflammation. Smoking - causes autoantigen release. Sex hormones - regulate development and function of adaptive immune cells. Microbes (EBV, microbiome) - induce nucleic acid response, increase gut permeability. Toxins (i.e., mercury, diet) - induce cell death, inflammation, epigenetic changes. NETosis Cell death Macrophage phagocytosis Dendritic cell antigen presentation (MHC) to T-cells Key immunologic SLE pathways and selected susceptibility genes Cellular debris induces IFN response that sensitizes the immune response FcGR TLR Endosome IFN Plasmacytoid DC Autoreactive B cells produce autoantibody with activation signals from T-helper cells. Antigen presentation (MHC) - HLA-DR, HLA-DQ IFN induction - IRAK1, SLC15A4, SPP1, TNIP1, UBE2L3 Nucleic acid sensing - TLR7, ADAR, IFIH1, SAMHD1, RNASEH2B, TREX1 Nucleic acid degradation - DNASE1, DNASE1L3 Response to IFN - IRF5, IRF7, IRF8, STAT4, TYK2 Phagocytosis - FCGR2A, C1Q, C1r, C1s, C2, C4 T-cell activation ETS1, IL21, IKZF1, IKZF2, PTPN22, STAT4, TCF7, OX40L B-cell activation - ARID5B, BANK1, BACH2, BLK, CD40, CSK, IKZF3, IRF5 Autoreactive T cell Autoreactive B cell Monocytes infiltrate tissue and are activated by immune complexes binding to FcGR, inducing tissue inflammation FcGR Immune complexes deposit in tissue Autoantibodies Autoantibodies (i.e., anti-dsDNA, anti-Sm autoantibodies) against cellular debris form immune complexes Classic monocyte Epigenetic changes DNA methylation and histone acetylation can affect the IFN response of T, B, and myeloid subsets. Non-classical monocyte anti-dsDNA: Anti double-stranded DNA anti-Sm: anti-Smith FcGR: Fc gamma receptor IFN: Type 1 interferon MHC: Major histocompatibility complex Legend NETosis: Program for formation of neutrophil extracellular traps (NETs) Plasmacytoid DC: Plasmacytoid dendritic cell TLR: Toll-like receptor FIGURE 368-1 Pathogenesis of systemic lupus erythematosus (SLE). Autoantigens from neutrophil NETosis and cellular turnover overwhelm clearance mechanisms regulated by the innate immune system in SLE. Consequently, these autoantigens accumulate and induce an immune response. Nucleic acid activates TLR signaling in plasmacytoid dendritic cells (DCs), producing type 1 IFN, sensitizing the innate and adaptive immune responses. DCs present autoantigens to autoreactive T cells, leading to B-cell stimulation and the production of immune complexes against these autoantigens. </w:t>
      </w:r>
      <w:r w:rsidRPr="00A6019F">
        <w:lastRenderedPageBreak/>
        <w:t xml:space="preserve">Immune complexes deposit in tissue and induce local immune responses that lead to inflammation and repair and, eventually, fibrosis after recurrent SLE flares. EBV, Epstein-Barr virus. 2829 immune system. Other innate immune cells with aberrant function in SLE include classical monocytes that infiltrate and repair injured tissue due to immune complex deposition and nonclassical monocytes that patrol the vascular lumen for injury. Sustained activation of these sub sets from SLE leads to tissue inflammation and scarring. </w:t>
      </w:r>
      <w:r w:rsidRPr="00A6019F">
        <w:rPr>
          <w:rFonts w:ascii="Arial" w:hAnsi="Arial" w:cs="Arial"/>
        </w:rPr>
        <w:t>■</w:t>
      </w:r>
      <w:r w:rsidRPr="00A6019F">
        <w:t xml:space="preserve">ADAPTIVE IMMUNITY B cells play a central role in the SLE pathogenesis based on the production of autoantibodies due to their loss of tolerance. Autoantibodies, especially those complexed with nucleic acid, are pathogenic mediators of tissue inflammation and damage in SLE. These autoantibodies induce type 1 IFN and other inflammatory mediators and activate patrolling monocytes in tissue. A subset of circulating age-associated B cells (ABCs) expands in SLE patients and eventually matures into autoantibody-secreting plasma cells, indicating that SLE patients have an increased population of B cells primed to generate pathogenic autoantibodies. Similar to B cells, T cells lose tolerance and play a central role in the autoimmune response. In particular, both T follicular and T peripheral helper cells promote B-cell differentiation into pathogenic, high-affinity, autoantibody-secreting plasma cells. T regulatory cells meant to maintain tolerance in both T and B cells are defective in SLE. CLINICAL MANIFESTATIONS </w:t>
      </w:r>
      <w:r w:rsidRPr="00A6019F">
        <w:rPr>
          <w:rFonts w:ascii="Arial" w:hAnsi="Arial" w:cs="Arial"/>
        </w:rPr>
        <w:t>■</w:t>
      </w:r>
      <w:r w:rsidRPr="00A6019F">
        <w:t xml:space="preserve">OVERVIEW AND SYSTEMIC MANIFESTATIONS The initial presentation of SLE is variable and may present as nonspe cific constitutional symptoms with or without single-organ or mul tiorgan involvement. Autoantibody presence is helpful in attributing nonspecific symptoms to SLE. Symptoms can be mild to severe at any time over the course of the disease, including at initial presentation. Patients with severe disease often have systemic symptoms such as fever, anorexia, and unintentional weight loss. Approximately 15% of patients have relatively mild disease, which may or may not be accom panied by fatigue, brain fog, and/or mild arthralgia. The majority of SLE patients have active disease despite therapy or have frequent flares of their disease requiring treatment adjustment. Goals for SLE treat ment are low-level disease activity or remission on ongoing therapy. (See “Outcomes” section for more details.) </w:t>
      </w:r>
      <w:r w:rsidRPr="00A6019F">
        <w:rPr>
          <w:rFonts w:ascii="Arial" w:hAnsi="Arial" w:cs="Arial"/>
        </w:rPr>
        <w:t>■</w:t>
      </w:r>
      <w:r w:rsidRPr="00A6019F">
        <w:t xml:space="preserve">MUSCULOSKELETAL MANIFESTATIONS Nonspecific arthralgia and myalgia are common in SLE. Lupus arthritis is characterized by a polyarthritis most commonly involving the wrists, the metacarpal-phalangeal and proximal interphalangeal joints of the hands, and the knees. In some cases, damage of the periarticular liga ments may lead to Jaccoud-like changes (Fig. 368-2A). Rheumatoid arthritis and SLE can occur simultaneously, and this overlap is denoted by the term rhupus. While radiographs rarely demonstrate erosive changes in lupus arthritis, emerging studies with magnetic resonance imaging (MRI) and ultrasound imaging suggest a possible erosive pat tern that is less severe than that seen with rheumatoid arthritis. Pain in a single hip, shoulder, or knee out of proportion to other joints should prompt consideration of avascular necrosis of bone, particularly with history of corticosteroid usage. Inflammatory muscle disease is also seen in lupus, characterized </w:t>
      </w:r>
      <w:r w:rsidRPr="00A6019F">
        <w:lastRenderedPageBreak/>
        <w:t xml:space="preserve">by symmetrical proximal weakness, ele vated creatine kinase and aldolase levels, and inflammatory changes on muscle biopsy. Corticosteroids used to treat SLE may cause myopathy, as can antimalarials, although this is rare. </w:t>
      </w:r>
      <w:r w:rsidRPr="00A6019F">
        <w:rPr>
          <w:rFonts w:ascii="Arial" w:hAnsi="Arial" w:cs="Arial"/>
        </w:rPr>
        <w:t>■</w:t>
      </w:r>
      <w:r w:rsidRPr="00A6019F">
        <w:t xml:space="preserve">CUTANEOUS MANIFESTATIONS Three major categories of SLE skin manifestations include acute cuta neous lupus erythematosus (ACLE), subacute cutaneous lupus erythe matosus (SCLE), and chronic cutaneous lupus (Fig. 368-2B-F). ACLE occurs with SLE disease activity, whereas SCLE and certain forms of chronic cutaneous lupus may be seen in the absence of systemic dis ease. The most classic form of ACLE is the malar rash, which appears in a “butterfly” distribution across the cheeks of the face with nasolabial sparing. Due to its photosensitive nature, slightly raised lesions, and location on the face, this may be confused with rosacea, which involves the nasolabial folds. ACLE may also present as a generalized macu lopapular rash in sun-exposed areas of the body, bullous lupus, toxic epidermal necrolysis variant, and generalized photosensitivity. SCLE is a photosensitive rash associated with anti-Ro or SSA antibodies that is characterized by flat, red-rimmed annular or psoriasiform lesions. Discoid lesions are rough, circular lesions that are slightly raised, scaly, and hyperpigmented with depigmented, atrophic centers and erythematous rims, and are the most common chronic dermatitis seen in SLE. Other chronic forms of cutaneous lupus include hypertrophic or verrucous lupus, lupus panniculitis, tumid lupus, chilblains lupus, and discoid lupus/lichen planus overlap. Nonspecific cutaneous mani festations that may be seen in SLE include nonscarring alopecia, oral and nasal painful or nonpainful mucosal ulcers, and the less common leukocytoclastic and urticarial vasculitides. Approximately one-third of SLE patients also experience Raynaud’s phenomenon, a condition in which small blood vessels undergo vasospasm with exposure to cold environment or stress, causing a classically triphasic color change of the fingers and/or toes, inducing white (blanching), blue (cyanosis), and red (hyperemia) coloring of the extremities. </w:t>
      </w:r>
      <w:r w:rsidRPr="00A6019F">
        <w:rPr>
          <w:rFonts w:ascii="Arial" w:hAnsi="Arial" w:cs="Arial"/>
        </w:rPr>
        <w:t>■</w:t>
      </w:r>
      <w:r w:rsidRPr="00A6019F">
        <w:t xml:space="preserve">RENAL MANIFESTATIONS Nephritis occurs in ~35% of patients with SLE and is more severe in non-White patients, more frequently leading to end-stage renal dis ease (ESRD) despite therapy. Nephritis can be seen with or without extrarenal SLE disease and may be present in an asymptomatic patient. Patients should therefore be screened at regular 3-month intervals with a random urine protein-to-creatinine ratio (UPCr) or a 24-h urine pro tein and creatinine determination. Usually, nephritis is seen in patients with elevated serum anti–double-stranded DNA (dsDNA) antibody titers and decreased serum levels of C3 and/or C4, and trends of these biomarkers over time may serve as warning signs of impending active nephritis. Renal biopsy is generally prompted by a UPCr of &gt;0.5 and/ or declining kidney function. Classification is based on renal pathol ogy from a renal biopsy and is defined by the International Society of Nephrology/Renal Pathology Society criteria. Aggressive therapy is generally reserved for patients with class III (focal proliferative glo merulonephritis), class IV (diffuse proliferative glomerulonephritis), or a combination of class III or IV with class V disease (membranous) (Fig. 368-3, Chap. A4). Approximately 20% of lupus nephritis patients with significant proteinuria tend to have </w:t>
      </w:r>
      <w:r w:rsidRPr="00A6019F">
        <w:lastRenderedPageBreak/>
        <w:t xml:space="preserve">class V disease and more often have nephrotic syndrome. Patients with class V lupus nephritis have a better overall prognosis than patients with class III or IV lupus nephri tis and are treated in the same manner as class III and IV. Patients who do not respond to treatment may require a repeat biopsy to evaluate for a change in class. In the United States, ~20% of SLE patients with class IV lupus nephritis die or develop ESRD within 10 years. Newer approaches are being developed to both increase renal survival and spare patients from accelerated atherosclerosis, hypertension, hyper glycemia, and hyperlipidemia, all of which can be accelerated by renal disease and corticosteroid usage. CHAPTER 368 Systemic Lupus Erythematosus </w:t>
      </w:r>
      <w:r w:rsidRPr="00A6019F">
        <w:rPr>
          <w:rFonts w:ascii="Arial" w:hAnsi="Arial" w:cs="Arial"/>
        </w:rPr>
        <w:t>■</w:t>
      </w:r>
      <w:r w:rsidRPr="00A6019F">
        <w:t xml:space="preserve">NERVOUS SYSTEM MANIFESTATIONS Lupus patients experience neuropsychiatric manifestations of disease that are characterized by diffuse or focal symptoms. The most com mon diffuse symptom is </w:t>
      </w:r>
      <w:r w:rsidRPr="00A6019F">
        <w:rPr>
          <w:rFonts w:ascii="Aptos" w:hAnsi="Aptos" w:cs="Aptos"/>
        </w:rPr>
        <w:t>“</w:t>
      </w:r>
      <w:r w:rsidRPr="00A6019F">
        <w:t>brain fog,</w:t>
      </w:r>
      <w:r w:rsidRPr="00A6019F">
        <w:rPr>
          <w:rFonts w:ascii="Aptos" w:hAnsi="Aptos" w:cs="Aptos"/>
        </w:rPr>
        <w:t>”</w:t>
      </w:r>
      <w:r w:rsidRPr="00A6019F">
        <w:t xml:space="preserve"> a cognitive dysfunction or slow ing of thought. The etiology is not well understood but may be related to autoantibodies crossing the blood-brain barrier, leading to local inflammation and neuronal damage. Headache is common and often severe, although it may be difficult to distinguish from migraine or tension headache. Seizures of any type may be seen in neuropsychiat ric lupus. Acute psychosis and confusional states are uncommon but can occur in SLE without any structural abnormalities. In these cases, glucocorticoid-induced psychosis and infectious encephalitis should be ruled out. Transverse myelitis is a rare SLE complication that mani fests as bilateral neurologic deficits such as symmetric motor weakness and decreased sensation due to spinal cord inflammation. </w:t>
      </w:r>
      <w:r w:rsidRPr="00A6019F">
        <w:rPr>
          <w:rFonts w:ascii="Arial" w:hAnsi="Arial" w:cs="Arial"/>
        </w:rPr>
        <w:t>■</w:t>
      </w:r>
      <w:r w:rsidRPr="00A6019F">
        <w:t xml:space="preserve">VASCULAR OCCLUSION: MYOCARDIAL INFARCTIONS AND STROKE Coronary heart disease from accelerated atherosclerosis in SLE is a significant cause of morbidity and premature death, especially in young patients without other risk factors. Vascular injury due to excessive 2830 PART 11 Immune-Mediated, Inflammatory, and Rheumatologic Disorders A B C D E F FIGURE 368-2 Characteristic musculoskeletal and cutaneous manifestations seen in systemic lupus erythematosus (SLE). A. Jaccoud arthropathy, characterized by chronic, nonerosive, and reversible deviations caused by joint capsule inflammation with subsequent fibrotic retraction and metacarpophalangeal joint subluxation. B. Patchy, nonscarring alopecia. C. Patchy scarring alopecia. D. Patchy alopecia associated with chronic, scarring discoid lupus changes. E. Classic photosensitive malar rash. F. Subacute cutaneous lupus erythematosus (SCLE) with widespread, nonscarring photosensitive features. (Panels B–E reproduced with permission from Victoria Werth, MD. Panels A and F reproduced with permission from DoQuyen Huynh, MD.) type 1 IFN and cellular death may predispose to atherosclerosis. The risk of coronary artery disease and vascular thrombosis is further increased in SLE patients with antiphospholipid syndrome (APS), an autoimmune syndrome that commonly occurs in SLE and is character ized by arterial, venous, or small vessel thromboembolic events in the presence of antiphospholipid antibodies with prothrombotic proper ties (Chap. 369). Stroke has been reported in up to 19% of patients with SLE, a result of atherosclerosis and increased risk from APS. In addition to stroke, APS appears to be a </w:t>
      </w:r>
      <w:r w:rsidRPr="00A6019F">
        <w:lastRenderedPageBreak/>
        <w:t xml:space="preserve">significant risk factor for other focal central nervous system manifestations including seizures and transverse myelitis. </w:t>
      </w:r>
      <w:r w:rsidRPr="00A6019F">
        <w:rPr>
          <w:rFonts w:ascii="Arial" w:hAnsi="Arial" w:cs="Arial"/>
        </w:rPr>
        <w:t>■</w:t>
      </w:r>
      <w:r w:rsidRPr="00A6019F">
        <w:t xml:space="preserve">PULMONARY MANIFESTATIONS The most common pulmonary manifestation of SLE is pleuritis, which can occur with or without exudative pleural effusions. Acute pneumonitis may present in active SLE, with pulmonary infiltrates often appearing indistinguishable from infection on imaging. Diffuse alveolar hemorrhage with capillaritis and interstitial lung disease may also be seen. Restrictive lung defect from reduced lung volumes, also known as shrinking lung syndrome, is uncommon but may occur. Pulmonary arterial hypertension and pulmonary embolism may be present with or without APS. </w:t>
      </w:r>
      <w:r w:rsidRPr="00A6019F">
        <w:rPr>
          <w:rFonts w:ascii="Arial" w:hAnsi="Arial" w:cs="Arial"/>
        </w:rPr>
        <w:t>■</w:t>
      </w:r>
      <w:r w:rsidRPr="00A6019F">
        <w:t>CARDIAC MANIFESTATIONS All layers of the heart may be involved in SLE, with pericardial involvement being the most frequent. Pericarditis can typically be managed with anti-inflammatory medications, colchicine, and anti-IL-1</w:t>
      </w:r>
      <w:r w:rsidRPr="00A6019F">
        <w:rPr>
          <w:rFonts w:ascii="Aptos" w:hAnsi="Aptos" w:cs="Aptos"/>
        </w:rPr>
        <w:t>–</w:t>
      </w:r>
      <w:r w:rsidRPr="00A6019F">
        <w:t xml:space="preserve">directed therapies, or without glucocorticoids, and rarely leads to tamponade physiology. Myocarditis is rarer and may lead to left-sided heart failure and/or arrhythmia. Libman-Sacks endocarditis, a fibrinous sterile form of endocarditis that may be associated with antiphospholipid antibod ies, may increase the risk for embolic events. Right-sided heart failure may be present with pulmonary arterial hypertension or chronic lung disease. </w:t>
      </w:r>
      <w:r w:rsidRPr="00A6019F">
        <w:rPr>
          <w:rFonts w:ascii="Arial" w:hAnsi="Arial" w:cs="Arial"/>
        </w:rPr>
        <w:t>■</w:t>
      </w:r>
      <w:r w:rsidRPr="00A6019F">
        <w:t xml:space="preserve">HEMATOLOGIC MANIFESTATIONS Cytopenias in SLE are often multifactorial and may be associated with disease activity, medication use, or infection. Anemia is the most common hematologic manifestation of SLE and is present in &gt;50% of SLE cases, with anemia of chronic disease representing approximately 2831 Class I Class II Class V Class III/IV Class III/IV + V FIGURE 368-3 Ultrastructural features of lupus glomerulonephritis. Class I: Mesangial immune deposits (black) without mesangial cell (red) hypercellularity or leukocyte infiltration. Class II: Mesangial immune deposits with mesangial cell hypercellularity, no leukocyte infiltration. Class III/IV: Subendothelial immune deposits visible by light microscopy, with infiltration of mesangial and capillary leukocytes (dark green neutrophils and light green monocytes/macrophages). Class III/IV + V: Leukocyte infiltration with subepithelial and subendothelial immune deposits. Class V: Subepithelial immune deposits, no leukocyte infiltration. (Reproduced with permission from IM Bajema et al: Revision of the International Society of Nephrology/Renal Pathology Society classification for lupus nephritis: Clarification of definitions, and modified National Institutes of Health activity and chronicity indices. Kidney Int 93:789, 2018, Figure 2.) one-third of cases; other causes for anemia in SLE include iron deficiency, autoimmune hemolytic anemia, aplastic anemia, micro angiopathic hemolytic anemia, and medication effect. Leukopenia (18% BSA; SLEDAI &gt;12; ≥1 BILAG A manifestation. †Recommendation of belimumab and anifrolumab as first-line therapy in severe disease refers to cases of extrarenal SLE with nonmajor organ involvement but extensive disease from skin, joints, and so on. The use of anifrolumab as add-on therapy in severe disease refers mainly to severe skin disease. For patients with severe neuropsychiatric disease, anifrolumab and belimumab are not recommended. ANI, anifrolumab; aPL, antiphospholipid antibodies; APS, antiphospholipid syndrome; AZA, </w:t>
      </w:r>
      <w:r w:rsidRPr="00A6019F">
        <w:lastRenderedPageBreak/>
        <w:t xml:space="preserve">azathioprine; BEL, belimumab; BILAG, British Isles Lupus Assessment Group; CNI, calcineurin inhibitor; CYC, cyclophosphamide; GC, glucocorticoids; HCQ, hydroxychloroquine; IV, intravenous; MMF, mycophenolate mofetil; MTX, methotrexate; PO, per os; RTX, rituximab; SLEDAI, SLE Disease Activity Index; VKA, vitamin K antagonists. (Reproduced with permission from A Fanouriakis et al: Ann Rheum Dis 83:15, 2024.) 2834 Treatment of Lupus Nephritis Initial PART 11 Adjunct treatment for kidney protection# Subsequent HCQ (all patients unless contraindicated) GC PO/IV (consider pulse IV MP, then 0.3–0.5 mg/kg/day depending on severity; taper to ≤5 mg/day as quickly as possible) ACEi/ARBs Immune-Mediated, Inflammatory, and Rheumatologic Disorders Consider SGLT2i (if decreased eGFR) VKA, heparin (if concomitant APS nephropathy) Assess adherence to treatment MMF Low-dose CYC MMF/low-dose CYC + BEL§ MMF + CNI (esp. VOC, TAC)^ High-dose CYC * ,¶ RTX† MMF/AZA + BEL§ Grade A Grade B Grade C Targets 3 months ≥25% reduction in UPr AZA/MMF Any of the above mentioned unless contraindicated^ Grade D 6 months ≥50% reduction in UPr to 100 drugs have been identified as potential triggers for DIL. The highest incidence of DIL occurs with the anti arrhythmic procainamide, with risk reported to be as high as 30%. Other substances associated with DIL include the antihypertensives hydralazine and methyldopa; other antiarrhythmics; antibiotics includ ing minocycline, isoniazid, rifampin, and nitrofurantoin; the anti rheumatic drug sulfasalazine; anticonvulsants such as phenytoin and carbamazepine; antipsychotics including chlorpromazine and lithium; several ACE inhibitors and beta blockers; the diuretic hydrochloro thiazide; the antithyroid propylthiouracil; proton pump inhibitors; NSAIDs; and oral contraceptives. Biologic agents include antitumor necrosis factor α medications, particularly infliximab and etanercept, and IFN-α. Diagnosis can be difficult, as DIL symptoms may start weeks to several months after drug initiation. Furthermore, skin biopsy may be indistinguishable from SLE, and laboratory characteristics including histone antibody may be seen in the majority of SLE cases. In DIL, the ANA pattern is most commonly homogeneous, and histone is posi tive in 75% of DIL cases. Cytopenias may be present but are typically mild. The presence of other autoantibodies may help to distinguish SLE from DIL, as these are rarely seen in DIL. The ANA test typically appears before symptoms, although many of the same medications will 2836 PART 11 Immune-Mediated, Inflammatory, and Rheumatologic Disorders induce a positive ANA in patients who never develop symptoms. If DIL is suspected, these laboratory tests should help to inform the clinical picture to decide if medication discontinuation is appropriate. If symp toms resolve after medication discontinuation, this helps to confirm a diagnosis of DIL. PREGNANCY AND REPRODUCTIVE HEALTH </w:t>
      </w:r>
      <w:r w:rsidRPr="00A6019F">
        <w:rPr>
          <w:rFonts w:ascii="Arial" w:hAnsi="Arial" w:cs="Arial"/>
        </w:rPr>
        <w:t>■</w:t>
      </w:r>
      <w:r w:rsidRPr="00A6019F">
        <w:t xml:space="preserve">FERTILITY Lupus activity can affect the menstrual and ovulation cycle. Lower measures of ovarian reserve are seen in SLE patients compared to healthy controls. Women with SLE have a higher risk for infertility if they have active disease, comorbidities such as APS or nephritis, and prior exposure to treatments such as cyclophosphamide. Cyclophos phamide use may lead to amenorrhea, ovarian </w:t>
      </w:r>
      <w:r w:rsidRPr="00A6019F">
        <w:lastRenderedPageBreak/>
        <w:t xml:space="preserve">insufficiency, and early menopause. </w:t>
      </w:r>
      <w:r w:rsidRPr="00A6019F">
        <w:rPr>
          <w:rFonts w:ascii="Arial" w:hAnsi="Arial" w:cs="Arial"/>
        </w:rPr>
        <w:t>■</w:t>
      </w:r>
      <w:r w:rsidRPr="00A6019F">
        <w:t xml:space="preserve">CONTRACEPTION/HORMONE REPLACEMENT Contraception and family planning should be discussed with all women of reproductive age with SLE. SLE patients with antiphospholipid anti bodies and those with moderate-to-severe or active lupus should avoid estrogen compounds due to increased risk for thromboembolism. Progestin-only contraceptive options such as the levonorgestrel intra uterine device or etonogestrel implant, as well as emergency contracep tion, may be used safely in women with SLE. Estrogen compounds as a part of postmenopausal hormone replacement therapy should similarly be avoided in the presence of antiphospholipid antibodies. </w:t>
      </w:r>
      <w:r w:rsidRPr="00A6019F">
        <w:rPr>
          <w:rFonts w:ascii="Arial" w:hAnsi="Arial" w:cs="Arial"/>
        </w:rPr>
        <w:t>■</w:t>
      </w:r>
      <w:r w:rsidRPr="00A6019F">
        <w:t xml:space="preserve">PREGNANCY SLE pregnancies are high risk. Disease activity in pregnancy is unpre dictable, and the disease can flare during any trimester. Active disease at time of conception is associated with more flares during pregnancy. HCQ reduces the risk of flares during pregnancy and postpartum. Women with SLE are at a higher risk for adverse pregnancy outcomes including pregnancy loss, preterm birth, preeclampsia and pregnancy induced hypertension, intrauterine growth restriction, cesarean sec tion, and maternal death. Flaring or active disease increases the risk for these adverse outcomes. The presence of maternal hypertension, use of glucocorticoids during pregnancy, maternal renal disease, discontinu ation of HCQ, non-White ethnicity, and lupus anticoagulant positivity are all associated with worse pregnancy outcomes. SLE patients at the highest risk for maternal death are those with pulmonary arterial hypertension, prior arterial thrombosis, and severe end-organ damage, and these patients should strongly consider avoiding pregnancy. Outcomes are generally favorable for women with SLE with mild to-moderate disease activity on pregnancy-compatible medications. Low-dose aspirin is used during pregnancy for preeclampsia preven tion. HCQ is safe and the standard of care for all SLE pregnancies. Azathioprine and tacrolimus may be used safely in pregnancy for more severe disease and/or renal disease. MMF and methotrexate are terato genic and should be avoided. Belimumab, anifrolumab, and voclospo rin should currently be avoided due to lack of safety data. Patients who get pregnant on these medications may be switched to azathioprine or tacrolimus. Rituximab should be discontinued at conception but may be used during pregnancy in organ-threatening disease. Predni sone may be used for disease flares and can suppress disease activity, but the dose should be tapered to the lowest effective dose by adding pregnancy-compatible immunosuppressant medications. Warfarin is teratogenic; low-molecular-weight heparin is used in SLE pregnancies with APS or prior pregnancy morbidity. </w:t>
      </w:r>
      <w:r w:rsidRPr="00A6019F">
        <w:rPr>
          <w:rFonts w:ascii="Arial" w:hAnsi="Arial" w:cs="Arial"/>
        </w:rPr>
        <w:t>■</w:t>
      </w:r>
      <w:r w:rsidRPr="00A6019F">
        <w:t xml:space="preserve">NEONATAL LUPUS SS-A (Ro) antibodies may cross the placenta into the fetal circulation and put the infant at risk for neonatal lupus. Neonatal lupus can consist of a transient cutaneous rash or lab abnormalities that present after birth or, less commonly, congenital heart block that presents in utero. The presence of Ro antibodies, particularly in high titer, should prompt referral to high-risk obstetricians who can perform fetal echocardiog raphy to screen for congenital heart block. The use of fluorinated steroids may be considered if first- or second-degree heart block is detected. The use of HCQ in pregnancy </w:t>
      </w:r>
      <w:r w:rsidRPr="00A6019F">
        <w:lastRenderedPageBreak/>
        <w:t xml:space="preserve">significantly reduces the risk of congenital heart block in women who have had a prior fetus with congenital heart block. OUTCOMES Measuring SLE outcomes both in clinical trials and in clinical practice is complex given the multisystem nature of the disease. Various aspects of disease require unique treatment approaches and often at differing rates, which makes measuring response challenging. Modern SLE treatment outcomes include improvement in inflammatory type 1 and chronic type 2 symptoms, quality of life, and the prevention of frailty and damage. New drugs and interventions are constantly being explored as potential treatments for SLE in clinical trials. Goals of clinical trials for novel therapies include improved disease activity and acceptable safety. Long-term extension studies focus on long-term safety and mainte nance of improved disease activity. The Systemic Lupus Erythematosus Responder Index (SRI) and the British Isles Lupus Assessment Group (BILAG)-based Composite Lupus Assessment (BICLA) are validated instruments for use in clinical trials. The Cutaneous Lupus Disease Area and Severity Index (CLASI) is also utilized specifically for trials involv ing cutaneous lupus. Several instruments are utilized in clinical trials to assess quality of life and fatigue, although few are specific to SLE. </w:t>
      </w:r>
      <w:r w:rsidRPr="00A6019F">
        <w:rPr>
          <w:rFonts w:ascii="Arial" w:hAnsi="Arial" w:cs="Arial"/>
        </w:rPr>
        <w:t>■</w:t>
      </w:r>
      <w:r w:rsidRPr="00A6019F">
        <w:t xml:space="preserve">TREAT-TO-TARGET APPROACHES Treat-to-target goals for clinical trials and clinical practice have been developed and validated, including the definition of a lupus low dis ease activity state (LLDAS) and remission (DORIS). Both LLDAS and DORIS remission scoring utilize the SLEDAI-2K instrument, a vali dated instrument that measures SLE disease activity. Achievement of remission by these measures is defined by low disease activity (LLDAS) or no disease activity (DORIS), with minimal use of steroids and stable use of antimalarials, immunosuppressants, and/or biologics and by low levels (LLDAS) or no evidence of disease activity (DORIS) as assessed by the evaluating physician. LLDAS has been shown to be attainable in up to 80% of patients, and the achievement of sustained LLDAS for 2 more years is associated with significantly less overall damage. </w:t>
      </w:r>
      <w:r w:rsidRPr="00A6019F">
        <w:rPr>
          <w:rFonts w:ascii="Arial" w:hAnsi="Arial" w:cs="Arial"/>
        </w:rPr>
        <w:t>■</w:t>
      </w:r>
      <w:r w:rsidRPr="00A6019F">
        <w:t xml:space="preserve">DAMAGE Organ or structural damage occurs in SLE due to the use of medica tions to treat the disease or because of persistent disease activity. Use of glucocorticoids is associated with the development of irrevers ible organ damage that is independent of disease activity. Cataracts, osteoporosis-associated fractures, avascular necrosis, and diabetes mellitus are the complications from glucocorticoid treatment that are most commonly observed. Development of damage accrues in a dose-dependent manner, but even low doses of 5 mg of prednisone or equivalent appear to be associated with damage accrual. Accelerated atherosclerosis is a major cause of death after 5 years of SLE disease duration. Increased myocardial infarction and cerebrovascular event rates are due to both traditional cardiovascular risk factors and non traditional factors including presence of antiphospholipid antibodies, increased disease activity, low C3 levels, high glucocorticoid dose, and high homocysteine and leptin levels. Statin use has been demonstrated to reduce all-cause mortality in SLE patients with renal transplantation. Studies of malignancy rates in SLE have been inconsistent; however, recent meta-analyses suggest an increased risk of overall cancer and cancer-related </w:t>
      </w:r>
      <w:r w:rsidRPr="00A6019F">
        <w:lastRenderedPageBreak/>
        <w:t xml:space="preserve">death in SLE patients. Seventeen site-specific cancers noted include digestive cancers (esophagus, colon, anus, hepatobiliary, liver, and pancreas), hematologic cancers (lymphoma, Hodgkin’s lym phoma, non-Hodgkin’s lymphoma, leukemia, and multiple myeloma), and cancer involving lung, larynx, cervix, vagina/vulva, kidney, blad der, skin, and thyroid. </w:t>
      </w:r>
      <w:r w:rsidRPr="00A6019F">
        <w:rPr>
          <w:rFonts w:ascii="Arial" w:hAnsi="Arial" w:cs="Arial"/>
        </w:rPr>
        <w:t>■</w:t>
      </w:r>
      <w:r w:rsidRPr="00A6019F">
        <w:t xml:space="preserve">FURTHER READING Aringer M et al: 2019 European League Against Rheumatism/Ameri can College of Rheumatology classification for systemic lupus erythe matosus. Ann Rheum Dis 78:1151, 2019. Aringer M et al: A glimpse into the future of systemic lupus erythe matosus. Ther Adv Musculoskelet Dis 14:1759720X221086719, 2022. </w:t>
      </w:r>
      <w:r w:rsidRPr="00A6019F">
        <w:rPr>
          <w:rFonts w:ascii="Arial" w:hAnsi="Arial" w:cs="Arial"/>
        </w:rPr>
        <w:t>■</w:t>
      </w:r>
      <w:r w:rsidRPr="00A6019F">
        <w:t xml:space="preserve">EPIDEMIOLOGY 2837 Barber MRW et al: Global epidemiology of systemic lupus erythema tosus. Nat Rev Rheumatol 17: 515, 2021. Fanouriakis A et al: EULAR recommendations for the management of systemic lupus erythematosus: 2023 update. Ann Rheum Dis 83:15, 2024. Izmirly PM et al: Prevalence of systemic lupus erythematosus in the United States: Estimates from a meta-analysis of the centers for Disease Control and Prevention National Lupus Registries. Arthritis Rheumatol 73:991, 2021. Morand EF et al: Advances in the management of systemic lupus ery thematosus. BMJ 383:e073980, 2023. Petri M et al: Derivation and validation of Systemic Lupus Interna tional Collaborating Clinics classification criteria for systemic lupus erythematosus. Arthritis Rheum 64:2677, 2012. Pisetsky DS et al: A novel system to categorize the symptoms of systemic lupus erythematosus. Arthritis Care Res (Hoboken) 71:735, 2019. Shumilova A, Vital EM: Musculoskeletal manifestations of systemic lupus erythematosus. Best Pract Res Clin Rheumatol 22:101859, 2023. Vale ECSD, Garcia LC: Cutaneous lupus erythematosus: A review of etiopathogenic, clinical, diagnostic and therapeutic aspects. An Bras Dermatol 98:355, 2023. 369 Antiphospholipid Syndrome Haralampos M. Moutsopoulos, Maria G. Tektonidou </w:t>
      </w:r>
      <w:r w:rsidRPr="00A6019F">
        <w:rPr>
          <w:rFonts w:ascii="Arial" w:hAnsi="Arial" w:cs="Arial"/>
        </w:rPr>
        <w:t>■</w:t>
      </w:r>
      <w:r w:rsidRPr="00A6019F">
        <w:t xml:space="preserve">DEFINITIONS Antiphospholipid syndrome (APS) is an autoantibody-mediated acquired thrombophilia characterized by recurrent arterial or venous thrombosis, microvascular manifestations, and/or pregnancy morbid ity. It affects primarily young females. APS may occur alone (primary) or in association with other autoimmune diseases, mainly systemic lupus erythematosus (SLE). Catastrophic APS (CAPS) is a rare, life threatening, rapidly progressive thromboembolic disease involving simultaneously three or more organs. The major autoantibodies detected in APS patients are directed against phospholipid-binding plasma proteins such as β2-glycoprotein I (β2 GPI) and prothrombin. The plasma protein β2 GPI is a 43-kDa plasma apolipoprotein, which consists of 326 amino acids arranged in five domains (I through V). The presence of anti–domain I IgG antibodies has been associated with increased thrombotic risk. Recent evidence from animal studies has shown that the antithrombotic func tion of β2 GPI is dependent on its fifth domain (domain V). Another group of antibodies against phospholipid-binding proteins, termed lupus anticoagulant (LA), prolongs clotting time in vitro, which is not corrected by adding normal plasma. Anticardiolipin and anti-β2 GPI IgG/IgM antibodies are measured by standardized enzyme-linked immunosorbent assays (ELISA); β2 GPI in combination with cardiolipin </w:t>
      </w:r>
      <w:r w:rsidRPr="00A6019F">
        <w:lastRenderedPageBreak/>
        <w:t xml:space="preserve">or β2 GPI in the absence of cardiolipin serve as target antigens, respectively. LA testing includes a three step procedure: (1) screening including testing with activated partial thromboplastin time (aPTT) and dilute Russel viper venom test (DRVVT); (2) mixing study; and (3) confirmation. In patients receiv ing anticoagulation treatment, LA test positivity should be interpreted with caution. In patients with features highly reminiscent of APS in the absence of classical antiphospholipid antibodies (aPL), testing for antiphosphatidylserine/prothrombin antibodies may have a valuable diagnostic role. The incidence of APS is estimated to be 1–2 cases per 100,000 persons per year. The prevalence of APS in the general population is estimated to be 40–50 per 100,000. APL antibodies occur in 1–5% of the general population. Their prevalence increases with age; however, it is ques tionable whether they are able to induce thrombotic events in elderly individuals. Moreover, one-third of patients with SLE (Chap. 368) pos sess these antibodies and 10–15% of them develop APS. </w:t>
      </w:r>
      <w:r w:rsidRPr="00A6019F">
        <w:rPr>
          <w:rFonts w:ascii="Arial" w:hAnsi="Arial" w:cs="Arial"/>
        </w:rPr>
        <w:t>■</w:t>
      </w:r>
      <w:r w:rsidRPr="00A6019F">
        <w:t xml:space="preserve">PATHOGENESIS The initiating events for the induction of antibodies to phospholipid binding proteins seem to be endothelial injury induced by infections, oxidative stress, and major physical stresses such as surgery or trauma in an appropriate genetic background, given the previously demonstrated associations with alleles within the human leukocyte antigen (HLA) locus. These contributors seem to induce increased apoptosis of the ves sel endothelial cells, autoantigen presentation, and subsequent initiation of autoimmune response. The binding of aPL to the disrupted endothe lial cells leads to a proinflammatory and prothrombotic state involving monocytes and platelets activation, adhesion molecules and proinflam matory cytokines production, complement and neutrophil activation, neutrophil extracellular trap (NET) formation, and thrombus formation. Recently, type I interferon pathway activation and an imbalance between type I and III interferons have been proposed as potential mechanisms of thrombotic events and APS-related obstetric complications. CHAPTER 369 Antiphospholipid Syndrome </w:t>
      </w:r>
      <w:r w:rsidRPr="00A6019F">
        <w:rPr>
          <w:rFonts w:ascii="Arial" w:hAnsi="Arial" w:cs="Arial"/>
        </w:rPr>
        <w:t>■</w:t>
      </w:r>
      <w:r w:rsidRPr="00A6019F">
        <w:t xml:space="preserve">CLINICAL MANIFESTATIONS AND LABORATORY FINDINGS Clinical manifestations include venous or arterial thrombosis, micro vascular events, and/or pregnancy morbidity (Table 369-1). Deep venous thrombosis occurs primarily in the lower extremities and often causes pulmonary emboli. Thrombosis of the pulmonary arteries leads to pulmonary hypertension and thrombosis of hepatic veins to Budd Chiari syndrome. Cerebral venous thrombosis presents with signs and symptoms of intracranial hypertension and focal neurologic deficits. Other venous thrombosis manifestations include retinal vein throm bosis and renal, mesenteric, or splanchnic vein thrombosis. Arterial thrombosis affects more commonly the arteries of the brain and is manifested as transient ischemic attack, stroke, migraines, or cognitive dysfunction. Peripheral artery thrombosis presents with acute limb ischemia, ischemic leg ulcers, or digital gangrene. Thrombosis of other arteries leads to myocardial infarction, retinal artery occlusion, renal artery stenosis, and infarcts of spleen, liver, and adrenals. Microvascular manifestations include livedo reticularis, which con sists of a mottled reticular vascular pattern that appears as a lace-like, purplish discoloration </w:t>
      </w:r>
      <w:r w:rsidRPr="00A6019F">
        <w:lastRenderedPageBreak/>
        <w:t xml:space="preserve">of the skin; livedo racemosa, characterized by a broken, irregular, and asymmetric pattern; and livedoid vasculopathy, which presents with painful papules or lower limb ulcers. Another microvascular feature of APS is the so-called aPL-nephropathy, mani fested with hypertension, proteinuria (mild to nephrotic range), hematuria, and mild renal insufficiency. Histologically, the acute phase is characterized by thrombotic microangiopathy lesions in the glomerular capillaries and/or arterioles. In a chronic phase, fibrous intima hyperplasia, fibrous and/or fibrocellular arteriolar occlusions, and focal cortical atrophy are present (Table 369-1). Additional rare microvascular manifestations are pulmonary hemorrhage, myocardial disease confirmed by magnetic resonance imaging or histologically, and adrenal hemorrhage. Pregnancy morbidity manifests with prefetal (3 consecutive prefetal (1 h that eases with physical activity. The earliest involved joints are mostly the small joints of the hands and feet. The initial pattern of joint involvement may be monoarticular, oligoarticular (≤4 joints), or polyarticular (&gt;5 joints), usually in a symmetric distribution. Some patients with inflammatory arthritis will present with too few affected joints to be classified as having RA—so-called undifferentiated inflam matory arthritis. Those with an undifferentiated arthritis who are most likely to be diagnosed later with RA have a higher number of tender and swollen joints, test positive for serum rheumatoid factor (RF) or ACPA, and have higher scores for physical disability. In established RA, the most frequently involved joints are the wrists and metacarpophalangeal (MCP) and proximal interphalangeal (PIP) joints (Fig. 370-1). Distal interphalangeal (DIP) joint involvement may occur in patients with RA, but it is usually due to coexistent osteoarthritis. Flexor tendon tenosynovitis is a frequent hallmark of RA and leads to decreased range of motion, reduced grip strength, 2840 (101°F) at any time during the clinical course should raise suspicion of systemic vasculitis (see below) or infection. PART 11 Immune-Mediated, Inflammatory, and Rheumatologic Disorders </w:t>
      </w:r>
      <w:r w:rsidRPr="00A6019F">
        <w:rPr>
          <w:rFonts w:ascii="Arial" w:hAnsi="Arial" w:cs="Arial"/>
        </w:rPr>
        <w:t>■</w:t>
      </w:r>
      <w:r w:rsidRPr="00A6019F">
        <w:t xml:space="preserve">NODULES FIGURE 370-1 Metacarpophalangeal joint swelling and subluxation. (Reproduced with permission from RP Usatine, MA Smith, EJ Mayeaux: The Color Atlas and Synopsis of Family Medicine, 3rd ed. New York, McGraw Hill, 2019; Fig. 97.5.) and </w:t>
      </w:r>
      <w:r w:rsidRPr="00A6019F">
        <w:rPr>
          <w:rFonts w:ascii="Aptos" w:hAnsi="Aptos" w:cs="Aptos"/>
        </w:rPr>
        <w:t>“</w:t>
      </w:r>
      <w:r w:rsidRPr="00A6019F">
        <w:t>trigger</w:t>
      </w:r>
      <w:r w:rsidRPr="00A6019F">
        <w:rPr>
          <w:rFonts w:ascii="Aptos" w:hAnsi="Aptos" w:cs="Aptos"/>
        </w:rPr>
        <w:t>”</w:t>
      </w:r>
      <w:r w:rsidRPr="00A6019F">
        <w:t xml:space="preserve"> fingers. Flexor tendon involvement may also lead to tendon rupture, most commonly the flexor pollicis longus. Progres sive destruction of the joints and soft tissues may result in chronic, irreversible deformities. Ulnar deviation is a common deformity of long-standing RA that is caused by subluxation of the MCP joints, with subluxation, or partial dislocation, of the proximal phalanx to the volar side of the hand. Hyperextension of the PIP joint with flexion of the DIP joint (“swan-neck deformity”), flexion of the PIP joint with hyper extension of the DIP joint (“boutonnière deformity”), and subluxation of the first MCP joint with hyperextension of the first interphalangeal (IP) joint (“Z-line deformity”) also may result from damage to the tendons, joint capsule, and other soft tissues. Inflammation about the ulnar styloid and tenosynovitis of the extensor carpi ulnaris may cause subluxation of the distal ulna, resulting in a “piano-key movement” of the ulnar styloid. Although metatarsophalangeal (MTP) joint involve ment is an early feature of </w:t>
      </w:r>
      <w:r w:rsidRPr="00A6019F">
        <w:lastRenderedPageBreak/>
        <w:t xml:space="preserve">disease, chronic inflammation of the ankle and midtarsal regions usually comes later and may lead to pes pla novalgus (“flat feet”). Large joints, including the knees and shoulders, are often affected in established disease and may remain asymptomatic for many years after onset. Atlantoaxial involvement of the cervical spine is clinically note worthy because of its potential to cause compressive myelopathy and neurologic dysfunction. Neurologic manifestations are rarely a present ing sign or symptom of atlantoaxial disease, but they may slowly evolve over time with progressive instability of C1 on C2. The prevalence of atlantoaxial subluxation has been declining in recent years and occurs now in 38.3°C Subcutaneous nodules have been reported to occur in 30–40% of patients and more commonly in those with the highest levels of disease activity, who carry the disease-related shared epitope (SE) (see below), who have a positive test for serum RF, and who show radiographic evidence of joint erosions. However, more recent cohort studies sug gest a declining prevalence of subcutaneous nodules, perhaps related to early and more aggressive disease-modifying therapy. When palpated, the nodules are generally firm; nontender; and adherent to periosteum, tendons, or bursae; they develop in areas of the skeleton subject to repeated trauma or irritation such as the forearm, sacral prominences, and Achilles tendon. They may also occur in the lungs, pleura, peri cardium, and peritoneum. Nodules are typically benign, although they can be associated with infection, ulceration, and gangrene. Accelerated growth of smaller nodules may occur in up to 10% of patients taking long-term methotrexate, although the mechanisms behind this phe nomenon are unclear. </w:t>
      </w:r>
      <w:r w:rsidRPr="00A6019F">
        <w:rPr>
          <w:rFonts w:ascii="Arial" w:hAnsi="Arial" w:cs="Arial"/>
        </w:rPr>
        <w:t>■</w:t>
      </w:r>
      <w:r w:rsidRPr="00A6019F">
        <w:t>SJ</w:t>
      </w:r>
      <w:r w:rsidRPr="00A6019F">
        <w:rPr>
          <w:rFonts w:ascii="Aptos" w:hAnsi="Aptos" w:cs="Aptos"/>
        </w:rPr>
        <w:t>Ö</w:t>
      </w:r>
      <w:r w:rsidRPr="00A6019F">
        <w:t>GREN</w:t>
      </w:r>
      <w:r w:rsidRPr="00A6019F">
        <w:rPr>
          <w:rFonts w:ascii="Aptos" w:hAnsi="Aptos" w:cs="Aptos"/>
        </w:rPr>
        <w:t>’</w:t>
      </w:r>
      <w:r w:rsidRPr="00A6019F">
        <w:t>S SYNDROME Secondary Sj</w:t>
      </w:r>
      <w:r w:rsidRPr="00A6019F">
        <w:rPr>
          <w:rFonts w:ascii="Aptos" w:hAnsi="Aptos" w:cs="Aptos"/>
        </w:rPr>
        <w:t>ö</w:t>
      </w:r>
      <w:r w:rsidRPr="00A6019F">
        <w:t>gren</w:t>
      </w:r>
      <w:r w:rsidRPr="00A6019F">
        <w:rPr>
          <w:rFonts w:ascii="Aptos" w:hAnsi="Aptos" w:cs="Aptos"/>
        </w:rPr>
        <w:t>’</w:t>
      </w:r>
      <w:r w:rsidRPr="00A6019F">
        <w:t>s syndrome, or Sj</w:t>
      </w:r>
      <w:r w:rsidRPr="00A6019F">
        <w:rPr>
          <w:rFonts w:ascii="Aptos" w:hAnsi="Aptos" w:cs="Aptos"/>
        </w:rPr>
        <w:t>ö</w:t>
      </w:r>
      <w:r w:rsidRPr="00A6019F">
        <w:t>gren</w:t>
      </w:r>
      <w:r w:rsidRPr="00A6019F">
        <w:rPr>
          <w:rFonts w:ascii="Aptos" w:hAnsi="Aptos" w:cs="Aptos"/>
        </w:rPr>
        <w:t>’</w:t>
      </w:r>
      <w:r w:rsidRPr="00A6019F">
        <w:t>s disease (Chap. 373), is defined by the presence of either keratoconjunctivitis sicca (dry eyes) or xerostomia (dry mouth) in association with another connective tis sue disease, such as RA. Approximately 10% of patients with RA have secondary Sj</w:t>
      </w:r>
      <w:r w:rsidRPr="00A6019F">
        <w:rPr>
          <w:rFonts w:ascii="Aptos" w:hAnsi="Aptos" w:cs="Aptos"/>
        </w:rPr>
        <w:t>ö</w:t>
      </w:r>
      <w:r w:rsidRPr="00A6019F">
        <w:t>gren</w:t>
      </w:r>
      <w:r w:rsidRPr="00A6019F">
        <w:rPr>
          <w:rFonts w:ascii="Aptos" w:hAnsi="Aptos" w:cs="Aptos"/>
        </w:rPr>
        <w:t>’</w:t>
      </w:r>
      <w:r w:rsidRPr="00A6019F">
        <w:t xml:space="preserve">s syndrome. </w:t>
      </w:r>
      <w:r w:rsidRPr="00A6019F">
        <w:rPr>
          <w:rFonts w:ascii="Arial" w:hAnsi="Arial" w:cs="Arial"/>
        </w:rPr>
        <w:t>■</w:t>
      </w:r>
      <w:r w:rsidRPr="00A6019F">
        <w:t xml:space="preserve">PULMONARY Pleuritis, the most common pulmonary manifestation of RA, may result in pleuritic chest pain and dyspnea, as well as a finding of a pleu ral friction rub and radiographic evidence of a pleural effusion. Pleural effusions tend to be exudative with increased numbers of monocytes and neutrophils. ILD may also occur in patients with RA and is her alded by symptoms of dry cough and progressive shortness of breath. ILD can be associated with cigarette smoking and is generally found in patients with higher disease activity, although it may be diagnosed in up to 3.5% of patients prior to the onset of joint symptoms. Recent studies have shown the overall prevalence of ILD in RA to be as high as 12%. Diagnosis is readily made by high-resolution chest computed tomography (CT) scan, which shows infiltrative opacification, or ground-glass opacities, in the periphery of both lungs. Usual intersti tial pneumonia (UIP) and nonspecific interstitial pneumonia (NSIP) are the main histologic and radiologic patterns of ILD. UIP causes progressive scarring of the lungs that, on chest CT scan, produces hon eycomb changes in the periphery and lower portions of the lungs. In contrast, the most common radiographic changes in NSIP are relatively symmetric and bilateral ground-glass opacities with associated fine reticulations, volume loss, and traction bronchiectasis. In </w:t>
      </w:r>
      <w:r w:rsidRPr="00A6019F">
        <w:lastRenderedPageBreak/>
        <w:t xml:space="preserve">both cases, pulmonary function testing shows a restrictive pattern (e.g., reduced total lung capacity) and a reduced diffusing capacity for carbon mon oxide (DLCO ). The presence of ILD confers a poor prognosis. The prog nosis of ILD in RA, however, is not quite as poor as that of idiopathic pulmonary fibrosis (e.g., usual interstitial pneumonitis) and responds better to immunosuppressive therapy (Chap. 304). Pulmonary nodules are also common in patients with RA and may be solitary or multiple. Caplan’s syndrome is a rare subset of pulmonary nodulosis character ized by the development of nodules and pneumoconiosis following silica exposure. Less commonly, RA may be associated with respiratory bronchiolitis and bronchiectasis. </w:t>
      </w:r>
      <w:r w:rsidRPr="00A6019F">
        <w:rPr>
          <w:rFonts w:ascii="Arial" w:hAnsi="Arial" w:cs="Arial"/>
        </w:rPr>
        <w:t>■</w:t>
      </w:r>
      <w:r w:rsidRPr="00A6019F">
        <w:t xml:space="preserve">CARDIAC The most frequent site of cardiac involvement in RA is the pericar dium. However, clinical manifestations of pericarditis occur in 30 years that genetic factors contrib ute to the occurrence of RA as well as to its severity. The likeli hood that a first-degree relative of a patient will share the diagnosis of RA is 2–10 times greater than in the general population. There remains, however, some uncertainty in the extent to which genetics plays a role in the causative mechanisms of RA. Heritability estimates range from 40 to 60%, although this may be higher in ACPA positive patients compared to those without ACPA. The estimate of genetic influence has varied across studies, probably due to gene environment interactions. The alleles known to confer the greatest risk of RA are located within the major histocompatibility complex (MHC) and, in particular, those encoding the MHC class II molecules. MHC class II molecules are typi cally expressed on antigen-presenting cells and are comprised of α and β chains. Most, but probably not all, of this risk is associated with allelic variation in the HLA-DRB1 gene, which encodes the MHC II β-chain molecule. The disease-associated HLA-DRB1 alleles share an amino acid sequence at positions 70–74 in the third hypervariable regions of the HLA-DR β-chain, termed the shared epitope (SE). These amino acids are located in the antigen-binding grove within the hypervariable regions of the HLA-DRβ1 molecule. These hypervariable regions are important not only for determining antigen recognition but also for binding of the MHC-peptide complex to the T-cell receptor (TCR). Peptides derived from posttranslationally modified proteins (via citrullination, acetylation, or carbamylation, for example) may bind with greater avidity to the SE, providing a potential explanation for increased disease risk at a molecular level. The risk of RA is four times higher in persons carrying a single SE allele and eight times higher in those carrying two alleles compared to SE-negative individuals. Carriership of the SE alleles is associated with production of ACPAs and worse disease outcomes. Some HLA-DRB1 alleles bestow a high risk of disease (*0401), whereas others confer a more moderate risk (*0101, 0404, 1001, and 0901). Over 90% of patients with RA express at least one of these variants. Interestingly, HLA-DRB1*1301 and to a lesser extent HLA-DRB1*1302 confer protection from ACPA-positive RA. Additionally, there is geographic variation in disease susceptibility and the identity of the HLA-DRB1 risk alleles. In Greece, for example, Norway: 0.4% UK: 0.8–1.1% Spain: 0.2–0.8% Bulgaria: 0.2–0.6% Iraq: 0.4–1.5% India: Jamaica: 1.9–2.2% Asian ancestry: HLA-DRB1: *0401 (East Asian) </w:t>
      </w:r>
      <w:r w:rsidRPr="00A6019F">
        <w:lastRenderedPageBreak/>
        <w:t xml:space="preserve">*0405 *0901 (Japanese, Malaysian, Korean) Brazil: 0.4–1.4% Greece: 0.3–1% 0.1–0.4% Japan: Liberia: 2–3% South Africa: 2.5–3.6% PADI4 CD244 Other: CD40 Saudi Arabia: 0.1–0.2% Lesotho: 1.7–4.5% Java: 0.1–0.2% 0.2–0.3% Hong Kong: 0.1–0.5% FIGURE 370-3 Global prevalence rates of rheumatoid arthritis (RA) with genetic associations. Listed are the major genetic alleles associated with RA. Although human leukocyte antigen (HLA)-DRB1 mutations are found globally, some alleles have been associated with RA in only certain ethnic groups. 2843 where RA tends to be milder than in western European countries, RA susceptibility has been associated with the *0101 SE allele. By com parison, the *0401 or *0404 alleles are found in ~50–70% of northern Europeans and are the predominant risk alleles in this group. The most common disease susceptibility SE alleles in Asians, namely the Japanese, Koreans, and Chinese, are *0405 and *0901. Lastly, disease susceptibility of Native American populations such as the Pima and Tlingit Indians, where the prevalence of RA can be as high as 7%, is associated with the SE allele *1042. The risk of RA conferred by these SE alleles is less in African and Hispanic Americans than in individuals of European ancestry. Genome-wide association studies (GWAS) have made possible the identification of several non-MHC-related genes that contribute to RA susceptibility. GWASs are based on the detection of single nucleotide polymorphisms (SNPs), which allow for examination of the genetic architecture of complex diseases such as RA. Overall, several themes have emerged from GWAS in RA. First, among the &gt;100 non-MHC loci identified as risk alleles for RA, they individually have only a modest effect on risk; they also contribute to the risk for developing other autoimmune diseases, such as type 1 diabetes mellitus, systemic lupus erythematosus, and multiple sclerosis. Second, although most of the non-HLA associations are described in patients with ACPA positive disease, there are several risk loci that are unique to ACPA negative disease. Third, risk alleles vary among ethnic groups. And fourth, the risk loci mostly reside in genes encoding proteins involved in the regulation of the immune response. However, the risk alleles identified by GWAS only account at present for ~5% of the genetic risk, suggesting that rare variants or other classes of DNA variants, such as variants in copy number, may be yet found that significantly contribute to the overall risk model. Among the best examples of the non-MHC genes contributing to the risk of RA is the gene encoding protein tyrosine phosphatase non receptor 22 (PTPN22). This gene varies in frequency among patients from different parts of Europe (e.g., 3–10%) but is absent in patients of East Asian ancestry. PTPN22 encodes lymphoid tyrosine phosphatase, a protein that regulates T- and B-cell function. Inheritance of the risk allele for PTPN22 produces a gain-of-function in the protein that is hypothesized to result in the abnormal thymic selection of autoreactive T and B cells and appears to be associated exclusively with ACPA positive disease. The peptidyl arginine deiminase type IV (PADI4) gene is another risk allele that encodes an enzyme involved in the conversion of arginine to citrulline and is postulated to play a role in the develop ment of antibodies to citrullinated antigens. A polymorphism in PADI4 has been associated with a twofold increase in the risk of RA, </w:t>
      </w:r>
      <w:r w:rsidRPr="00A6019F">
        <w:lastRenderedPageBreak/>
        <w:t xml:space="preserve">primarily in those of East Asian descent. Recently, polymorphisms in apolipo protein M (APOM) in an East Asian population were found confer an increased risk for RA as well as risk for dyslipidemia, independent of RA disease activity. Epigenetics is the study of heritable traits that affect gene expres sion but do not modify DNA sequence. Epigenetic mechanisms are theoretically involved in three important aspects of RA: contribution to disease etiology, perpetuation of chronic inflammatory responses, and disease severity. The best-studied epigenetic mechanisms are those regulating posttranslational histone modifications and DNA methyla tion. DNA methylation patterns have been shown to differ between RA patients and healthy controls, including monozygotic twins, as well as from patients with osteoarthritis. Epigenetics may also offer a mecha nistic explanation for how cigarette smoking confers an increased risk for ACPA-positive RA (see below) as those patients with the SE have higher levels of DNA methylation compared to nonsmokers. MicroR NAs, which are noncoding RNAs that function as posttranscriptional regulators of gene expression, represent an additional epigenetic mechanism that may potentially influence cellular responses. ENVIRONMENTAL FACTORS In addition to genetic predisposition, a host of environmental factors have been implicated in the pathogenesis of RA. The most reproducible of these environmental links is cigarette smoking. Numerous cohort and case-control studies have demonstrated that smoking confers a relative risk for developing RA of 1.5–3.5 times. Smoking-related risk interacts in a synergistic manner with MHC risk alleles. The classic SE alleles alone increase the likelihood of developing RA by four- to sixfold; however, this risk increases to 20- to 40-fold when combined with smoking. In particular, women who smoke cigarettes have a nearly 2.5 times greater risk of RA, a risk that persists even 15 years after smoking cessation. A twin who smokes will have a significantly higher risk for RA than their monozygotic co-twin, theoretically with the same genetic risk, who does not smoke. Interestingly, the risk from smoking is almost exclusively related to RF and ACPA-positive disease. However, it has not been shown that smoking cessation, while having many health benefits, reduces the severity or extent of joint inflammation. Inhalant-related occupations and silica inhalants also may increase RA risk. These observations have led to the theory that subclinical lung disease may play a critical early role in the initial devel opment of autoreactive immune cells and account for the occurrence of autoantibodies more than a decade prior to the clinical development of joint disease. Researchers began to aggressively seek an infectious etiology for RA after the discovery in 1931 that sera from patients with this dis ease could agglutinate strains of streptococci. Certain viruses such as Epstein-Barr virus (EBV) have garnered the most interest over the past 30 years given their ubiquity, ability to persist for many years in the host, and frequent association with arthritic complaints. For example, titers of IgG antibodies against EBV antigens in the peripheral blood and saliva are significantly higher in patients with RA than in the general population. EBV DNA has also been found in synovial fluid and synovial cells of RA patients. Because the evidence for these links is largely circumstantial, it has not been </w:t>
      </w:r>
      <w:r w:rsidRPr="00A6019F">
        <w:lastRenderedPageBreak/>
        <w:t xml:space="preserve">possible to directly implicate infection as a causative factor in RA. CHAPTER 370 Rheumatoid Arthritis An attractive hypothesis raised by newer studies is that microbial dysbiosis of the oral or gut microbiome may predispose to the devel opment of RA. Recent work suggests that periodontitis in the oral cavity may play a role in disease mechanisms. Multiple studies provide evidence for a link between ACPA-positive RA and cigarette smoking, periodontal disease, and the oral microbiome, specifically Porphyromo nas gingivalis. It has been hypothesized that the immune response to P. gingivalis may trigger the development of RA and the bacterial enzyme peptidyl arginine deiminase (PAD) induces ACPA by catalyzing the citrullination of arginine residues on the stimulating autoantigens. Interestingly, P. gingivalis is the only oral bacterial species known to harbor this enzyme. Some studies have shown a relationship between the presence of circulating antibodies to P. gingivalis and RA, as well as with first-degree relatives at risk for this disease. However, it remains unproven whether the observed dysbiosis in the oral cavity precedes the development of disease. There are also limited data suggesting a role for the gut microbiome in the etiology of RA. Some studies have found that the gut microbiome is different in patients with early RA compared with controls. In par ticular, Prevotella copri was reported to be enriched in early untreated RA as well as in an “at-risk” population. On the other hand, a common dysbiotic signature does not seem to predominate in patients with RA, and evidence is lacking for a direct immune-modulating effect. PATHOLOGY RA affects the synovial lining tissue of the diarthrodial joints and the underlying cartilage and bone. The synovial membrane, which covers most articular surfaces, tendon sheaths, and bursae, normally is a thin layer of connective tissue. In joints, it faces the bone and cartilage, bridging the opposing bony surfaces and inserting at periosteal regions close to the articular cartilage. It consists primarily of two cell types— type A synoviocytes (macrophage-derived) and type B synoviocytes (fibroblast-derived). The synovial fibroblasts are the most abundant and produce the structural components of joints, including collagen, fibronectin, and laminin, as well as other extracellular constituents of the synovial matrix. The sublining layer consists of blood vessels and a sparse population of mononuclear cells within a loose network of connective tissue. Synovial fluid, an ultrafiltrate of blood, diffuses through the subsynovial lining tissue across the synovial membrane 2844 PART 11 Immune-Mediated, Inflammatory, and Rheumatologic Disorders system remains a mystery. However, a detailed molecular picture is emerging of the mechanisms underlying the chronic inflammatory response and the resulting destruction of the articular cartilage and bone. and into the joint cavity. Its main constituents are hyaluronan and lubricin. Hyaluronan is a glycosaminoglycan that contributes to the viscous nature of synovial fluid, which, along with lubricin, lubricates the surface of the articular cartilage. The pathologic hallmarks of RA are synovial inflammation and proliferation, focal bone erosions, and thinning of articular cartilage. Chronic inflammation leads to synovial lining hyperplasia and the formation of pannus, a thickened cellular membrane consisting of multiple layers of fibroblast-like </w:t>
      </w:r>
      <w:r w:rsidRPr="00A6019F">
        <w:lastRenderedPageBreak/>
        <w:t xml:space="preserve">synoviocytes and granulation-reactive fibrovascular tissue that has a propensity for invading underlying car tilage and bone. The inflammatory infiltrate is made up of no less than six cell types: T cells, B cells, plasma cells, dendritic cells, mast cells, and, to a lesser extent, granulocytes. The T cells compose 30–50% of the infiltrate, with the other cells accounting for the remainder. The topographical organization of these cells is complex and may vary among individuals with RA. Most often, the lymphocytes are diffusely organized among the tissue resident cells; however, in some cases, the B cells, T cells, and dendritic cells may form higher levels of organization, such as lymphoid follicles and germinal center–like structures. Growth factors secreted by synovial fibroblasts and macrophages promote the formation of new blood vessels in the synovial sublining that supply the increasing demands for oxygenation and nutrition required by the infiltrating leukocytes and expanding synovial tissue. The structural damage to the mineralized cartilage and subchondral bone is mediated by the osteoclast. Osteoclasts are multinucleated giant cells that appear at the pannus-bone interface where they eventually form resorption lacunae. These lesions typically localize where the synovial membrane inserts into the periosteal surface at the edges of bone close to the rim of articular cartilage and at the attachment sites of ligaments and tendon sheaths. This process most likely explains why bone erosions usually develop at the radial sites of the MCP joints jux taposed to the insertion sites of the tendons, collateral ligaments, and synovial membrane. Periarticular osteopenia, another form of bone loss, occurs in joints with active inflammation. It is associated with substantial thinning of the bony trabeculae along the metaphyses of bones from inflammation of the bone marrow cavity. These lesions can be visualized on MRI scans, where they appear as signal alterations in the bone marrow adjacent to inflamed joints. Their signal characteris tics show they are water-rich with a low-fat content and are consistent with highly vascularized inflammatory tissue. These bone marrow lesions are often the forerunner of bone erosions. The cortical bone layer that separates the bone marrow from the invading pannus is rela tively thin and susceptible to penetration by the inflamed synovium. The bone marrow lesions visualized on MRI scans are associated with an endosteal bone response characterized by the accumulation of osteoblasts and deposition of osteoid. Finally, generalized osteoporosis, which results in the thinning of trabecular bone throughout the body, is a third form of bone loss found in patients with RA and can lead to fragility fractures. Articular cartilage is an avascular tissue comprised of a specialized matrix of collagens, proteoglycans, and other proteins. It is organized in four distinct regions (superficial, middle, deep, and calcified carti lage zones)—chondrocytes constitute the unique cellular component in these layers. Originally, cartilage was considered to be an inert tis sue, but it is now known to be a highly responsive tissue that reacts to inflammatory mediators and mechanical factors, which, in turn, alter the balance between cartilage anabolism and catabolism. In RA, the initial areas of cartilage degradation are juxtaposed to the synovial pannus. The cartilage matrix is characterized by a generalized loss of proteoglycan, most evident in </w:t>
      </w:r>
      <w:r w:rsidRPr="00A6019F">
        <w:lastRenderedPageBreak/>
        <w:t xml:space="preserve">the superficial zones adjacent to the synovial fluid. Degradation of cartilage may also take place in the peri chondrocytic zone and in regions adjacent to the subchondral bone. PATHOGENESIS The pathogenic mechanisms of synovial inflammation are likely the result of a complex interplay of genetic, environmental, and immuno logic factors that cause immune system dysregulation and a breakdown in self-tolerance (Fig. 370-4). Precisely what triggers these initiating events and what genetic and environmental factors disrupt the immune In RA, the preclinical stage appears to be characterized by a break down in self-tolerance. This idea is supported by the finding that auto antibodies, such as RF and ACPA, may be found in sera from patients many years before onset of clinical disease. However, the antigenic tar gets of ACPA and RF are not restricted to the joint. ACPAs are directed against deaminated peptides, which result from posttranslational mod ification by the enzyme PADI4. They recognize citrulline-containing regions of several different matrix proteins, including filaggrin, keratin, fibrinogen, and vimentin, and are present at higher levels in the joint fluid compared to the serum. Antibodies binding to carbamylated pep tides and mutant citrullinated vimentin, as well as the 14-3-3 family of proteins, have also been detected in a minority of RA patients. In theory, environmental triggers may synergize with other factors to bring about inflammation in RA. People who smoke display higher citrullination of proteins in bronchoalveolar fluid than those who do not smoke. Thus, it has been speculated that long-term exposure to tobacco smoke might induce citrullination of cellular proteins via increased PADI expression in the lung and generate a neoepitope capable of inducing self-reactivity, which in turns, leads to formation of immune complexes that trigger joint inflammation and joint damage. Microbiota may also be involved in the initiating events of RA. The immune system is alerted to the presence of microbial infections when pathogen-associated molecular patterns (PAMPs) on their surface bind to Toll-like receptors (TLRs) on host cells. There are 10 TLRs in humans that recognize a variety of microbial products, including bacterial cell-surface lipopolysaccharides and heat-shock proteins (TLR4), lipoproteins (TLR2), double-strand RNA viruses (TLR3), and unmethylated CpG DNA from bacteria (TLR9). TLR2, 3, and 4 are abundantly expressed by synovial fibroblasts in early RA and, when bound by their ligands, upregulate the cell’s production of proinflam matory cytokines. Although TLR ligands may theoretically amplify inflammatory pathways in RA, their specific role in disease pathogen esis remains uncertain. The pathogenesis of RA is built upon the concept that self-reactive T cells drive the chronic inflammatory response. In theory, self-reactive T cells might arise in RA from abnormal central (thymic) selection or intrinsic defects lowering the threshold in the periphery for T-cell activation. Either mechanism might result in abnormal expansion of a self-reactive T-cell repertoire and a breakdown in T-cell tolerance. The support for these ideas comes mainly from studies of arthritis in mouse models. It has not been shown that patients with RA have abnormal thymic selection of T cells or defective apoptotic pathways regulating cell death. At least some antigen stimulation inside the joint seems likely, owing to the fact </w:t>
      </w:r>
      <w:r w:rsidRPr="00A6019F">
        <w:lastRenderedPageBreak/>
        <w:t xml:space="preserve">that T cells in the synovium express a cell-surface phenotype indicating prior antigen exposure and show evidence of clonal expansion. There is substantial evidence of a role for CD4+ T cells in the patho genesis of RA. First, the co-receptor CD4 on the surface of T cells binds to invariant sites on MHC class II molecules, stabilizing the MHC peptide–T-cell receptor complex during T-cell activation. Because the SE on MHC class II molecules is a risk factor for RA, it follows that CD4+ T-cell activation plays a role in the pathogenesis of this disease. Second, CD4+ memory T cells are enriched in the synovial tissue from patients with RA and therefore are implicated through “guilt by association.” Third, CD4+ T cells have been shown to be important in the initiation of arthritis in animal models. Fourth, some, but not all, T cell–directed therapies have shown clinical efficacy in this disease. Taken together, these lines of evidence suggest that CD4+ T cells play an important role in orchestrating the chronic inflammatory response in RA. However, other cell types, such as CD8+ T cells, natural killer (NK) cells, and B cells are present in synovial tissue and may also influ ence pathogenic responses. In the rheumatoid joint, by mechanisms of cell-cell contact and release of soluble mediators, activated T cells stimulate macro phages and fibroblast-like synoviocytes to generate proinflammatory 2845 CHAPTER 370 Rheumatoid Arthritis Environment Genetics CD80 CD28 APC MHC II TLR T TCR IL-17A, IL-17F, TNF-α, IL-6, GM-CSF TH17 FGF, TGF-β MMP Teff SF St TH OPG RANK-L RANK IL-6, IL-8 Teff IFN-γ, IL17 IL-1, IL-6, IL-18 TNF-` + + Wnt + Dkk-1 M TH1 TH IFN-γ, TNF-α lymphotoxin-β CD40L CD40 IL15, GM-CSF, TNF-α B RF, Anti-CCP Ab Pre-OB OB Pre-OC OC Cathepsin K FIGURE 370-4 Pathophysiologic mechanisms of inflammation and joint destruction. Genetic predisposition along with environmental factors may trigger the development of rheumatoid arthritis (RA), with subsequent synovial T-cell activation. CD4+ T cells become activated by antigen-presenting cells (APCs) through interactions between the T-cell receptor and class II MHC-peptide antigen (signal 1) with co-stimulation through the CD28-CD80/86 pathway, as well as other pathways (signal 2). In theory, ligands binding Toll-like receptors (TLRs) may further stimulate activation of APCs inside the joint. Synovial CD4+ T cells differentiate into TH 1 and TH 17 cells, each with their distinctive cytokine profile. CD4+ TH cells in turn activate B cells, some of which are destined to differentiate into autoantibody-producing plasma cells. Immune complexes, possibly comprised of rheumatoid factors (RFs) and anti–cyclic citrullinated peptides (CCP) antibodies, may form inside the joint, activating the complement pathway and amplifying inflammation. T effector cells stimulate synovial macrophages (M) and fibroblasts (SF) to secrete proinflammatory mediators, among which is tumor necrosis factor α (TNF-α). TNF-α upregulates adhesion molecules on endothelial cells, promoting leukocyte influx into the joint. It also stimulates the production of other inflammatory mediators, such as interleukin 1 (IL-1), IL-6, and granulocyte-macrophage colony-stimulating factor (GM-CSF). TNF-α has a critically important function in regulating the balance between bone destruction and formation. It upregulates the expression of dickkopf-1 (DKK-1), which can then internalize Wnt receptors on </w:t>
      </w:r>
      <w:r w:rsidRPr="00A6019F">
        <w:lastRenderedPageBreak/>
        <w:t xml:space="preserve">osteoblast precursors. Wnt is a soluble mediator that promotes osteoblastogenesis and bone formation. In RA, bone formation is inhibited through the Wnt pathway, presumably due to the action of elevated levels of DKK-1. In addition to inhibiting bone formation, TNF-α stimulates osteoclastogenesis. However, it is not sufficient by itself to induce the differentiation of osteoclast precursors (Pre-OC) into activated osteoclasts capable of eroding bone. Osteoclast differentiation requires the presence of macrophage colony-stimulating factor (M-CSF) and receptor activator of nuclear factor-κB (RANK) ligand (RANKL), which binds to RANK on the surface of Pre-OC. Inside the joint, RANKL is mainly derived from stromal cells, synovial fibroblasts, and T cells. Osteoprotegerin (OPG) acts as a decoy receptor for RANKL, thereby inhibiting osteoclastogenesis and bone loss. FGF, fibroblast growth factor; IFN, interferon; MMP, matrix metalloproteinase; TGF, transforming growth factor. 2846 PART 11 Immune-Mediated, Inflammatory, and Rheumatologic Disorders mediators and proteases that drive the synovial inflammatory response and destroy the cartilage and bone. CD4+ T-cell activation is depen dent on two signals: (1) T-cell receptor binding to peptide-MHC on antigen-presenting cells; and (2) CD28 binding to CD80/86 on antigen-presenting cells. This interaction then leads to downstream signals that differentiate CD4+ T cells into effector and memory cell populations, as well as activate CD8+ T cells. Certain subsets of CD4+ T cells, called T helper cells, enable B cells to differentiate into antibody-secreting cells. An earlier T cell–centric model for the patho genesis of RA was based on a TH 1-driven paradigm, which came from studies indicating that CD4+ T helper (TH ) cells differentiated into TH 1 and TH 2 subsets, each with their distinctive cytokine profiles. TH 1 cells were found to mainly produce interferon γ (IFN-γ), lymphotoxin β, and tumor necrosis factor (TNF)-α, whereas TH 2 cells predominately secreted interleukin (IL)-4, IL-5, IL-6, IL-10, and IL-13. In humans, naïve T cells may also be induced to differentiate into TH 17 cells by exposure to transforming growth factor β (TGF-β), IL-1, IL-6, and IL-23. Upon activation, TH 17 cells secrete a variety of proinflamma tory mediators such as IL-17, IL-21, IL-22, TNF-α, IL-26, IL-6, and granulocyte-macrophage colony-stimulating factor (GM-CSF). Sub stantial evidence now exists from studies in both animal models and humans that IL-17 plays an important role not only in promoting joint inflammation but also in destroying cartilage and subchondral bone. However, therapeutic antibodies that interfere with the IL-17/IL-17 receptor pathway were not particularly effective in clinical trials for reducing joint inflammation in RA. The immune system has evolved mechanisms to counterbalance the potentially harmful immune-mediated inflammatory responses provoked by infectious agents and other triggers. Among these nega tive regulators are regulatory T (Treg) cells, which are produced in the thymus and induced in the periphery to suppress immune-mediated inflammation. They are characterized by the surface expression of CD25 and the expression of the transcription factor forkhead box P3 (FOXP3). Tregs orchestrate dominant tolerance through contact with other immune cells and secretion of inhibitory cytokines, such as TGF-β, IL-10, and IL-35. They are heterogeneous and </w:t>
      </w:r>
      <w:r w:rsidRPr="00A6019F">
        <w:lastRenderedPageBreak/>
        <w:t xml:space="preserve">capable of suppressing distinct classes (TH 1, TH 2, TH 17) of the immune response, although data supporting their role in suppressing inflammation in RA are inconclusive. Cytokines, chemokines, antibodies, and endogenous danger sig nals bind to receptors on the surface of immune cells and stimulate a cascade of intracellular signaling events that can amplify the inflam matory response. Examples of signaling molecules in these critical inflammatory pathways include Janus kinase (JAK)/signal transducers and activators of transcription (STAT), spleen tyrosine kinase (Syk), mitogen-activated protein kinases (MAPKs), and nuclear factor-κB (NF-κB). These pathways exhibit significant crosstalk and are found in many cell types. Some signal transducers, such as the JAKs, are expressed in hematopoietic cells and play an important role in the inflammatory response in RA. Activated, autoreactive B cells are also important players in the chronic inflammatory process. B cells give rise to plasma cells, which, in turn, produce antibodies, including RF and ACPA. RFs may form large immune complexes inside the joint that contribute to the patho genic process by fixing complement and promoting the release of pro inflammatory cytokines and chemokines. In mouse models of arthritis, RF-containing immune complexes and ACPA-containing immune complexes synergize with other mechanisms to exacerbate the synovial inflammatory response. RA is often considered to be a macrophage-driven disease because this cell type is the predominant source of proinflammatory cyto kines inside the joint. Key proinflammatory cytokines released by macrophage-like synoviocytes include TNF-α, IL-1, IL-6, IL-12, IL-15, IL-18, and IL-23. Synovial fibroblasts, the other major cell type in this microenvironment, produce the cytokines IL-1 and IL-6 as well as TNF-α. TNF-α is a pivotal cytokine in the pathobiology of synovial inflammation and has many proinflammatory effects. It upregulates adhesion molecules on endothelial cells, promoting the influx of leukocytes into the synovial microenvironment; activates synovial fibroblasts; stimulates angiogenesis; promotes pain receptor sensitiz ing pathways; and drives osteoclastogenesis. Fibroblasts secrete matrix metalloproteinases (MMPs) as well as other proteases that are chiefly responsible for the breakdown of articular cartilage; they also promote inflammation and synovial proliferation by secreting cytokines such as IL-6, IL-1, IL-18, and GM-CSF, chemokines, and vascular endothelial growth factor. Recent studies of synovial tissue samples from patients with RA have combined histology and single-cell RNA expression data to identify distinct cell populations that drive joint inflammation. These studies reveal that synovial tissue samples can be distinguished among patients with RA by the relative abundance of myeloid cells, T cells, B cells, synovial fibroblasts, and endothelial cells and hence can be divided into different subsets. Thus far, these data highlight the importance of IFN-γ-secreting granzyme K+ CD8+ T cells, peripheral helper CD4+ T cells, activated sublining fibroblasts, and proinflammatory mono cytes as key mediators of joint inflammation. In these studies, most of the synovial tissue samples were found to be populated by T cells, fibroblasts, and myeloid cells and had cellular phenotypes classified as predominately myeloid, T and B cell, and T cell and myeloid, </w:t>
      </w:r>
      <w:r w:rsidRPr="00A6019F">
        <w:lastRenderedPageBreak/>
        <w:t xml:space="preserve">while oth ers had a paucity of immune cells and were dominated by endothelial cells and fibroblasts. Further research along these lines will enrich our understanding of the active immune pathways in RA and may help to determine in the future if knowledge of these cellular phenotypes can be used to guide a personalized treatment approach. Osteoclast activation at the site of the pannus is closely tied to the presence of focal bone erosion. Receptor activator of nuclear factor-κB ligand (RANKL) is expressed by stromal cells, synovial fibroblasts, and T cells. Upon binding to its receptor RANK on osteoclast progenitors, RANKL stimulates osteoclast differentiation and bone resorption. RANKL activity is regulated by osteoprotegerin (OPG), a decoy recep tor of RANKL that blocks osteoclast formation. Monocytic cells in the synovium serve as the precursors of osteoclasts and, when exposed to macrophage colony-stimulating factor (M-CSF) and RANKL, fuse to form polykaryons termed preosteoclasts. These precursor cells undergo further differentiation into osteoclasts with a characteristic ruffled membrane. Cytokines such as TNF-α, IL-1, IL-6, and IL-17 can pro mote osteoclastogenesis by increasing the expression of RANKL inside the joint. Osteoclasts also secrete cathepsin K, a cysteine protease that degrades the bone matrix by cleaving collagen and thus contributes to generalized bone loss and osteoporosis. Increased bone loss is only part of the story in RA, as decreased bone formation plays a crucial role in bone remodeling at sites of inflam mation. Recent evidence shows that inflammation suppresses bone formation. TNF-α plays a key role in actively suppressing bone forma tion by enhancing the expression of dickkopf-1 (DKK-1). DKK-1 is an important inhibitor of the Wnt pathway, which acts to promote osteo blast differentiation and bone formation. The Wnt system is a family of soluble glycoproteins that binds to cell-surface receptors known as frizzled (fz) and low-density lipoprotein (LDL) receptor–related proteins (LRPs) and promotes cell growth. In animal models, increased levels of DKK-1 are associated with decreased bone formation, whereas inhibition of DKK-1 protects against structural damage in the joint. Wnt proteins also induce the formation of OPG and thereby shut down bone resorption, emphasizing their key role in tightly regulating the balance between bone resorption and formation. DIAGNOSIS The clinical diagnosis of RA is largely made by recognizing the signs and symptoms of a chronic inflammatory arthritis and the typical pattern of joint involvement, with laboratory and radiographic results providing important corroborating information. In 2010, a collab orative effort between the American College of Rheumatology (ACR) and the European League Against Rheumatism (EULAR) revised the 1987 ACR classification criteria for RA in an effort to improve early diagnosis with the goal of identifying patients who would benefit from early introduction of disease-modifying therapy (Table 370-1). The items in the newly revised criteria yield a score of 0–10, with a score of ≥6 fulfilling the requirements for definite RA. The new classification TABLE 370-1 Classification Criteria for Rheumatoid Arthritis SCORE 2847 Joint involvement Serology 1 large joint (shoulder, elbow, hip, knee, ankle) 2–10 large joints 1–3 small joints (MCP, PIP, thumb IP, MTP, wrists) 4–10 small joints &gt;10 joints (at least 1 </w:t>
      </w:r>
      <w:r w:rsidRPr="00A6019F">
        <w:lastRenderedPageBreak/>
        <w:t xml:space="preserve">small joint) 0 1 2 3 5 Negative RF and negative ACPA Low-positive RF or low-positive anti-CCP antibodies (≤3 times ULN) High-positive RF or high-positive anti-CCP antibodies (&gt;3 times ULN) Acute-phase reactants Duration of symptoms Normal CRP and normal ESR Abnormal CRP or abnormal ESR 6 weeks. There are several conditions, including virus-related syndromes, that may cause a polyarthritis mimicking RA and be associated with tran sient production of RF. Such conditions usually last only 2–3 weeks. The 2010 criteria, however, do not mandate symptoms be present for &gt;6 weeks. They also include as an item a positive test for serum ACPA, which carries greater specificity for the diagnosis of RA than a positive test for RF. About three-fourths of patients with the clini cal and radiographic features of RA test positive for RF and/or ACPA (seropositive), while the remaining one-fourth of patients with RA test negative for RF and/or ACPA (seronegative). The presence of rheuma toid nodules or radiographic joint damage as items were not included as they occur only rarely in early RA. It is important to emphasize that the 2010 ACR-EULAR criteria are “classification criteria” as opposed to “diagnostic criteria” and serve to distinguish patients at the onset of disease who have a high likelihood of evolution to chronic disease with persistent synovitis and joint damage. The presence of radiographic joint erosions or subcutaneous nodules may inform the diagnosis in the later stages of the disease. The differential diagnosis for RA includes all types of acute and chronic inflammatory arthritides, many of which may be differentiated from RA based on the clinical course, pattern of joint involvement, the presence of disease in other organ systems, and ancillary laboratory studies. Patients with primary Sjögren’s syndrome whose predominate clinical manifestations are dry eyes and dry mouth often also have symptoms of polyarthralgia and may show a mild inflammatory syno vitis similar to RA. Moreover, 50% of patients with primary Sjögren’s syndrome test positive for RF and, therefore, may be confused with early RA. However, most patients with primary Sjögren’s syndrome test positive for ANA and approximately two-thirds have detectable anti-Ro/SSA antibodies. Spondyloarthropathies, such as psoriatic arthritis or enteropathy-associated arthritis, may present similarly to RA and may be distinguished by the presence of sacroiliitis, other enthesopathic features, and the presence of psoriasis or inflammatory bowel disease, respectively. In elderly patients, seronegative RA may be difficult at times to distinguish from polymyalgia rheumatica (PMR), a chronic inflammatory condition of the elderly characterized by neck/ shoulder girdle and lower back/hip girdle pain and stiffness (Chap. 375). While PMR may occasionally feature distal limb involvement, RA predominately affects the wrists/hands and ankles/feet, especially at disease onset. Similarly, the relatively rare condition called remitting seronegative symmetrical synovitis with pitting edema (RS3PE) and paraneoplastic syndromes may also be confused with early RA. RS3PE is typically characterized by prominent distal limb pitting edema, which is unusual in RA, and responds promptly to treatment with low doses of prednisone. Chronic tophaceous gout may mimic severe RA in some cases, and tophi may be confused with rheumatoid nodules. Hepatitis C–related arthropathy often involves the small joints of the hands </w:t>
      </w:r>
      <w:r w:rsidRPr="00A6019F">
        <w:lastRenderedPageBreak/>
        <w:t xml:space="preserve">and is associated in half the cases with a positive RF, but generally not ACPA. LABORATORY FEATURES Patients with systemic inflammatory diseases such as RA will often present with elevated nonspecific inflammatory markers such as an ESR or CRP. Testing for serum RF and anti-cyclic citrullinated peptide (CCP) antibodies is important in differentiating RA from other poly articular diseases, although RF lacks diagnostic specificity and may be found in association with other chronic inflammatory diseases in which arthritis figures in the clinical manifestations. IgM, IgG, and IgA isotypes of RF occur in sera from patients with RA, although the IgM isotype is the one most frequently measured by commercial laboratories. Serum IgM RF has been found in 75% of patients with RA; therefore, a negative result does not exclude the pres ence of this disease. It is also found in other connective tissue diseases, such as primary Sjögren’s syndrome, systemic lupus erythematosus, and type II mixed essential cryoglobulinemia, as well as chronic infec tions such as subacute bacterial endocarditis and hepatitis B and C. Serum RF, mostly at low levels, may also be detected in 1–5% of the healthy population. CHAPTER 370 Rheumatoid Arthritis The presence of serum anti-CCP antibodies has about the same sensitivity as serum RF for the diagnosis of RA. However, its diagnostic specificity approaches 95%, so a positive test for anti-CCP antibodies in the setting of an early inflammatory arthritis is useful for distinguish ing RA from other forms of arthritis. There is some incremental value in testing for the presence of both RF and anti-CCP, as some patients with RA are positive for RF but negative for anti-CCP and vice versa. The presence of RF or anti-CCP antibodies also has prognostic signifi cance, with anti-CCP antibodies showing the most value for predicting worse outcomes. Patients with RA may also have other antibodies associated with autoimmune disease. Approximately 30% of patients with RA test positive for antinuclear antibodies (ANAs), and some sera from some patients contain antineutrophil cytoplasmic antibodies (ANCAs; par ticularly p-ANCAs). However, patients with RA would not be expected to test positive for anti-MPO or anti-PR3 antibodies as they would if they had an ANCA-associated vasculitis. </w:t>
      </w:r>
      <w:r w:rsidRPr="00A6019F">
        <w:rPr>
          <w:rFonts w:ascii="Arial" w:hAnsi="Arial" w:cs="Arial"/>
        </w:rPr>
        <w:t>■</w:t>
      </w:r>
      <w:r w:rsidRPr="00A6019F">
        <w:t xml:space="preserve">SYNOVIAL FLUID ANALYSIS Typically, the cellular composition of synovial fluid from patients with RA reflects an acute inflammatory state. Synovial fluid white blood cell (WBC) counts can vary widely but generally range between 5000 and 50,000 WBC/μL, compared with 40 years old or prior ocular disease Optical coherence tomography and visual field testing every 12 months Sulfasalazine Initial: 500 mg orally twice daily Maintenance: 1000–1500 mg twice daily Granulocytopenia Hemolytic anemia (with G6PD deficiency) Nausea Diarrhea Headache CBC, LFTs G6PD level CBC every 2–4 weeks for first 3 months, then every 3 months Methotrexate 10–25 mg/week orally or SQ Folic acid 1 mg/d to reduce toxicities Hepatotoxicity Myelosuppression Infection Interstitial pneumonitis Pregnancy category X Nausea Diarrhea Stomatitis/mouth ulcers Alopecia Fatigue CBC, LFTs Viral hepatitis panela Chest x-ray CBC, creatinine, LFTs every 2–3 months Leflunomide 10–20 mg/d Hepatotoxicity Myelosuppression Infection Pregnancy category X Alopecia Diarrhea CBC, LFTs Viral hepatitis panela CBC, creatinine, LFTs every 2–3 months TNF-α </w:t>
      </w:r>
      <w:r w:rsidRPr="00A6019F">
        <w:lastRenderedPageBreak/>
        <w:t xml:space="preserve">inhibitors Infliximab: 3 mg/kg IV at weeks 0, 2, 6, then every 8 weeks. May increase dose up to 10 mg/kg every 4 weeks ↑ Risk bacterial, fungal infections Reactivation of latent tuberculosis ↑ Lymphoma risk (controversial) Drug-induced lupus Neurologic deficits Infusion reaction ↑ LFTs Tuberculosis screeningb LFTs periodically  Etanercept: 50 mg SQ weekly, or 25 mg SQ biweekly As above Injection site reaction Tuberculosis screening Monitor for injection site reactions  Adalimumab: 40 mg SQ every other week As above Injection site reaction Tuberculosis screening Monitor for injection site reactions  Golimumab: 50 mg SQ monthly As above Injection site reaction Tuberculosis screening Monitor for injection site reactions  Certolizumab: 400 mg SQ weeks 0, 2, 4, then 200 mg every other week As above Injection site reaction Tuberculosis screening Monitor for injection site reactions Abatacept Weight based: 100 kg: 1000 mg IV dose at weeks 0, 2, and 4, and then every 4 weeks OR 125 mg SQ weekly ↑ Risk bacterial, viral infections Headache Nausea Tuberculosis screening Monitor for infusion reactions Anakinra 100 mg SQ daily ↑ Risk bacterial, viral infections Reactivation of latent tuberculosis Neutropenia Injection site reaction Headache Tuberculosis screening CBC with differential CBC every month for 3 months, then every 4 months for 1 year Monitor for injection site reactions Rituximab 1000 mg IV × 2, days 0 and 14 May repeat course every 24 weeks or more Premedicate with methylprednisolone 100 mg to decrease infusion reaction ↑ Risk bacterial, viral infections Infusion reaction Cytopenia Hepatitis B reactivation Rash Fever CBC Viral hepatitis panela CBC at regular intervals Interleukin-6 inhibitors Tocilizumab: 4–8 mg/kg IV monthly OR 162 mg SQ every other week (40 million people worldwide are affected by RHD, with &gt;300,000 deaths occurring each year. Some 95% of ARF cases and RHD deaths now occur in developing countries, with particularly high burdens in sub-Saharan Africa, Pacific nations, Australasia, China, and South and Central Asia. The pathogenetic pathway from exposure to group A Streptococcus followed by pharyngeal or superficial skin infection and subsequent development of ARF, ARF recurrences, and development of RHD and its complications is associated with a range of risk factors and, therefore, potential interventions at each point (Fig. 371-1). In affluent countries, many of these risk factors are well controlled, and where needed, interventions are in place. Unfortu nately, the greatest burden of disease is found in LMICs, most of which do not have the resources, capacity, and/or interest to tackle this multi faceted disease. In particular, few of these countries have coordinated, ARF is mainly a disease of children aged 5–14 years. Initial episodes become less common in older adolescents and young adults and are rare in persons aged &gt;30 years. By contrast, recurrent episodes of ARF remain relatively common in adolescents and young adults. This pattern con trasts with the prevalence of RHD, which peaks between 25 and 40 years. There is no clear gender association for ARF, but RHD more commonly affects females, sometimes up to twice as frequently as males. PATHOGENESIS </w:t>
      </w:r>
      <w:r w:rsidRPr="00A6019F">
        <w:rPr>
          <w:rFonts w:ascii="Arial" w:hAnsi="Arial" w:cs="Arial"/>
        </w:rPr>
        <w:t>■</w:t>
      </w:r>
      <w:r w:rsidRPr="00A6019F">
        <w:t xml:space="preserve">ORGANISM FACTORS Conventional teaching has it that ARF is exclusively caused by infection of the upper respiratory tract with group A streptococci (Chap. 153). Although classically, certain M-serotypes (particularly types 1, 3, 5, 6, 14, </w:t>
      </w:r>
      <w:r w:rsidRPr="00A6019F">
        <w:lastRenderedPageBreak/>
        <w:t xml:space="preserve">18, 19, 24, 27, and 29) were associated with ARF, recent evidence demonstrates that many more M-serotypes are rheumatogenic and that so-called “rheumatogenic motifs” are found in only a minority of serotypes associated with rheumatic fever. This epidemiologic evidence also points to a clear role of skin infection in the pathogenesis of ARF. The potential role of groups C and G streptococci is unclear at this time. </w:t>
      </w:r>
      <w:r w:rsidRPr="00A6019F">
        <w:rPr>
          <w:rFonts w:ascii="Arial" w:hAnsi="Arial" w:cs="Arial"/>
        </w:rPr>
        <w:t>■</w:t>
      </w:r>
      <w:r w:rsidRPr="00A6019F">
        <w:t>HOST FACTORS Based on epidemiologic evidence, ~3</w:t>
      </w:r>
      <w:r w:rsidRPr="00A6019F">
        <w:rPr>
          <w:rFonts w:ascii="Aptos" w:hAnsi="Aptos" w:cs="Aptos"/>
        </w:rPr>
        <w:t>–</w:t>
      </w:r>
      <w:r w:rsidRPr="00A6019F">
        <w:t xml:space="preserve">6% of any population may be sus ceptible to ARF, and this proportion does not vary dramatically between populations. Findings of familial clustering of cases and concordance in monozygotic twins—particularly for chorea—confirm that suscep tibility to ARF is an inherited characteristic, with 44% concordance in monozygotic twins compared to 12% in dizygotic twins and heritability more recently estimated at 60%. Most evidence for host factors focuses on immunologic determinants. Initial studies found associations with human leukocyte antigen (HLA) class II alleles, some protective and some associated with increased susceptibility, as well as polymorphisms in tumor necrosis factor and mannose binding lectin. Recent genome wide association studies and genomic sequencing analyses have identi fied associations with a range of genes including the immunoglobulin heavy chain (IGH) locus (specifically the IGHV4-61*02 allele), comple ment factor H, and some HLA class II (a range of HLA-DQ A and B alleles) and III loci. The associations are often population dependent, although increasing consistency is being found across populations in meta-analyses of genomic studies. Over coming years, further genomic analyses are expected to provide additional insights into ARF and RHD pathogenesis, as well as host protective and susceptibility factors. </w:t>
      </w:r>
      <w:r w:rsidRPr="00A6019F">
        <w:rPr>
          <w:rFonts w:ascii="Arial" w:hAnsi="Arial" w:cs="Arial"/>
        </w:rPr>
        <w:t>■</w:t>
      </w:r>
      <w:r w:rsidRPr="00A6019F">
        <w:t xml:space="preserve">THE IMMUNE RESPONSE The most widely accepted theory of rheumatic fever pathogenesis is based on the concept of molecular mimicry, whereby an immune response targeted at streptococcal antigens (mainly thought to be on the M protein) also recognizes human tissues. In this model, antigen processing cells of the innate immune system present streptococcal antigens after throat (and possibly skin) group A streptococcal infec tion to T cells, which then lead to activation of both humoral and cellu lar immunity. Cross-reactive antibodies bind to endothelial cells on the heart valve, leading to activation of the adhesion molecule VCAM-1, with resulting recruitment of activated lymphocytes and lysis of endo thelial cells in the presence of complement. The latter leads to release of peptides including laminin, keratin, and tropomyosin, which, in turn, activates cross-reactive T cells that invade the heart, amplifying the damage and causing epitope spreading. An alternative hypothesis proposes that the initial damage is due to streptococcal invasion of epithelial surfaces, with binding of M protein to type IV collagen Acute Rheumatic Fever 2855 CHAPTER 371 Risk factors Asymptomatic infection Failure to seek health care for sore throat Inadequate diagnosis and treatment of streptococcal pharyngitis Treatment failure Inherited susceptibility Female gender (chorea) Poor access to health care Poor access to health care Poor delivery of secondary prophylaxis Asymptomatic or undiagnosed acute rheumatic fever Poor access to health care Lack of medication Lack of cardiac surgical facilities Overcrowded living conditions Poverty Rural residence </w:t>
      </w:r>
      <w:r w:rsidRPr="00A6019F">
        <w:lastRenderedPageBreak/>
        <w:t xml:space="preserve">Urban slum residence Good evidence base Opportunities for Intervention Unproven/ Hypothesized/ Future Economic development Better living conditions Improved access to health care Secondary prophylaxis Register-based programs Integration of RHD control into primary care, childhealth, and noncommunicable disease programs Echocardiographic screening (Immunotherapies) Systematic sore throat screening and treatment programs (Vaccine) (Skin infection control programs) *Increasing evidence of the role of streptococcal skin infection Exposure to group A streptococcus Group A streptococcal upper respiratory tract infection* Acute rheumatic fever Recurrent acute rheumatic fever Rheumatic heart disease (RHD) Heart failure Stroke Endocarditis Surgery Disability Death Better diagnosis and treatment of sore throat in primary care Better primary care Register-based control programs Specialist services • Cardiology • Cardiac surgery FIGURE 371-1 Pathogenetic pathway for acute rheumatic fever and rheumatic heart disease (RHD), with associated risk factors and opportunities for intervention at each step. Interventions in parentheses are either unproven or currently unavailable. allowing it to become immunogenic, but not through the mechanism of molecular mimicry. CLINICAL FEATURES There is a latent period of ~3 weeks (1–5 weeks) between the precipitat ing group A streptococcal infection and the appearance of the clinical features of ARF. The exceptions are chorea and indolent carditis, which may follow prolonged latent periods lasting up to 6 months. Although many patients report a prior sore throat, the preceding group A strep tococcal infection is commonly subclinical; in these cases, it can only be confirmed using streptococcal antibody testing. The most common clinical features are polyarthritis (present in 60–75% of cases) and car ditis (50–75%). The prevalence of chorea in ARF varies substantially between populations, ranging from 20 yearsd; or mild regurgitation in both mitral and aortic valves Stage C: Advanced RHD at Risk of Clinical Complications Can apply to any age • Clinical risk: at high risk of developing clinical complications that require medical or surgical intervention • Echocardiographic features: moderate or severe MR, moderate or severe AR, any MS or ASe, pulmonary hypertension, and decreased LV systolic function Stage D: Advanced RHD with Clinical Complications Can apply to any age • Clinical risk: established clinical complications include cardiac surgery, heart failure, arrhythmia, stroke, and infective endocarditis • Echocardiographic features: moderate or severe MR, moderate or severe AR, any MS or ASe, pulmonary hypertension, and decreased LV systolic function aTo be applied in high-risk settings and requires other causes of valvular heart disease to have been excluded. bAfter the application of the confirmatory echocardiographic criteria, diagnostic categories might include “normal” and “other,” which encompasses other diseases such as congenital heart disease, cardiomyopathies, and pericardial effusion. cFulfilling the confirmatory criteria for pathologic regurgitation (see Source). dThis cutoff value is derived from expert consensus. eAortic stenosis is defined in accordance with international guidelines on valvular heart disease. A diagnosis of rheumatic aortic stenosis requires the exclusion of other causes, including bicuspid aortic valve and degenerative calcific AS. </w:t>
      </w:r>
      <w:r w:rsidRPr="00A6019F">
        <w:lastRenderedPageBreak/>
        <w:t xml:space="preserve">Abbreviations: AR, aortic regurgitation; AS, aortic stenosis; LV, left ventricular; MR, mitral regurgitation; MS, mitral stenosis, RHD, rheumatic heart disease. Source: Reproduced with permission from J Rwebembera et al: 2023 World Heart Federation guidelines for the echocardiographic diagnosis of rheumatic heart disease. Nat Rev Cardiol 21:250; 2023. </w:t>
      </w:r>
      <w:r w:rsidRPr="00A6019F">
        <w:rPr>
          <w:rFonts w:ascii="Arial" w:hAnsi="Arial" w:cs="Arial"/>
        </w:rPr>
        <w:t>■</w:t>
      </w:r>
      <w:r w:rsidRPr="00A6019F">
        <w:t>OTHER FEATURES Fever occurs in most cases of ARF, although rarely in cases of pure chorea. Although high-grade fever (</w:t>
      </w:r>
      <w:r w:rsidRPr="00A6019F">
        <w:rPr>
          <w:rFonts w:ascii="Aptos" w:hAnsi="Aptos" w:cs="Aptos"/>
        </w:rPr>
        <w:t>≥</w:t>
      </w:r>
      <w:r w:rsidRPr="00A6019F">
        <w:t>39</w:t>
      </w:r>
      <w:r w:rsidRPr="00A6019F">
        <w:rPr>
          <w:rFonts w:ascii="Aptos" w:hAnsi="Aptos" w:cs="Aptos"/>
        </w:rPr>
        <w:t>°</w:t>
      </w:r>
      <w:r w:rsidRPr="00A6019F">
        <w:t xml:space="preserve">C) is the rule, lower grade temperature elevations are not uncommon. Elevated acute-phase reac tants are also present in most cases. </w:t>
      </w:r>
      <w:r w:rsidRPr="00A6019F">
        <w:rPr>
          <w:rFonts w:ascii="Arial" w:hAnsi="Arial" w:cs="Arial"/>
        </w:rPr>
        <w:t>■</w:t>
      </w:r>
      <w:r w:rsidRPr="00A6019F">
        <w:t xml:space="preserve">EVIDENCE OF A PRECEDING GROUP A STREPTOCOCCAL INFECTION With the exception of chorea and low-grade carditis, both of which may become manifest many months later, evidence of a preceding group A streptococcal infection is essential in making the diagnosis of ARF. Because most cases do not have a positive throat swab culture or rapid antigen test, serologic evidence is usually needed. The most com mon serologic tests are the anti-streptolysin O (ASO) and anti-DNase B (ADB) titers. Where possible, age-specific reference ranges should be determined in a local population of healthy people without a recent group A streptococcal infection. </w:t>
      </w:r>
      <w:r w:rsidRPr="00A6019F">
        <w:rPr>
          <w:rFonts w:ascii="Arial" w:hAnsi="Arial" w:cs="Arial"/>
        </w:rPr>
        <w:t>■</w:t>
      </w:r>
      <w:r w:rsidRPr="00A6019F">
        <w:t xml:space="preserve">CONFIRMING THE DIAGNOSIS Because there is no definitive test, the diagnosis of ARF relies on the presence of a combination of typical clinical features together with evidence of the precipitating group A streptococcal infection, and the exclusion of other diagnoses. This uncertainty led Dr. T. Duckett Jones in 1944 to develop a set of criteria (subsequently known as the Jones criteria) to aid in the diagnosis. The most recent revision of the Jones criteria (Table 371-2) requires the clinician to determine if the patient is from a setting or population known to experience low rates of ARF. Acute Rheumatic Fever 2857 CHAPTER 371 For this group, there is a set of “low-risk” criteria; for all others, there is a set of more sensitive criteria. TREATMENT Acute Rheumatic Fever Patients with possible ARF should be followed closely to ensure that the diagnosis is confirmed, treatment of heart failure and other symptoms is undertaken, and preventive measures including com mencement of secondary prophylaxis, inclusion on an ARF registry, and health education are commenced. Echocardiography should be performed on all possible cases to aid in making the diagnosis and to determine the severity at baseline of any carditis. Other tests that should be performed are listed in Table 371-3. There is no treatment for ARF that has been proven to alter the likelihood of developing, or the severity of, RHD. With the excep tion of treatment of heart failure, which may be lifesaving in cases of severe carditis, the treatment of ARF is symptomatic. ANTIBIOTICS All patients with ARF should receive antibiotics sufficient to treat the precipitating group A streptococcal infection (Chap. 153). Penicil lin is the drug of choice and can be given orally (as phenoxymethyl penicillin, 500 mg [250 mg for children ≤27 kg] PO twice daily, or amoxicillin, 50 mg/kg [maximum, 1 g] daily, for 10 days) or as a single dose of 1.2 million units (600,000 units for children ≤27 kg) IM benzathine penicillin G. SALICYLATES AND NSAIDS These may be used for the treatment of arthritis, arthralgia, and fever once the diagnosis is confirmed. They are of no proven value in the treatment of carditis or chorea. Aspirin has traditionally been the </w:t>
      </w:r>
      <w:r w:rsidRPr="00A6019F">
        <w:lastRenderedPageBreak/>
        <w:t xml:space="preserve">first-line choice, delivered at a dose of 50–60 mg/kg per day, up to a maximum of 80–100 mg/kg per day (4–8 g/d in adults) in 4–5 divided doses. At higher doses, the patient should be monitored for symptoms of salicylate toxicity such as nausea, vomiting, or tinnitus; if symptoms appear, lower doses should be used. Owing to the frequency of gastrointestinal side effects and the potential of more severe adverse effects of aspirin, many clini cians now prefer to use naproxen at a dose of 10–20 mg/kg per day because it may be safer than aspirin and has the advantage of twice daily dosing. When the acute symptoms are substantially resolved, usually within the first 2 weeks, patients on higher doses of anti inflammatory medications can have the dose reduced for a further 2–4 weeks. Fever, joint manifestations, and elevated acute-phase reactants sometimes recur up to 3 weeks after the medication is discontinued. This does not indicate a recurrence and can be man aged by recommencing anti-inflammatory agents for a brief period. CONGESTIVE HEART FAILURE Glucocorticoids The use of glucocorticoids in ARF remains con troversial. Two meta-analyses have failed to demonstrate a benefit of glucocorticoids compared to placebo or salicylates in improving the short- or longer-term outcome of carditis. However, the studies included in these meta-analyses all took place &gt;40 years ago and did not use medications in common usage today. There are some recent data that suggest corticosteroids improve laboratory, radiologic, TABLE 371-2 Jones Criteria A. For All Patient Populations with Evidence of Preceding Group A Streptococcal Infection Diagnosis: initial ARF 2 major manifestations or 1 major plus 2 minor manifestations Diagnosis: recurrent ARF 2 major or 1 major and 2 minor or 3 minor B. Major Criteria Low-risk populationsa Moderate- and high-risk populations Carditisb Carditis • Clinical and/or subclinical • Clinical and/or subclinical Arthritis Arthritis • Polyarthritis only • Monoarthritis or polyarthritis • Polyarthralgiac Chorea Chorea Erythema marginatum Erythema marginatum SC nodules SC nodules C. Minor Criteria Low-risk populationsa Moderate- and high-risk populations Polyarthralgia Monoarthralgia Fever (≥38.5°C) Fever (≥38°C) ESR ≥60 mm in the first hour and/or CRP ≥3.0 mg/dLd ESR ≥30 mm/h and/or CRP ≥3.0 mg/dLd Prolonged PR intervale, after accounting for age variability (unless carditis is a major criterion) Prolonged PR intervale, after accounting for age variability (unless carditis is a major criterion) aLow-risk populations are those with ARF incidence ≤2 per 100,000 school-age children or all-age rheumatic heart disease prevalence of ≤1 per 1000 population per year. bSubclinical carditis indicates echocardiographic valvulitis. (See source document.) cPolyarthralgia should only be considered as a major manifestation in moderate- to high-risk populations after exclusion of other causes. As in past versions of the criteria, erythema marginatum and SC nodules are rarely “stand alone” major criteria. Additionally, joint manifestations can only be considered in either the major or minor categories but not both in the same patient. (See source document for more information.) dCRP value must be greater than upper limit of normal for laboratory. Also, because ESR may evolve during the course of ARF, peak ESR values should be used. eProlonged PR interval can only be considered in the absence of carditis as a major </w:t>
      </w:r>
      <w:r w:rsidRPr="00A6019F">
        <w:lastRenderedPageBreak/>
        <w:t xml:space="preserve">criterion. Abbreviations: ARF, acute rheumatic fever; CRP, C-reactive protein; ESR, erythrocyte sedimentation rate; SC, subcutaneous. Source: Reproduced with permission from MH Gewitz et al: Revision of the Jones criteria for the diagnosis of acute rheumatic fever in the era of Doppler echocardiography: A scientific statement from the American Heart Association. Circulation 131(20):1806, 2015. https://www.ahajournals.org/doi/full/10.1161/ CIR.0000000000000205. TABLE 371-3 Testing and Monitoring of ARF in the Acute Setting Investigations Always request: • Electrocardiogram (ECG) • Echocardiogram • Complete blood count (CBC) • C-reactive protein (CRP) • Streptococcal serology (antistreptolysin and anti-DNase B) In relevant situations: • Throat swab • Skin sore swab • Blood cultures • Synovial fluid aspirate • Ensure sample does not clot by using correct tubes that have been well mixed and transported promptly to the laboratory • Include request for cell count, microscopy, culture, and gonococcal polymerase chain reaction (PCR) • Pregnancy test • Creatinine test (UEC [urea, electrolytes, creatinine]) since nonsteroidal anti-inflammatory drugs can affect renal function Tests to exclude alternative diagnoses, depending on clinical presentation and locally endemic infections: • Autoantibodies, double-stranded DNA, anti–cyclic citrullinated peptide (anti-CCP) antibodies • Urine for Neisseria gonorrhoeae molecular test • Urine for Chlamydia trachomatis molecular test • Serologic or other testing for viral hepatitis, Yersinia spp., cytomegalovirus (CMV), parvovirus B19, respiratory viruses, Ross River virus, Barmah Forest virus Source: Reproduced with permission from RDHAustralia, Menzies School of Health Research. RHDAustralia (ARF/RHD writing group). The 2020 Australian guideline for prevention, diagnosis and management of acute rheumatic fever and rheumatic heart disease (3rd edition); 2020. Available at https://www.rhdaustralia.org.au/ arf-rhd-guideline. 2858 PART 11 Immune-Mediated, Inflammatory, and Rheumatologic Disorders and echocardiographic parameters in carditis. Many clinicians treat cases of severe carditis (causing heart failure) with glucocorticoids in the belief that they may reduce the acute inflammation and result in more rapid resolution of failure. However, the potential benefits of this treatment should be balanced against the possible adverse effects. If used, prednisone or prednisolone is recommended at a dose of 1–2 mg/kg per day (maximum, 80 mg), usually for a few days or up to a maximum of 3 weeks. MANAGEMENT OF HEART FAILURE See Chap. 265. BED REST Traditional recommendations for long-term bed rest, once the cor nerstone of management, are no longer widely practiced. Instead, bed rest should be prescribed as needed while arthritis and arthral gia are present and for patients with heart failure. Once symptoms are well controlled, gradual mobilization can commence as tolerated. CHOREA Medications to control the abnormal movements do not alter the duration or outcome of chorea. Milder cases can usually be man aged by providing a calm environment. In patients with severe cho rea, carbamazepine or sodium valproate is preferred to haloperidol. A response may not be seen for 1–2 weeks, and medication should be continued for 1–2 weeks after symptoms subside. There is recent evidence that corticosteroids are effective and lead to more rapid symptom </w:t>
      </w:r>
      <w:r w:rsidRPr="00A6019F">
        <w:lastRenderedPageBreak/>
        <w:t xml:space="preserve">reduction in chorea. They should be considered in severe or refractory cases. Prednisone or prednisolone may be commenced at 0.5 mg/kg daily, with weaning as early as possible, preferably after 1 week if symptoms are reduced, although slower weaning or temporary dose escalation may be required if symptoms worsen. INTRAVENOUS IMMUNOGLOBULIN (IVIG) Small studies have suggested that IVIg may lead to more rapid reso lution of chorea but have shown no benefit on the short- or long term outcome of carditis in ARF without chorea. In the absence of better data, IVIg is not recommended except in cases of severe chorea refractory to other treatments. PROGNOSIS Untreated, ARF lasts on average 12 weeks. With treatment, patients are usually discharged from hospital within 1–2 weeks. Inflammatory markers should be monitored every 1–2 weeks until they have normal ized (usually within 4–6 weeks), and an echocardiogram should be performed after 1 month to determine if there has been progression of carditis. Cases with more severe carditis need close clinical and echo cardiographic monitoring in the longer term. Once the acute episode has resolved, the priority in management is to ensure long-term clinical follow-up and adherence to a regimen of secondary prophylaxis. Patients should be entered onto the local ARF registry (if present) and contact made with primary care practitioners to ensure a plan for follow-up and administration of secondary prophy laxis before the patient is discharged. Patients and their families should also be educated about their disease, emphasizing the importance of adherence to secondary prophylaxis. PREVENTION </w:t>
      </w:r>
      <w:r w:rsidRPr="00A6019F">
        <w:rPr>
          <w:rFonts w:ascii="Arial" w:hAnsi="Arial" w:cs="Arial"/>
        </w:rPr>
        <w:t>■</w:t>
      </w:r>
      <w:r w:rsidRPr="00A6019F">
        <w:t xml:space="preserve">PRIMARY PREVENTION Ideally, primary prevention would entail elimination of the major risk factors for streptococcal infection, particularly overcrowded housing. This is difficult to achieve in most places where ARF is common but must remain a priority in ongoing efforts to achieve global control of ARF and RHD. Concerted international efforts are underway to develop a vaccine against group A Streptococcus that would prevent infection of the throat or skin and consequently prevent ARF in the absence of a suitable vac cine; however, the mainstay of primary prevention for ARF remains primary prophylaxis (i.e., the timely and complete treatment of group A streptococcal sore throat with antibiotics). If commenced within 9 days of sore throat onset, a course of penicillin (as outlined above for treatment of ARF) will prevent almost all cases of ARF that would oth erwise have developed. In settings where ARF and RHD are common but microbiologic diagnosis of group A streptococcal pharyngitis is not available, such as in resource-poor countries, primary care guidelines sometimes recommend that all patients with sore throat be treated with penicillin (an approach that has the potential drawbacks that come from antibiotic overuse, including side effects and increasing pres sure on antimicrobial resistance in group A Streptococcus or bystander pathogens) or, alternatively, that a clinical algorithm be used to identify patients with a higher likelihood of group A streptococcal pharyngitis. Although imperfect, such approaches recognize the importance of ARF prevention at the expense of overtreating many cases of sore throat that are not caused by group A Streptococcus. Although there is no proof that antibiotic treatment of group A streptococcal skin infections can prevent ARF, the </w:t>
      </w:r>
      <w:r w:rsidRPr="00A6019F">
        <w:lastRenderedPageBreak/>
        <w:t xml:space="preserve">increasing evidence that impetigo is strongly associ ated with ARF in some populations argues for a focus on treatment and prevention of group A streptococcal skin infections as part of a comprehensive ARF control strategy in regions with endemic impetigo. </w:t>
      </w:r>
      <w:r w:rsidRPr="00A6019F">
        <w:rPr>
          <w:rFonts w:ascii="Arial" w:hAnsi="Arial" w:cs="Arial"/>
        </w:rPr>
        <w:t>■</w:t>
      </w:r>
      <w:r w:rsidRPr="00A6019F">
        <w:t xml:space="preserve">SECONDARY PREVENTION The mainstay of controlling ARF and RHD is secondary prevention. Because patients with ARF are at dramatically higher risk than the gen eral population of developing a further episode of ARF after a group A streptococcal infection, they should receive long-term penicillin prophylaxis to prevent recurrences. The best antibiotic for secondary prophylaxis is benzathine penicillin G (1.2 million units, or 600,000 units if ≤27 kg) delivered intramuscularly every 4 weeks. It can be given every 3 weeks, or even every 2 weeks, to persons considered to be at particularly high risk, although in settings where good compliance with an every-4-week dosing schedule can be achieved, more frequent dosing is rarely needed. Evidence has emerged recently that subcutane ous delivery of benzathine penicillin G provides more optimal pharma cokinetics than intramuscular delivery and may have added advantages of reducing pain and allowing for larger doses to be delivered less frequently, although this approach is yet to be recommended in clinical guidelines. Oral penicillin V (250 mg) can be given twice daily instead but is less effective than benzathine penicillin G. Penicillin-allergic patients can receive erythromycin (250 mg) twice daily. The duration of secondary prophylaxis is determined by many fac tors, in particular the duration since the last episode of ARF (recur rences become less likely with increasing time), age (recurrences are less likely with increasing age), and the severity of RHD (if severe, it may be prudent to avoid even a very small risk of recurrence because of the potentially serious consequences) (Table 371-4). Secondary prophylaxis is best delivered as part of a coordinated RHD control pro gram, based around a registry of patients. Registries improve the ability to follow patients and identify those who default from prophylaxis and to institute strategies to improve adherence. TABLE 371-4 American Heart Association Recommendations for Duration of Secondary Prophylaxisa CATEGORY OF PATIENT Rheumatic fever without carditis Rheumatic fever with carditis but no residual valvular disease DURATION OF PROPHYLAXIS For 5 years after the last attack or 21 years of age (whichever is longer) For 10 years after the last attack, or 21 years of age (whichever is longer) Rheumatic fever with persistent valvular disease, evident clinically or on echocardiography For 10 years after the last attack, or 40 years of age (whichever is longer); sometimes lifelong prophylaxis aThese are only recommendations and must be modified by individual circumstances as warranted. Note that some organizations recommend a minimum of 10 years of prophylaxis after the most recent episode, or until 21 years of age (whichever is longer), regardless of the presence of carditis with the initial episode. Source: Reproduced with permission from MA Gerber et al: Prevention of rheumatic fever and diagnosis and treatment of acute streptococcal pharyngitis. Circulation 119:1541, 2009. https://www.ahajournals.org/doi/10.1161/ CIRCULATIONAHA.109.191959?url_ver=Z39.88-2003&amp;rfr_id=ori:rid:crossref. org&amp;rfr_dat=cr_pub%20%200pubmed. </w:t>
      </w:r>
      <w:r w:rsidRPr="00A6019F">
        <w:rPr>
          <w:rFonts w:ascii="Arial" w:hAnsi="Arial" w:cs="Arial"/>
        </w:rPr>
        <w:t>■</w:t>
      </w:r>
      <w:r w:rsidRPr="00A6019F">
        <w:t xml:space="preserve">FURTHER READING 372 2859 Carapetis JR et </w:t>
      </w:r>
      <w:r w:rsidRPr="00A6019F">
        <w:lastRenderedPageBreak/>
        <w:t xml:space="preserve">al: Acute rheumatic fever and rheumatic heart disease. Nat Rev Dis Primers 14:15084, 2016. Gewitz MH et al: Revision of the Jones Criteria for the diagnosis of acute rheumatic fever in the era of Doppler echocardiography: A sci entific statement from the American Heart Association. Circulation 131:1806, 2015. Institute for Health Metrics and Evaluation. Rheumatic heart disease interactive visualization. Global Burden of Disease Results Tool.  Accessed May 2024. https://vizhub.healthdata.org/gbd-results/. RHD Australia (ARF/RHD Writing Group): The 2020 Australian guideline for prevention, diagnosis and management of acute rheu matic fever and rheumatic heart disease (3rd edition); 2020. Available at https://www.rhdaustralia.org.au/arf-rhd-guideline. Rwebembera J et al: 2023 World Heart Federation guidelines for the echocardiographic diagnosis of rheumatic heart disease. Nat Rev Cardiol 21:250, 2024. Walkinshaw DR et al: The Streptococcus pyogenes vaccine landscape. NPJ Vaccines 8:16, 2023. VIDEO 371-1A Transthoracic echocardiographic images of a 9-year-old girl with first episode of acute rheumatic fever. Images demonstrate the typical echocardiographic findings of acute rheumatic carditis. The valve leaflets are relatively thin and highly mobile. The failure of coaptation of the mitral valve leaflets is the result of chordal elongation and annular dilatation. The mitral valve regurgitation is moderate with a typical posterolaterally directed regurgitant jet of rheumatic carditis. A. Acute rheumatic carditis (apical four-chamber view echocardiogram). VIDEO 371-1B Transthoracic echocardiographic images of a 9-year-old girl with first episode of acute rheumatic fever. Images demonstrate the typical echocardiographic findings of acute rheumatic carditis. The valve leaflets are relatively thin and highly mobile. The failure of coaptation of the mitral valve leaflets is the result of chordal elongation and annular dilatation. The mitral valve regurgitation is moderate with a typical posterolaterally directed regurgitant jet of rheumatic carditis. B. Acute rheumatic carditis (apical four-chamber view color Doppler echocardiogram). VIDEO 371-1C Transthoracic echocardiographic images of a 9-year-old girl with first episode of acute rheumatic fever. Images demonstrate the typical echocardiographic findings of acute rheumatic carditis. The valve leaflets are relatively thin and highly mobile. The failure of coaptation of the mitral valve leaflets is the result of chordal elongation and annular dilatation. The mitral valve regurgitation is moderate with a typical posterolaterally directed regurgitant jet of rheumatic carditis. C. Acute rheumatic carditis (parasternal long-axis view echocardiogram). VIDEO 371-1D Transthoracic echocardiographic images of a 9-year-old girl with first episode of acute rheumatic fever. Images demonstrate the typical echocardiographic findings of acute rheumatic carditis. The valve leaflets are relatively thin and highly mobile. The failure of coaptation of the mitral valve leaflets is the result of chordal elongation and annular dilatation. The mitral valve regurgitation is moderate with a typical posterolaterally directed regurgitant jet of rheumatic carditis. D. Acute rheumatic carditis (parasternal long-axis view color Doppler echocardiogram). VIDEO 371-2A Transthoracic echocardiographic images are from a 5-year-old boy with chronic rheumatic heart disease with severe mitral valve regurgitation and moderate mitral valve stenosis. </w:t>
      </w:r>
      <w:r w:rsidRPr="00A6019F">
        <w:lastRenderedPageBreak/>
        <w:t xml:space="preserve">Images demonstrate the typical echocardiographic findings in advanced chronic rheumatic heart disease. Both the anterior and posterior mitral valve leaflets are markedly thickened. During diastole, the motion of the anterior mitral valve leaflet tip is restricted with doming of the body of the leaflet toward the interventricular septum. This appearance is commonly described as a “hockey stick” or an “elbow” deformity. A. Chronic rheumatic heart disease (parasternal long-axis view). VIDEO 371-2B Transthoracic echocardiographic images are from a 5-year-old boy with chronic rheumatic heart disease with severe mitral valve regurgitation and moderate mitral valve stenosis. Images demonstrate the typical echocardiographic findings in advanced chronic rheumatic heart disease. Both the anterior and posterior mitral valve leaflets are markedly thickened. During diastole, the motion of the anterior mitral valve leaflet tip is restricted with doming of the body of the leaflet toward the interventricular septum. This appearance is commonly described as a “hockey stick” or an “elbow” deformity. B. Chronic rheumatic heart disease (apical two-chamber view echocardiogram). Systemic Sclerosis (Scleroderma) and Related Disorders John Varga DEFINITION AND CLASSIFICATION Systemic sclerosis (SSc) is an orphan disease of unknown etiology, complex pathogenesis, and variable clinical presentations. SSc fol lows a chronic and often progressive course and is associated with significant disability and mortality. Virtually every organ can be affected (Fig. 372-1). There is marked variability among SSc patients in patterns of skin involvement and organ complications, rates of disease progression, response to treatment, disease severity, and survival. The early stages of SSc may be associated with prominent inflammatory features such as edema, but over time, structural alterations in multiple vascular beds and visceral organ dysfunction due to fibrosis and atrophy pro gressively dominate the clinical picture. Classification criteria for the diagnosis of SSc (shown in Table 372-1) are &gt;90% specific and sensi tive, although they are intended to be used in clinical research rather than clinical practice. Although thickened and indurated skin (scleroderma) is the dis tinguishing hallmark of SSc, similar skin changes can also be seen in localized forms of scleroderma, along with a variety of metabolic, inherited, autoimmune, and iatrogenic conditions (Table 372-2). Patients with SSc can be broadly segregated into two major subsets defined by the pattern of skin involvement and associated with char acteristic clinical and serologic features and natural history (Table 372-3). Patients with diffuse cutaneous SSc (dcSSc) have extensive skin induration, starting in the fingers (sclerodactyly) and ascending from distal to proximal limbs and the trunk. In these patients, progres sive skin disease, interstitial lung disease (ILD), and less commonly acute renal involvement may develop relatively early. In contrast, in patients with limited cutaneous SSc (lcSSc), Raynaud’s phenomenon generally precedes sclerodactyly and other disease manifestations, sometimes by years. In these patients, skin involvement remains con fined to the fingers, distal limbs, and face, while the trunk is spared. A subset of patients with lcSSc display a distinct constellation of find ings (calcinosis cutis, Raynaud’s phenomenon, esophageal dysmotil ity, sclerodactyly, and </w:t>
      </w:r>
      <w:r w:rsidRPr="00A6019F">
        <w:lastRenderedPageBreak/>
        <w:t xml:space="preserve">telangiectasia), historically termed the CREST syndrome. In lcSSc, visceral organ involvement tends to follow a more insidious and occasionally benign course, while digital ischemic ulcers, pulmonary arterial hypertension (PAH), hypothyroidism, Sjogren’s symptoms, and primary biliary cirrhosis may occur as late complications. In some patients, Raynaud’s phenomenon and charac teristic clinical and laboratory features of SSc occur in the absence of detectable skin thickening. This relatively benign disease subset has been termed SSc sine scleroderma. CHAPTER 372 Systemic Sclerosis (Scleroderma) and Related Disorders INCIDENCE AND PREVALENCE SSc is an acquired sporadic disease with a worldwide distribution affecting all races and has a rising incidence rate. In the United States, the incidence is 9–46 cases per million per year. There are an estimated 100,000 U.S. cases, although this number may be significantly higher if patients who do not fulfill formal SSc classification criteria are also included. There are large regional variations in incidence rates of SSc, potentially reflecting differences in case definition, environmental exposures, or genetic susceptibility genes in populations with different ancestries. Prevalence rates in England, northern Europe, and Japan appear to be lower than in North America and Australia. Age, sex, and ancestry influence disease susceptibility, and black people have higher age-specific incidence rates and mortality. In common with most autoimmune diseases, SSc shows a strong female sex bias (4.6:1), 2860 PART 11 Immune-Mediated, Inflammatory, and Rheumatologic Disorders Oral: Xerostomia Reduced aperture Mucocutaneous telangiectasia Upper GI: GERD GAVE Barrett’s Gastroparesis Pulmonary: Interstitial lung disease Pulmonary artery hypertension Cardiac: Lower GI: Hypomotility Bacterial overgrowth Pseudo-obstruction Pericarditis Diastolic dysfunction Cardiomyopathy Arrhythmia Renal: Scleroderma renal crisis Muscloskeletal: Joint contractures Tendon friction rubs Myositis Skin: Induration Calcinosis cutis Telangiectasia Hyperpigmentation Xerosis Vasular: Raynaud’s Digital ischemic ulcers FIGURE 372-1 Multiorgan involvement in systemic sclerosis (SSc). Complications of SSc; Red, complications more prominent in patients with diffuse cutaneous SSc; Blue, those more prominent in limited cutaneous SSc; Black, complications common in both limited and diffuse cutaneous SSc subsets. GAVE, gastric antral vascular ectasia; GERD, gastroesophageal reflux disease; GI, gastrointestinal. TABLE 372-1 ACR/EULAR Classification Criteria for Diagnosis of Systemic Sclerosis (SSc) ITEM Skin thickening (bilateral)— fingers extending proximal to MCP joints  SUBITEM Skin thickening of fingers only Puffy fingers Sclerodactyly (skin thickened distal to MCP joints)  Fingertip lesions Mucocutaneous telangiectasia Abnormal nailfold capillary pattern  Lung involvement Raynaud’s phenomenon   9 WEIGHT/SCORE 2 4 Digital tip ulcer or pitting scar 2 3 2 2 PAH Interstitial lung disease  SSc-specific autoantibodies ACA Scl-70 RNA polymerase III  2 2 3 3 Abbreviations: ACA, anticentromere antibodies; ACR, American College of Rheumatology; EULAR, European Alliance of Associations for Rheumatology; MCP, metacarpophalangeal joint; PAH, pulmonary arterial hypertension. TABLE 372-2 </w:t>
      </w:r>
      <w:r w:rsidRPr="00A6019F">
        <w:lastRenderedPageBreak/>
        <w:t xml:space="preserve">Conditions Associated with Scleroderma-Like Skin Induration Systemic sclerosis (SSc) Limited cutaneous SSc Diffuse cutaneous SSc Localized scleroderma Guttate (plaque) morphea, diffuse (pansclerotic) morphea, bullous morphea Linear scleroderma, coup de sabre, hemifacial atrophy Pansclerotic morphea Overlap syndromes Mixed connective tissue disease SSc/polymyositis Diabetic scleredema and scleredema of Buschke Scleromyxedema (papular mucinosis) Chronic graft-versus-host disease Diffuse fasciitis with eosinophilia (Shulman’s disease, eosinophilic fasciitis) Stiff skin syndrome Pachydermatoperiostosis (primary hypertrophic osteoarthropathy) Chemically induced and drug-associated scleroderma-like conditions Vinyl chloride–induced disease Eosinophilia-myalgia syndrome (associated with l-tryptophan contaminant exposure) Nephrogenic systemic fibrosis (associated with gadolinium exposure) Paraneoplastic syndrome 2861 TABLE 372-3 Subsets of Systemic Sclerosis (SSc): Features of Limited Cutaneous Versus Diffuse Cutaneous Disease CHARACTERISTIC FEATURE Skin involvement Raynaud phenomenon LIMITED CUTANEOUS SSc DIFFUSE CUTANEOUS SSc Indolent onset. Limited to fingers, distal to elbows, face; slow progression Antedates skin involvement, sometimes by years; may be associated with critical ischemia in the digits Rapid onset. Diffuse: fingers, extremities, face, trunk; rapid progression Onset coincident with skin involvement; critical ischemia less common Musculoskeletal Interstitial lung disease Pulmonary arterial hypertension Scleroderma renal crisis Calcinosis cutis Characteristic autoantibodies Mild arthralgia Slowly progressive, generally mild Frequent, late, may occur as an isolated complication Very rare Frequent, prominent Anti-centromere Severe arthralgia, carpal tunnel syndrome, tendon friction rubs Frequent, early onset and progression, can be severe Often occurs in association with interstitial lung disease Occurs in 15%; generally early (0.8 and reduced total lung capacity [TLC] and DlCO ). A reduction in DlCO that is sig nificantly out of proportion to the reduction in lung volumes should raise suspicion for pulmonary vascular disease but may also be due to anemia. Oxygen desaturation with exercise is common. Chest radiography can be used to rule out infection and other causes of respiratory symptoms in SSc, but compared to HRCT, it is relatively insensitive for detection of early ILD. Characteristic imag ing findings include bilateral lower lobe subpleural reticular linear opacities and ground-glass opacifications with an apicobasal gradient, 2869 A B FIGURE 372-11 Calcinosis cutis in systemic sclerosis. A. Note calcific deposit breaking through the skin in a patient with limited cutaneous systemic sclerosis (lcSSc). B. Dual-energy computed tomography showing calcific deposits at the proximal interphalangeal joints. even in asymptomatic patients with normal PFTs (Fig. 372-12). Addi tional HRCT findings include mediastinal lymphadenopathy, pulmo nary nodules, traction bronchiectasis, and uncommonly, honeycomb changes. The extent of interstitial changes on chest HRCT at baseline is a predictor of ILD progression and mortality. While bronchoalveolar lavage (BAL) can demonstrate inflammatory cells in the lower respira tory tract and may be useful for ruling out tuberculosis and other infec tions, it has limited utility for SSc diagnosis or for </w:t>
      </w:r>
      <w:r w:rsidRPr="00A6019F">
        <w:lastRenderedPageBreak/>
        <w:t xml:space="preserve">identifying reversible alveolitis. Surgical lung biopsy in SSc is indicated only in patients with atypical findings on chest imaging. The histologic pattern on lung biopsy may predict the risk of progression of ILD, with the NSIP pat tern having a better prognosis than UIP. Pulmonary Arterial Hypertension (PAH) PAH results from vascular remodeling of small (20 mmHg with a pul monary capillary wedge pressure ≤15 mmHg and pulmonary vascular resistance &gt;2.0 Wood units. The natural history of SSc-associated PAH is variable but often follows a progressive course leading to right FIGURE 372-12 High-resolution chest computed tomography scans in systemic sclerosis. Top panel: Early-stage interstitial lung disease with subtle subpleural reticulations and ground-glass opacities in the lower lobes. Patient in supine position. Bottom panel: Extensive lung fibrosis with coarse reticular honeycombing and traction bronchiectasis. (Courtesy of Dr. Rishi Agrawal, Northwestern University.) heart failure. The 3-year survival of SSc patients with untreated PAH is 40 mmHg at rest or tricuspid regurgitation jet velocities &gt;3 m/s suggest PAH. PFT may show a reduced DlCO in isolation or out of proportion with the severity of restriction. Because echocardiography can over- or underestimate pulmonary artery pressures, cardiac catheterization is required to con firm the diagnosis of suspected PAH; assess its severity, including the degree of right heart dysfunction; rule out venoocclusive disease and other cardiac (postcapillary) causes of pulmonary hypertension; and provide prognostic parameters. Distinguishing PAH in SSc patients from pulmonary hypertension secondary to pulmonary fibrosis and hypoxia can be difficult. Serum levels of N-terminal pro-brain natri uretic peptide (NT-proBNP) correlate with the presence and severity of PAH, as well as survival. While NT-proBNP can be useful in PAH screening and in monitoring the response to treatment, elevated levels are not specific for PAH and also occur in other forms of right and left heart disease. Despite more favorable hemodynamics of SSc-associated PAH, its prognosis is worse, and treatment response poorer, than idio pathic PAH. This is most likely due to frequent concurrence of ILD and cardiac involvement in SSc patients. </w:t>
      </w:r>
      <w:r w:rsidRPr="00A6019F">
        <w:rPr>
          <w:rFonts w:ascii="Arial" w:hAnsi="Arial" w:cs="Arial"/>
        </w:rPr>
        <w:t>■</w:t>
      </w:r>
      <w:r w:rsidRPr="00A6019F">
        <w:t xml:space="preserve">GASTROINTESTINAL INVOLVEMENT Variable involvement of the gastrointestinal (GI) tract, which can affect any level, is the most common internal organ manifestation of 2870 TABLE 372-6 Prominent Gastrointestinal Manifestations of Systemic Sclerosis (SSc) and Their Management PART 11 Immune-Mediated, Inflammatory, and Rheumatologic Disorders SITE IN GASTROINTESTINAL TRACT Oropharynx Esophagus Stomach Small and large intestines Anorectum PRINCIPAL MANIFESTATION MANAGEMENT Diminished oral aperture Dry mouth Periodontitis, gingivitis Swallowing  Reflux Dysphagia Strictures Barrett’s metaplasia  Gastroparesis Gastric antral vascular ectasia (GAVE; watermelon stomach)  Bacterial overgrowth (small intestinal bacterial overgrowth) Diarrhea/constipation Pseudo-obstruction Pneumatosis intestinalis Malabsorption Colonic pseudo-diverticula  Sphincter incompetence Periodontal care Artificial saliva Swallowing therapy Lifestyle modifications, Prokinetic drugs Proton pump inhibitors Endoscopic procedures Prokinetic agents Endoscopic laser cryotherapy Laxatives Prokinetic agents Rotating antibiotics Octreotide Parenteral </w:t>
      </w:r>
      <w:r w:rsidRPr="00A6019F">
        <w:lastRenderedPageBreak/>
        <w:t xml:space="preserve">nutritional support Biofeedback, sacral nerve stimulation, surgery  SSc, seen in up to 90% of SSc patients with both limited and diffuse cutaneous disease (Table 372-6). Severe GI tract involvement is associ ated with male sex and specific autoantibodies. Pathologic findings of GI involvement in SSc include fibrosis, smooth-muscle atrophy, and obliterative small-vessel vasculopathy throughout the length of the GI tract. Together, they have a major impact on quality of life, malnutri tion, and mortality. Upper GI Tract Involvement Decreased oral aperture interferes with regular dental hygiene. Loss of periodontal ligament attach ing teeth to the alveolar bone leads to teeth loosening. Additional oropharyngeal manifestations due to a combination of xerostomia, shortened frenulum, and resorption of the mandibular condyles cause much distress. Most SSc patients show symptoms of GERD: heartburn, regurgitation, and dysphagia, due to a combination of reduced lower esophageal sphincter pressure resulting in reflux, impaired esophageal clearance of refluxed gastric contents due to diminished motility, and delayed gastric emptying. Calcium channel antagonists and phospho diesterase inhibitors commonly used to treat Raynaud’s phenomenon in SSc can further aggravate reflux. Esophageal manometry shows abnormal motility in most patients, even in the absence of symp toms. Common extraesophageal GERD manifestations in SSc include hoarseness, cough, and chronic or recurrent microaspiration, which can aggravate underlying ILD. Characteristic chest CT findings include dilated patulous esophagus with intraluminal air. Esophageal dilation is associated with the severity of interstitial lung disease. Endoscopy may be indicated in patients with dysphagia in order to rule out opportunis tic infections with Candida, herpes virus, and cytomegalovirus. Severe erosive esophagitis may be found in patients with minimal symptoms. Esophageal strictures and Barrett’s esophagus may complicate chronic GERD in SSc patients. Because Barrett’s metaplasia is associated with increased risk of adenocarcinoma, these patients require regular sur veillance endoscopy with biopsy. Gastroparesis with early satiety, abdominal distention, and aggra vated reflux symptoms is common. Barium contrast studies are neither sensitive nor specific for evaluation of gastric involvement in SSc. Gastric antral vascular ectasia (GAVE) in the antrum may occur. These subepithelial lesions, reflecting the widespread small-vessel vasculopathy of SSc, are called “watermelon stomach” due to their endoscopic appearance. GAVE may present with acute life-threatening or recurrent episodes of GI bleeding, resulting in chronic unexplained iron-deficiency anemia. Patients with SSc show increased prevalence of Helicobacter pylori infection in the stomach. Lower GI Tract and Anorectal Involvement Weight loss and malnutrition due to a combination of impaired intestinal motility, mal absorption, and chronic diarrhea secondary to bacterial overgrowth are common. Fat and protein malabsorption as well as vitamin B12 and vitamin D deficiency ensue and may be further exacerbated by pancreatic insufficiency. Disturbed intestinal motor function associ ated with delayed colonic transit may present with intestinal pseudo obstruction. Patients present with acute abdominal pain, nausea, and vomiting, and radiographic studies show acute </w:t>
      </w:r>
      <w:r w:rsidRPr="00A6019F">
        <w:lastRenderedPageBreak/>
        <w:t xml:space="preserve">intestinal obstruction. A major diagnostic challenge is differentiating pseudo-obstruction, which often responds to supportive care and intravenous nutritional supplementation, from mechanical obstruction. Colonic involvement in SSc may cause constipation, occasionally complicated by sigmoid volvulus. Anorectal dysfunction commonly presents with fecal incon tinence. GI bleeding can result from telangiectasia and rectal prolapse. In late-stage SSc, wide-mouth sacculations or diverticula occur in the colon and occasionally cause perforation and bleeding. An unusual radiologic finding is pneumatosis cystoides intestinalis, which is due to air trapping in the bowel wall that may rarely rupture and cause benign pneumoperitoneum. Studies of the fecal microbiota in SSc show a reduction in protective butyrate-producing bacteria, potentially promoting a proinflammatory intestinal microenvironment. Although the liver is rarely affected in patients with SSc, primary biliary cirrhosis may occur, particularly in patients with limited cutaneous disease. </w:t>
      </w:r>
      <w:r w:rsidRPr="00A6019F">
        <w:rPr>
          <w:rFonts w:ascii="Arial" w:hAnsi="Arial" w:cs="Arial"/>
        </w:rPr>
        <w:t>■</w:t>
      </w:r>
      <w:r w:rsidRPr="00A6019F">
        <w:t xml:space="preserve">RENAL INVOLVEMENT: SCLERODERMA RENAL CRISIS Scleroderma renal crisis presents with accelerated hypertension accompanied by acute kidney injury and progressive failure. This acute life-threatening complication occurs in 150/90 mmHg) and progressive oliguric renal insufficiency. However, ~10% of patients present with blood pressure in the normal range. Normotensive renal crisis is gener ally associated with a poor outcome. Headache, blurred vision, conges tive heart failure, and pulmonary edema may accompany elevation of blood pressure. Moderate thrombocytopenia and microangiopathic hemolysis with fragmented red blood cells can be seen, and urinaly sis typically shows mild proteinuria, granular casts, and microscopic hematuria. Progressive oliguric renal failure over several days generally follows. Scleroderma renal crisis is sometimes initially misdiagnosed 2871 a b A FIGURE 372-13 Pathologic findings in scleroderma renal crisis. A. Kidney biopsy demonstrating intimal proliferation (arrows) and myxoid changes in medium-sized renal arteries. B. Fragmentation of circulating red blood cells due to intravascular hemolysis. (Courtesy of Drs. Edward Stern and Christopher Denton, Royal Free Hospital, London, UK.) as thrombotic thrombocytopenic purpura (TTP) or other forms of thrombotic microangiopathy. In such cases, renal biopsy and deter mination of serum von Willebrand factor–cleaving protease activity may be of benefit. The presence of oliguria or a creatinine &gt;3 mg/dL at initial presentation predicts poor outcome (permanent hemodialysis and mortality), as do vascular thrombosis and glomerular ischemic collapse on renal biopsy. </w:t>
      </w:r>
      <w:r w:rsidRPr="00A6019F">
        <w:rPr>
          <w:rFonts w:ascii="Arial" w:hAnsi="Arial" w:cs="Arial"/>
        </w:rPr>
        <w:t>■</w:t>
      </w:r>
      <w:r w:rsidRPr="00A6019F">
        <w:t>CARDIAC INVOLVEMENT Although it is often silent, cardiac involvement is detected in 10</w:t>
      </w:r>
      <w:r w:rsidRPr="00A6019F">
        <w:rPr>
          <w:rFonts w:ascii="Aptos" w:hAnsi="Aptos" w:cs="Aptos"/>
        </w:rPr>
        <w:t>–</w:t>
      </w:r>
      <w:r w:rsidRPr="00A6019F">
        <w:t xml:space="preserve">50% of SSc patients screened with sensitive diagnostic tools. Clinical car diac involvement is more frequent in dcSSc than in lcSSc and may be primary or secondary to PAH, ILD, or renal involvement. Cardiac involvement in SSc is associated with poor outcomes. The endocar dium, myocardium, and pericardium may each be affected separately or together. Pericardial involvement is manifested as pericarditis, pericardial effusions, constrictive pericarditis, and rarely, cardiac tam ponade. Conduction system fibrosis is common and may be silent or manifested by heart block. Other arrhythmias include </w:t>
      </w:r>
      <w:r w:rsidRPr="00A6019F">
        <w:lastRenderedPageBreak/>
        <w:t xml:space="preserve">premature ventricular contractions, atrial fibrillation, and supraventricular tachy cardia. Microvascular involvement, recurrent vasospasm, and isch emia-reperfusion injury contribute to patchy myocardial fibrosis, and the resulting systolic or diastolic left ventricular dysfunction may prog ress to overt heart failure. Acute or subacute myocarditis leading to left ventricular dysfunction may occur, best diagnosed by cardiac magnetic resonance imaging or endomyocardial biopsy. While conventional echocardiography has low sensitivity for detecting preclinical heart involvement in SSc, newer modalities such as tissue Doppler echocar diography (TDE), cardiac magnetic resonance imaging (cMRI), and nuclear imaging (single photon emission CT [SPECT]) reveal a high prevalence of abnormal myocardial function or perfusion. The serum levels of NT-proBNP, a ventricular hormone elevated in SSc-PAH, may also have utility as markers of primary cardiac involvement. </w:t>
      </w:r>
      <w:r w:rsidRPr="00A6019F">
        <w:rPr>
          <w:rFonts w:ascii="Arial" w:hAnsi="Arial" w:cs="Arial"/>
        </w:rPr>
        <w:t>■</w:t>
      </w:r>
      <w:r w:rsidRPr="00A6019F">
        <w:t xml:space="preserve">MUSCULOSKELETAL COMPLICATIONS Musculoskeletal complications are commonly seen in SSc. Carpal tunnel syndrome may be a presenting disease manifestation, and generalized arthralgia and stiffness are prominent in early disease. Mobility of both small and large joints is progressively impaired, and fixed contractures at the proximal interphalangeal joints and wrists ensue. Large joint contractures occur in patients with dcSSc and are frequently accompanied by tendon friction rubs. These are character ized by coarse leathery crepitation heard or palpated upon passive joint movement and are caused by fibrosis and adhesion of the tendon sheaths and fascial planes at the affected joint. The presence of tendon friction rubs is associated with increased risk for renal and cardiac complications and reduced survival. Synovitis seen on ultrasound or MRI is common; occasional SSc patients develop erosive polyarthritis in the hands, and some may have a seroposi tive rheumatoid arthritis overlap. Muscle weakness is common and multifactorial; deconditioning, disuse atrophy, malnu trition, inflammation, and fibrosis may all contribute. A chronic noninflamma tory form of myopathy characterized by atrophy and fibrosis with mildly elevated muscle enzymes occurs in late-stage SSc. Bone resorption in the terminal phalan ges, possibly reflecting recurrent isch emia, underlies the characteristic loss of the distal tufts (acro-osteolysis) seen on plain radiographs (Fig. 372-5). Resorp tion of the mandibular condyles can lead to bite difficulties. Osteolysis can also affect the ribs and distal clavicles. B </w:t>
      </w:r>
      <w:r w:rsidRPr="00A6019F">
        <w:rPr>
          <w:rFonts w:ascii="Arial" w:hAnsi="Arial" w:cs="Arial"/>
        </w:rPr>
        <w:t>■</w:t>
      </w:r>
      <w:r w:rsidRPr="00A6019F">
        <w:t xml:space="preserve">LESS RECOGNIZED DISEASE MANIFESTATIONS Dry eyes and dry mouth (sicca complex) are common in SSc. Biopsy of the minor salivary glands in these cases shows fibrosis rather than focal lymphocytic infiltration characteristic of primary Sjögren’s syndrome (Chap. 373). Hypothyroidism resulting from Graves or Hashimoto disease is common, particularly in lcSSc, and may be underrecognized. Whereas the central nervous system is generally spared in SSc, uni lateral or bilateral sensory trigeminal neuropathy can occur. Erectile dysfunction is a frequent and occasionally initial disease manifestation. Inability to attain or maintain penile erection is due to vascular insuf ficiency and fibrosis of corporeal smooth muscle and responds poorly to medical therapy. Sexual performance is also adversely affected in women. While fertility is not impaired in SSc, </w:t>
      </w:r>
      <w:r w:rsidRPr="00A6019F">
        <w:lastRenderedPageBreak/>
        <w:t xml:space="preserve">pregnancy is associated with higher risk of adverse fetal outcomes. Furthermore, cardiopul monary involvement may worsen during pregnancy, and new onset of scleroderma renal crisis has been described. CHAPTER 372 Systemic Sclerosis (Scleroderma) and Related Disorders Cancer Epidemiologic studies indicate an increased cancer risk in patients with SSc. Lung cancer and esophageal adenocarcinoma typi cally occur in the setting of long-standing ILD or GERD and may be linked to chronic inflammation and maladaptive repair. In contrast, breast, lung, and ovarian carcinomas and lymphomas tend to occur in close temporal association with the onset of SSc, particularly in patients who are positive for autoantibodies to RNA polymerase III. In this scenario, SSc is thought to represent a paraneoplastic syndrome that is triggered by the antitumor immune response. </w:t>
      </w:r>
      <w:r w:rsidRPr="00A6019F">
        <w:rPr>
          <w:rFonts w:ascii="Arial" w:hAnsi="Arial" w:cs="Arial"/>
        </w:rPr>
        <w:t>■</w:t>
      </w:r>
      <w:r w:rsidRPr="00A6019F">
        <w:t xml:space="preserve">LABORATORY EVALUATION AND BIOMARKERS Mild microcytic anemia is frequent and may indicate recurrent GI bleeding caused by GAVE or chronic esophagitis. Macrocytic anemia may be caused by folate and vitamin B12 deficiency due to small-bowel bacterial overgrowth and malabsorption or by drugs such as metho trexate. Microangiopathic hemolytic anemia caused by mechani cal fragmentation of red blood cells during their passage through microvessels coated with fibrin or platelet thrombi is a hallmark of scleroderma renal crisis. Elevation of C-reactive protein (CRP) in SSc is indicative of higher risk of progressive fibrosis and mortality. Similarly, an elevated serum level of IL-6 is associated with worse outcomes. The erythrocyte sedimentation rate (ESR) is generally normal in SSc; an elevation may signal coexisting myositis or malignancy. Circulating antinuclear autoantibodies are detected in almost all patients with SSc. Anti-topoisomerase I (Scl-70) and anti-centromere antibodies are mutually exclusive and highly specific for SSc. Topoi somerase I antibodies are associated with increased risk of ILD and poor outcomes. Anti-centromere antibodies are associated with PAH, but only infrequently with significant cardiac, pulmonary, or renal involvement. Nucleolar immunofluorescence pattern may indicate antibodies to U3-RNP (fibrillarin), Th/To, or PM/Scl, whereas speck led immunofluorescence indicates antibodies to RNA polymerase III, 2872 PART 11 Immune-Mediated, Inflammatory, and Rheumatologic Disorders A B C D E F FIGURE 372-14 Systemic sclerosis (SSc)-associated autoantibodies: immunofluorescence. Indirect immunofluorescence of SSc serum samples using HEp-2 substrate. Representative images showing (A) anti-centromere; (B) anti-Scl-70/topoisomerase I; (C) anti-PM/Scl; (D) anti-Th/To; (E) anti-RNA polymerase III; and (F) anti-fibrillarin/ U3RNP antibodies. Variations in immunostaining are clues to autoantibody specificity, but immunoassays with purified autoantigens are needed to confirm antigen specificity. (Courtesy of Marvin Fritzler and Susan Copple, Inova Diagnostics Inc., San Diego, CA.) associated with increased risk of scleroderma renal crisis and malig nancy (Fig. 372-14). </w:t>
      </w:r>
      <w:r w:rsidRPr="00A6019F">
        <w:rPr>
          <w:rFonts w:ascii="Arial" w:hAnsi="Arial" w:cs="Arial"/>
        </w:rPr>
        <w:t>■</w:t>
      </w:r>
      <w:r w:rsidRPr="00A6019F">
        <w:t xml:space="preserve">DIAGNOSIS, STAGING, AND MONITORING The diagnosis of SSc is made primarily on clinical grounds and is gen erally straightforward in patients with established disease. Diagnostic criteria developed for classification are &gt;90% specific and sensitive for SSc. The presence of skin induration with a </w:t>
      </w:r>
      <w:r w:rsidRPr="00A6019F">
        <w:lastRenderedPageBreak/>
        <w:t xml:space="preserve">characteristic symmetric distribution pattern associated with typical visceral organ manifesta tions establishes the diagnosis of SSc with a high degree of certainty. In lcSSc, a history of Raynaud’s phenomenon and GERD symptoms, coupled with sclerodactyly and nailfold capillary changes, often in com binations with cutaneous telangiectasia and calcinosis cutis, helps to establish the diagnosis. Primary Raynaud’s disease is a benign condition that must be differentiated from early or limited SSc. Nailfold micros copy can be particularly helpful in this situation, because in contrast to SSc, nailfold capillaries are normal. Diagnosing SSc at an early stage may be a particular challenge. In dcSSc, initial symptoms are often nonspe cific, Raynaud’s phenomenon may be absent, and physical examination may show only upper extremity edema and puffy fingers. Early-stage SSc might therefore occasionally be misdiagnosed as arthritis, SLE, myositis, or, most commonly, undifferentiated connective tissue disease leading to delays in diagnosis. Within weeks to months, Raynaud’s phenomenon and advancing skin induration appear. Detection of SSc specific autoantibodies provides a high degree of diagnostic certainty. Raynaud’s phenomenon with fingertip ulcerations or other evidence of digital ischemia, coupled with telangiectasia, distal esophageal dys motility, unexplained ILD or PAH, or accelerated hypertension with renal failure in the absence of clinically evident skin induration, suggests the diagnosis of SSc sine scleroderma. Patients with a new diagnosis of SSc should be screened for ILD, followed by regular pulmonary moni toring for several years (Fig. 372-15). MANAGEMENT OF SYSTEMIC SCLEROSIS </w:t>
      </w:r>
      <w:r w:rsidRPr="00A6019F">
        <w:rPr>
          <w:rFonts w:ascii="Arial" w:hAnsi="Arial" w:cs="Arial"/>
        </w:rPr>
        <w:t>■</w:t>
      </w:r>
      <w:r w:rsidRPr="00A6019F">
        <w:t xml:space="preserve">OVERVIEW: GENERAL PRINCIPLES To date, few therapies have been shown to significantly alter the natu ral history of SSc. In contrast, a variety of interventions are effective in alleviating symptoms, slowing progression of the cumulative organ damage, and reducing disability. Moreover, a significant decrease in disease-related mortality has been noted during the past 25 years. In light of the marked heterogeneity in disease manifestations, course, and outcomes, optimized care for patients with SSc requires a thought ful “precision medicine” approach that is tailored specifically to each individual patient’s unique needs. The following general principles should guide management of patients with SSc (Table 372-7): prompt and accurate diagnosis; disease subclas sification and risk stratification based on clinical, radiologic, and labo ratory evaluation, including autoantibody profiles and prognostic and predictive biomarkers; early recognition of organ-based complications and careful assessment of their extent, severity, and likelihood of deterio ration; regular monitoring for disease progression, new complications, New SSc diagnosis 2873 ILD screening PFT, HRCT No evidence of ILD Monitoring PFT every 6 months for 3–5 years Limited radiologic ILD Mild-moderate restriction (&gt;70% predicted) No High risk for ILD progression Extensive radiologic ILD Severe restrictive changes (FVC 6 years), the skin is usually soft and atrophic. Skin regression characteristically occurs in an order that is the reverse of initial involvement, with softening on the trunks followed by proximal and finally distal extremities; however, sclerodactyly and fixed finger contractures generally persist. Relapse or recurrence of </w:t>
      </w:r>
      <w:r w:rsidRPr="00A6019F">
        <w:lastRenderedPageBreak/>
        <w:t xml:space="preserve">skin thickening after peak skin involvement has been reached is uncommon. Patients with lcSSc follow a clinical course that is markedly different than that of dcSSc. Raynaud’s phenomenon typically precedes other disease manifestations by years or even decades, and visceral organ complica tions such as PAH generally develop late and progress slowly. PROGNOSIS SSc confers a substantial increase in the risk of premature death. Age- and gender-adjusted mortality rates are fivefold to eightfold higher compared to the general population, and more than half of all patients with SSc die from their disease. In one population-based study of SSc, the median survival was 11 years. In patients with dcSSc, 5- and 10-year survival rates are 70 and 55%, respectively, whereas in patients with lcSSc, 5- and 10-year survival rates are 90 and 75%, respectively. The prognosis correlates with the extent of skin involve ment, which itself is a surrogate for visceral organ involvement. Major causes of death are PAH, pulmonary fibrosis, GI involvement, and cardiac disease. Scleroderma renal crisis is associated with a 30% 3-year mortality. Lung cancer and excess cardiovascular deaths also contribute to increased mortality. Markers of poor prognosis include male gender, African ancestry, older age at disease onset, extensive skin thickening with truncal involvement, palpable tendon friction rubs, and evidence of significant or progressive visceral organ involve ment. Laboratory predictors of increased mortality at initial evaluation include an elevated ESR, anemia, proteinuria, and anti–topoisomerase I antibodies. In one study, SSc patients with extensive skin involve ment, lung vital capacity 70% 3-year survival at the present time. Moreover, 10-year survival in SSc has improved from 66–78% in the 1990s, a trend that reflects both earlier detection and better management of complications. CHAPTER 372 Systemic Sclerosis (Scleroderma) and Related Disorders LOCALIZED SCLERODERMA The term scleroderma describes a group of localized skin disorders (Table 372-1). These occur more commonly in children than in adults and, in marked contrast to SSc, are generally not complicated by Rayn aud’s phenomenon or significant internal organ involvement. Morphea presents as solitary or multiple circular patches of thick skin or, rarely, as widespread induration (generalized or pansclerotic morphea); the fingers are generally spared. Linear scleroderma may affect subcutane ous tissues, leading to fibrosis and atrophy of supporting structures, tendons, muscle, and even bone. In children, the growth of affected long bones can be slowed. When linear scleroderma crosses large joints, significant contractures can develop. MIXED CONNECTIVE TISSUE DISEASE Patients who have lcSSc coexisting with features of SLE, polymyositis, and rheumatoid arthritis may have mixed connective tissue disease (MCTD), generally associated with high titers of autoantibodies to U1-RNP. The characteristic initial presentation is Raynaud’s phenom enon associated with puffy fingers and myalgia. Over time, sclerodac tyly, soft tissue calcinosis, and cutaneous telangiectasia may appear. Skin rash suggestive of SLE (malar erythema, photosensitivity) or 2876 PART 11 Immune-Mediated, Inflammatory, and Rheumatologic Disorders dermatomyositis (heliotrope rash on the eyelids, erythematous rash on knuckles) may occur. Arthralgia is common, and some patients </w:t>
      </w:r>
      <w:r w:rsidRPr="00A6019F">
        <w:lastRenderedPageBreak/>
        <w:t xml:space="preserve">develop erosive polyarthritis. Pulmonary fibrosis and isolated or sec ondary PAH may develop. Other manifestations include esophageal dysmotility, pericarditis, Sjögren’s syndrome, and renal disease, espe cially membranous glomerulonephritis. Laboratory evaluation shows elevated ESR and hypergammaglobulinemia. In contrast to SSc, MCTD often responds to glucocorticoids, and the long-term prognosis is bet ter than that of SSc. Whether MCTD is truly a distinct entity or is a subset of SLE or SSc remains controversial. EOSINOPHILIC FASCIITIS (DIFFUSE FASCIITIS WITH EOSINOPHILIA) Eosinophilic fasciitis is a rare idiopathic disorder of adults associated with abrupt skin induration. The skin characteristically shows a coarse cobblestone “peau d’orange” appearance. In contrast to SSc, Raynaud’s phenomenon and SSc-associated internal organ involvement and autoantibodies are absent. Furthermore, skin involvement spares the fingers. Full-thickness biopsy of the lesional skin reveals fibrosis of the subcutaneous fascia, with variable inflammation and eosinophil infil tration. In the acute phase of the illness, peripheral blood eosinophilia may be prominent. MRI appears to be a sensitive tool for the diagnosis of eosinophilic fasciitis. Eosinophilic fasciitis can occur in association with, or preceding, various myelodysplastic syndromes or multiple myeloma. Although glucocorticoids cause prompt resolution of eosin ophilia, the skin shows slow and variable improvement. The prognosis of patients with eosinophilic fasciitis is generally good. </w:t>
      </w:r>
      <w:r w:rsidRPr="00A6019F">
        <w:rPr>
          <w:rFonts w:ascii="Arial" w:hAnsi="Arial" w:cs="Arial"/>
        </w:rPr>
        <w:t>■</w:t>
      </w:r>
      <w:r w:rsidRPr="00A6019F">
        <w:t xml:space="preserve">FURTHER READING Allanore Y et al: Systemic sclerosis. Nat Rev Dis Primers 1:15002, 2015. Herzog EL et al: Interstitial lung disease associated with systemic sclerosis and idiopathic pulmonary fibrosis: How similar or distinct? Arthritis Rheum 66:1967, 2014. Joseph CG et al: Association of the autoimmune disease scleroderma with an immunologic response to cancer. Science 343:152, 2014. Martyanov V, Whitfield ML: Molecular stratification and precision medicine in systemic sclerosis from genomic and proteomic data. Curr Opin Rheumatol 28:83, 2016. Tashkin DP et al: Mycophenolate mofetil versus oral cyclophospha mide in scleroderma-related interstitial lung disease (SLS II): A ran domised controlled, double-blind, parallel group trial. Lancet Respir Med 4:708, 2016. 373 Sjögren’s Disease Haralampos M. Moutsopoulos, Clio P. Mavragani </w:t>
      </w:r>
      <w:r w:rsidRPr="00A6019F">
        <w:rPr>
          <w:rFonts w:ascii="Arial" w:hAnsi="Arial" w:cs="Arial"/>
        </w:rPr>
        <w:t>■</w:t>
      </w:r>
      <w:r w:rsidRPr="00A6019F">
        <w:t>DEFINITION, INCIDENCE, AND PREVALENCE Sj</w:t>
      </w:r>
      <w:r w:rsidRPr="00A6019F">
        <w:rPr>
          <w:rFonts w:ascii="Aptos" w:hAnsi="Aptos" w:cs="Aptos"/>
        </w:rPr>
        <w:t>ö</w:t>
      </w:r>
      <w:r w:rsidRPr="00A6019F">
        <w:t>gren</w:t>
      </w:r>
      <w:r w:rsidRPr="00A6019F">
        <w:rPr>
          <w:rFonts w:ascii="Aptos" w:hAnsi="Aptos" w:cs="Aptos"/>
        </w:rPr>
        <w:t>’</w:t>
      </w:r>
      <w:r w:rsidRPr="00A6019F">
        <w:t xml:space="preserve">s disease is a prototype autoimmune disease characterized by lymphocytic infiltration of the exocrine glands resulting in xerostomia, dry eyes (keratoconjunctivitis sicca), and profound B-cell hyperactivity. The disease has unique features since it presents with a wide clinical spectrum from organ-specific to systemic disease; can occur alone or in association with other systemic rheumatic diseases, more com monly rheumatoid arthritis, limited scleroderma, and systemic lupus erythematosus; and displays high probability of the development of lymphoma. Because of all these characteristics, it is an ideal model to study not only autoimmunity but also lymphoid malignancy. Middle-aged women (female-to-male ratio 10–20:1) are primarily affected, although Sjögren’s disease may occur at any age, including childhood. Patients with earlier disease onset express a more aggres sive disease phenotype manifested by a high occurrence of systemic manifestations and serum </w:t>
      </w:r>
      <w:r w:rsidRPr="00A6019F">
        <w:lastRenderedPageBreak/>
        <w:t xml:space="preserve">autoantibodies. The prevalence of Sjögren’s disease is ~0.5–1%, while 5–20% of patients with other autoimmune diseases can express sicca manifestations. </w:t>
      </w:r>
      <w:r w:rsidRPr="00A6019F">
        <w:rPr>
          <w:rFonts w:ascii="Arial" w:hAnsi="Arial" w:cs="Arial"/>
        </w:rPr>
        <w:t>■</w:t>
      </w:r>
      <w:r w:rsidRPr="00A6019F">
        <w:t>PATHOGENESIS The autoimmune phenomena observed in Sj</w:t>
      </w:r>
      <w:r w:rsidRPr="00A6019F">
        <w:rPr>
          <w:rFonts w:ascii="Aptos" w:hAnsi="Aptos" w:cs="Aptos"/>
        </w:rPr>
        <w:t>ö</w:t>
      </w:r>
      <w:r w:rsidRPr="00A6019F">
        <w:t>gren</w:t>
      </w:r>
      <w:r w:rsidRPr="00A6019F">
        <w:rPr>
          <w:rFonts w:ascii="Aptos" w:hAnsi="Aptos" w:cs="Aptos"/>
        </w:rPr>
        <w:t>’</w:t>
      </w:r>
      <w:r w:rsidRPr="00A6019F">
        <w:t xml:space="preserve">s disease include lymphocytic infiltration of the exocrine glands (primarily salivary and lachrymal glands) and B lymphocyte hyperreactivity. The latter is mainly manifested by hypergammaglobulinemia and the pres ence of serum autoantibodies toward non-organ-specific antigens such as immunoglobulins (rheumatoid factors) and extractable cel lular antigens (Ro52, Ro60, and La). The major infiltrating cells in the affected exocrine glands are activated T lymphocytes. In labial minor salivary gland tissues with extensive lymphocytic infiltrations, B-cell populations prevail. Other cellular subsets detected in the labial minor salivary gland histopathologic lesion of Sjogren’s disease include follicular, myeloid, and plasmacytoid dendritic cells, as well as macrophages. The latter along with inflammasome activation have been shown to be associated with increased risk for lymphoma development. The interplay of endogenous (e.g., intracellular stress, inappropriate overexpression of endogenous nucleic acids) and exogenous triggers (e.g., viruses, hormonal triggers, stressful life events) in a background of a genetically determined hyperactive immune response seems to be crucial for the initiation and perpetuation of the disease. Ductal and acinar epithelial cells appear to play a significant role in the initiation and perpetuation of autoimmune injury. These cells (1) express inap propriately costimulatory molecules and the intracellular autoantigens Ro and La on their cell surfaces, acquiring the capacity to provide sig nals essential for lymphocytic activation; (2) produce proinflammatory cytokines and lymphocyte-attracting chemokines necessary for sus taining the autoimmune lesion and allowing the formation of ectopic germinal centers; (3) express functional receptors of innate immunity, particularly Toll-like receptors (TLRs) 3, 7, and 9 molecules, which may account for the initiation of the autoimmune reactivity; and (4) display immunoregulatory molecules such as ICAM and CD40. Glan dular epithelial cells also seem to have an active role in the production of B cell–activating factor (BAFF), which is induced after stimulation with type I and II interferons. Circulating BAFF has been found to be elevated also in the serum of Sjögren’s disease patients, especially those with hypergammaglobulinemia and serum autoantibodies, and prob ably accounts for the antiapoptotic effect on B lymphocytes. In contrast to B and T lymphocytes, glandular epithelial cells dis play increased rates of apoptotic death. Established risk genetic loci implicated in Sjögren’s disease include the human leukocyte antigen DQA1*0501 allele, variations involved in the interferon/BAFF axis (IRF5, STAT4, BAFF) and B-cell function (EBF1, BLK), as well as com bined genetic deficiencies in the classical complement pathway. CLINICAL MANIFESTATIONS Most patients with Sjögren’s disease have symptoms related to impaired exocrine gland, particularly lacrimal and salivary gland, function. The disease evolution is slow and, in the majority of patients, runs a benign course. Studies have shown that prior to disease onset, patients with Sjögren’s disease experience major stressful life events with which </w:t>
      </w:r>
      <w:r w:rsidRPr="00A6019F">
        <w:lastRenderedPageBreak/>
        <w:t xml:space="preserve">they cannot cope adequately. The principal oral symptom of Sjögren’s disease is dryness (xero stomia). Patients report difficulty in swallowing dry food, a burning mouth sensation, an increase in dental caries, and problems in wearing complete dentures. Physical examination shows a dry, erythematous sticky oral mucosa. In patients with severe oral dryness, the filiform papillae on the tongue dorsum are atrophic, and the tongue is deeply fissured (Fig. 373-1). Furthermore, saliva from the major glands is either not expressible or cloudy. Intermittent or persistent enlargement of the parotid or other major salivary glands occurs in two-thirds of patients with Sjögren’s disease. Diagnostic tests include sialometry and several imaging techniques, including ultrasound, magnetic resonance 2877 FIGURE 373-1 A dry deeply fissured tongue from a patient with Sjögren’s disease. imaging (MRI), and magnetic resonance sialography of the major salivary glands. In particular, salivary gland ultrasound is an emerg ing tool of both diagnostic and prognostic utility. Biopsy of the labial minor salivary gland allows histopathologic confirmation of focal lymphocytic infiltrates. Ocular involvement is the other major manifestation of Sjögren’s disease. Patients usually report a sandy or gritty feeling under the eye lids. Other ocular symptoms include burning, accumulation of secre tions in thick strands at the inner canthi, decreased tearing, redness, itching, eye fatigue, and increased photosensitivity. These symptoms are attributed to the destruction of corneal and bulbar conjunctival epithelium, a pathology termed keratoconjunctivitis sicca. Diagnostic evaluation of keratoconjunctivitis sicca includes measurement of tear flow by Schirmer’s I test, determination of tear composition by tear breakup time or tear lysozyme content, and slit-lamp examination of the cornea and conjunctiva after lissamine green or Rose Bengal stain ing that reveals punctuate corneal and bulbar conjunctival ulcerations and attached filaments. Involvement of other exocrine glands, which occurs less frequently, includes a decrease in mucous gland secretions of the upper and lower respiratory tree, resulting in dry nose, throat, and trachea (xerotra chea). In addition, diminished secretion of the exocrine glands of the gastrointestinal tract leads to esophageal mucosal dysmotility and atro phic gastritis. Dyspareunia, in premenopausal women, due to dryness of the external genitalia and dry skin also may occur. Extraglandular (systemic) manifestations are seen in one-third of patients with Sjögren’s disease (Table 373-1) and can be classified as follows: nonspecific, periepithelial (surrounding of epithelial tissues by lymphocytes), immune complex–mediated, and lymphoma. Nonspecific manifestations include fatigability, low-grade fever, Raynaud’s phe nomenon, myalgias, arthralgias, and arthritis. Arthritis in patients with primary Sjögren’s disease is nonerosive. Periepithelial pathology due to periepithelial accumulation of lymphocytes results from the involvement of parenchymal organs such as the lungs, kidneys, and liver. On the basis of this observation, one of the authors (H.M.M.) has coined the term autoimmune epithelitis. Lung involvement is usually manifested with dry cough and rarely with dyspnea. The underlying lung pathology includes peribronchial infiltrates (bronchitis sicca) and interstitial pneumonitis. Renal involvement includes interstitial </w:t>
      </w:r>
      <w:r w:rsidRPr="00A6019F">
        <w:lastRenderedPageBreak/>
        <w:t xml:space="preserve">TABLE 373-1 Prevalence of Extraglandular Manifestations in Primary Sjögren’s disease CLINICAL MANIFESTATION PERCENT REMARKS Nonspecific Fatigability/myalgias Arthralgias/arthritis Raynaud’s phenomenon 25 60 37 Fibromyalgia Usually nonerosive, leading to Jaccoud’s arthropathy In one-third of patients, precedes sicca manifestations Periepithelial Lung involvement Kidney involvement Liver involvement 14 9 6 Immune complex–mediated Small vessel vasculitis Peripheral neuropathy Glomerulonephritis Lymphoma Lymphoma 9 2 2 6 aMucosa-associated lymphoid tissue. Small airway disease/lymphocyte interstitial pneumonitis Interstitial kidney disease is usually asymptomatic Primary biliary cirrhosis stage I Purpura, urticarial lesions Polyneuropathy, either sensory or sensorimotor Membranoproliferative Glandular MALTa lymphoma is most common nephritis, clinically manifested by hyposthenuria and renal tubular dysfunction with or without acidosis. Untreated acidosis may lead to nephrocalcinosis. Immune complex–mediated disease is expressed with vasculitis affecting primarily small-sized vessels, mainly manifested with purpura and rarely with urticarial rash, skin ulcerations, mono neuritis multiplex, and membranoproliferative glomerulonephritis associated with mixed type II or III cryoglobulinemia. Central nervous system involvement is rarely recognized. A few cases of myelitis associ ated with antibodies to aquaporin 4 have been described. Sjögren’s disease is characterized by the highest risk for lymphoma development among all autoimmune diseases with clinical, labora tory, and histopathologic features being designated as risk factors (Fig. 373-2). Despite that the pathogenesis of lymphoma in the set ting of Sjögren’s disease remains to be elucidated, genetic alterations involved in chronic inflammatory, B-cell activation, and the type I and II interferon pathways, as well as epigenetic abnormalities, have been shown to be significant contributors. Of interest, B cells producing cryoglobulins were shown to harbor mutations in genes recurrently mutated in B-cell malignancies. Most lymphomas are extranodal, low-grade, marginal zone B-cell lymphomas and are usually detected incidentally during evaluation of the labial minor salivary gland biopsy. The affected lymph nodes are usually peripheral. Survival rates are decreased in patients with B symptoms, lymph node mass &gt;7 cm in diameter, and high or intermediate histologic grade. Fluorodeoxyglu cose positron emission tomography (FDG-PET)/computed tomogra phy (CT) can be a useful tool to exclude lymphoma when suspected. In line with observations in rheumatoid arthritis and systemic lupus erythematosus, patients with Sjögren’s disease also display an increased risk of cardiovascular disease. Routine laboratory tests in Sjögren’s disease can reveal leukopenia and infrequently lymphopenia. In two-thirds of patients, elevated erythrocyte sedimentation rate, hypergammaglobulinemia, antinuclear antibodies, rheumatoid factors, and antibodies against Ro52/Ro60 and La autoantigens are detected. Anticentromere autoantibodies are pres ent in Sjögren’s patients with a clinical picture similar to that of limited scleroderma (Chap. 372), while the presence of antimitochondrial antibodies may connote liver involvement in the form of autoim mune cholangitis (Chap. 357). Autoantibodies to 21-hydroxylase are found in patients with a </w:t>
      </w:r>
      <w:r w:rsidRPr="00A6019F">
        <w:lastRenderedPageBreak/>
        <w:t xml:space="preserve">blunted adrenal response, while autoan tibodies to citrullinated peptides are seen in Sjögren’s patients with CHAPTER 373 Sjögren’s Disease 2878 Hematologic/Serologic Leukopenia Autoantibodies PART 11 Immune-Mediated, Inflammatory, and Rheumatologic Disorders (Rheumatoid factor, against Ro/SSA and La/SSB autoantigens) Low C4 complement levels Monoclonal gammopathy Cryoglobulins Clinical Parotid gland enlargement Severe tongue atrophy Palpable purpura FIGURE 373-2 Sjögren’s disease risk factors for lymphoma development. Lymphoma related to Sjögren’s disease arthritis. Anticalponin-3 antibodies have been recently associated with the occurrence of peripheral neuropathies. </w:t>
      </w:r>
      <w:r w:rsidRPr="00A6019F">
        <w:rPr>
          <w:rFonts w:ascii="Arial" w:hAnsi="Arial" w:cs="Arial"/>
        </w:rPr>
        <w:t>■</w:t>
      </w:r>
      <w:r w:rsidRPr="00A6019F">
        <w:t>DIAGNOSIS AND DIFFERENTIAL DIAGNOSIS Sj</w:t>
      </w:r>
      <w:r w:rsidRPr="00A6019F">
        <w:rPr>
          <w:rFonts w:ascii="Aptos" w:hAnsi="Aptos" w:cs="Aptos"/>
        </w:rPr>
        <w:t>ö</w:t>
      </w:r>
      <w:r w:rsidRPr="00A6019F">
        <w:t>gren</w:t>
      </w:r>
      <w:r w:rsidRPr="00A6019F">
        <w:rPr>
          <w:rFonts w:ascii="Aptos" w:hAnsi="Aptos" w:cs="Aptos"/>
        </w:rPr>
        <w:t>’</w:t>
      </w:r>
      <w:r w:rsidRPr="00A6019F">
        <w:t>s disease should be suspected if a patient presents with eye and/or mouth dryness, major salivary gland enlargement, or systemic manifestations such as Raynaud</w:t>
      </w:r>
      <w:r w:rsidRPr="00A6019F">
        <w:rPr>
          <w:rFonts w:ascii="Aptos" w:hAnsi="Aptos" w:cs="Aptos"/>
        </w:rPr>
        <w:t>’</w:t>
      </w:r>
      <w:r w:rsidRPr="00A6019F">
        <w:t>s phenomenon, palpable purpura, or symptomatology of renal tubular acidosis. A careful history of medica tions causing dryness should be obtained. Recently, cases of Sj</w:t>
      </w:r>
      <w:r w:rsidRPr="00A6019F">
        <w:rPr>
          <w:rFonts w:ascii="Aptos" w:hAnsi="Aptos" w:cs="Aptos"/>
        </w:rPr>
        <w:t>ö</w:t>
      </w:r>
      <w:r w:rsidRPr="00A6019F">
        <w:t>gren</w:t>
      </w:r>
      <w:r w:rsidRPr="00A6019F">
        <w:rPr>
          <w:rFonts w:ascii="Aptos" w:hAnsi="Aptos" w:cs="Aptos"/>
        </w:rPr>
        <w:t>’</w:t>
      </w:r>
      <w:r w:rsidRPr="00A6019F">
        <w:t xml:space="preserve">s disease were triggered by PD-1/PD-L1 checkpoint inhibitors. The workup should include eye tests that might reveal keratocon junctivitis sicca, salivary flow tests or ultrasonography, and serum Histopathologic (salivary gland tissues) Germinal center formation Heavy focal lymphocytic infiltrates evaluation for specific autoantibodies. Testing for chronic viral infec tions (hepatitis C virus, HIV), chest x-ray to rule out sarcoidosis, protein electrophoresis, IgG4 serum levels, and autoantibodies to thyroid antigens can be also offered. Labial biopsy is valuable to rule out conditions that may cause dry mouth, dry eyes, or parotid gland enlargement (Tables 373-2 and 373-3). A diagnostic algorithm based on recent classification criteria (2016 American College of Rheumatology European League Against Rheumatism [EULAR] Classification Crite ria) is presented in Fig. 373-3. TREATMENT Sjögren’s Disease TABLE 373-2 Differential Diagnosis of Sicca Symptoms XEROSTOMIA Viral infections (HCV, HIV) Drugs Psychotherapeutic Parasympatholytic Antihypertensive Psychogenic origin Irradiation Diabetes mellitus Trauma Sjögren’s disease Amyloidosis Autoimmune thyroid disease DRY EYE BILATERAL PAROTID GLAND ENLARGEMENT Inflammation Stevens-Johnson syndrome Pemphigoid Chronic conjunctivitis Chronic blepharitis Sjögren’s Disease Toxicity Burns Drugs Neurologic conditions Impaired lacrimal gland function Impaired eyelid function Miscellaneous Trauma Hypovitaminosis A Blink abnormality Anesthetic cornea Lid scarring Epithelial irregularity Autoimmune thyroid disease Abbreviation: HCV, hepatitis C virus. Viral infections Mumps Influenza Epstein-Barr virus Coxsackievirus A Cytomegalovirus HIV, HCV Sarcoidosis, tuberculosis IgG4-related disease Sjögren’s disease Metabolic disorders Diabetes mellitus Hyperlipoproteinemias (types IV and V) Chronic pancreatitis Hepatic cirrhosis Endocrine Acromegaly Gonadal hypofunction Eosinophilic sialodochitis Lymphoma Treatment of Sjögren’s disease aims to relieve symptoms and limit the damage from chronic xerostomia and keratoconjunctivitis sicca through substitution or stimulation of impaired secretions. To replace deficient tears, several ophthalmic preparations are readily available (hydroxypropyl methylcellulose; </w:t>
      </w:r>
      <w:r w:rsidRPr="00A6019F">
        <w:lastRenderedPageBreak/>
        <w:t xml:space="preserve">polyvinyl alcohol; 0.5% methylcellulose; Hypo Tears). If corneal ulcerations are present, eye patching and boric acid ointments are recommended, as well as cyclosporine eye drops. Certain drugs that may decrease lacrimal and salivary secretions, such as diuretics, antihypertensive drugs, anticholinergics, and antidepressants, should be avoided. For xerostomia, the best replacement is water. Propionic acid gels may be used to treat vaginal dryness. To stimulate secretions, orally administered pilocarpine (5 mg thrice daily) or cevimeline (30 mg TABLE 373-3 Differential Diagnosis of Sjögren’s disease HIV INFECTION AND SICCA SYNDROME Predominant in young males Lack of autoantibodies to Ro and/or La Lymphoid infiltrates of salivary glands by CD8+ T lymphocytes Association with HLA-DR5 Positive serologic tests for HIV SJÖGREN’S DISEASE Predominant in middle aged women Presence of autoantibodies Lymphoid infiltrates of salivary glands by CD4+ T lymphocytes Association with HLA-DR3 and DRw52 Negative serologic tests for HIV SARCOIDOSIS No age or sex preference Lack of autoantibodies to Ro and/or La Granulomas in salivary glands Unknown Negative serologic tests for HIV 2879 Dry eyes and/or dry mouth1 And/or Major salivary gland enlargement, fatigue, Raynaud’s phenomenon, arthralgias/arthritis (particularly small hand joints), palpable purpura/urticarial lesions, renal tubular acidosis/membranoproliferative glomerulonephritis, ILD/small airways disease, autoimmune cholangitis, peripheral neuropathy, MS-like lesions Unstimulated whole saliva flow rate ≤0.1 mL/min Schirmer’s test ≤5 mm/5 min on at least one eye If any of those present Ocular staining score ≥5 (or van Bijsterveld’s score ≥4) on at least one eye2 + Sjögren’s disease + Serum antibodies against Ro antigen + Minor salivary gland biopsy3 If any of those present Exclude History of head and neck radiation treatment Active hepatitis C infection Acquired immunodeficiency syndrome Sarcoidosis Amyloidosis Graft-versus-host disease IgG4-related disease FIGURE 373-3 Diagnostic algorithm for Sjögren’s disease. 1Defined as a positive response to at least one of the following questions: (a) Have you had daily, persistent, troublesome dry eyes for more than 3 months? (b) Do you have a recurrent sensation of sand or gravel in the eyes? (c) Do you use tear substitutes more than three times a day? (d) Have you had a daily feeling of dry mouth for more than 3 months? (e) Do you frequently drink liquids to aid in swallowing dry food? 2Ocular staining score described in Whitcher et al. van Bijsterveld score described in van Bijsterveld et al. 3Focus score count ≥1 (based on the number of foci per 4 mm2 of salivary gland tissue) following a protocol described in Daniels et al. ILD, interstitial lung disease; MS, multiple sclerosis. thrice daily) appears to improve sicca manifestations, and both are well tolerated. Hydroxychloroquine (200 to 400 mg daily) and/or methotrexate (0.2–0.3 mg/kg body weight/weekly) are helpful for arthralgias and mild arthritis. Patients with renal tubular acidosis should receive sodium bicar bonate by mouth (0.5–2 mmol/kg in four divided doses). Gluco corticoids and monoclonal antibody to CD20 (rituximab) appear to be effective in patients with systemic disease, particularly in those with purpura and persistent arthritis. Novel monoclonal antibodies targeting the CD40L/CD40 costimulatory pathway or the BAFF </w:t>
      </w:r>
      <w:r w:rsidRPr="00A6019F">
        <w:lastRenderedPageBreak/>
        <w:t xml:space="preserve">receptor or sequential treatment of belimumab and rituximab seem to be promising therapeutic strategies. Data for a beneficial role of other conventional immunosuppressants are limited. Treatment of lymphoma in the setting of Sjögren’s disease follows the general guidelines for lymphoma management in the general population. Detailed recommendations on Sjögren’s disease management have been issued by EULAR and British Society of Rheumatology. </w:t>
      </w:r>
      <w:r w:rsidRPr="00A6019F">
        <w:rPr>
          <w:rFonts w:ascii="Arial" w:hAnsi="Arial" w:cs="Arial"/>
        </w:rPr>
        <w:t>■</w:t>
      </w:r>
      <w:r w:rsidRPr="00A6019F">
        <w:t xml:space="preserve">FURTHER READING Daniels TE et al: Associations between salivary gland histopathologic diagnoses and phenotypic features of Sjögren’s syndrome among 1,726 registry participants. Arthritis Rheum 63:2021, 2011. Fragkioudaki S et al: Predicting the risk for lymphoma develop ment in Sjogren syndrome: An easy tool for clinical use. Medicine (Baltimore) 95:e3766, 2016. Mavragani CP, Moutsopoulos HM: Sjögren’s syndrome. CMAJ 186:579, 2014. Mavragani CP, Moutsopoulos HM: Sjogren’s syndrome: Old and new therapeutic targets. J Autoimmun 110:102364, 2020. Moutsopoulos HM: Sjögren’s syndrome: A forty-year scientific jour ney. J Autoimmun 51:1, 2014. Nocturne G, Mariette X: Expert perspective: Challenges in Sjögren’s disease. Arthritis Rheumatol 75:2078, 2023. Price EJ et al: British Society for Rheumatology guideline on man agement of adult and juvenile onset Sjögren disease. Rheumatology (Oxford)16:keae152, 2024. Shiboski CH et al: 2016 American College of Rheumatology/European League Against Rheumatism Classification Criteria for Primary Sjögren’s Syndrome: A consensus and data-driven methodology involving three international patient cohorts. Arthritis Rheumatol 69:35, 2017. van Bijsterveld OP: Diagnostic tests in the Sicca syndrome. Arch Ophthalmol 82:10, 1969. Whitcher JP et al: A simplified quantitative method for assessing keratoconjunctivitis sicca from the Sjögren’s Syndrome International Registry. Am J Ophthalmol 149:405, 2010. Spondyloarthritis 374 Atul Deodhar, Dirk Elewaut Spondyloarthritis (SpA) refers to a family of immune-mediated inflammatory arthritis disorders that share many clinical, genetic, and pathologic characteristics. Moll and Wright are credited in recogniz ing these diseases in 1974 as distinct from rheumatoid arthritis (RA), a well-recognized inflammatory arthritis at that time. While axial skeletal involvement is hinted at in the word “spondyloarthritis,” it is not mandatory. The musculoskeletal manifestations of SpA include sacroiliitis, inflammatory spinal lesions, peripheral inflammatory arthritis, enthesitis (inflammation at the attachment of tendons and ligaments to the bones), tendonitis, tenosynovitis, and dactylitis (“sau sage digits”). Other clinical manifestations include uveitis, skin pso riasis, inflammatory bowel disease (IBD, Crohn’s, or ulcerative colitis), absence of rheumatoid factor (RF) and nodules (to differentiate from RA), familial correlation, and association with the gene human leuko cyte antigen (HLA)-B27. The 2009 Assessment of Spondyloarthritis International Society (ASAS) classification criteria divided SpA under “axial” (axSpA) and “peripheral” (pSpA). “Peripheral” SpA may seem a misnomer, but it simply indicates that peripheral musculoskeletal CHAPTER 374 Spondyloarthritis 2880 TABLE 374-1 Spectrum of Spondyloarthritis AXIAL SPONDYLOARTHRITIS (axSpA) PART 11 Immune-Mediated, Inflammatory, and Rheumatologic Disorders CONDITION Radiographic </w:t>
      </w:r>
      <w:r w:rsidRPr="00A6019F">
        <w:lastRenderedPageBreak/>
        <w:t xml:space="preserve">axSpA (r-axSpA, also called ankylosing spondylitis [AS]) Nonradiographic axSpA (nr-axSpA) CLINICAL FEATURES Sacroiliitis grade 2 (bilateral), grade 3 or 4 (unilateral or bilateral) Sacroiliitis grade 1 (unilateral or bilateral) or grade 2 (unilateral) SPONDYLOARTHRITIS (SPA) PERIPHERAL SPONDYLOARTHRITIS (pSpA) CONDITION Conditions commonly included under pSpA Psoriatic arthritis Inflammatory bowel disease–associated arthritis Reactive arthritis Undifferentiated peripheral SpA Conditions sometimes included under pSpA SAPHO syndrome Acne-associated arthritis Hidradenitis suppurativa–associated arthritis manifestations are predominant and more troublesome to the patient than the spinal involvement. AxSpA is further divided into radiographic (r-axSpA, also known as ankylosing spondylitis [AS]), and nonradiographic (nr-axSpA). The conditions included under pSpA are psoriatic arthritis (PsA), reactive arthritis (ReA), arthritis associated with IBD, and undifferentiated SpA, where patients cannot be classified under any known categories. Patients with axSpA can have peripheral musculoskeletal manifes tations, and patients with pSpA may have additional axial skeletal involvement at presentation or may develop it later in the course of their disease. Other conditions sometimes included under pSpA are SAPHO (synovitis, acne, pustulosis, hyperostosis, and osteitis) syn drome, acne-associated arthritis, and arthritis associated with hidrad enitis suppurativa. Table 374-1 shows the full spectrum of conditions included under “spondyloarthritis.” Pattern recognition is important for the diagnosis of SpA. Typical patterns include asymmetric, mono- or oligoarticular (four or less joints) inflammatory arthritis of large joints in the lower limb (usu ally knee), with enthesitis, tendonitis, and dactylitis. This contrasts with RA, where polyarticular symmetric involvement of metacarpo phalangeal (MCP)/proximal interphalangeal (PIP) joints predomi nates. The cumulative prevalence of all conditions under SpA is 2–3% of the population, much more common than RA. CLINICAL FEATURES Skin psoriasis and nail involvement usually preceding arthritis, enthesitis, dactylitis Crohn’s disease or ulcerative colitis with inflammatory arthritis Urethritis, history of preceding infection with Salmonella, Shigella, Yersinia, Campylobacter, and Chlamydia, mucosal ulcers, conjunctivitis, keratoderma blennorrhagica Enthesitis, dactylitis, family history of SpA, HLA-B27, acute anterior uveitis, and not fitting in any of the other conditions mentioned above Synovitis, acne, pustulosis, hyperostosis, and osteitis; typical involvement of anterior chest wall joints Acne conglobata, peripheral arthritis Hidradenitis suppurativa, peripheral arthritis, rarely asymmetric sacroiliitis features represent disease under treatment, which inevitably impacts histopathology. Obtaining synovial tissue from an array of joints such as knees, wrists, and small joints in fingers has become much more readily accessible through ultrasound-guided synovial tissue biopsy, which permits study of synovial tissue alterations in an early treatment-naïve stage. PATHOGENESIS OF SPONDYLOARTHRITIS Although the exact mechanisms that initiate the disease are not fully delineated, genetic and environmental risk factors and molecular and cellular alterations at key disease sites have been implicated in the pathophysiology of SpA (Fig. 374-1). At these sites, which </w:t>
      </w:r>
      <w:r w:rsidRPr="00A6019F">
        <w:lastRenderedPageBreak/>
        <w:t xml:space="preserve">include the axial and peripheral joints, entheses, skin, and gut, variation is seen in the disease mechanisms and perturbations of the key cytokine path ways. These tissue-based variations are most likely associated with the dissimilar clinical responses observed between the spine, peripheral joints, and gut during treatment with cytokine inhibitors. </w:t>
      </w:r>
      <w:r w:rsidRPr="00A6019F">
        <w:rPr>
          <w:rFonts w:ascii="Arial" w:hAnsi="Arial" w:cs="Arial"/>
        </w:rPr>
        <w:t>■</w:t>
      </w:r>
      <w:r w:rsidRPr="00A6019F">
        <w:t xml:space="preserve">GENETIC ASSOCIATIONS IN AXIAL SPONDYLOARTHRITIS AND OTHER SPONDYLOARTHRITIS: HLA-B27 AND BEYOND PATHOLOGY OF SPONDYLOARTHRITIS SpA is a prototypic chronic immune-mediated inflammatory disease that couples inflammation to structural damage. A unique feature of SpA is that inflammation-induced bone loss coexists with pathologic new bone formation, which occurs at specific sites in the skeleton. These sites include not only the sacroiliac joint but also the anterior spinal ligaments or at entheses in the peripheral skeleton. If uncon trolled, axSpA may ultimately lead to a complete ankylosis of the sacroiliac joints and the spine, termed “bamboo spine.” With increas ing awareness of SpA resulting from early diagnosis and treatment, there has been a steady decrease in the amount of structural damage observed over the past decades with a gradual shift of higher preva lence from r-AxSpA to nr-AxSpA. While histopathologic studies have led to an increased under standing of local inflammatory and structural changes, the acces sibility to target tissue particularly in the axial skeleton and tendons/ entheses has been hampered by technical issues. Most of the informa tion to date comes from surgically derived specimens from patients with longstanding disease. Accordingly, many of the described HLA-B27 is a major histocompatibility complex (MHC) class I allele that forms the strongest genetic risk factor for SpA and specifically axSpA. MHC class I molecules are expressed on the surface of nucle ate cells and can present peptides to CD8+ T cells. HLA-B27 is present in 85–90% of the patients with r-axSpA and 50–90% in nr-axSpA, in contrast to about 5% of the healthy Caucasian population. Besides HLA-B27, other MHC class I genes and non-MHC coding genes have been identified in large genome-wide association stud ies (GWAS) in axSpA. Within the group of non-MHC coding genes, genes linked to innate immune processes, interleukin (IL)-23/IL-17 immunity, joint and bone remodeling, epithelial function, and antigen presentation are seen, which are processes relevant in the immuno pathogenesis of axSpA. Whether all of these represent independent risk factors is still not clear, although some appear to be interconnected. For example, genetic epistatic interaction has been suggested between ERAP1, a peptide-trimming enzyme, of which single nucleotide poly morphisms (SNPs) are associated with AS and HLA-B27. How HLA B27 fosters development of SpA remains unclear despite the discovery of this strong genetic association 50 years ago. At present, several theories exist with limitations to each of them. The “arthritogenic peptide” theory proposes that HLA-B27 pres ents pathological microbial peptides to CD8+ cytotoxic T cells that Genetic predisposition Mechanical strain Barrier integrity loss 2881 e.g., HLA-B27 Urogenital system iNKT MAIT Th17 Tc17 γδT ILC3 IL-17 Axial SpA Fibroblast T17 Mø Neutrophil Anti-TNF JAKi Anti-IL-17 Gut Gut Urogenital system Joint Skin ILC3 MAIT γδT γδT DC Anti-IL-23 Skin Joint Disease domains IBD Fibroblast PsA </w:t>
      </w:r>
      <w:r w:rsidRPr="00A6019F">
        <w:lastRenderedPageBreak/>
        <w:t xml:space="preserve">Fibroblast T17 ILC3 Mø Neutrophil Mø ILC3 T17 Neutrophil γδT Anti-TNF JAKi Anti TNF JAKi Anti IL-17 Anti IL-23 Anti IL-23 Neutrophil Mø T cell TNF-α PsO Fibroblast T17 γδT Neutrophil Mø Anti-TNF Anti IL-17 JAKi FIGURE 374-1 Pathogenesis and signature cytokines across different disease domains in spondyloarthritis (SpA). In genetically predisposed individuals, SpA may arise from mechanical stress, a well-known disease precipitator in psoriatic arthritis and axial SpA, or by altered host-microbial interplay at inner (gut, urogenital tract) or outer (skin) surfaces culminating in a cytokine crosstalk characterized by both tumor necrosis factor (TNF)- and interleukin (IL)-17-driven immune responses. Drivers of disease include cells of both innate and adaptive immune system, along with tissue-resident stromal cells. Different disease domains (gut, spin, peripheral joints, and skin) harbor overlapping (e.g., TNF-α) but also distinct (e.g., IL-17, IL-23) signature cytokines, which has major therapeutic implications. Janus kinase (JAK) inhibitors, which interfere with signaling of several cytokines, are effective across all domains. then target cross-reactive human peptides leading to inflammation and resulting in molecular mimicry. Presumably, this first antigenic exposure could take place in the gut or at the urogenital tract. Several allotypes of HLA-B27 exist, but not all of them represent risk factors for axSpA. For example, HLA-B*2704 and HLA-B*2705 subtypes confer a genetic risk, whereas the HLA-B*2706 and HLA-B*2709 allotypes are not associated with axSpA even though they only differ in one peptide residue or amino acid. This would suggest that there could be spe cific peptides that can only be presented by the pathogenic HLA-B27 subtypes to induce the “arthritogenic” response. In the arthritogenic peptide hypothesis, inflammation is driven by antigen presentation to CD8+ T cells. Existence of HLA-B27-restricted CD8+ T cells in the synovial fluid of AS patients was shown three decades ago, whereas more recent next-generation sequencing T-cell receptor (TCR) studies CHAPTER 374 Spondyloarthritis 2882 suggests that intestinal microbiota may play a role in some, but not all, SpA patients or disease features. PART 11 Immune-Mediated, Inflammatory, and Rheumatologic Disorders The skin, as the outer barrier of the body, is also vulnerable to the development of immune-mediated inflammatory disease. Like the inner barriers of the intestines and joints, the skin plays a key role in preserving tissue homeostasis at a site exposed to microbial, chemical, and mechani cal challenges. Alterations in the cutaneous microbiome of patients with psoriasis and PsA have been described with striking similarities between nonlesional and lesional skin. However, the functional impact of skin microbiota on the disease trajectory is still ill defined. showed expansion of both CD4+ and CD8+ TCR clonotypes in blood and synovium of HLA-B27-positive SpA. Expansion of CD8+ TCR clonotypes with the CAS **STDTQYF CDR3 motif were found in AS patients versus HLA-B27-positive controls in blood and synovium, which was recently suggested as a target for therapeutic intervention. The second theory relates to the ability of HLA-B27 to homodimer ize. These HLA-B27 homodimers can be expressed at the cell surface and interact with innate immune receptors, such as the KIR3DL2 receptor, on T and natural killer (NK) cells resulting in IL-17 produc tion, one of the key pathogenic cytokines in </w:t>
      </w:r>
      <w:r w:rsidRPr="00A6019F">
        <w:lastRenderedPageBreak/>
        <w:t xml:space="preserve">axSpA. However, there is still some controversy regarding whether various allotypes of HLA-B27 differ in their ability to form homodimers. A third theory links HLA-B27 to unfolded protein responses (UPR) and autophagy, which may promote type 17 immune responses through release of IL-23. Support comes from the HLA-B27 transgenic rat model, while no evidence for an increase in UPR in synovial tissue or blood of HLA-B27-positive AS patients was found in steady state, which questions its role in humans. Although HLA-B27 has the strongest genetic link, other MHC class I associations have also been found, for example (HLA-Cw6) in PsA. IL-23R gene polymorphisms are shared across most forms of SpA. This suggests overlapping yet distinct features across different disease domains. </w:t>
      </w:r>
      <w:r w:rsidRPr="00A6019F">
        <w:rPr>
          <w:rFonts w:ascii="Arial" w:hAnsi="Arial" w:cs="Arial"/>
        </w:rPr>
        <w:t>■</w:t>
      </w:r>
      <w:r w:rsidRPr="00A6019F">
        <w:t xml:space="preserve">FACTORS INSTIGATING THE ONSET OF SPONDYLOARTHRITIS IN GENETICALLY PREDISPOSED INDIVIDUALS Despite the strong genetic association between HLA-B27 and AS, only a minority of HLA-B27-positive subjects develop disease. In addition, the risk of developing AS in HLA-B27-positive first-degree relatives of AS patients is only 20%. This indicates that additional factors are needed to induce disease. Because SpA affects seemingly distinct tis sues (spine, peripheral joints, enthesis, anterior eye chamber, intestine, skin), it has been a challenge to seek a common denominator between these different organs. Two main mechanisms are currently under con sideration: the role of intestinal microbiota following a loss of barrier integrity and an aberrant response to mechanical stress. Barrier Integrity Loss and the Intestinal Microbiota in SpA In view of the link between gut inflammation and SpA, much attention has been focused on barrier integrity loss in the intestine and the role of the intestinal microbiota. Evidence supporting this mecha nism has been the development of ReA following an infectious gas troenteritis with Salmonella typhimurium, Shigella enteritidis, Yersinia enterocolitica, or Campylobacter enteritidis. Studies have highlighted the loss of barrier integrity, which may facilitate translocation of bac teria and microbial peptides that can elicit an immune response. The human microbiome is shaped by genetic and environmental factors. Changes in diversity and composition of the gut microbiome have been identified in SpA, pinpointing an intestinal dysbiosis that is similar to patients with IBD. While most information on host-microbial interplay in SpA relates to the intestine, other mucosal surfaces and particularly the urogenital tract (e.g., Chlamydia) may serve as an entry route for pathogens to instigate the onset of SpA. Germ-free HLA-B27 transgenic rats fail to develop SpA, suggest ing a crucial pathogenic role for intestinal microbiota. In humans, microbiome profiling in stool and biopsy samples of HLA-B27–positive individuals found that HLA-B27 affects the gut microbiome even in the absence of disease. This supports the concept that in HLA-B27 positive individuals, intestinal dysbiosis occurs prior to the onset of clinical manifestations and may contribute to the risk of disease. Earlier research suggested that HLA-B27 may promote intracellular survival and persistence of pathogens such as Chlamydia trachomatis in monocytes, which could travel to joints and promote synovial inflam mation. More recent studies indicate that not all preclinical models of combined gut and joint disease mimicking </w:t>
      </w:r>
      <w:r w:rsidRPr="00A6019F">
        <w:lastRenderedPageBreak/>
        <w:t xml:space="preserve">SpA impact these sites similarly: in a tumor necrosis factor (TNF) cytokine-dependent model with Crohn’s-like ileitis and peripheral arthritis, gut inflammation was found to be microbiota dependent but not joint inflammation. This Mechanical Stress as Gateway to Joint Disease in SpA The entheses in SpA and PsA are key inflammatory target tissues, and patients can present with both axial and peripheral entheseal inflam mation. In both SpA patients and in individuals without inflammatory conditions, mechanical stress in entheses may lead to microdamage that leads to immune activation and tissue repair. The importance of mechanical strain in the pathophysiology of enthesitis in SpA is supported by observations in patients and animal models. Enthesitis occurs more often in the lower limbs, which are subject to higher mechanical strain. In patients with AS, exposure to physical labor was related to more structural damage. In mouse models, mechanical strain was shown to be causally related to development of enthesitis and SpA-related new bone formation through mechanisms that support chronicity of inflammation. Responses to mechanical stress are physiologic and self-limited, but they appear to be enhanced and prolonged in SpA. The reason for this is unclear, but this may be influenced by genetic factors and/or impaired intestinal barrier function. Chronic entheseal inflammation in axSpA also leads to excessive local bone responses. This is associated with osteoblast differentia tion initiated by prostaglandin E2 , IL-17-A and -F, and IL-22 followed by activation of downstream bone morphogenic proteins and Wnt proteins, which are thought to play a role in pathological new bone formation. This culminates in the generation of bony spurs at vertebral bodies and sacroiliac joints, eventually leading to ankylosis. Common Versus Private Cytokine Hubs in Disease Domains in SpA Regardless of the route of disease initiation, several common effector pathways have emerged, with TNF and IL-17 representing sig nature cytokines in the immunologic basis of axSpA. The impact of TNF-α as a common effector pathway that acts down stream in the inflammatory process has been long recognized given its broad therapeutic efficacy across all disease domains (gut, enthesis, skin, eye, spine, and joints). TNF-α is an important activator and prod uct of macrophages that stimulates cytokine production in immune cells and activates fibroblasts. TNF-α can also be made by neutrophils and activated T cells in the inflamed synovium, enthesis, and intestine. By activating osteoclasts, it promotes inflammation-induced bone loss and bone erosions in SpA. Even though axSpA and IBD share a similar genetic predisposi tion in IL-23R polymorphisms, the two disorders differ substantially in their cytokine dependency. IL-17A blockade is effective in axSpA, whereas IL-23 inhibition does not provide benefit. Conversely, IL-23 blockers are approved in IBD, but agents targeting IL-17A are contra indicated in active IBD, due to the barrier protective roles of IL-17. In PsA, IL-23 and IL-17 inhibitors both appear to be effective. These observations instigated a search into cellular sources of IL-17 in SpA and their dependency on IL-23. Several IL-17A–producing cell types, including T17 cells (consisting of both CD4+ TH 17 and CD8+ cytotoxic T17 [Tc17] cells), γ/δ T cells, and ILC3, are present at enthe seal sites in steady-state conditions. In synovial fluid of SpA </w:t>
      </w:r>
      <w:r w:rsidRPr="00A6019F">
        <w:lastRenderedPageBreak/>
        <w:t xml:space="preserve">patients, innate-like T cells such as γδ T cells were found to be the major T-cell source of IL-17 in the presence or absence of IL-23. This is of particu lar interest as these γδ T cells also survey epithelial sites such as skin or intestine. Thus, entheses, synovium, and mucosal sites appear to harbor cells that may boost IL-17A responses in the absence of IL-23. Janus kinase (JAK) inhibitors, which block signaling of several cytokines, are effective in a wide range of SpA including all clinical domains (Fig. 374-1). AXIAL SPONDYLOARTHRITIS TABLE 374-3 Grading of Sacroiliitis 2883 AxSpA is a chronic, immune-mediated inflammatory disorder pre dominantly involving the axial skeleton (sacroiliac joints and the spine) and also the peripheral skeleton. The axial skeleton is always involved, and involvement of the peripheral joints occurs in ~30–40% of patients. The hips, historically considered “root joints,” are the most common nonspinal joints affected. Enthesitis in the axial and peripheral skel eton is a common feature, but dactylitis is relatively rare. Extraarticular manifestations include psoriasis, acute anterior uveitis, and IBD. Some patients with axSpA experience gradual spinal bony fusion over several years, which leads to reduced spine and neck flexibility. Despite these osteoproliferative changes in the skeleton, osteoporosis is a common morbidity. AxSpA significantly affects patients’ well-being, function, productivity, and health-related quality of life. </w:t>
      </w:r>
      <w:r w:rsidRPr="00A6019F">
        <w:rPr>
          <w:rFonts w:ascii="Arial" w:hAnsi="Arial" w:cs="Arial"/>
        </w:rPr>
        <w:t>■</w:t>
      </w:r>
      <w:r w:rsidRPr="00A6019F">
        <w:t xml:space="preserve">DEFINITIONS AND NOMENCLATURE AxSpA is divided into r-axSpA (also called AS) and nr-axSpA, the dif ference based on the presence or absence of definitive sacroiliitis on plain radiographs. “Definitive sacroiliitis” is defined by the modified New York criteria (Table 374-2) as grade 2 bilateral or grade 3 or 4 unilateral or bilateral (Table 374-3). Patients with sacroiliitis of lower grade are classified as nr-axSpA. Since the differentiation between r-axSpA and nr-axSpA is based on the degree of sacroiliitis, it is open to disagreements even between trained musculoskeletal radiologists. The interreader reliability as measured by the kappa statistic is between 0.35 and 0.45. nr-axSpA and r-axSpA have the same clinical features and share similar disease burden, though in late-stage r-axSpA, fusion of spine and hip involvement can add to functional loss. </w:t>
      </w:r>
      <w:r w:rsidRPr="00A6019F">
        <w:rPr>
          <w:rFonts w:ascii="Arial" w:hAnsi="Arial" w:cs="Arial"/>
        </w:rPr>
        <w:t>■</w:t>
      </w:r>
      <w:r w:rsidRPr="00A6019F">
        <w:t xml:space="preserve">EPIDEMIOLOGY The male-to-female ratio is 2:1 for r-axSpA and 1:1 for nr-axSpA. The population prevalence of axSpA depends on the prevalence of HLA B27 in that geographic region. In Europe, HLA-B27 frequency in the population increases from south to north, and so does the prevalence of axSpA. For example, the prevalence of HLA-B27 in Spain and Nor way is 7 and 9%, respectively, and the prevalence of AS and axSpA in these two countries is 0.1 and 0.56%. The 2009–2010 National Health and Nutritional Examination Survey (NHANES) estimated that in the United States, the population prevalence of HLA-B27 is 6% and that of axSpA is between 0.9 and 1.4%, of which 0.5% were reported to have AS. The population prevalence of axSpA in the rest of the world is not well studied and is believed to be between 0.02 and 1.5%. Diagnostic prevalence of axSpA in the United States, which includes only the diag nosed cases in a population, is one-tenth that of population prevalence, suggesting a large undiagnosed population. Based on insurance claims databases in the United States, the diagnostic prevalence of axSpA increased between </w:t>
      </w:r>
      <w:r w:rsidRPr="00A6019F">
        <w:lastRenderedPageBreak/>
        <w:t xml:space="preserve">2006 to 2019, which could be attributed to increased disease awareness. The incidence rates of AS are 0.005–0.01 per 100 patient-years globally and are not available for nr-axSpA. The risk of axSpA is 5% in HLA-B27-positive people but increases to 20% in HLA-B27-positive first-degree relatives of affected individuals with axSpA. TABLE 374-2 Modified New York Classification Criteria for Ankylosing Spondylitis (AS) Clinical Criteria 1. Low back pain &gt;3 months Improved with exercise Not relieved by rest 2. Limited lumbar motion in fontal and lateral planes 3. Reduced chest expansion  Radiographic Criteria 1. Bilateral grade &gt;2 sacroiliitis on x-ray 2. Unilateral or bilateral grade 3 or 4 on x-ray  Definite AS requires ≥1 clinical criterion plus 1 radiographic criterion GRADE DESCRIPTION Grade 0 Normal Grade 1 Suspicious change Grade 2 Minimum abnormality (small, localized areas with erosions or sclerosis, without alterations in the joint width) Grade 3 Unequivocal abnormality (moderate or advanced sacroiliitis with erosions, evidence of sclerosis, widening, narrowing, or partial ankylosis) Grade 4 Severe abnormality (total ankylosis) Source: Reproduced with permission from S van der Linden et al: Evaluation of diagnostic criteria for ankylosing spondylitis. Arthritis Rheum 27:361, 1984. </w:t>
      </w:r>
      <w:r w:rsidRPr="00A6019F">
        <w:rPr>
          <w:rFonts w:ascii="Arial" w:hAnsi="Arial" w:cs="Arial"/>
        </w:rPr>
        <w:t>■</w:t>
      </w:r>
      <w:r w:rsidRPr="00A6019F">
        <w:t>CLINICAL MANIFESTATIONS The most common first manifestation of axSpA is low back, hip, or buttock pain, which starts before the age of 40</w:t>
      </w:r>
      <w:r w:rsidRPr="00A6019F">
        <w:rPr>
          <w:rFonts w:ascii="Aptos" w:hAnsi="Aptos" w:cs="Aptos"/>
        </w:rPr>
        <w:t>–</w:t>
      </w:r>
      <w:r w:rsidRPr="00A6019F">
        <w:t xml:space="preserve">45 years, usually in the 20s to 30s. The typical characteristics of this back pain include any combination of the following: insidious onset, chronicity (&gt;3 months’ duration), age of onset 30 min) morning stiffness. Back pain with these characteristics is termed “inflammatory back pain” (IBP) to dif ferentiate it from the common “mechanical back pain” (Table 374-4), but the term is a misnomer because only 15% of patients with IBP have demonstrable inflammation in their axial skeleton. Rarely, thoracic or neck pain can be a presenting feature, and when present, it is more commonly seen in women. Fatigue and stiffness are the two most both ersome symptoms after back pain in axSpA. Fatigue is multifactorial, secondary to sleep disturbance, active inflammation, and anemia, and may also indicate underlying depression and anxiety of chronic disease. Peripheral arthritis is seen in 30–40% of patients with axSpA. Typi CHAPTER 374 Spondyloarthritis cally, this is an asymmetric, oligoarticular inflammatory arthritis involv ing the large joints of the lower extremities and rarely the small joints of hands and feet. Hip involvement, presenting as pain in the groin with radiation to medial thigh or the knee, is common and is associated with significant functional impairment. Enthesitis is a common manifesta tion of axSpA. Enthesitis may present as heel pain (plantar fasciitis, Achilles tendon insertion pain), chest wall pain, intercostal muscle insertions, medial or lateral epicondylitis, quadriceps or patellar tendon insertion pain around knees, or pelvic rim pain. Dactylitis is an uncom mon manifestation of axSpA. Persistent axial inflammation may lead to bony fusion of sacroiliac joints, apophyseal joints, and development of syndesmophytes by osteoproliferation in the outer fibers of the annulus fibrosus of the intervertebral disks. These bony changes lead to limitation of spinal, including neck, mobility in all directions and are a major cause of significant functional impairment in </w:t>
      </w:r>
      <w:r w:rsidRPr="00A6019F">
        <w:lastRenderedPageBreak/>
        <w:t xml:space="preserve">late stages of the disease. Extramusculoskeletal manifestations of axSpA, such as psoriasis, IBD, and acute anterior uveitis, can also be the presenting symptom of axSpA in some patients, and such patients may first present to a der matologist, gastroenterologist, or an ophthalmologist. Uveitis, the most TABLE 374-4 Clinical Features of Inflammatory Versus Mechanical Back Pain FEATURE Age at onset Onset Morning stiffness Pain at night Exercise/activity Rest/inactivity Duration INFLAMMATORY BACK PAIN Before 40–45 years Insidious Prolonged (more than 30 min) Yes, usually after midnight Improves pain and stiffness Worsens pain and stiffness Chronic MECHANICAL BACK PAIN 20–65 years Acute or insidious Less than 30 min No, usually late in the day Worsens pain Improves pain Acute or chronic Response to full dose NSAIDs More than 50% relief in 48 hours Limited relief Note: Not all features are required for diagnosis of inflammatory back pain, nor are they present in every patient. Source: Adapted from S van der Linden et al: Arthritis Rheum 27:361, 1984. Abbreviation: NSAIDs: nonsteroidal anti-inflammatory drugs. 2884 PART 11 Immune-Mediated, Inflammatory, and Rheumatologic Disorders AS is thought to be a disease of males, and back pain and enthesitis in women are commonly mistaken for fibromyalgia. This delays the diagnosis in females even further. Lower prevalence of HLA-B27 in nonwhite populations also adds to the delay in diagnosis. common extramusculoskeletal manifestation, is seen in 40% of patients with axSpA and presents as eye discomfort followed by redness, pain, photophobia, and miosis. The typical phenotype of uveitis associated with axSpA is acute, anterior, unilateral, and episodic. While frank IBD is seen in 10%, histologic evidence of subclinical gut inflammation is seen in up to 50% of patients. Psoriasis is seen in 10%, and osteoporosis can be present in 40%. AxSpA can affect multiple organ systems. The two renal manifesta tions of axSpA are IgA nephropathy, which can present at any time in the disease course as microscopic hematuria, and nephrotic syndrome secondary to renal (AA) amyloidosis, which is a late complication only seen after prolonged uncontrolled inflammation. Conduction abnor malities (heart blocks) can be seen at any stage of the disease, whereas aortic valve insufficiency and cauda equina syndrome presenting as urinary hesitancy and/or saddle anesthesia are late complications. Pulmonary manifestations of axSpA include apical fibrosis, cavitary lung lesion, or fibrotic parenchymal lesions. Sleep apnea syndrome and restrictive lung disease seen in late-stage axSpA are mostly related to osteoproliferative structural changes of the cervical spine and rib cage. The course of axSpA can be variable, with close to 50% of patients progressing from nonradiographic to radiographic stage over 20 years and 3 months, Insidious onset 3 months) back pain. While elevated inflammatory mark ers, erythrocyte sedimentation rate (ESR), and CRP help in making the diagnosis of axSpA, these tests are neither sensitive (seen in only 30–40% of patients with active axSpA) nor specific for axSpA. Imaging plays a very important role in the diagnosis of axSpA. A single anteroposterior (AP) view or a Ferguson view x-ray of the pelvis is sufficient to image sacroiliac joints. Multiple views (e.g., oblique) of the sacroiliac joints add little in making the diagnosis; in addition, they increase radiation risk to gonads. </w:t>
      </w:r>
      <w:r w:rsidRPr="00A6019F">
        <w:lastRenderedPageBreak/>
        <w:t xml:space="preserve">Radiographic features of sacroiliitis include marginal sclerosis, erosions, narrowing and widening of the joints, and in late stages, fusion (Fig. 374-3A and Table 374-3). As a gen eral rule, plain radiographs of the spine should be avoided in patients with chronic back pain. However, there are some characteristic changes of axSpA seen in the lateral radiograph of the spine, and they include Romanus lesions or the shiny corner sign and squaring of the vertebral body seen as a result of erosions at the attachments of the spinal liga ments at the vertebral corners. Andersson lesion is an uncommon find ing and is characterized by vertebral body erosion and sclerosis at the intervertebral disk level. In the late stages, ossification of the outer layer of annulus fibrosus leads to syndesmophyte formation (Fig. 374-3B). Typical syndesmophyte orientation is vertical, differentiating it from the horizontal orientation of osteophytes, which is commonly seen with osteoarthritis (OA) of the spine. Bamboo spine, or ankylosis of the entire spine, is seen in a very small percentage of late-stage AS patients. Presence of SpA features: IBP, inflammatory arthritis, uveitis, dactylitis, enthesitis, psoriasis, IBD, family history, good response to NSAIDs, high CRP ≥ 4 SpA Features Compelling clinical picture 3 months). 2885 CHAPTER 374 Spondyloarthritis A FIGURE 374-4 Computed tomography of the thoracic spine sagittal view in radiographic axial spondyloarthritis showing anterior and posterior syndesmophytes. </w:t>
      </w:r>
      <w:r w:rsidRPr="00A6019F">
        <w:rPr>
          <w:rFonts w:ascii="Arial" w:hAnsi="Arial" w:cs="Arial"/>
        </w:rPr>
        <w:t>■</w:t>
      </w:r>
      <w:r w:rsidRPr="00A6019F">
        <w:t xml:space="preserve">DIFFERENTIAL DIAGNOSIS Chronic nonspecific </w:t>
      </w:r>
      <w:r w:rsidRPr="00A6019F">
        <w:rPr>
          <w:rFonts w:ascii="Aptos" w:hAnsi="Aptos" w:cs="Aptos"/>
        </w:rPr>
        <w:t>“</w:t>
      </w:r>
      <w:r w:rsidRPr="00A6019F">
        <w:t>mechanical</w:t>
      </w:r>
      <w:r w:rsidRPr="00A6019F">
        <w:rPr>
          <w:rFonts w:ascii="Aptos" w:hAnsi="Aptos" w:cs="Aptos"/>
        </w:rPr>
        <w:t>”</w:t>
      </w:r>
      <w:r w:rsidRPr="00A6019F">
        <w:t xml:space="preserve"> back pain is common in the general population, and axSpA is the etiology in only 4</w:t>
      </w:r>
      <w:r w:rsidRPr="00A6019F">
        <w:rPr>
          <w:rFonts w:ascii="Aptos" w:hAnsi="Aptos" w:cs="Aptos"/>
        </w:rPr>
        <w:t>–</w:t>
      </w:r>
      <w:r w:rsidRPr="00A6019F">
        <w:t xml:space="preserve">5% of such patients. Mechanical causes of back pain therefore should be considered first in a patient presenting with chronic back pain. The so-called “red flag” B FIGURE 374-3 Radiographic axial spondyloarthritis. A. Bilateral sacroiliitis (modified New York grade 3) with sclerosis and erosions. B. Lateral view cervical spine in advanced radiographic axial spondyloarthritis showing anterior syndesmophytes and fused facet joints. A Low-dose computed tomography (CT) of the sacroiliac joints and spine in the diagnosis of axSpA is emerging as an alternative to plain radiog raphy for diagnosis and assessing progression (Fig. 374-4). B Magnetic resonance imaging (MRI) of the sacroiliac joints and spine has evolved as an important tool in making the diagnosis of axSpA. During the early stage of disease, MRI of the sacroiliac joints may show evidence of active inflammation, or “osteitis,” and that may be the only abnormality. As time passes, the active inflammatory changes transition to fatty metaplasia, and this may further transform to new bone forma tion. The structural changes of sclerosis, fat metaplasia, erosions, fat metaplasia in an erosion cavity (backfill), and new bone formation, in addition to the inflammatory changes seen on MRI, aid in making the diagnosis of axSpA (Fig. 374-5). Sole presence of inflammatory lesions in early stages or sole presence of ankylosis in very late stage may be enough for the diagnosis of axSpA, but as a general rule, multiple types of inflammatory and structural lesions increase the suspicion of axSpA. In the spine, multiple corner inflammatory lesions and/or multiple cor ner fatty lesions increase the confidence of axSpA diagnosis. FIGURE 374-5 Magnetic resonance images of spondyloarthritis. A. T1-weighted image of sacroiliac joints with bilateral erosions (left-sided erosions marked </w:t>
      </w:r>
      <w:r w:rsidRPr="00A6019F">
        <w:lastRenderedPageBreak/>
        <w:t xml:space="preserve">by **), left fatty metaplasia (single *), and right bone marrow edema (marked with white arrows). B. Short tau inversion recovery (STIR) image with bilateral bone marrow edema suggestive of joint space inflammation (shown by *) and anterior capsulitis (shown by a white arrow). MRI is a very sensitive imaging technique, and mechanical stress on the sacroiliac joints in professional athletes, postpartum women, and even in normal individuals, especially above the age of 40, may show changes of osteitis. Fat metaplasia-type changes in the sacroiliac joints are also seen in degenerative arthritis as well as in normal individuals. Inappropriate utilization of MRI can lead to overdiagnosis. 2886 Physical therapy improves fatigue, mobility, and posture. Smoking cessation is encouraged in all patients. PHARMACOLOGIC INTERVENTIONS PART 11 Immune-Mediated, Inflammatory, and Rheumatologic Disorders signs of fever, weight loss, advanced age, and past history of malig nancy should alert the examiner to look for osteomyelitis, osteoporotic fracture, or metastatic disease. In young patients with generalized body pain, fibromyalgia, central sensitization, hypermobility, hypothyroid ism, and hypovitaminosis D may be considered. Abnormalities on incidental imaging in a patient with or even without chronic back pain lead to other differential diagnoses such as diffuse idiopathic skeletal hyperostosis (DISH) or osteitis conden sans ilii (OCI). DISH is a noninflammatory, degenerative condition affecting the spine, with exuberant new bone formation in the form of anterior and posterior longitudinal ligament ossification of at least four contiguous vertebral bodies and bulky “flowing” osteophytes typically on the right side of the thoracic spine, but normal sacroiliac joints. It is generally seen in obese, diabetic males, often older than 50 years of age. DISH is sometimes mistaken for bamboo spine of AS. OCI is usually an asymptomatic condition of multiparous women character ized by radiographic findings of a triangular area of dense sclerosis on the lower and inferior part of the iliac side of the sacroiliac joints. This can be mistaken for sacroiliitis, and in early stages, MRI of the sacroiliac joints may be indistinguishable from that of axSpA. Lack of erosions should help distinguish OCI from axSpA. OCI can be seen in nulliparous women and even men. While DISH and OCI are generally asymptomatic, some patients with either condition may present with chronic back pain. Inflammatory back pain with sclerotic changes on sacroiliac joint radiographs can also be seen in conditions such as postpartum insuf ficiency fracture of the sacrum; septic sacroiliitis from tuberculosis, brucellosis, fungi, and other infectious agents; and rarely, malignancies such as acute lymphoblastic leukemia. </w:t>
      </w:r>
      <w:r w:rsidRPr="00A6019F">
        <w:rPr>
          <w:rFonts w:ascii="Arial" w:hAnsi="Arial" w:cs="Arial"/>
        </w:rPr>
        <w:t>■</w:t>
      </w:r>
      <w:r w:rsidRPr="00A6019F">
        <w:t xml:space="preserve">MONITORING AxSpA patients should be monitored at every visit for disease activ ity, function, and medication safety. The frequency of monitoring is individualized. Assessment of disease activity can be performed by using the Bath Ankylosing Spondylitis Disease Activity Index (BAS DAI) or the Ankylosing Spondylitis Disease Activity Score (ASDAS). Functional impairment can be measured by the Bath Ankylosing Spondylitis Functional Index (BASFI). This is a patient-administered questionnaire that includes 10 activities of daily living. The Bath Ankylosing Spondylitis Metrology Index is an index of spinal and hip mobility in patients with AS. The ESR and CRP may be useful </w:t>
      </w:r>
      <w:r w:rsidRPr="00A6019F">
        <w:lastRenderedPageBreak/>
        <w:t xml:space="preserve">in monitoring disease activity. MRI of the sacroiliac joints or spine is expensive and is not indicated to monitor disease activity of AxSpA. Spine radiographs and MRI are not used for monitoring purposes in daily practice, although they may be used if back pain persists or relapses to rule out active inflammation despite therapy or complications such as spinal fractures. TREATMENT Axial Spondyloarthritis Principles of treatment of nr-axSpA and r-axSpA are identical and are described as one disease. Some agents are approved to treat only AS (r-axSpA) and are mentioned below. The targets for treatment include low disease activity or remis sion. Traditionally, the treatment of axSpA was limited to exer cise, physical therapy, and nonsteroidal anti-inflammatory drugs (NSAIDs), but with the advent of biologics and targeted synthetic disease-modifying antirheumatic drugs (tsDMARDs), great strides have been made in in the last two decades. Shared decision-making regarding all modes of therapy is the key to success. Treatment of axSpA can be divided into nonpharmacologic, pharmacologic, and surgical. NONPHARMACOLOGIC INTERVENTIONS Physical exercise in the form of active physical therapy (on land or aquatic) and self-directed physical exercise are strongly recom mended by all international guidelines and should be promoted. The American College of Rheumatology (ACR), Spondylitis Associ ation of America (SAA), Spondyloarthritis Research and Treatment Network (SPARTAN) treatment guidelines, and ASAS-EULAR (European Alliance of Associations for Rheumatology) treatment recommendations have many commonalities regarding the order of treatments, choices of agents, and precautions. Table 374-5 outlines pharmacologic interventions for the treatment of axSpA. The use of immunosuppressive biologics and tsDMARDs has been associated with an increased risk of serious infections. While bacterial infections are seen in both classes, herpes zoster is mostly seen with JAK inhibitors (JAKis), and reactivation of latent tubercu losis is mostly seen with TNF inhibitors (TNFis). Mucosal and skin Candida infections are associated with IL-17 inhibitor (IL-17i) use. Other side effects of biologic therapy include injection-site reac tions with subcutaneous injections or infusion reactions with intra venous (IV) medication. TNFi adverse effects include development of demyelinating disease, worsening of congestive heart failure, and paradoxical development of psoriasis-like skin lesions. Adverse events associated with IL-17i therapy include leukopenia and devel opment or worsening of IBD. JAKis have a higher risk of major cardiovascular adverse events and cancers (lymphoma and lung cancers), especially in patients aged 65 years or older and in those with current or past history of smoking, with history of cardiovas cular disease, or with malignancy. As a result, the U.S. Food and Drug Administration (FDA) suggests reserving these medicines for patients who have had an inadequate response or intolerance to one or more TNFi. SURGICAL INTERVENTIONS Hip involvement in axSpA leads to significant functional impair ment, and total hip arthroplasty should be considered in patients with refractory hip pain or functional decline in the presence of radiographic evidence of structural damage. Spinal osteoto mies should be reserved for severe fixed kyphotic deformities in advanced AS that affect horizontal vision and </w:t>
      </w:r>
      <w:r w:rsidRPr="00A6019F">
        <w:lastRenderedPageBreak/>
        <w:t xml:space="preserve">should be performed in centers of expertise. </w:t>
      </w:r>
      <w:r w:rsidRPr="00A6019F">
        <w:rPr>
          <w:rFonts w:ascii="Arial" w:hAnsi="Arial" w:cs="Arial"/>
        </w:rPr>
        <w:t>■</w:t>
      </w:r>
      <w:r w:rsidRPr="00A6019F">
        <w:t xml:space="preserve">COMPLICATIONS The prevalence of osteoporosis is ~25% after 10 years of axSpA. Verte bral fractures are seen in ~10% of patients with AS. The lower cervical spine is the most commonly involved area, where there is often also neurologic compromise. One should consider vertebral fractures in patients with neck and back pain that has changed in intensity or character from baseline. Another rare complication is the cauda equina syndrome from long-standing AS resulting from inflammation of the lumbosacral nerve roots caused by arachnoiditis. Cardiac manifesta tions include aortic valve insufficiency and conduction abnormali ties. Pulmonary manifestations are rare and include chest expansion restriction from ossification of costovertebral joints and upper lobe predominant interstitial lung disease. Patients with AS can have IgA nephropathy or, in late stages, renal amyloidosis if the disease is left untreated. Cardiovascular disease is being recognized as a common comorbidity in patients with AS and is linked to chronic inflammation. All patients with AS should be counseled about the traditional risk factors for cardiovascular disease, and appropriate treatment should be instituted if necessary. PSORIATIC ARTHRITIS PsA is a relatively common immune-mediated inflammatory condition that may lead to progressive joint damage. If left untreated, it is associ ated with poor quality of life, loss of function, and increased morbid ity and mortality. PsA, associated with cutaneous and nail psoriasis, involves peripheral joints, axial skeleton (sacroiliac joints and spine), entheses, and tendon sheaths. In addition, uveitis and inflammatory bowel disease may coexist with PsA. Common comorbidities of PsA Spondyloarthritis 2887 CHAPTER 374 TABLE 374-5 Pharmacologic Management of Axial Spondyloarthritis (axSpA) • Nonsteroidal anti-inflammatory drugs (NSAIDs) should be used in highest tolerable doses continuously in active disease and on an as-needed basis if the disease is stable. No particular NSAID is preferred over any other. Side effects to monitor are gastric ulcer disease, hypertension, renal insufficiency, and cardiovascular disease. • Conventional synthetic DMARDs like sulfasalazine, up to 3 g/d, and methotrexate, up to 25 mg/wk, are useful for the treatment of peripheral joint and entheses involvement, but not for axial disease in axSpA. • If the disease remains active despite a 4-week trial of full-dose NSAIDs, treatment should be escalated to start a biologic from either the TNFi or IL-17i class. • Before initiating therapy with biologics or JAKi, screening for latent tuberculosis, hepatitis B, and hepatitis C should be performed. • All five TNFi agents are approved for the treatment of AS, while selective TNFis are approved for nr-axSpA in various countries. • Soluble receptor of TNF–etanercept 50 mg subcutaneous (SC) injection once weekly. • TNFi monoclonal antibodies: • Adalimumab 40 mg SC every 2 weeks. • Certolizumab pegol 200 mg SC twice a month or 400 mg SC once a month. • Golimumab 50 mg SC once a month or golimumab 2 mg/kg intravenous (IV) at weeks 0, 4, and then every 8 weeks thereafter. • Infliximab 5 mg/kg IV infusion at weeks 0, 2, 6, and then every 6 weeks. • No TNFi is preferred, except in patients with concomitant uveitis or IBD in whom TNF monoclonal antibodies are preferred over soluble receptor TNFi therapy. • In the case of primary failure of TNFi, </w:t>
      </w:r>
      <w:r w:rsidRPr="00A6019F">
        <w:lastRenderedPageBreak/>
        <w:t xml:space="preserve">treatment can be switched to IL-17i or JAKi. In the case of secondary failure of TNFi therapy (failing after initial benefit), an alternative TNFi can be used. • Two IL-17Ais are approved for the treatment of nr-axSpA and AS. • Secukinumab 150 mg SC at weeks 0, 1, 2, 3, and 4, followed by 150 or 300 mg every 4 weeks. • Ixekizumab 160 mg SC once, followed by 80 mg every 4 weeks. • In case of primary failure of IL-17Ai, treatment can be switched to TNFi or JAKi. In the case of secondary failure of IL-17Ai therapy, an alternative IL-17i can be used. • Two JAKis are approved for the treatment of AS, while only one is approved for nr-axSpA. JAKi should be used in patients who have failed TNFi. • Tofacitinib 5 mg orally two times a day is approved for the treatment of AS only. • Upadacitinib 15 mg once a day is approved for the treatment of AS and nr-axSpA. • One IL-17A and IL-17F inhibitor is approved in certain parts of the world to treat both nr-axSpA and radiographic axSpA. • Bimekizumab 160 mg SC every 4 weeks. • Local glucocorticoid injections for upper extremity enthesitis or intraarticular injections for peripheral arthritis are indicated. Injections around lower limb weight bearing entheses are not recommended because of the risk of rupture. • Systemic glucocorticoids do not have any efficacy in axSpA and should be avoided.  Abbreviations: AS, ankylosing spondylitis; DMARDs, disease-modifying antirheumatic drugs; IBD, inflammatory bowel disease; IL-17i, interleukin 17 inhibitor; JAKi, Janus kinase inhibitor; nr-axSpA, nonradiographic axial spondyloarthritis; TNFi, tumor necrosis factor inhibitor. include depression, metabolic syndrome, diabetes mellitus, and car diovascular disease. Sometimes the term “psoriatic disease” is used to emphasize these varied manifestations. In 1973 Moll and Wright defined PsA as an inflammatory arthritis (peripheral arthritis and/or sacroiliitis or spondylitis), with presence of cutaneous psoriasis and absence of RF. They demonstrated the association between PsA and the gene HLA-B*27 and described five phenotypes of PsA, namely asymmetric oligoarticular inflammatory arthritis, symmetric polyarticular arthritis, distal interphalangeal joint arthritis, spondylitis, and arthritis mutilans. Over the years, enthesitis and dactylitis have been added to these musculoskeletal manifesta tions. It is important to remember that these clinical phenotypes are not exclusive and frequently coexist. </w:t>
      </w:r>
      <w:r w:rsidRPr="00A6019F">
        <w:rPr>
          <w:rFonts w:ascii="Arial" w:hAnsi="Arial" w:cs="Arial"/>
        </w:rPr>
        <w:t>■</w:t>
      </w:r>
      <w:r w:rsidRPr="00A6019F">
        <w:t>EPIDEMIOLOGY With a prevalence of 2</w:t>
      </w:r>
      <w:r w:rsidRPr="00A6019F">
        <w:rPr>
          <w:rFonts w:ascii="Aptos" w:hAnsi="Aptos" w:cs="Aptos"/>
        </w:rPr>
        <w:t>–</w:t>
      </w:r>
      <w:r w:rsidRPr="00A6019F">
        <w:t>3%, skin psoriasis is one of the most common immune-mediated diseases. The prevalence of PsA in patients with psoriasis is 30% (range, 6</w:t>
      </w:r>
      <w:r w:rsidRPr="00A6019F">
        <w:rPr>
          <w:rFonts w:ascii="Aptos" w:hAnsi="Aptos" w:cs="Aptos"/>
        </w:rPr>
        <w:t>–</w:t>
      </w:r>
      <w:r w:rsidRPr="00A6019F">
        <w:t xml:space="preserve">42%). The incidence of PsA in patients with psoriasis is 3 per 100 patient-years (range 2–10) and depends on the severity of skin psoriasis. The likelihood of developing PsA in psoriasis patients does not change over time. </w:t>
      </w:r>
      <w:r w:rsidRPr="00A6019F">
        <w:rPr>
          <w:rFonts w:ascii="Arial" w:hAnsi="Arial" w:cs="Arial"/>
        </w:rPr>
        <w:t>■</w:t>
      </w:r>
      <w:r w:rsidRPr="00A6019F">
        <w:t xml:space="preserve">CLINICAL FEATURES Clinical features of PsA include peripheral arthritis, axial arthritis (spondylitis), enthesitis, dactylitis, and tenosynovitis. Inflammatory arthritis presents with joint pain, swelling, prolonged stiffness, and reduced mobility. Typically, early PsA is oligoarticular (2000/mL of synovial fluid with no crystals and negative Gram stain and culture are diagnostic of inflammatory arthritis and, in this clinical scenario, should raise the suspicion of SpA such as PsA, reactive arthritis, or IBD-associated arthritis. Routine laboratory tests such as complete blood counts or kidney or liver function tests </w:t>
      </w:r>
      <w:r w:rsidRPr="00A6019F">
        <w:lastRenderedPageBreak/>
        <w:t xml:space="preserve">do not help in making the diagnosis of PsA but can be useful for monitoring treatment or assessing comorbidities. and psoriasis develop simultaneously. While patients with PsA have psoriasis by definition, in 10% of patients, the arthritis develops first and cutaneous psoriasis manifests a few years later. Diagnosis of PsA is challenging in such patients, and family history of psoriasis, with typical musculoskeletal involvement, can help make the diagnosis. Although 40% of patients with psoriasis without PsA have nail lesions, nail involvement is much more frequent in patients with PsA, affect ing close to 90% of patients. Psoriatic nail manifestations may be classified into nail matrix disease and nail bed disease. Nail pitting, leukonychia, crumbling, and red spots in the lunula are manifestations of nail matrix disease, whereas onycholysis, subungual hyperkeratosis, oil drop change, and splinter hemorrhages are manifestations of nail bed disease. Patients with PsA may also have involvement of the eye and gastro intestinal tract. Uveitis may occur in 5% of patients, and conjunctivitis is rarely seen. While unilateral acute anterior uveitis is the commonest form, posterior uveitis and bilateral eye involvement are also reported. IBD (Crohn’s disease or rarely ulcerative colitis) may coexist in patients with PsA. Mucous membrane inflammation presents with painful mouth ulcers and rarely urethritis. The disease course of PsA is variable. Whereas some patients do well with few joints involved and no significant damage, others progress very quickly to develop marked joint damage within a few months. Patients with PsA have a worse quality of life and function compared with the general population as well as to patients with psoriasis without PsA. Patients with psoriasis and PsA have an increased risk of cardiovas cular disease, as high as the risk in people with diabetes mellitus. The increased risk is independent of cardiovascular risk factors and cor relates with more severe skin disease, disease duration, and increased inflammatory markers. Patients with PsA have more severe subclinical atherosclerosis compared with psoriasis patients without PsA. The prevalence of hypertension, type 2 diabetes, obesity, metabolic syn drome, fatty liver disease, angina, and myocardial infarction is higher among patients with PsA compared with the general population. Obesity has an additional adverse impact on PsA disease activity and treatment response. Patients with psoriasis and PsA have increased rates of depression and suicidality compared to the general population. The prevalence of malignancy in PsA is not increased, and mortality studies have shown conflicting results. </w:t>
      </w:r>
      <w:r w:rsidRPr="00A6019F">
        <w:rPr>
          <w:rFonts w:ascii="Arial" w:hAnsi="Arial" w:cs="Arial"/>
        </w:rPr>
        <w:t>■</w:t>
      </w:r>
      <w:r w:rsidRPr="00A6019F">
        <w:t xml:space="preserve">DIAGNOSIS The diagnosis of PsA is based on clinical features of cutaneous psoriasis with inflammatory musculoskeletal disease such as arthritis, dactylitis, enthesitis, or spondylitis. Presence of dactylitis is an important sign, and careful examination of feet is important since dactylitis of a single toe or enthesitis around the heel may be the only musculoskeletal man ifestation of PsA in a patient with psoriasis. Psoriasis may be hidden in areas such as the scalp, umbilicus, below breasts, or in the natal cleft, or it may be present in the nail only and should be looked for carefully. Typical involvement of the joints of the fingers or toes is in a “ray” dis tribution (involvement of all joints in a finger or toe), with one finger showing dactylitis, another with bony ankylosis, and the </w:t>
      </w:r>
      <w:r w:rsidRPr="00A6019F">
        <w:lastRenderedPageBreak/>
        <w:t xml:space="preserve">neighboring finger showing arthritis mutilans. The pattern of involvement in PsA is often asymmetric compared with RA, in which the pattern tends to be symmetric. The presence of spondylitis with asymmetric oligoarticular peripheral arthritis would virtually rule out RA and would make the diagnosis of PsA more likely. The diagnosis of PsA may sometimes be made even in the absence of psoriasis if the above characteristic features are present and if there is a family history of psoriasis or PsA. Laboratory tests only play a minor role in the diagnosis of PsA. Tests for acute-phase reactants such as ESR or CRP are abnormal in ~50% of patients despite clinically active disease. High levels of ESR or CRP are markers of severe disease and are predictors of radiographic damage and mortality. RF is typically negative, but low titer RF or low titer anticyclic citrullinated peptide antibody may be positive in 50 years that points to a prominent role of barrier integ rity loss and dysbiosis in SpA, initially recognized by uncovering the TABLE 374-7 Pharmacologic Management of Psoriatic Arthritis (PsA)  PRINCIPLES AND RECOMMENDATIONS 1. The primary goal of treating patients with PsA is to maximize long-term health-related quality of life through control of symptoms, abrogation of inflammation, prevention of structural damage, normalization of function, and social participation. 2. PsA requires multidisciplinary treatment (rheumatologist, dermatologist, psychiatrist, gastroenterologist, ophthalmologist, dietician, endocrinologist, cardiologist, and physical/occupational therapists), and it should be based on a shared decision-making between the patient and the rheumatologist. 3. “Treat to target” is recommended, with the target being minimal disease activity or remission. Patients should be regularly monitored, and treatment should be adjusted appropriately to reach the target. 4. NSAIDs may be used as an initial short-term treatment to relieve symptoms related to peripheral arthritis, enthesitis, dactylitis, and axial disease. NSAIDs alone are very rarely sufficient to treat PsA but can be combined with cs-, b-, or tsDMARDs. 5. Local injections of glucocorticoids should be considered for active arthritis, enthesitis, and/or dactylitis. Glucocorticoid injections around lower extremity weight bearing entheses should be avoided due to the risk of tendon rupture. 6. Systemic glucocorticoids should be avoided. In rare circumstances such as acute flares of arthritis, they may be used with caution at the lowest effective dose for the shortest period. 7. In patients with active disease with peripheral arthritis, enthesitis, and/or dactylitis, treatment with csDMARDs, such as methotrexate, sulfasalazine, or leflunomide, should be considered at an early stage. Methotrexate is preferred if clinically relevant psoriasis is present. 8. PDE-4 inhibitor or TYK-2 inhibitor may be considered as the initial treatment instead of csDMARD for active musculoskeletal disease (except axial disease) or active skin disease. 9. In patients with predominant axial disease, csDMARDs should be avoided, and either bDMARDs or JAKi should be considered after inadequate response to NSAIDs. 10. In rare circumstances, in patients with very active musculoskeletal disease (multiple swollen joints, structural damage in the presence of active inflammation, and/ or clinically relevant extraarticular manifestations such as IBD or uveitis) or extensive </w:t>
      </w:r>
      <w:r w:rsidRPr="00A6019F">
        <w:lastRenderedPageBreak/>
        <w:t xml:space="preserve">skin involvement, treatment with bDMARDs can be started before csDMARDs at the discretion of the treating provider. 11. The choice of initial biologic for active musculoskeletal disease (TNF, IL-12/23, IL-17, or IL-23 inhibitors) should be based on pros and cons of each therapy class, patients’ comorbidities, and their comfort with risks/benefit. 12. For patients with predominant skin disease along with musculoskeletal disease, IL-12/23, IL-17, or IL-23 inhibitors are preferred over TNF inhibitors. 13. For PsA patients with comorbid IBD, monoclonal antibodies against TNF, IL-12/23 inhibitors, IL-23 inhibitors, or JAKi therapy is preferred. IL-17 inhibitors should be avoided in patients with active IBD but can be used in patients with history of IBD. 14. For PsA patients with comorbid uveitis, therapy with monoclonal antibodies against TNF is preferred. 15. JAKi should be used after failure of TNF inhibitors according to the black-box warning issued by regulatory authorities based on their CV risk. Comorbidities of metabolic syndrome and CV disease should be considered before JAKi treatment. 16. Combination of methotrexate with bDMARDs such as TNF inhibitors has not been shown to improve efficacy compared to bDMARDs alone. 17. Abatacept has no efficacy against the disease domains of skin, nail, and the axial skeleton. Its efficacy against peripheral arthritis is modest. 18. Agents that effectively treat skin and nail involvement (but with minimal efficacy on the musculoskeletal domains) include topical glucocorticoids such as clobetasol, retinoic acid derivatives, PUVA, and cyclosporin. 19. Biosimilars may be used in place of the original biologics. 20. Tapering of DMARDs in a PsA patient with long-term minimal disease activity or remission should be a shared decision. Stopping DMARD therapy is not recommended. Abbreviations: bDMARDs, biologic disease-modifying antirheumatic drugs; csDMARDs, conventional synthetic disease-modifying antirheumatic drugs; CV, cardiovascular; IBD, inflammatory bowel disease; IL, interleukin; JAKi, Janus kinase inhibitor; NSAIDs, nonsteroidal anti-inflammatory drugs; PUVA, psoralene plus ultraviolet light A; TNF, tumor necrosis factor; tsDMARDs, targeted synthetic disease-modifying antirheumatic drugs. occurrence of arthritis in IBD patients. The link between gut and joint inflammation, however, is reciprocal. Hence, patients with a diagnosis of SpA but without associated gastrointestinal symptoms were also found to display histologic signs of inflammation in ileocolonoscopic studies, primarily in the terminal ileum. Here, two types of lesions were described: an acute type of inflammation resembling an infectious enterocolitis and a chronic type of inflammation with many features of Crohn’s disease. Overall, the frequency of microscopic inflammatory lesions mounts up to 50% of new-onset treatment-naïve SpA patients and is associated with higher degrees of bone marrow edema in MRI of sacroiliac joints. Furthermore, the presence of chronic lesions rep resents a risk factor for evolution into full-blown Crohn’s disease and progression to AS. These microscopic lesions are accompanied by elevated fecal calprotectin and CRP levels. Both ulcerative colitis and Crohn’s disease are associated with SpA. AxSpA as well as pSpA commonly occur in both of them, with pSpA being the most prevalent form. R-axSpA develops in up to 10% of IBD patients, whereas </w:t>
      </w:r>
      <w:r w:rsidRPr="00A6019F">
        <w:lastRenderedPageBreak/>
        <w:t xml:space="preserve">prevalence of pSpA varies largely according to vari ous studies, ranging from 10 to 30%. Conversely, patients with axSpA have a substantially higher risk of developing IBD, with a prevalence varying between 5 and 10% and with an observed increase with disease duration. This reciprocal rela tionship between IBD and AS is reflected by a considerable overlap in the genetic predisposition between these diseases, including polymor phisms in genes linked to type 3 immunity (e.g., IL-23R, IL-12p40, 2892 RORc), innate immunity (TNFAIP3, TLR4), and epithelial integrity (GPR35, PTGER4). However, HLA-B27 is not a risk factor for IBD. PART 11 Immune-Mediated, Inflammatory, and Rheumatologic Disorders </w:t>
      </w:r>
      <w:r w:rsidRPr="00A6019F">
        <w:rPr>
          <w:rFonts w:ascii="Arial" w:hAnsi="Arial" w:cs="Arial"/>
        </w:rPr>
        <w:t>■</w:t>
      </w:r>
      <w:r w:rsidRPr="00A6019F">
        <w:t xml:space="preserve">CLINICAL FEATURES Axial skeletal involvement associated with IBD is clinically similar to idiopathic axSpA. There may be, however, a disconnect in time in the occurrence of both. Thus, axSpA may develop after diagnosis of IBD but, in other cases, precedes onset of IBD. Peripheral involvement in IBD resembles the clinical picture of peripheral SpA, which may include more acute forms of oligoarthritis that co-occur with relapses of IBD. More chronic forms of SpA may also occur that may cause substantial structural damage if not appropriately treated. A rare sym metric polyarticular arthritis that runs an independent course has also been described. In addition to IBD patients with a firm diagnosis of SpA, a compara ble fraction of IBD patients have arthralgias or fibromyalgia symptoms. </w:t>
      </w:r>
      <w:r w:rsidRPr="00A6019F">
        <w:rPr>
          <w:rFonts w:ascii="Arial" w:hAnsi="Arial" w:cs="Arial"/>
        </w:rPr>
        <w:t>■</w:t>
      </w:r>
      <w:r w:rsidRPr="00A6019F">
        <w:t xml:space="preserve">DIAGNOSIS IBD-related arthritis is diagnosed based on clinical and imaging fea tures in patients with a history of IBD and follows the same diagnostic principles as other forms of SpA. It is important to note, however, that most patients with IBD-related arthritis are seen while being treated for IBD. Thus, special caution should be taken in interpretation of imag ing in patients treated with biologics, immune suppressive drugs, and glucocorticoids. TREATMENT IBD-Associated Arthritis Management of IBD-related arthritis follows the general prin ciples of axSpA and pSpA treatment with some special consid erations, given the observed disconnect that may occur between gut and joint symptoms with some targeted therapies. Within the targeted therapies, the monoclonal antibodies, but not the soluble receptor, blocking TNF-α are effective in IBD as well as in both axial and peripheral SpA. Other biologics with efficacy in IBD that may have proven efficacy in peripheral SpA include ustekinumab (anti-IL12/23p40), guselkumab, and risankizumab (anti-IL23p19), but anti-IL17 therapy is contraindicated. The JAKi tofacitinib and upadacitinib are approved in ulcerative colitis and upadacitinib in Crohn’s disease and are also effective in axSpA and pSpA. Other treatments for IBD include sulfasalazine and related drugs as well as systemic and local glucocorticoids. NSAIDs, especially COX2-selective formulations, are helpful for arthritis and generally well tolerated but may induce IBD flares, so they should be considered only for temporary use. Vedolizumab is a gut-selective integrin inhibitor approved for both Crohn’s disease and ulcerative colitis. However, up to 15% of IBD patients treated with vedolizumab may develop new-onset disease or flare of axSpA or pSpA. UNDIFFERENTIATED PERIPHERAL SPONDYLOARTHRITIS The term “undifferentiated pSpA” is used to describe patients who do not fit into any of the above well-defined conditions such as axSpA, PsA, ReA, or </w:t>
      </w:r>
      <w:r w:rsidRPr="00A6019F">
        <w:lastRenderedPageBreak/>
        <w:t xml:space="preserve">IBD-associated arthritis but have the typical SpA phe notype (oligoarticular inflammatory arthritis, usually involving lower limbs, asymmetric, or peripheral enthesitis or dactylitis). The ASAS group developed classification criteria for pSpA in 2011 (Table 374-8). These criteria allow the classification of a patient with peripheral enthesitis or dactylitis but without peripheral arthritis. The prevalence and incidence of undifferentiated pSpA are not known since there are no epidemiologic studies available. Some of these patients are likely to have ReA, where the inciting infection is silent, and in some patients, features of psoriasis and/or IBD may develop later. Treatment of pSpA TABLE 374-8 Assessment of Spondyloarthritis International Society (ASAS) Criteria for Peripheral Spondyloarthritis (SpA) Plus ≥2 of the remaining:- Arthritis- Enthesitis- Dactylitis- IBP in the past- Positive family history for SpA Arthritis or enthesitis or dactylitis Plus ≥1 of:- Psoriasis- Inflammatory bowel disease- Preceding infection- HLA-B27- Uveitis- Sacroiliitis on imaging (radiographs or MRI)  Note: Peripheral arthritis: usually lower limb, asymmetric arthritis; enthesitis: clinically assessed; dactylitis: clinically assessed. Abbreviations: IBP, Inflammatory back pain; MRI, magnetic resonance imaging. should be individualized based on the predominant musculoskeletal manifestation. SPONDYLOARTHRITIS ASSOCIATED WITH SAPHO SYNDROME AND HIDRADENITIS SUPPURATIVA SAPHO is a clinical entity that is sometimes associated with Propioni bacterium acne infection on bone biopsies. It is included under SpA since some patients have asymmetric inflammatory arthritis (typi cally sternoclavicular joints and chest wall costochondral junctions), sacroiliitis, and spinal hyperostosis. The skin manifestations include acne conglobate and palmoplantar pustular lesions that are patho logically identical to psoriasis. Some consider SAPHO as the adult phenotype of juvenile chronic recurrent multifocal osteomyelitis (CRMO), where the osteomyelitis is sterile. Apart from TNFi, IL-17i, and JAKi, there are case reports of pamidronate, a bisphosphonate, being effective in treatment. Hidradenitis suppurativa patients may develop a SpA phenotype of musculoskeletal involvement, including asymmetric sacroiliitis. </w:t>
      </w:r>
      <w:r w:rsidRPr="00A6019F">
        <w:rPr>
          <w:rFonts w:ascii="Arial" w:hAnsi="Arial" w:cs="Arial"/>
        </w:rPr>
        <w:t>■</w:t>
      </w:r>
      <w:r w:rsidRPr="00A6019F">
        <w:t xml:space="preserve">FURTHER READING Coates L et al: Group for Research and Assessment of Psoriasis and Psoriatic Arthritis (GRAPPA): Updated treatment recommendations for psoriatic arthritis 2021. Nat Rev Rheumatol 18:465, 2022. Danve A et al: Treatment of axial spondyloarthritis: An update. Nat Rev Rheumatol 18:205, 2022. Gracey E et al. Revisiting the gut-joint axis: Links between gut inflam mation and spondyloarthritis. Nat Rev Rheumatol 16:415, 2020. Gracey E et al: Tendon and ligament mechanical loading in the pathogenesis of inflammatory arthritis. Nat Rev Rheumatol 16:193, 2020. Maksymowych WP et al: Data-driven definitions for active and structural MRI lesions in the sacroiliac joint in spondyloarthritis and their predictive utility. Rheumatology (Oxford) 60:4778, 2021. Moll JM et al: Psoriatic arthritis. Semin Arthritis Rheum 3:55, 1973. Rudwaleit M et al: The development of assessment of SpondyloAr thritis International Society classification criteria for axial spondy loarthritis (part II): Validation and final selection. Ann Rheum Dis 68:777, 2009. Schett G et al: Reframing immune-mediated inflammatory diseases </w:t>
      </w:r>
      <w:r w:rsidRPr="00A6019F">
        <w:lastRenderedPageBreak/>
        <w:t xml:space="preserve">through signature cytokine hubs. N Engl J Med 385:628, 2021. van der Linden S et al: Evaluation of diagnostic criteria for ankylos ing spondylitis: A proposal for modification of the New York criteria. Arthritis Rheum 27:361, 1984. Ward MM et al: 2019 update of the American College of Rheumatology/ Spondylitis Association of America/Spondyloarthritis Research and Treatment Network recommendations for the treatment of ankylosing spondylitis and non-radiographic axial spondyloarthritis. Arthritis Rheumatol 71:1519, 2019. 375 2893 The Vasculitis Syndromes Carol A. Langford, Anthony S. Fauci DEFINITION Vasculitis is a clinicopathologic process characterized by inflammation of and damage to blood vessels. The vessel lumen is usually compro mised, and this is associated with ischemia of the tissues supplied by the involved vessel. A broad and heterogeneous group of syndromes may result from this process, since any type, size, and location of blood vessel may be involved. Vasculitis and its consequences may be the primary or sole manifestation of a disease; alternatively, vasculitis may be a secondary component of another disease. Vasculitis may be confined to a single organ, such as the skin, or it may simultaneously involve several organ systems. CLASSIFICATION The vasculitic syndromes as a group have a great deal of heterogeneity while also possessing a considerable degree of overlap. Table 375-1 lists the major vasculitis syndromes. The distinguishing and overlapping features of these syndromes are discussed below. PATHOPHYSIOLOGY AND PATHOGENESIS Generally, most of the vasculitic syndromes are assumed to be medi ated at least in part by immunopathogenic mechanisms that occur in response to certain antigenic stimuli. However, evidence supporting this hypothesis is for the most part indirect and may reflect epiphe nomena as opposed to true causality. Furthermore, it is unknown why some individuals might develop vasculitis in response to certain antigenic stimuli, whereas others do not. It is likely that a number of factors are involved in the ultimate expression of a vasculitic syndrome. These include the genetic predisposition, environmental exposures, and the regulatory mechanisms associated with immune response to certain antigens. Although immune complex formation, antineutro phil cytoplasmic antibodies (ANCA), and pathogenic T lymphocyte responses (Table 375-2) have been among the prominent hypothesized mechanisms, the pathogenesis of individual forms of vasculitis remains complex and varied. TABLE 375-1 Vasculitis Syndromes PRIMARY VASCULITIS SYNDROMES Granulomatosis with polyangiitis Microscopic polyangiitis Eosinophilic granulomatosis with polyangiitis (Churg-Strauss) IgA vasculitis (Henoch-Schönlein) Cryoglobulinemic vasculitis Polyarteritis nodosa Kawasaki disease Giant cell arteritis Takayasu arteritis Behçet’s disease Cogan’s syndrome Single-organ vasculitis Cutaneous leukocytoclastic angiitis Cutaneous arteritis Primary central nervous system vasculitis Isolated aortitis SECONDARY VASCULITIS SYNDROMES Vasculitis associated with probable etiology Drug-induced vasculitis Hepatitis C virus–associated cryoglobulinemic vasculitis Hepatitis B virus–associated vasculitis Cancer-associated vasculitis Vasculitis associated with systemic disease Lupus vasculitis Rheumatoid vasculitis Sarcoid </w:t>
      </w:r>
      <w:r w:rsidRPr="00A6019F">
        <w:lastRenderedPageBreak/>
        <w:t xml:space="preserve">vasculitis Others Source: Adapted from JC Jennette et al: Arthritis Rheum 65:1, 2013. TABLE 375-2 Potential Mechanisms of Vessel Damage in Vasculitis Syndromes Pathogenic immune-complex formation and/or deposition IgA vasculitis (Henoch-Schönlein) Lupus vasculitis Serum sickness and cutaneous vasculitis syndromes Hepatitis C virus–associated cryoglobulinemic vasculitis Hepatitis B virus–associated vasculitis Production of antineutrophilic cytoplasmic antibodies Granulomatosis with polyangiitis Microscopic polyangiitis Eosinophilic granulomatosis with polyangiitis (Churg-Strauss) Pathogenic T lymphocyte responses and granuloma formation Giant cell arteritis Takayasu arteritis Granulomatosis with polyangiitis Eosinophilic granulomatosis with polyangiitis (Churg-Strauss) Source: Reproduced with permission from MC Sneller, AS Fauci: Pathogenesis of vasculitis syndromes. Med Clin North Am 81:221, 1997. </w:t>
      </w:r>
      <w:r w:rsidRPr="00A6019F">
        <w:rPr>
          <w:rFonts w:ascii="Arial" w:hAnsi="Arial" w:cs="Arial"/>
        </w:rPr>
        <w:t>■</w:t>
      </w:r>
      <w:r w:rsidRPr="00A6019F">
        <w:t xml:space="preserve">PATHOGENIC IMMUNE-COMPLEX FORMATION Deposition of immune complexes was the first and most widely accepted pathogenic mechanism of vasculitis. However, the causal role of immune complexes has not been clearly established in most of the vasculitic syndromes. Circulating immune complexes need not result in deposition of the complexes in blood vessels with ensuing vasculitis, and many patients with active vasculitis do not have demonstrable circulating or deposited immune complexes. The actual antigen con tained in the immune complex has only rarely been identified in vascu litic syndromes. In this regard, hepatitis B antigen has been identified in both the circulating and deposited immune complexes in a subset of patients who have features of a systemic vasculitis clinically similar to polyarteritis nodosa (see “Polyarteritis Nodosa”). Cryoglobulinemic vasculitis is strongly associated with hepatitis C virus infection; hepa titis C virions and hepatitis C virus antigen-antibody complexes have been identified in the cryoprecipitates of these patients (see “Cryo globulinemic Vasculitis”). The mechanisms of tissue damage in immune complex–mediated vasculitis resemble those described for serum sickness. In this model, antigen-antibody complexes are formed in antigen excess and are deposited in vessel walls whose permeability has been increased by vasoactive amines such as histamine, bradykinin, and leukotrienes released from platelets or from mast cells as a result of IgE-triggered mechanisms. The deposition of complexes results in activation of com plement components, particularly C5a, which is strongly chemotactic for neutrophils. These cells then infiltrate the vessel wall, phagocytose the immune complexes, and release their intracytoplasmic enzymes, which damage the vessel wall. As the process becomes subacute or chronic, mononuclear cells infiltrate the vessel wall resulting in com promise of the vessel lumen with ischemic changes in the tissues sup plied by the involved vessel. Several variables may explain why only certain types of immune complexes cause vasculitis and why only cer tain vessels are affected in individual patients. These include the ability of the reticuloendothelial system to clear circulating complexes from the blood, the size and physicochemical properties of immune com plexes, the relative degree of turbulence of blood flow, the intravascular hydrostatic pressure in different vessels, and the preexisting integrity of the vessel endothelium. </w:t>
      </w:r>
      <w:r w:rsidRPr="00A6019F">
        <w:rPr>
          <w:rFonts w:ascii="Arial" w:hAnsi="Arial" w:cs="Arial"/>
        </w:rPr>
        <w:lastRenderedPageBreak/>
        <w:t>■</w:t>
      </w:r>
      <w:r w:rsidRPr="00A6019F">
        <w:t xml:space="preserve">ANTINEUTROPHIL CYTOPLASMIC ANTIBODIES ANCA are antibodies directed against certain proteins in the cytoplasmic granules of neutrophils and monocytes. These auto antibodies are present in a high percentage of patients with active granulomatosis with polyangiitis and microscopic polyangiitis and in a lower percentage of patients with eosinophilic granulomatosis with polyangiitis. Because these diseases share the presence of ANCA CHAPTER 375 The Vasculitis Syndromes 2894 PART 11 Immune-Mediated, Inflammatory, and Rheumatologic Disorders and small-vessel vasculitis, they have been grouped collectively as “ANCA-associated vasculitis.” However, since these diseases possess unique clinical phenotypes, they should continue to be viewed as separate entities. There are two major categories of ANCA based on different targets for the antibodies. The terminology of cytoplasmic ANCA (cANCA) refers to the diffuse, granular cytoplasmic staining pattern observed by immunofluorescence microscopy when serum antibodies bind to indicator neutrophils. Proteinase-3, a 29-kDa neutral serine protein ase present in neutrophil azurophilic granules, is the major cANCA antigen. More than 90% of patients with active granulomatosis with polyangiitis have detectable antibodies to proteinase-3 (see below). The terminology of perinuclear ANCA (pANCA) refers to the more localized perinuclear or nuclear staining pattern of the indicator neu trophils. The major target for pANCA is the enzyme myeloperoxidase; other targets that can produce a pANCA pattern include elastase, cathepsin G, lactoferrin, lysozyme, and bactericidal/permeability increasing protein. However, only antibodies to myeloperoxidase have been convincingly associated with vasculitis. Antimyeloperoxidase antibodies have been reported in a variable percentage of patients with microscopic polyangiitis, eosinophilic granulomatosis with polyangi itis, isolated necrotizing crescentic glomerulonephritis, and granulo matosis with polyangiitis (see below). A pANCA pattern that is not due to antimyeloperoxidase antibodies has been associated with non vasculitic entities such as rheumatic and nonrheumatic autoimmune diseases, inflammatory bowel disease, certain drugs, and infections such as endocarditis and bacterial airway infections in patients with cystic fibrosis. It is unclear why patients with these vasculitis syndromes develop antibodies to myeloperoxidase or proteinase-3 or what role these antibodies play in disease pathogenesis. There are a number of in vitro observations that suggest possible mechanisms whereby these antibod ies can contribute to the pathogenesis of the vasculitis syndromes. Proteinase-3 and myeloperoxidase reside in the azurophilic granules and lysosomes of resting neutrophils and monocytes, where they are apparently inaccessible to serum antibodies. However, when neutro phils or monocytes are primed by tumor necrosis factor α (TNF-α) or interleukin 1 (IL-1), or activation of the alternative complement cascade, proteinase-3 and myeloperoxidase translocate to the cell membrane, where they can interact with extracellular ANCA. The neu trophils then degranulate and produce reactive oxygen species that can cause tissue damage. Furthermore, ANCA-activated neutrophils can adhere to and kill endothelial cells in vitro. Activation of neutrophils and monocytes by ANCA also induces the release of </w:t>
      </w:r>
      <w:r w:rsidRPr="00A6019F">
        <w:lastRenderedPageBreak/>
        <w:t xml:space="preserve">proinflamma tory cytokines such as IL-1 and IL-8. Adoptive transfer experiments in genetically engineered mice provide further evidence for a direct pathogenic role of ANCA in vivo. In contradiction, however, a number of clinical and laboratory observations argue against a primary patho genic role for ANCA. Patients may have active granulomatosis with polyangiitis in the absence of ANCA; the absolute height of the anti body titers does not correlate well with disease activity; and patients with granulomatosis with polyangiitis in remission may continue to have high ANCA levels for years (see below). </w:t>
      </w:r>
      <w:r w:rsidRPr="00A6019F">
        <w:rPr>
          <w:rFonts w:ascii="Arial" w:hAnsi="Arial" w:cs="Arial"/>
        </w:rPr>
        <w:t>■</w:t>
      </w:r>
      <w:r w:rsidRPr="00A6019F">
        <w:t xml:space="preserve">PATHOGENIC T LYMPHOCYTE RESPONSES AND GRANULOMA FORMATION The histopathologic feature of granulomatous vasculitis has provided evidence to support a role of pathogenic T lymphocyte responses and cell-mediated immune injury. Vascular endothelial cells can express human leukocyte antigen (HLA) class II molecules following activa tion by cytokines such as interferon (IFN) γ. This allows these cells to participate in immunologic reactions such as interaction with CD4+ T lymphocytes in a manner similar to antigen-presenting macrophages. Endothelial cells can secrete IL-1, which may activate T lymphocytes and initiate or propagate in situ immunologic processes within the blood vessel. In addition, IL-1 and TNF-α are potent inducers of endothelial-leukocyte adhesion molecule 1 (ELAM-1) and vascular cell adhesion molecule 1 (VCAM-1), which may enhance the adhesion of leukocytes to endothelial cells in the blood vessel wall. APPROACH TO THE PATIENT General Principles of Diagnosis The diagnosis of vasculitis should be considered in any patient with an unexplained systemic illness. However, there are certain clinical features that should suggest a diagnosis of vasculitis. These include palpable purpura, pulmonary infiltrates and microscopic hematuria, chronic sinusitis, mononeuritis multiplex, unexplained ischemic events, and glomerulonephritis with evidence of multi system disease. As a number of nonvasculitic diseases may also produce these abnormalities, the first step in the workup of a patient with suspected vasculitis is to exclude other diseases that can mimic vasculitis (Table 375-3). It is particularly important to exclude infectious diseases with features that overlap those of vasculitis, especially if the patient’s clinical condition is deteriorat ing rapidly and empirical immunosuppressive treatment is being contemplated. Once diseases that mimic vasculitis have been excluded, the workup should follow a series of progressive steps that establish the diagnosis of vasculitis and determine, where possible, the category of the vasculitis syndrome (Fig. 375-1). This approach is of consid erable importance since several of the vasculitis syndromes require aggressive therapy with glucocorticoids and other immunosuppres sive agents, whereas other syndromes usually resolve spontaneously and require symptomatic treatment only. The definitive diagnosis of vasculitis is usually made based on biopsy of involved tissue. The yield of “blind” biopsies of organs with no subjective or objec tive evidence of involvement is very low and should be avoided. TABLE 375-3 Conditions That Can Mimic Vasculitis Infectious Diseases Bacterial endocarditis Disseminated gonococcal infection Pulmonary histoplasmosis Coccidioidomycosis Syphilis Lyme disease Rocky Mountain spotted </w:t>
      </w:r>
      <w:r w:rsidRPr="00A6019F">
        <w:lastRenderedPageBreak/>
        <w:t xml:space="preserve">fever Whipple’s disease Coagulopathies/Thrombotic Microangiopathies Antiphospholipid syndrome Thrombotic thrombocytopenic purpura Neoplasms Atrial myxoma Lymphoma Carcinomatosis Drug Toxicity Cocaine Levamisole Amphetamines Ergot alkaloids Methysergide Arsenic Other Sarcoidosis Atheroembolic disease Antiglomerular basement membrane disease (Goodpasture’s syndrome) Amyloidosis Migraine Fibromuscular dysplasia Heritable disorders of connective tissue Segmental arterial mediolysis (SAM) Reversible cerebral vasoconstrictive syndrome 2895 Presentation of patient with suspected vasculitis Clinical findings Laboratory workup Establish diagnosis Biopsy Angiogram where appropriate Properly categorize to a specific vasculitis syndrome Characteristic syndrome (i.e., granulomatosis with polyangiitis PAN, Takayasu arteritis) Treat vasculitis Look for offending antigen Yes Remove antigen Syndrome resolves Yes No further action Determine pattern and extent of disease Look for underlying disease No No Yes N o Treat underlying disease Treat vasculitis FIGURE 375-1 Algorithm for the approach to a patient with suspected diagnosis of vasculitis. PAN, polyarteritis nodosa. When syndromes such as polyarteritis nodosa, Takayasu arteri tis, or primary central nervous system (CNS) vasculitis are sus pected, arteriogram of organs with suspected involvement should be performed. GENERAL PRINCIPLES OF TREATMENT Once a diagnosis of vasculitis has been established, a decision regarding therapeutic strategy must be made (Fig. 375-1). If an offending antigen that precipitates the vasculitis is recognized, the antigen should be removed where possible. If the vasculitis is associated with an underlying disease such as an infection, neo plasm, or connective tissue disease, the underlying disease should be treated. If the syndrome represents a primary vasculitic disease, treatment should be initiated according to the category of the vasculitis syndrome. Specific therapeutic regimens are discussed below for the individual vasculitis syndromes; however, certain general principles regarding therapy should be considered. Deci sions regarding treatment should be based on the use of regimens for which there has been published literature supporting efficacy for that particular vasculitic disease. Since the potential toxic side effects of certain therapeutic regimens may be substantial, the risk versus-benefit ratio of any therapeutic approach should be weighed carefully. Glucocorticoids and/or other immunosuppressive agents should be instituted immediately in diseases where irreversible organ system dysfunction and high morbidity and mortality rates have been clearly established. Granulomatosis with polyangiitis is the prototype of a severe systemic vasculitis requiring such a therapeutic approach (see below). Conversely, aggressive therapy should be avoided for vasculitic manifestations that rarely result in irreversible organ system dysfunction such as isolated idiopathic cutaneous vasculitis. Glucocorticoids should be initiated in those systemic vasculitides that cannot be specifically categorized or for which there is no established standard therapy, with other immu nosuppressive agents being added if an adequate response does not result or if remission can only be achieved and maintained with an unacceptably toxic regimen of glucocorticoids. Following improve ment, one </w:t>
      </w:r>
      <w:r w:rsidRPr="00A6019F">
        <w:lastRenderedPageBreak/>
        <w:t xml:space="preserve">should continually attempt to taper glucocorticoids and discontinue when possible. When using other immunosuppressive regimens, one should base the choice of agent upon the available therapeutic data supporting efficacy in that disease, the site and severity of organ involvement, and the toxicity profile of the drug. Most forms of vasculitis carry the potential for relapse such that treatment planning needs to include assessment of relapse risk for that vasculitis and the medication regimen being used. Physicians should be thoroughly aware of the acute and long term side effects associated with the agents that are commonly used to treat different forms of vasculitis (Table 375-4). Morbidity and mortality can occur as a result of treatment, and strategies to monitor for and prevent toxicity represent an essential part of patient care. Addressing the risk of bone loss is important in all patients receiving glucocorticoids. Daily cyclophosphamide should be taken all at once in the morning with a large amount of fluid throughout the day to reduce the risk of bladder injury, and monitoring for bladder cancer should continue indefinitely. Maintaining the white blood cell (WBC) count at &gt;3000/μL and the neutrophil count at &gt;1500/μL is essential to reduce the risk of life-threatening infections. Monitoring of the complete blood count every 1–2 weeks for as long as the patient receives cyclo phosphamide can effectively prevent cytopenias. Methotrexate, azathioprine, and mycophenolate mofetil are also associated with bone marrow suppression, and complete blood counts should be obtained every 1–2 weeks for the first 1–2 months after their initia tion and once a month thereafter. To lessen toxicity, methotrexate is often given together with folic acid, 1 mg daily, or folinic acid, 5–10 mg once a week 24 h following methotrexate. Methotrexate is eliminated by the kidney and contraindicated in renal insufficiency as this increases the risk for toxicity. Prior to initiation of azathio prine, thiopurine methyltransferase (TPMT), an enzyme involved in the metabolism of azathioprine, should be assayed because inad equate levels may result in severe cytopenia. Rituximab can be associated with infusion reactions. In addition to administering this within a skilled infusion center, these reac tions can be lessened by the use of premedications. There is a risk of hepatitis B reactivation with rituximab such that all patients should be screened for this infection prior to its use. Immunoglobulins should be monitored with rituximab use. Tocilizumab and sarilumab are associated with cytopenias, hepa totoxicity, and hyperlipidemia. Laboratory monitoring for drug toxicity should be performed 4–8 weeks after start of therapy and every 3 months thereafter. Infection represents a significant toxicity for all vasculitis patients treated with immunosuppressive therapy. Infections with Pneumo cystis jirovecii and certain fungi can be seen even when the WBC count is within normal limits, particularly in patients receiving glucocorticoids. Use of prophylactic therapy to prevent P. jirovecii infection should be based on the treatment regimen being used. Patients with granulomatosis with polyangiitis or microscopic poly angiitis who are receiving induction treatment with glucocorticoids in combination with another immunosuppressive agent should receive trimethoprim-sulfamethoxazole (TMP-SMX) or a different preventive medication. Continuation of Pneumocystis prophylaxis during </w:t>
      </w:r>
      <w:r w:rsidRPr="00A6019F">
        <w:lastRenderedPageBreak/>
        <w:t xml:space="preserve">maintenance therapy should be strongly considered in most patients, particularly for those receiving rituximab or who have persistent lymphopenia. In recent years, national and regional organizations have pub lished treatment guidelines that can provide additional direction to clinicians. It should be emphasized that each patient is unique and requires individual decision-making. Information from guidelines as well as this chapter should serve as a framework for the applica tion of evidence-based approaches with incorporation of patient specific goals to provide maximal therapeutic efficacy with minimal toxic side effects. CHAPTER 375 The Vasculitis Syndromes 2896 PART 11 Immune-Mediated, Inflammatory, and Rheumatologic Disorders GRANULOMATOSIS WITH POLYANGIITIS </w:t>
      </w:r>
      <w:r w:rsidRPr="00A6019F">
        <w:rPr>
          <w:rFonts w:ascii="Arial" w:hAnsi="Arial" w:cs="Arial"/>
        </w:rPr>
        <w:t>■</w:t>
      </w:r>
      <w:r w:rsidRPr="00A6019F">
        <w:t xml:space="preserve">DEFINITION Granulomatosis with polyangiitis is a distinct clinicopathologic entity characterized by granulomatous vasculitis of the upper and lower respiratory tracts together with glomerulonephritis. In addition, vari able degrees of disseminated vasculitis involving both small arteries and veins may occur. </w:t>
      </w:r>
      <w:r w:rsidRPr="00A6019F">
        <w:rPr>
          <w:rFonts w:ascii="Arial" w:hAnsi="Arial" w:cs="Arial"/>
        </w:rPr>
        <w:t>■</w:t>
      </w:r>
      <w:r w:rsidRPr="00A6019F">
        <w:t xml:space="preserve">INCIDENCE AND PREVALENCE Granulomatosis with polyangiitis has an estimated prevalence of 3 per 100,000. It is extremely rare in blacks compared with whites; the male-to-female ratio is 1:1. The disease can be seen at any age; ~15% of patients are 10% body weight) Peripheral neuropathy Central nervous system disease Pericarditis Hyperthyroidism 32 23 19 13 15 1 1 2 1 67 50 46 46 35 15 8 6 3 aFewer than 1% had parotid, pulmonary artery, breast, or lower genitourinary (urethra, cervix, vagina, testicular) involvement. Source: GS Hoffman et al: Ann Intern Med 116:488, 1992. antiproteinase-3 ANCA. However, in the absence of active disease, the sensitivity drops to ~60–70%. A small percentage of patients with granulomatosis with polyangiitis may have antimyeloperoxidase rather than antiproteinase-3 antibodies, and up to 20% may lack ANCA. Patients with granulomatosis with polyangiitis have been found to have an increased incidence of venous thrombotic events. Although routine anticoagulation for all patients is not recommended, a height ened awareness for any clinical features suggestive of deep-vein throm bosis or pulmonary emboli is warranted. </w:t>
      </w:r>
      <w:r w:rsidRPr="00A6019F">
        <w:rPr>
          <w:rFonts w:ascii="Arial" w:hAnsi="Arial" w:cs="Arial"/>
        </w:rPr>
        <w:t>■</w:t>
      </w:r>
      <w:r w:rsidRPr="00A6019F">
        <w:t xml:space="preserve">DIAGNOSIS The diagnosis of granulomatosis with polyangiitis can be established by the demonstration of necrotizing granulomatous vasculitis on tis sue biopsy in a patient with compatible clinical features. Pulmonary tissue offers the highest diagnostic yield, almost invariably revealing granulomatous vasculitis. Biopsy of upper airway tissue usually reveals acute and chronic inflammation but can show granulomas and/or vas culitis. Renal biopsy can confirm a pauci-immune glomerulonephritis 2898 PART 11 Immune-Mediated, Inflammatory, and Rheumatologic Disorders (Chaps. A4 and A14), which differentiates this from other causes of glomerular disease (Chap. 326). The utility of ANCA in diagnosis varies based on the clinical pre sentation. The predictive value of a positive ANCA is 90% in patients with active glomerulonephritis. However, in patients who present with sinus and/or lung disease where renal disease is absent, this decreases to 30–60%. Tissue biopsy is typically necessary in these settings to rule out infection or malignancy, which can have a similar presentation and be associated with a false-positive ANCA. Biopsy should also be pur sued when clinically inconsistent </w:t>
      </w:r>
      <w:r w:rsidRPr="00A6019F">
        <w:lastRenderedPageBreak/>
        <w:t xml:space="preserve">features are present or when ANCA is absent. In its typical presentation, the clinicopathologic complex of granu lomatosis with polyangiitis usually provides ready differentiation from other disorders. However, if all the typical features are not present at once, it needs to be differentiated from the other vasculitides, anti glomerular basement membrane disease (Goodpasture’s syndrome) (Chap. 326), relapsing polychondritis (Chap. 378), tumors of the upper airway or lung, and infectious diseases such as histoplasmosis (Chap. 218), endocarditis (Chap. 133), mucocutaneous leishmaniasis (Chap. 233), and rhinoscleroma (Chap. 166) as well as noninfectious granulomatous diseases. Of particular note is the differentiation from other midline destruc tive diseases. These diseases lead to extreme tissue destruction and mutilation localized to the midline upper airway structures including the sinuses; erosion through the skin of the face commonly occurs, a feature that is extremely rare in granulomatosis with polyangiitis. Although blood vessels may be involved in the intense inflammatory reaction and necrosis, primary vasculitis is not seen. Upper airway neo plasms and specifically extranodal natural killer (NK)/T-cell lymphoma (nasal type) are important causes of midline destructive disease. These lesions are diagnosed based on histology, which reveals polymorphous atypical lymphoid cells with an NK cell immunophenotype, typi cally Epstein-Barr virus (Chap. 199). Such cases are treated based on their degree of dissemination, and localized lesions have responded to irradiation. Upper airway lesions should never be irradiated in granulomatosis with polyangiitis. Cocaine-induced tissue injury can be another important mimic of granulomatosis with polyangiitis in patients who present with isolated midline destructive disease. ANCA that target human neutrophil elastase can be found in patients with cocaine-induced midline destructive lesions and can complicate the differentiation from granulomatosis with polyangiitis. This has been further confounded by the high frequency of levamisole adulteration of cocaine, which can result in cutaneous infarction and serologic changes that may mimic vasculitis. Granulocytopenia is a common finding in levamisole-induced disease that is not associated with granulomatosis with polyangiitis. Granulomatosis with polyangiitis must also be differentiated from lymphomatoid granulomatosis, which is an Epstein-Barr virus–positive B-cell proliferation that is associated with an exuberant T-cell reaction. Lymphomatoid granulomatosis is characterized by lung, skin, CNS, and kidney involvement in which atypical lymphocytoid and plasma cytoid cells infiltrate nonlymphoid tissue in an angioinvasive manner. In this regard, it clearly differs from granulomatosis with polyangiitis in that it is not an inflammatory vasculitis in the classic sense but an angiocentric perivascular infiltration of atypical mononuclear cells. Up to 50% of patients may develop a true malignant lymphoma. TREATMENT Granulomatosis with Polyangiitis Prior to the introduction of effective therapy, granulomatosis with polyangiitis was universally fatal within a few months of diagnosis. Glucocorticoids alone led to some symptomatic improvement, with little effect on the ultimate course of the disease. The develop ment of treatment with cyclophosphamide dramatically </w:t>
      </w:r>
      <w:r w:rsidRPr="00A6019F">
        <w:lastRenderedPageBreak/>
        <w:t xml:space="preserve">changed patient outcome such that marked improvement was seen in &gt;90% of patients, complete remission was seen in 75% of patients, and 5-year patient survival was seen in &gt;80%. Despite the ability to successfully induce remission, 50–70% of remissions are later associated with one or more relapses. The determination of relapse should be based on objective evidence of disease activity, taking care to rule out other features that may have a similar appearance such as infection, medication toxicity, or chronic disease sequelae. Many patients who achieve remission continue to have a positive ANCA for years, and changes in ANCA should not be used as a measure of disease activity. Results from a large prospective study found that only 43% of patients relapsed within 1 year of an increase in ANCA levels. Thus, a rise in ANCA by itself is not a harbinger of immediate disease relapse and should not lead to reinstitution or increase in immunosuppressive therapy. Reinduction of remission after relapse is almost always achieved; however, a high percentage of patients ultimately have some degree of damage from irreversible features of their disease, such as vary ing degrees of renal insufficiency, neurologic impairment, hearing loss, subglottic stenosis, saddle nose deformity, and chronic sinus dysfunction. Patients who developed irreversible renal failure but who achieved subsequent remission have undergone successful renal transplantation. Treatment of granulomatosis with polyangiitis is viewed as hav ing two phases: induction, where active disease is put into remis sion, followed by maintenance. Decisions regarding induction and maintenance agents are guided by published data, individual patient factors that include contraindications, relapse history, and comor bidities, and stratification based on disease severity. Severe disease is associated with life- or organ-threatening manifestations and is based not only on the degree of involvement but also the organ affected. Pulmonary involvement can be nonsevere when present ing as nodular disease without respiratory compromise or severe in the setting of alveolar hemorrhage. In contrast, active glomerulo nephritis is always considered to be severe disease even when renal function remains normal. REMISSION INDUCTION OF SEVERE DISEASE Regimens to induce remission of severe active disease consist of either cyclophosphamide or rituximab given in combination with glucocor ticoids and consideration of adjunctive avacopan. Glucocorticoids were historically given as prednisone 1 mg/kg per day for the first month, followed by tapering. In a randomized trial, use of a reduced dose glucocorticoid regimen was noninferior to a standard-dose regi men and was associated with a lower rate of serious infection. Avacopan (a C5a receptor inhibitor) was investigated in a ran domized trial as an alternative to glucocorticoids in patients receiv ing induction with either cyclophosphamide or rituximab. At 52 weeks, sustained remission was higher in those who received avacopan as compared to prednisone with a similar rate of serious adverse events. Although glucocorticoids were given within the first few weeks to most patients receiving avacopan, glucocorticoid exposure in the avacopan group remained markedly less than those randomized to the prednisone treatment arm. This supported that glucocorticoids can be rapidly withdrawn in patients with severe active disease </w:t>
      </w:r>
      <w:r w:rsidRPr="00A6019F">
        <w:lastRenderedPageBreak/>
        <w:t xml:space="preserve">receiving avacopan together with either rituximab or cyclophosphamide. In patients presenting with disease that is life-threatening, meth ylprednisolone 1000 mg daily for 3 days has been used. Adjunctive plasma exchange was found to provide no added benefit in reduc ing the composite outcome of end-stage renal disease or death in a large, randomized trial. Whether it may still play a role in selected patients with the most fulminant disease remains controversial. Although a low number of patients in this trial were enrolled with alveolar hemorrhage requiring mechanical ventilation, a retrospec tive study also showed no benefit. From a meta-analysis, patients with active glomerulonephritis and serum creatinine &gt;5.7 mg/dL who received plasma exchange had improvement in renal func tion but an increased risk of serious infection. Plasma exchange should be used in patients with granulomatosis with polyangiitis or microscopic polyangiitis who are also positive for antiglomerular basement membrane autoantibody (Chap. 326). When plasma 2899 exchange is used concurrently with rituximab, these treatments must be separated by at least 48 h to avoid removal of rituximab. CYCLOPHOSPHAMIDE INDUCTION FOR SEVERE DISEASE Daily cyclophosphamide combined with glucocorticoids was the first regimen proven to effectively induce remission and prolong survival. Cyclophosphamide is given in doses of 2 mg/kg per day orally, but because it is renally eliminated, dosage reduction should be consid ered in patients with renal insufficiency. Although we continue to favor the use of daily cyclophosphamide, a randomized trial found IV cyclophosphamide 15 mg/kg, three infusions given every 2 weeks, then every 3 weeks thereafter, to have a similar rate of remission but higher frequency of relapse compared to cyclophosphamide 2 mg/kg daily given for 3 months followed by 1.5 mg/kg daily. Although leu kopenia occurred more often with daily cyclophosphamide, this was likely related to a reduced frequency of blood count monitoring after the first month. RITUXIMAB INDUCTION FOR SEVERE DISEASE Rituximab (anti-CD20) has been of proven effectiveness for the treatment of granulomatosis with polyangiitis and microscopic poly angiitis. In two randomized trials that enrolled patients with severe active granulomatosis with polyangiitis or microscopic polyangiitis, rituximab 375 mg/m2 once a week for 4 weeks in combination with glucocorticoids was found to be as effective as cyclophosphamide with glucocorticoids for inducing disease remission. In the trial that also enrolled patients with relapsing disease, rituximab was found to be statistically superior to cyclophosphamide. Although rituximab does not have the bladder toxicity or infertility risks of cyclophospha mide, in both randomized trials, the rate of adverse events was similar in the rituximab and cyclophosphamide arms. The decision about whether to utilize cyclophosphamide or rituximab for remission induction must be individually based. Factors to consider include disease severity, whether the patient has newly diagnosed or relapsing disease, medication contraindica tions, and individual patient factors particularly fertility concerns and risk factors for toxicity. In patients with rapidly progressive glomerulonephritis with a creatinine &gt;4.0 mg/dL or pulmonary hemorrhage requiring mechanical ventilation, daily cyclophospha </w:t>
      </w:r>
      <w:r w:rsidRPr="00A6019F">
        <w:lastRenderedPageBreak/>
        <w:t xml:space="preserve">mide and glucocorticoids may be favored. There has been no evidence to date that using cyclophosphamide and rituximab together for induction is more efficacious, and com bined use raises concern for additive toxicity, particularly infection. However, in instances of toxicity or rare occurrences of inefficacy, there may be a need to switch from cyclophosphamide to rituximab or vice versa. REMISSION MAINTENANCE OF SEVERE DISEASE When cyclophosphamide is given for induction, it should be stopped after 3–6 months and switched to another agent for remis sion maintenance. Medications used in this setting with which there has been published experience from randomized trials are rituximab, azathioprine, methotrexate, and mycophenolate mofetil. A lower rate of relapse was seen with rituximab given at 500 mg for two doses followed by 500 mg every 6 months when compared to azathioprine 2 mg/kg per day. In a randomized trial comparing methotrexate to azathioprine for remission maintenance, similar rates of toxicity and relapse were seen. Methotrexate is administered orally or subcutaneously at a starting dose of 15 mg/week, which is increased by 2.5 mg every 2 weeks up to a dosage of 20–25 mg/week. In patients who are unable to receive methotrexate or azathioprine or who have experienced relapse on such treatment, mycophenolate mofetil 1000 mg twice a day may also sustain remission, but it is associated with a higher rate of relapse compared to azathioprine. For patients who receive rituximab for remission induction, a randomized trial found that rituximab had a lower rate of relapse compared to azathioprine. Although rituximab maintenance doses have not been directly compared, use of 1000 mg every 4 months in this trial was not found to be associated with a longer length of sustained remission after discontinuation. The optimal duration of maintenance therapy is uncertain. With regard to glucocorticoids, it has been unclear whether maintaining patients on prednisone 5 mg/d has greater risks or benefits. Main tenance therapy with azathioprine, methotrexate, or mycophenolate mofetil is usually given for a minimum of 2 years. Because there is evidence that the risk of relapse is higher once maintenance medi cation has been stopped, the decision is individualized regarding whether to continue treatment or taper these agents over a 6- to 12-month period until discontinuation. Patients with significant organ damage or a history of relapse may benefit from longer-term maintenance therapy. Although rituximab has been found to have a lower relapse rate, studies have similarly shown that relapses occur once treatment is discontinued. Longer term use of rituximab can be associated with hypogammaglobulinemia such that the decision for how long to continue this agent beyond 2 years must be weighed in each patient. REMISSION INDUCTION AND MAINTENANCE OF NONSEVERE DISEASE For patients whose disease is not immediately organ- or life-threat ening, methotrexate or mycophenolate mofetil together with gluco corticoids, often initiated at a lower dose, may be given to induce and then maintain remission. Rituximab can also be used in this setting weighing the risks and benefits. Treatment with cyclophos phamide is rarely, if ever, justified for the treatment of nonsevere granulomatosis with polyangiitis. There have been no published studies to date with the use of avacopan in nonsevere disease. </w:t>
      </w:r>
      <w:r w:rsidRPr="00A6019F">
        <w:lastRenderedPageBreak/>
        <w:t xml:space="preserve">OTHER BIOLOGIC AGENTS Etanercept (TNF inhibitor) was not found to sustain remission when used adjunctively to standard therapy and should not be used in granulomatosis with polyangiitis. Belimumab (anti-B lymphocyte stimulator) was examined as an adjunctive therapy to azathioprine for remission maintenance but showed no added benefit in reducing the risk of relapse. Abatacept (CTLA4-Ig) was examined in a randomized trial in patients with nonsevere relaps ing disease where it did not reduce the risk of relapse, disease worsening, or failure to achieve remission. ORGAN-SPECIFIC TREATMENT Not all manifestations of granulomatosis with polyangiitis require or respond to immunosuppressive therapy, and differentiation of active disease from damage is necessary. As sinus disease can dis rupt the mucociliary barrier, patients should be instructed on the use of local care with moisturization and humidification. Although certain reports have indicated that TMP-SMX may be of benefit in the treatment of granulomatosis with polyangiitis isolated to the sinonasal tissues, it should never be used alone to treat active granulomatosis with polyangiitis involving other organs. Subglot tic stenosis can often scar and responds optimally to nonmedical intervention with dilation and glucocorticoid injection. MICROSCOPIC POLYANGIITIS </w:t>
      </w:r>
      <w:r w:rsidRPr="00A6019F">
        <w:rPr>
          <w:rFonts w:ascii="Arial" w:hAnsi="Arial" w:cs="Arial"/>
        </w:rPr>
        <w:t>■</w:t>
      </w:r>
      <w:r w:rsidRPr="00A6019F">
        <w:t xml:space="preserve">DEFINITION The term microscopic polyarteritis was introduced into the literature by Davson in 1948 in recognition of the presence of glomerulonephritis in patients with polyarteritis nodosa. In 1992, the Chapel Hill Consen sus Conference on the Nomenclature of Systemic Vasculitis adopted the term microscopic polyangiitis to connote a necrotizing vasculitis with few or no immune complexes affecting small vessels (capillar ies, venules, or arterioles). Glomerulonephritis is very common in microscopic polyangiitis, and pulmonary capillaritis often occurs. The absence of granulomatous inflammation in microscopic polyangiitis is said to differentiate it from granulomatosis with polyangiitis. </w:t>
      </w:r>
      <w:r w:rsidRPr="00A6019F">
        <w:rPr>
          <w:rFonts w:ascii="Arial" w:hAnsi="Arial" w:cs="Arial"/>
        </w:rPr>
        <w:t>■</w:t>
      </w:r>
      <w:r w:rsidRPr="00A6019F">
        <w:t>INCIDENCE AND PREVALENCE The incidence of microscopic polyangiitis is estimated to be 3</w:t>
      </w:r>
      <w:r w:rsidRPr="00A6019F">
        <w:rPr>
          <w:rFonts w:ascii="Aptos" w:hAnsi="Aptos" w:cs="Aptos"/>
        </w:rPr>
        <w:t>–</w:t>
      </w:r>
      <w:r w:rsidRPr="00A6019F">
        <w:t xml:space="preserve">5/100,000. The mean age of onset is ~57 years, and males are slightly more frequently affected than females. CHAPTER 375 The Vasculitis Syndromes </w:t>
      </w:r>
      <w:r w:rsidRPr="00A6019F">
        <w:rPr>
          <w:rFonts w:ascii="Arial" w:hAnsi="Arial" w:cs="Arial"/>
        </w:rPr>
        <w:t>■</w:t>
      </w:r>
      <w:r w:rsidRPr="00A6019F">
        <w:t xml:space="preserve">PATHOLOGY AND PATHOGENESIS 2900 PART 11 Immune-Mediated, Inflammatory, and Rheumatologic Disorders Microscopic polyangiitis has a predilection to involve capillaries and venules in addition to small- and medium-sized arteries. Immunohis tochemical staining reveals a paucity of immunoglobulin deposition in the vascular lesion of microscopic polyangiitis, suggesting that immune-complex formation does not play a role in the pathogenesis of this syndrome. The renal lesion seen in microscopic polyangiitis is histologically identical to that of granulomatosis with polyangiitis. Like granulomatosis with polyangiitis, microscopic polyangiitis is highly associated with ANCA, which may play a role in pathogenesis of this syndrome (see above). </w:t>
      </w:r>
      <w:r w:rsidRPr="00A6019F">
        <w:rPr>
          <w:rFonts w:ascii="Arial" w:hAnsi="Arial" w:cs="Arial"/>
        </w:rPr>
        <w:t>■</w:t>
      </w:r>
      <w:r w:rsidRPr="00A6019F">
        <w:t xml:space="preserve">CLINICAL AND LABORATORY MANIFESTATIONS Because of its predilection to involve the small vessels, microscopic polyangiitis and granulomatosis with polyangiitis share similar clinical features. Disease onset may be gradual, with initial symptoms of fever, weight loss, and musculoskeletal pain; however, it is often acute. Glo merulonephritis occurs in at least 79% of patients and can be </w:t>
      </w:r>
      <w:r w:rsidRPr="00A6019F">
        <w:lastRenderedPageBreak/>
        <w:t xml:space="preserve">rapidly progressive, leading to renal failure. Hemoptysis may be the first symp tom of alveolar hemorrhage, which occurs in 12% of patients. Other manifestations include mononeuritis multiplex and gastrointestinal tract and cutaneous vasculitis. Upper airway disease and pulmonary nodules are not typically found in microscopic polyangiitis and, if pres ent, suggest granulomatosis with polyangiitis. Features of inflammation may be seen, including an elevated ESR and/or CRP, anemia, leukocytosis, and thrombocytosis. ANCA are present in 75% of patients with microscopic polyangiitis, with antimy eloperoxidase antibodies being the predominant antigen association. </w:t>
      </w:r>
      <w:r w:rsidRPr="00A6019F">
        <w:rPr>
          <w:rFonts w:ascii="Arial" w:hAnsi="Arial" w:cs="Arial"/>
        </w:rPr>
        <w:t>■</w:t>
      </w:r>
      <w:r w:rsidRPr="00A6019F">
        <w:t xml:space="preserve">DIAGNOSIS The diagnosis is based on histologic evidence of vasculitis or pauci immune glomerulonephritis in a patient with compatible clinical features of multisystem disease. Although microscopic polyangiitis is strongly ANCA-associated, tissue biopsy should continue to be pur sued in patients who do not have a clinically compatible picture. TREATMENT Microscopic Polyangiitis The 5-year survival rate for patients with treated microscopic poly angiitis is 74%, with disease-related mortality occurring from alveo lar hemorrhage or gastrointestinal, cardiac, or renal disease. Studies on treatment have come from trials that have included patients with granulomatosis with polyangiitis or microscopic polyangiitis. Currently, the treatment approach for microscopic polyangiitis is the same as is used for granulomatosis with polyangiitis (see “Granulomatosis with Polyangiitis” for a detailed description of this therapeutic regimen). Disease relapse has been observed in at least 34% of patients. Treatment for such relapses would be based on site and severity of disease. EOSINOPHILIC GRANULOMATOSIS WITH POLYANGIITIS (CHURG-STRAUSS) </w:t>
      </w:r>
      <w:r w:rsidRPr="00A6019F">
        <w:rPr>
          <w:rFonts w:ascii="Arial" w:hAnsi="Arial" w:cs="Arial"/>
        </w:rPr>
        <w:t>■</w:t>
      </w:r>
      <w:r w:rsidRPr="00A6019F">
        <w:t xml:space="preserve">DEFINITION Eosinophilic granulomatosis with polyangiitis was described in 1951 by Churg and Strauss and is characterized by asthma, peripheral and tissue eosinophilia, extravascular granuloma formation, and vasculitis of multiple organ systems. </w:t>
      </w:r>
      <w:r w:rsidRPr="00A6019F">
        <w:rPr>
          <w:rFonts w:ascii="Arial" w:hAnsi="Arial" w:cs="Arial"/>
        </w:rPr>
        <w:t>■</w:t>
      </w:r>
      <w:r w:rsidRPr="00A6019F">
        <w:t>INCIDENCE AND PREVALENCE Eosinophilic granulomatosis with polyangiitis is an uncommon disease with an estimated annual incidence of 1</w:t>
      </w:r>
      <w:r w:rsidRPr="00A6019F">
        <w:rPr>
          <w:rFonts w:ascii="Aptos" w:hAnsi="Aptos" w:cs="Aptos"/>
        </w:rPr>
        <w:t>–</w:t>
      </w:r>
      <w:r w:rsidRPr="00A6019F">
        <w:t xml:space="preserve">3 per million. The disease can occur at any age with the possible exception of infants. The mean age of onset is 48 years, with a female-to-male ratio of 1.2:1. </w:t>
      </w:r>
      <w:r w:rsidRPr="00A6019F">
        <w:rPr>
          <w:rFonts w:ascii="Arial" w:hAnsi="Arial" w:cs="Arial"/>
        </w:rPr>
        <w:t>■</w:t>
      </w:r>
      <w:r w:rsidRPr="00A6019F">
        <w:t xml:space="preserve">PATHOLOGY AND PATHOGENESIS The necrotizing vasculitis of eosinophilic granulomatosis with polyan giitis involves small- and medium-sized muscular arteries, capillaries, veins, and venules. A characteristic histopathologic feature of eosino philic granulomatosis with polyangiitis is granuloma that may be present in the tissues or even within the walls of the vessels them selves. These are usually associated with infiltration of the tissues with eosinophils. This process can occur in any organ in the body; lung involvement is predominant, with skin, cardiovascular system, kidney, peripheral nervous system, and gastrointestinal tract also commonly involved. Although the precise pathogenesis of this disease is uncer tain, its strong association with asthma and its clinicopathologic mani festations, including eosinophilia, granuloma, and vasculitis, point to aberrant immunologic phenomena. </w:t>
      </w:r>
      <w:r w:rsidRPr="00A6019F">
        <w:rPr>
          <w:rFonts w:ascii="Arial" w:hAnsi="Arial" w:cs="Arial"/>
        </w:rPr>
        <w:t>■</w:t>
      </w:r>
      <w:r w:rsidRPr="00A6019F">
        <w:t xml:space="preserve">CLINICAL AND LABORATORY MANIFESTATIONS Patients with eosinophilic granulomatosis with polyangiitis often exhibit nonspecific manifestations </w:t>
      </w:r>
      <w:r w:rsidRPr="00A6019F">
        <w:lastRenderedPageBreak/>
        <w:t xml:space="preserve">such as fever, malaise, anorexia, and weight loss, which are characteristic of a multisystem disease. The pulmonary findings in eosinophilic granulomatosis with polyangiitis dominate the clinical picture with asthmatic attacks and the presence of pulmonary infiltrates. Mononeuritis multiplex is the second most common manifestation and occurs in up to 72% of patients. Allergic rhinitis and sinusitis develop in up to 61% of patients and are often observed early in the course of disease. Clinically recognizable heart disease with myocarditis, pericarditis, endocarditis, or coronary vascu litis occurs in ~14% of patients and is an important cause of mortality. Skin lesions occur in ~51% of patients and include purpura in addition to cutaneous and subcutaneous nodules. Renal disease in eosinophilic granulomatosis with polyangiitis is less common than that of granulo matosis with polyangiitis and microscopic polyangiitis. The characteristic laboratory finding in virtually all patients with eosinophilic granulomatosis with polyangiitis is a striking eosinophilia, which reaches levels &gt;1000 cells/μL in &gt;80% of patients. Evidence of inflammation as evidenced by elevated ESR and/or CRP, fibrinogen, or α2-globulins can be found in 81% of patients. The other laboratory findings reflect the organ systems involved. Approximately 48% of patients with eosinophilic granulomatosis with polyangiitis have circu lating ANCA that is usually antimyeloperoxidase. </w:t>
      </w:r>
      <w:r w:rsidRPr="00A6019F">
        <w:rPr>
          <w:rFonts w:ascii="Arial" w:hAnsi="Arial" w:cs="Arial"/>
        </w:rPr>
        <w:t>■</w:t>
      </w:r>
      <w:r w:rsidRPr="00A6019F">
        <w:t xml:space="preserve">DIAGNOSIS Although the diagnosis of eosinophilic granulomatosis with polyan giitis is optimally made by biopsy in a patient with the characteristic clinical manifestations (see above), histologic confirmation can be challenging because the pathognomonic features often do not occur simultaneously. In order to be diagnosed with eosinophilic granulo matosis with polyangiitis, a patient should have evidence of asthma, peripheral blood eosinophilia, and clinical features consistent with vasculitis. TREATMENT Eosinophilic Granulomatosis with Polyangiitis The prognosis of untreated eosinophilic granulomatosis with poly angiitis is poor, with a reported 5-year survival of 25%. With treat ment, prognosis is favorable, with one study finding a 78-month actuarial survival rate of 72%. Myocardial involvement is the most frequent cause of death and is responsible for 39% of patient mor tality. Echocardiography should be performed in all newly diag nosed patients because this may influence therapeutic decisions. Glucocorticoids alone appear to be effective in many patients. Dosage tapering is often limited by asthma, with asthma often persisting after clinical recovery from vasculitis. In patients who present with fulminant multisystem disease, particularly cardiac involvement, the treatment of choice is daily cyclophosphamide and prednisone followed by azathioprine or methotrexate (see “Granulomatosis with Polyangiitis” for a detailed description of this therapeutic regimen). Use of rituximab and prednisone can be considered, particularly in ANCA-positive patients who have glo merulonephritis or other features of severe small-vessel vasculitis. Mepolizumab (anti-IL-5 antibody) 300 mg given subcutane ously once a month was studied in a randomized trial and found 2901 to be more effective than placebo, with a higher number of weeks in remission (28% vs 3%) and a higher proportion of patients in remission (32% vs 3%). Patients with life-threatening </w:t>
      </w:r>
      <w:r w:rsidRPr="00A6019F">
        <w:lastRenderedPageBreak/>
        <w:t xml:space="preserve">eosinophilic granulomatosis with polyangiitis were excluded from this trial, and mepolizumab should not be used for the treatment of severe disease. Mepolizumab may have a particularly beneficial role in the setting of relapsing or resistant asthma requiring glucocorticoids, sinus disease, mild to moderate eosinophilic disease features, or mild vasculitis. In a recent study, benralizumab, which also inhibits IL-5, demonstrated noninferior rates of remission compared to mepolizumab in patients with relapsing or refractory, non-life threatening eosinophilic granulomatosis with polyangiitis. POLYARTERITIS NODOSA </w:t>
      </w:r>
      <w:r w:rsidRPr="00A6019F">
        <w:rPr>
          <w:rFonts w:ascii="Arial" w:hAnsi="Arial" w:cs="Arial"/>
        </w:rPr>
        <w:t>■</w:t>
      </w:r>
      <w:r w:rsidRPr="00A6019F">
        <w:t xml:space="preserve">DEFINITION Polyarteritis nodosa was described in 1866 by Kussmaul and Maier. It is a multisystem, necrotizing vasculitis of small- and medium-sized mus cular arteries characteristically involving the renal and visceral arteries. Polyarteritis nodosa does not involve pulmonary arteries, although bronchial vessels may be involved; glomerulonephritis, granuloma, and significant eosinophilia are not seen. </w:t>
      </w:r>
      <w:r w:rsidRPr="00A6019F">
        <w:rPr>
          <w:rFonts w:ascii="Arial" w:hAnsi="Arial" w:cs="Arial"/>
        </w:rPr>
        <w:t>■</w:t>
      </w:r>
      <w:r w:rsidRPr="00A6019F">
        <w:t xml:space="preserve">INCIDENCE AND PREVALENCE It is difficult to establish an accurate incidence of polyarteritis nodosa because previous reports have included microscopic polyangiitis as well as other related vasculitides. Polyarteritis nodosa, as currently defined, is felt to be a very uncommon disease. </w:t>
      </w:r>
      <w:r w:rsidRPr="00A6019F">
        <w:rPr>
          <w:rFonts w:ascii="Arial" w:hAnsi="Arial" w:cs="Arial"/>
        </w:rPr>
        <w:t>■</w:t>
      </w:r>
      <w:r w:rsidRPr="00A6019F">
        <w:t xml:space="preserve">PATHOLOGY AND PATHOGENESIS The vascular lesion in polyarteritis nodosa is a necrotizing inflamma tion of small- and medium-sized muscular arteries. The lesions are segmental and tend to involve bifurcations and branchings of arteries. They may spread circumferentially to involve adjacent veins. However, involvement of venules is not seen in polyarteritis nodosa and, if pres ent, suggests microscopic polyangiitis (see below). In the acute stages of disease, polymorphonuclear neutrophils infiltrate all layers of the vessel wall and perivascular areas, which results in intimal prolifera tion and degeneration of the vessel wall. Mononuclear cells infiltrate the area as the lesions progress to the subacute and chronic stages. Fibrinoid necrosis of the vessels ensues with compromise of the lumen, thrombosis, infarction of the tissues supplied by the involved vessel, and, in some cases, hemorrhage. As the lesions heal, there is collagen deposition, which may lead to further occlusion of the vessel lumen. Aneurysmal dilations up to 1 cm in size along the involved arteries are characteristic. Multiple organ systems are involved, and the clinicopathologic findings reflect the degree and location of vessel involvement and the resulting ischemic changes. As mentioned above, pulmonary arteries are not involved, and bronchial artery involvement is uncommon. The pathology in the kidney is that of arteritis without glomerulonephritis. In patients with significant hypertension, typical pathologic features of glomerulosclerosis may be seen. In addition, pathologic sequelae of hypertension may be found elsewhere in the body. The presence of a polyarteritis nodosa–like vasculitis in patients with hepatitis B together with the isolation of circulating immune complexes composed of hepatitis B antigen and immunoglobulin and the demonstration by immunofluorescence of hepatitis B antigen, IgM, and complement in the blood vessel walls strongly suggest the role of immunologic phenomena in the pathogenesis of this disease. A polyarteritis nodosa–like vasculitis has also been reported in patients with hepatitis C. Hairy cell leukemia can be </w:t>
      </w:r>
      <w:r w:rsidRPr="00A6019F">
        <w:lastRenderedPageBreak/>
        <w:t xml:space="preserve">associated with polyarteritis nodosa; the pathogenic mechanisms of this association are unclear. A polyarteritis nodosa–like vasculitis has been described in con junction with deficiency of adenosine deaminase type 2 (DADA2). Patients with DADA2 usually present in childhood with a variable pattern of clinical features and vascular pathology that is respon sive to TNF inhibitors. As this differs from the usual treatment for TABLE 375-6 Clinical Manifestations Related to Organ System Involvement in Polyarteritis Nodosa ORGAN SYSTEM Renal Musculoskeletal Peripheral nervous system PERCENT INCIDENCE CLINICAL MANIFESTATIONS 60 64 51 Renal failure, hypertension Arthritis, arthralgia, myalgia Peripheral neuropathy, mononeuritis multiplex Gastrointestinal tract Skin Cardiac Genitourinary Central nervous system 44 43 36 25 23 Abdominal pain, nausea and vomiting, bleeding, bowel infarction and perforation, cholecystitis, hepatic infarction, pancreatic infarction Rash, purpura, nodules, cutaneous infarcts, livedo reticularis, Raynaud’s phenomenon Congestive heart failure, myocardial infarction, pericarditis Testicular, ovarian, or epididymal pain Cerebral vascular accident, altered mental status, seizure Source: Reproduced with permission from TR Cupps, AS Fauci: The vasculitides. Major Probl Intern Med 21:1, 1981. polyarteritis nodosa, DADA2 should be considered in patients with suggestive clinical features, particularly those with early-onset disease. </w:t>
      </w:r>
      <w:r w:rsidRPr="00A6019F">
        <w:rPr>
          <w:rFonts w:ascii="Arial" w:hAnsi="Arial" w:cs="Arial"/>
        </w:rPr>
        <w:t>■</w:t>
      </w:r>
      <w:r w:rsidRPr="00A6019F">
        <w:t xml:space="preserve">CLINICAL AND LABORATORY MANIFESTATIONS Nonspecific signs and symptoms are the hallmarks of polyarteritis nodosa. Fever, weight loss, and malaise are present in over one-half of cases. Patients usually present with vague symptoms such as weak ness, malaise, headache, abdominal pain, and myalgias that can rapidly progress to a fulminant illness. Specific complaints related to the vas cular involvement within a particular organ system may also dominate the presenting clinical picture as well as the entire course of the illness (Table 375-6). Renal involvement most commonly manifests as hyper tension, renal insufficiency, or hemorrhage due to microaneurysms. There are no diagnostic serologic tests for polyarteritis nodosa. In &gt;75% of patients, the leukocyte count is elevated with a predominance of neutrophils. Eosinophilia is rare and, when present at high levels, suggests the diagnosis of eosinophilic granulomatosis with polyangiitis. The anemia of chronic disease may be seen, and an elevated ESR and/ or CRP is almost always present. Other laboratory findings reflect the particular organ involved. Hypergammaglobulinemia may be present, and all patients should be screened for hepatitis B and C. ANCA are rarely found. </w:t>
      </w:r>
      <w:r w:rsidRPr="00A6019F">
        <w:rPr>
          <w:rFonts w:ascii="Arial" w:hAnsi="Arial" w:cs="Arial"/>
        </w:rPr>
        <w:t>■</w:t>
      </w:r>
      <w:r w:rsidRPr="00A6019F">
        <w:t xml:space="preserve">DIAGNOSIS The diagnosis of polyarteritis nodosa is based on the demonstration of characteristic findings of vasculitis on biopsy material of involved organs. Biopsy of symptomatic organs such as nodular skin lesions, painful testes, and nerve/muscle provides the highest diagnostic yields. In the absence of easily accessible tissue for biopsy, the arteriographic demonstration of involved vessels, particularly in the form of aneu rysms of small- and medium-sized arteries in the renal, hepatic, and visceral vasculature, is sufficient to make the diagnosis. This should consist of a catheter-directed dye arteriogram because magnetic resonance and computed tomography arteriograms do not have suf ficient resolution at the current time to </w:t>
      </w:r>
      <w:r w:rsidRPr="00A6019F">
        <w:lastRenderedPageBreak/>
        <w:t xml:space="preserve">visualize the affected vessels. Aneurysms of vessels are not pathognomonic of polyarteritis nodosa; furthermore, aneurysms may not always be present, and arteriographic findings may be limited to stenotic segments and obliteration of vessels. TREATMENT CHAPTER 375 The Vasculitis Syndromes Polyarteritis Nodosa The prognosis of untreated polyarteritis nodosa is extremely poor, with a reported 5-year survival rate between 10 and 20%. Death usu ally results from gastrointestinal complications, particularly bowel infarcts and perforation, and cardiovascular causes. Intractable 2902 PART 11 Immune-Mediated, Inflammatory, and Rheumatologic Disorders to be initiated in the adventitia where CD4+ T cells enter through the vasa vasorum, become activated, and orchestrate macrophage differentiation. T cells recruited to vasculitic lesions in patients with giant cell arteritis produce predominantly IL-2 and IFN-γ, and the latter has been suggested to be involved in the progression to arteritis. Laboratory-based data demonstrate that at least two separate lineages of CD4 T cells—IFN-γ-producing TH 1 cells and IL-17-producing TH 17 cells—participate in vascular inflammation and may have differing levels of responsiveness to glucocorticoids. hypertension often compounds dysfunction in other organ systems, such as the kidneys, heart, and CNS, leading to additional late morbidity and mortality. The combination of prednisone and cyclo phosphamide has been found to significantly improve the survival rate (see “Granulomatosis with Polyangiitis” for a description of this therapeutic regimen). In less severe cases, glucocorticoids alone have resulted in disease remission. Treatment of hypertension can lessen vascular complications. Following remission, relapse has been esti mated to occur in 10–20% of patients. In patients with hepatitis B or C who have a polyarteritis nodosa–like vasculitis, antiviral therapy is an essential part of management, with immunosuppression being given concurrently for severe vasculitis and then withdrawn once the vasculitis is controlled. Plasma exchange has been used in some series of hepatitis virus-associated polyarteritis nodosa. GIANT CELL ARTERITIS AND POLYMYALGIA RHEUMATICA </w:t>
      </w:r>
      <w:r w:rsidRPr="00A6019F">
        <w:rPr>
          <w:rFonts w:ascii="Arial" w:hAnsi="Arial" w:cs="Arial"/>
        </w:rPr>
        <w:t>■</w:t>
      </w:r>
      <w:r w:rsidRPr="00A6019F">
        <w:t xml:space="preserve">DEFINITION Giant cell arteritis, historically referred to as temporal arteritis, is an inflammation of medium- and large-sized arteries. It characteristically involves one or more branches of the carotid artery, particularly the temporal artery. However, it is a systemic disease that can involve arter ies in multiple locations, particularly the aorta and its main branches. Giant cell arteritis is closely associated with polymyalgia rheumatica, which is characterized by stiffness, aching, and pain in the muscles of the neck, shoulders, lower back, hips, and thighs. Most commonly, polymyalgia rheumatica occurs in isolation, but it may be seen in 40–50% of patients with giant cell arteritis. In addition, ~10–20% of patients who initially present with features of isolated polymyalgia rheumatica later go on to develop giant cell arteritis. A careful his tory and physical examination at initial and subsequent visits should be performed in patients with polymyalgia rheumatica to look for features suggestive of giant cell arteritis. This strong clinical associa tion together with data from pathophysiologic studies has supported that giant cell arteritis and polymyalgia rheumatica represent differing clinical </w:t>
      </w:r>
      <w:r w:rsidRPr="00A6019F">
        <w:lastRenderedPageBreak/>
        <w:t xml:space="preserve">spectrums of a single disease process. </w:t>
      </w:r>
      <w:r w:rsidRPr="00A6019F">
        <w:rPr>
          <w:rFonts w:ascii="Arial" w:hAnsi="Arial" w:cs="Arial"/>
        </w:rPr>
        <w:t>■</w:t>
      </w:r>
      <w:r w:rsidRPr="00A6019F">
        <w:t xml:space="preserve">INCIDENCE AND PREVALENCE Giant cell arteritis occurs almost exclusively in individuals aged &gt;50 years. It is more common in women than in men and is rare in blacks. The incidence of giant cell arteritis varies widely in different studies and in different geographic regions. A high incidence has been found in Scandinavia and in regions of the United States with large Scandinavian populations, compared to a lower incidence in southern Europe. The annual incidence rates in individuals aged ≥50 years range from 6.9 to 32.8 per 100,000 population. Familial aggregation has been reported, as has an association with HLA-DR4. In addition, genetic link age studies have demonstrated an association of giant cell arteritis with alleles at the HLA-DRB1 locus, particularly HLA-DRB1*04 variants. In Olmsted County, Minnesota, the annual incidence of polymyalgia rheumatica in individuals aged ≥50 years is 58.7 per 100,000 population. </w:t>
      </w:r>
      <w:r w:rsidRPr="00A6019F">
        <w:rPr>
          <w:rFonts w:ascii="Arial" w:hAnsi="Arial" w:cs="Arial"/>
        </w:rPr>
        <w:t>■</w:t>
      </w:r>
      <w:r w:rsidRPr="00A6019F">
        <w:t xml:space="preserve">PATHOLOGY AND PATHOGENESIS Although the temporal artery is most frequently involved in giant cell arteritis, patients often have a systemic vasculitis of multiple medium- and large-sized arteries, which may go undetected. Histopathologically, the disease is a panarteritis with inflammatory mononuclear cell infil trates within the vessel wall with frequent giant cell formation. There is proliferation of the intima and fragmentation of the internal elastic lamina. Pathophysiologic findings in organs result from the ischemia related to the involved vessels. Experimental data support that giant cell arteritis is an antigen driven disease in which activated T lymphocytes, macrophages, and dendritic cells play a critical role in pathogenesis. Sequence analysis of the T-cell receptor of tissue-infiltrating T cells in lesions of giant cell arteritis indicates restricted clonal expansion, suggesting the presence of an antigen residing in the arterial wall. Giant cell arteritis is believed </w:t>
      </w:r>
      <w:r w:rsidRPr="00A6019F">
        <w:rPr>
          <w:rFonts w:ascii="Arial" w:hAnsi="Arial" w:cs="Arial"/>
        </w:rPr>
        <w:t>■</w:t>
      </w:r>
      <w:r w:rsidRPr="00A6019F">
        <w:t xml:space="preserve">CLINICAL AND LABORATORY MANIFESTATIONS Giant cell arteritis is most commonly characterized clinically by the complex of fever, anemia, high ESR and/or CRP, and headaches in a patient aged &gt;50 years. Four phenotypic manifestations can be seen including cranial arteritis, polymyalgia rheumatica, large-vessel dis ease, and features of systemic inflammation. These can occur together, in isolation, or at different times. In patients with involvement of the cranial arteries, headache is the predominant symptom and may be associated with a tender, thick ened, or nodular artery, which may pulsate early in the disease but may become occluded later. Scalp pain and claudication of the jaw and tongue may occur. A well-recognized and dreaded complication of giant cell arteritis, particularly in untreated patients, is ischemic optic neuropathy, which may lead to serious visual symptoms, including sudden blindness in some patients. However, most patients have com plaints relating to the head or eyes before visual loss. Attention to such symptoms with institution of appropriate therapy (see below) lessens the risk of this complication. Other cranial ischemic complications include strokes and scalp or tongue infarction. Up to one-third of patients can have large-vessel disease that can be the primary presentation of giant cell arteritis or can emerge at a later point in patients who have had previous cranial arteritis features or polymyalgia rheumatica. Manifestations of large-vessel disease can include subclavian </w:t>
      </w:r>
      <w:r w:rsidRPr="00A6019F">
        <w:lastRenderedPageBreak/>
        <w:t xml:space="preserve">artery stenosis that can present as arm claudication or aortic aneurysms involving the thoracic and to a lesser degree the abdominal aorta, which carry risks of rupture or dissection. Clinical features of systemic inflammation can include malaise, fatigue, anorexia, weight loss, and sweats. Laboratory findings can also support an inflammatory process. An elevated ESR and/or CRP will be seen in most patients. Therapeutic blockade of IL-6 signaling prevents the hepatic production of CRP and other acute-phase pro teins like ESR. These values will therefore normalize in patients who are treated with an IL-6 inhibitor, eliminating the ability to utilize CRP and ESR in monitoring disease activity or infection assessment in this setting. Other laboratory features include a normochromic or slightly hypochromic anemia. Liver function abnormalities are common, par ticularly increased alkaline phosphatase levels. Increased levels of IgG and complement have been reported. </w:t>
      </w:r>
      <w:r w:rsidRPr="00A6019F">
        <w:rPr>
          <w:rFonts w:ascii="Arial" w:hAnsi="Arial" w:cs="Arial"/>
        </w:rPr>
        <w:t>■</w:t>
      </w:r>
      <w:r w:rsidRPr="00A6019F">
        <w:t xml:space="preserve">DIAGNOSIS The diagnosis of giant cell arteritis can often be suggested clinically by the demonstration of the complex of fever, anemia, and high ESR and/or CRP with or without symptoms of polymyalgia rheumatica in a patient &gt;50 years old. The diagnosis can be confirmed by biopsy of the temporal artery but may not be positive in all patients due to patchy histologic findings. Since involvement of the vessel may be segmental, positive yield is increased by obtaining a biopsy seg ment of 3–5 cm together with serial sectioning of biopsy specimens. Ultrasonography of the temporal arteries alone or in combination with the axillary arteries demonstrating a noncompressible “halo” sign has been used in supporting the diagnosis. Therapy should not be delayed pending the performance of diagnostic studies. In this regard, it has been reported that temporal artery biopsies may show vasculitis even after ~14 days of glucocorticoid therapy. A dramatic clinical response to a trial of glucocorticoid therapy can further sup port the diagnosis. Large-vessel disease may be suggested by symptoms and findings on physical examination such as diminished pulses or bruits. It is confirmed by vascular imaging, most commonly through magnetic 2903 resonance or computed tomography. Positron emission tomography has become increasingly investigated, although its role in diagnosis and monitoring remains unclear. Isolated polymyalgia rheumatica is a clinical diagnosis made by the presence of typical symptoms of stiffness, aching, and pain in the muscles of the hip and shoulder girdle, an increased ESR and/or CRP, the absence of clinical features suggestive of giant cell arteritis, and a prompt therapeutic response to low-dose prednisone. Polymyalgia rheumatica can be associated with a peripheral arthritis that can mimic rheumatoid arthritis (Chap. 370). Rheumatoid factor and anti cyclic citrullinated peptide (CCP) should be negative. In patients who develop a worsening pattern of peripheral arthritis, the potential for a seronegative rheumatoid arthritis or other inflammatory arthropathy should be considered. Levels of enzymes indicative of muscle damage such as serum creatine kinase are not elevated. TREATMENT Giant Cell Arteritis Acute disease–related mortality directly from giant cell arteritis is uncommon, with fatalities occurring from cerebrovascular events or myocardial infarction. However, patients are at risk of late mor tality from aortic </w:t>
      </w:r>
      <w:r w:rsidRPr="00A6019F">
        <w:lastRenderedPageBreak/>
        <w:t xml:space="preserve">aneurysm rupture or dissection as patients with giant cell arteritis are 18 times more likely to develop thoracic aortic aneurysms than the general population. The goals of treatment in giant cell arteritis are to reduce symp toms and, most importantly, to prevent visual loss. The treatment approach for cranial arteritis and large-vessel disease in giant cell arteritis is currently the same. Giant cell arteritis and its associated symptoms are responsive to glucocorticoid therapy. Treatment should begin with predni sone 40–60 mg/d for ~1 month, followed by a gradual tapering. When ocular signs and symptoms occur, consideration should be given for the use of methylprednisolone 1000 mg daily for 3 days to protect remaining vision. Although the optimal duration of glucocorticoid therapy has not been established, most series have found that patients require treatment for ≥2 years. Symptom recurrence during prednisone tapering develops in 60–85% of patients with giant cell arteritis, requiring a dosage increase. For patients treated with prednisone alone, the ESR and/or CRP can serve as an indicator of inflammatory disease activity in monitor ing and tapering therapy and can be used to guide the tapering schedule. However, minor increases in the ESR and/or CRP can occur as glucocorticoids are being tapered and do not necessar ily reflect an exacerbation of arteritis, particularly if the patient remains symptom-free. Under these circumstances, the tapering should continue with caution. An increase in ESR and/or CRP can also occur for other reasons, including infection. Glucocorticoid toxicity occurs in 35–65% of patients and represents an important cause of patient morbidity. Tocilizumab (anti-IL-6 receptor) 162 mg given subcutaneously once every week or once every other week combined with a 26-week prednisone taper was found to be superior to prednisone alone in sustaining glucocorticoid-free remission in a randomized trial. The decision about when to use tocilizumab in giant cell arteritis is indi vidually based, taking into account comorbidities, glucocorticoid toxicity, and the side effects of tocilizumab. Pharmacokinetic stud ies supported that tocilizumab 6 mg/kg given intravenously every 4 weeks could also be used as a treatment option in giant cell arteritis. The use of methotrexate as a glucocorticoid-sparing agent was examined in two randomized placebo-controlled trials that reached conflicting conclusions. It may be considered in select patients with glucocorticoid toxicity who are unable to take or are intolerant of tocilizumab. Abatacept (CTLA4-Ig) was examined in a small randomized trial in giant cell arteritis and demonstrated greater efficacy than gluco corticoids alone. Infliximab, a monoclonal antibody to TNF, was studied in a randomized trial and was not found to provide benefit. Aspirin 81 mg daily has been found in retrospective studies to reduce the occurrence of cranial ischemic complications in giant cell arteritis, and adjunctive use should be considered in patients who do not have contraindications. Polymyalgia Rheumatica Patients with isolated polymyalgia rheumatica respond promptly to prednisone given at a dose of 10–20 mg/d. Similar to giant cell arte ritis, the ESR and/or CRP can serve as a useful indicator in moni toring prednisone reduction in those treated with glucocorticoids alone. Recurrent polymyalgia symptoms develop in the majority of patients during prednisone tapering. Sarilumab (anti-IL-6 receptor) was found to be </w:t>
      </w:r>
      <w:r w:rsidRPr="00A6019F">
        <w:lastRenderedPageBreak/>
        <w:t xml:space="preserve">effective in a randomized trial of patients with glucocorticoid-resistant polymy algia rheumatica who relapsed on prednisone ≥7.5 mg/d. In this trial, sarilumab 200 mg given subcutaneously every 2 weeks plus a 14-week glucocorticoid taper was associated with a higher rate of sustained remission compared to glucocorticoids alone. As most patients with polymyalgia rheumatica can be successfully treated with glucocorticoids alone, use of sarilumab should be restricted to those who have had an inadequate response to glucocorticoids or who relapse with a glucocorticoid taper. One study of methotrexate found that this reduced the prednisone dose on average by only 1 mg and did not decrease prednisone related side effects. A randomized trial in polymyalgia rheumatica did not find infliximab to lessen relapse or glucocorticoid requirements. TAKAYASU ARTERITIS </w:t>
      </w:r>
      <w:r w:rsidRPr="00A6019F">
        <w:rPr>
          <w:rFonts w:ascii="Arial" w:hAnsi="Arial" w:cs="Arial"/>
        </w:rPr>
        <w:t>■</w:t>
      </w:r>
      <w:r w:rsidRPr="00A6019F">
        <w:t xml:space="preserve">DEFINITION Takayasu arteritis is an inflammatory disease of large-sized arteries char acterized by a strong predilection for the aortic arch and its branches. </w:t>
      </w:r>
      <w:r w:rsidRPr="00A6019F">
        <w:rPr>
          <w:rFonts w:ascii="Arial" w:hAnsi="Arial" w:cs="Arial"/>
        </w:rPr>
        <w:t>■</w:t>
      </w:r>
      <w:r w:rsidRPr="00A6019F">
        <w:t>INCIDENCE AND PREVALENCE Takayasu arteritis is an uncommon disease with an estimated annual incidence rate of 1.2</w:t>
      </w:r>
      <w:r w:rsidRPr="00A6019F">
        <w:rPr>
          <w:rFonts w:ascii="Aptos" w:hAnsi="Aptos" w:cs="Aptos"/>
        </w:rPr>
        <w:t>–</w:t>
      </w:r>
      <w:r w:rsidRPr="00A6019F">
        <w:t xml:space="preserve">2.6 cases per million. It is most prevalent in ado lescent girls and young women. Although it is more common in Asia, it is neither racially nor geographically restricted. </w:t>
      </w:r>
      <w:r w:rsidRPr="00A6019F">
        <w:rPr>
          <w:rFonts w:ascii="Arial" w:hAnsi="Arial" w:cs="Arial"/>
        </w:rPr>
        <w:t>■</w:t>
      </w:r>
      <w:r w:rsidRPr="00A6019F">
        <w:t xml:space="preserve">PATHOLOGY AND PATHOGENESIS The disease involves large-sized arteries, with a strong predilection for the aortic arch and its branches; the pulmonary artery may also be involved. The most commonly affected arteries seen by arteriography are listed in Table 375-7. The involvement of the major branches of TABLE 375-7 Frequency of Arteriographic Abnormalities and Potential Clinical Manifestations of Arterial Involvement in Takayasu Arteritis ARTERY Subclavian Common carotid Abdominal aortaa Renal Aortic arch or root Vertebral Coeliac axisa Superior mesenterica Iliac Pulmonary PERCENTAGE OF ARTERIOGRAPHIC ABNORMALITIES 93 58 47 38 35 35 18 18 17 10–40 POTENTIAL CLINICAL MANIFESTATIONS Arm claudication, Raynaud’s phenomenon Visual changes, syncope, transient ischemic attacks, stroke Abdominal pain, nausea, vomiting Hypertension, renal failure Aortic insufficiency, congestive heart failure Visual changes, dizziness Abdominal pain, nausea, vomiting Abdominal pain, nausea, vomiting Leg claudication Atypical chest pain, dyspnea Coronary 70% of cases, cutaneous vasculitis occurs either as part of a primary systemic vasculitis or as a second ary vasculitis related to an inciting agent or an underlying disease (see “Secondary Vasculitis,” below). In the remaining 30% of cases, cutane ous vasculitis occurs idiopathically. </w:t>
      </w:r>
      <w:r w:rsidRPr="00A6019F">
        <w:rPr>
          <w:rFonts w:ascii="Arial" w:hAnsi="Arial" w:cs="Arial"/>
        </w:rPr>
        <w:t>■</w:t>
      </w:r>
      <w:r w:rsidRPr="00A6019F">
        <w:t xml:space="preserve">INCIDENCE AND PREVALENCE Cutaneous vasculitis represents the most commonly encountered vas culitis in clinical practice. The exact incidence of idiopathic cutaneous vasculitis has not been determined due to the predilection for cutane ous vasculitis to be associated with an underlying process and the vari ability of its clinical course. </w:t>
      </w:r>
      <w:r w:rsidRPr="00A6019F">
        <w:rPr>
          <w:rFonts w:ascii="Arial" w:hAnsi="Arial" w:cs="Arial"/>
        </w:rPr>
        <w:t>■</w:t>
      </w:r>
      <w:r w:rsidRPr="00A6019F">
        <w:t xml:space="preserve">PATHOLOGY AND PATHOGENESIS The typical histopathologic feature of cutaneous vasculitis is the pres ence of vasculitis of small vessels. Postcapillary venules are the most commonly involved vessels; capillaries and arterioles may be involved less frequently. This vasculitis is characterized by a leukocytoclasis, a 2906 PRIMARY CENTRAL NERVOUS SYSTEM VASCULITIS PART 11 Immune-Mediated, Inflammatory, and Rheumatologic </w:t>
      </w:r>
      <w:r w:rsidRPr="00A6019F">
        <w:lastRenderedPageBreak/>
        <w:t xml:space="preserve">Disorders term that refers to the nuclear debris remaining from the neutrophils that have infiltrated in and around the vessels during the acute stages. In the subacute or chronic stages, mononuclear cells predominate; in certain subgroups, eosinophilic infiltration is seen. Erythrocytes often extravasate from the involved vessels, leading to palpable purpura. Cutaneous arteritis can also occur, which involves slightly larger-sized vessels within the dermis. </w:t>
      </w:r>
      <w:r w:rsidRPr="00A6019F">
        <w:rPr>
          <w:rFonts w:ascii="Arial" w:hAnsi="Arial" w:cs="Arial"/>
        </w:rPr>
        <w:t>■</w:t>
      </w:r>
      <w:r w:rsidRPr="00A6019F">
        <w:t xml:space="preserve">CLINICAL AND LABORATORY MANIFESTATIONS The hallmark of idiopathic cutaneous vasculitis is the predominance of skin involvement. Skin lesions may appear typically as palpable purpura; however, other cutaneous manifestations of the vasculitis may occur, including macules, papules, vesicles, bullae, subcutaneous nodules, ulcers, and recurrent or chronic urticaria. The skin lesions may be pru ritic or painful, with a burning or stinging sensation. Lesions most com monly occur in the lower extremities in ambulatory patients or in the sacral area in bedridden patients due to the effects of hydrostatic forces on the postcapillary venules. Edema may accompany certain lesions, and hyperpigmentation often occurs in areas of recurrent or chronic lesions. There are no specific laboratory tests diagnostic of idiopathic cuta neous vasculitis. A mild leukocytosis with or without eosinophilia is characteristic, as is an elevated ESR and/or CRP. Laboratory studies should be aimed toward ruling out features to suggest an underlying disease or a systemic vasculitis. </w:t>
      </w:r>
      <w:r w:rsidRPr="00A6019F">
        <w:rPr>
          <w:rFonts w:ascii="Arial" w:hAnsi="Arial" w:cs="Arial"/>
        </w:rPr>
        <w:t>■</w:t>
      </w:r>
      <w:r w:rsidRPr="00A6019F">
        <w:t xml:space="preserve">DIAGNOSIS The diagnosis of cutaneous vasculitis is made by the demonstration of vasculitis on biopsy. An important diagnostic principle in patients with cutaneous vasculitis is to search for an etiology of the vasculitis—be it an exogenous agent, such as a drug or an infection, or an endogenous underlying disease (Fig. 375-1). In addition, a careful history, physical, and laboratory examination should be performed to rule out the pos sibility of coexisting systemic vasculitis. TREATMENT Idiopathic Cutaneous Vasculitis When an antigenic stimulus is recognized as the precipitating fac tor in the cutaneous vasculitis, it should be removed; if this is a microbe, appropriate antimicrobial therapy should be instituted. If the vasculitis is associated with another underlying disease, treat ment of the latter often results in resolution of the former. In situ ations where disease is apparently self-limited, no therapy, except possibly symptomatic therapy, is indicated. When cutaneous vas culitis persists and when there is no evidence of an inciting agent, an associated disease, or an underlying systemic vasculitis, the decision to treat should be based on weighing the balance between the degree of symptoms and the risk of treatment. Some cases of idiopathic cutaneous vasculitis resolve spontaneously, whereas oth ers remit and relapse. In patients with persistent vasculitis, a variety of therapeutic regimens have been tried with variable results. In general, the treatment of idiopathic cutaneous vasculitis has not been satisfactory. Fortunately, since the disease is generally limited to the skin, this lack of consistent response to therapy usually does not lead to a life-threatening situation. Agents with which there have been anecdotal reports of success include dapsone, colchicine, hydroxychloroquine, and nonsteroidal anti-inflammatory agents. Glucocorticoids are often used in the treatment of idiopathic cutaneous vasculitis. </w:t>
      </w:r>
      <w:r w:rsidRPr="00A6019F">
        <w:lastRenderedPageBreak/>
        <w:t xml:space="preserve">Therapy is usually instituted with the lowest effective dose of prednisone with rapid tapering to discontinuation. In cases that prove refractory to glucocorticoids, a trial of another immunosuppressive agent may be indicated. Patients with chronic vasculitis isolated to cutaneous venules rarely respond dramatically to any therapeutic regimen, and other immunosuppressive agents should be used only as a last resort in these patients. Methotrexate and azathioprine have been used in such situations in anecdotal reports. Cyclophosphamide should almost never be used for idio pathic cutaneous vasculitis because of the potential toxicity. Primary CNS vasculitis is an uncommon clinicopathologic entity characterized by vasculitis restricted to the vessels of the CNS without other apparent systemic vasculitis. The inflammatory process is usually composed of mononuclear cell infiltrates with or without granuloma formation. Patients may present with headaches, altered mental function, and focal neurologic defects. Systemic symptoms are generally absent. Devastating neurologic abnormalities may occur depending on the extent of vessel involvement. The diagnosis can be suggested by abnor mal magnetic resonance imaging of the brain, an abnormal lumbar puncture, and/or demonstration of characteristic vessel abnormalities on arteriography (Fig. 375-4), but it is confirmed by biopsy of the brain parenchyma and leptomeninges. In the absence of a brain biopsy, care should be taken not to misinterpret as true primary vasculitis arteriographic abnormalities that might actually be related to another cause. An important entity in the differential diagnosis is reversible cerebral vasoconstrictive syndrome, which typically presents with “thunderclap” headache and is associated with reversible arteriographic abnormalities that mimic primary CNS vasculitis. Other diagnostic considerations include infection, atherosclerosis, emboli, connective tissue disease, sarcoidosis, malignancy, and drug-associated causes. The prognosis of granulomatous primary CNS vasculitis is poor; however, some reports indicate that glucocorticoid therapy, alone or together with cyclophosphamide administered as described above, has induced clinical remissions. Following disease remission, cyclophos phamide should be switched to azathioprine or mycophenolate mofetil as these have good penetration into the CNS. BEHÇET’S DISEASE Behçet’s disease is a clinicopathologic entity characterized by recurrent episodes of oral and genital ulcers, iritis, and cutaneous lesions. The underlying pathologic process is a leukocytoclastic venulitis, although vessels of any size and in any organ can be involved. This disorder is described in detail in Chap. 376. COGAN’S SYNDROME Cogan’s syndrome is characterized by interstitial keratitis together with vestibuloauditory symptoms. It may be associated with a systemic vasculitis, particularly aortitis with involvement of the aortic valve. FIGURE 375-4 Cerebral arteriogram from a 32-year-old man with primary central nervous system vasculitis. Dramatic beading (arrow) typical of vasculitis is seen. 2907 Glucocorticoids are the mainstay of treatment. Initiation of treatment as early as possible after the onset of hearing loss improves the likeli hood of a favorable outcome. KAWASAKI’S DISEASE Kawasaki’s disease is an acute, febrile, multisystem disease of children. Some 80% of cases occur prior to the age of 5, with the peak incidence </w:t>
      </w:r>
      <w:r w:rsidRPr="00A6019F">
        <w:lastRenderedPageBreak/>
        <w:t xml:space="preserve">occurring at ≤2 years. It is characterized by nonsuppurative cervi cal adenitis and changes in the skin and mucous membranes such as edema; congested conjunctivae; erythema of the oral cavity, lips, and palms; and desquamation of the skin of the fingertips. Although the disease is generally benign and self-limited, it is associated with coro nary artery aneurysms in ~25% of cases, with an overall case-fatality rate of 0.5–2.8%. These complications usually occur between the third and fourth weeks of illness during the convalescent stage. Vasculitis of the coronary arteries is seen in almost all the fatal cases that have been autopsied and can cause complications into adulthood. There is typical intimal proliferation and infiltration of the vessel wall with mononuclear cells. Beadlike aneurysms and thromboses may be seen along the artery. Other manifestations include pericarditis, myocardi tis, myocardial ischemia and infarction, and cardiomegaly. Apart from the up to 2.8% of patients who develop fatal complica tions, the prognosis of this disease for uneventful recovery is excellent. High-dose IV γ-globulin (2 g/kg as a single infusion over 10 h) together with aspirin (100 mg/kg per day for 14 days followed by 3–5 mg/kg per day for several weeks) has been shown to be effective in reducing the prevalence of coronary artery abnormalities when administered early in the course of the disease. Surgery may be necessary for Kawasaki disease patients who have giant coronary artery aneurysms or other coronary complications. Surgical treatment most commonly includes thromboendarterectomy, thrombus clearing, aneurysmal reconstruc tion, and coronary artery bypass grafting. Multisystem inflammatory syndrome (MIS-C), a serious condition that may resemble Kawasaki’s disease, has been observed with infections due to SARS-CoV-2 (Chap. 205). Although clinical features consistent with Kawasaki’s disease have been observed, these patients can also have manifestations atypical for Kawasaki’s disease, including gastrointestinal symptoms, myocarditis, neurocognitive symptoms, and shock. Any patient who presents with a clinical picture suggestive of Kawasaki’s dis ease should be tested for SARS-CoV-2 to guide management. POLYANGIITIS OVERLAP SYNDROMES Some patients with systemic vasculitis manifest clinicopathologic characteristics that do not fit into a specific disease but have overlap ping features of different vasculitides. The diagnostic and therapeutic considerations as well as the prognosis for these patients depend on the sites and severity of active vasculitis. Patients with vasculitis that could cause irreversible damage to a major organ system should be treated as described under “Granulomatosis with Polyangiitis.” SECONDARY VASCULITIS </w:t>
      </w:r>
      <w:r w:rsidRPr="00A6019F">
        <w:rPr>
          <w:rFonts w:ascii="Arial" w:hAnsi="Arial" w:cs="Arial"/>
        </w:rPr>
        <w:t>■</w:t>
      </w:r>
      <w:r w:rsidRPr="00A6019F">
        <w:t xml:space="preserve">DRUG-INDUCED VASCULITIS Vasculitis associated with drug reactions usually presents as palpable purpura that may be generalized or limited to the lower extremities or other dependent areas; however, urticarial lesions, ulcers, and hemor rhagic blisters may also occur (Chap. 63). Signs and symptoms may be limited to the skin, although systemic manifestations such as fever, malaise, and polyarthralgias may occur. Although the skin is the pre dominant organ involved, systemic vasculitis may result from drug reac tions. Drugs that have been implicated in vasculitis include allopurinol, thiazides, gold, sulfonamides, phenytoin, and penicillin (Chap. 63). An increasing </w:t>
      </w:r>
      <w:r w:rsidRPr="00A6019F">
        <w:lastRenderedPageBreak/>
        <w:t xml:space="preserve">number of drugs have been reported to cause vas culitis associated with ANCA. Of these, the best evidence of causality exists for hydralazine and propylthiouracil. The clinical manifestations in ANCA-positive drug-induced vasculitis can range from cutaneous lesions to glomerulonephritis and pulmonary hemorrhage. Outside of drug discontinuation, treatment should be based on the severity of the vasculitis. Patients with immediately life-threatening small-vessel vasculitis should initially be treated with glucocorticoids and cyclo phosphamide as described for granulomatosis with polyangiitis. Fol lowing clinical improvement, consideration may be given for tapering such agents along a more rapid schedule. </w:t>
      </w:r>
      <w:r w:rsidRPr="00A6019F">
        <w:rPr>
          <w:rFonts w:ascii="Arial" w:hAnsi="Arial" w:cs="Arial"/>
        </w:rPr>
        <w:t>■</w:t>
      </w:r>
      <w:r w:rsidRPr="00A6019F">
        <w:t>SERUM SICKNESS AND SERUM SICKNESS</w:t>
      </w:r>
      <w:r w:rsidRPr="00A6019F">
        <w:rPr>
          <w:rFonts w:ascii="Aptos" w:hAnsi="Aptos" w:cs="Aptos"/>
        </w:rPr>
        <w:t>–</w:t>
      </w:r>
      <w:r w:rsidRPr="00A6019F">
        <w:t xml:space="preserve">LIKE REACTIONS These reactions are characterized by the occurrence of fever, urticaria, polyarthralgias, and lymphadenopathy 7–10 days after primary expo sure and 2–4 days after secondary exposure to a heterologous protein (classic serum sickness) or a nonprotein drug such as penicillin or sulfa (serum sickness–like reaction). Most manifestations are not due to vasculitis; however, occasional patients will have typical cutaneous venulitis that may progress rarely to a systemic vasculitis. </w:t>
      </w:r>
      <w:r w:rsidRPr="00A6019F">
        <w:rPr>
          <w:rFonts w:ascii="Arial" w:hAnsi="Arial" w:cs="Arial"/>
        </w:rPr>
        <w:t>■</w:t>
      </w:r>
      <w:r w:rsidRPr="00A6019F">
        <w:t xml:space="preserve">VASCULITIS ASSOCIATED WITH OTHER UNDERLYING DISEASES Certain infections may directly trigger an inflammatory vasculitic process. For example, rickettsias can invade and proliferate in the endothelial cells of small blood vessels causing a vasculitis (Chap. 192). In addition, the inflammatory response around blood vessels associ ated with certain systemic fungal diseases such as histoplasmosis (Chap. 218) may mimic a primary vasculitic process. A cutaneous leukocytoclastic vasculitis with occasional involvement of other organs may be a component of some infections. These include subacute bac terial endocarditis, Epstein-Barr virus infection, HIV infection, and a number of other infections. CHAPTER 375 The Vasculitis Syndromes Vasculitis can be associated with certain malignancies, particularly leukemic, lymphoid, or reticuloendothelial neoplasms. Leukocytoclas tic venulitis confined to the skin is the most common finding; however, systemic vasculitis may occur. A number of connective tissue diseases have vasculitis as a second ary manifestation of the underlying primary process. Foremost among these are systemic lupus erythematosus (Chap. 368), rheumatoid arthritis (Chap. 370), inflammatory myositis (Chap. 377), relapsing polychondritis (Chap. 378), and Sjögren’s syndrome (Chap. 373). The most common form of vasculitis in these conditions is the small-vessel venulitis isolated to the skin. However, certain patients may develop a fulminant systemic necrotizing vasculitis. Secondary vasculitis has also been observed in association with ulcerative colitis, congenital deficiencies of various complement compo nents, sarcoidosis, primary biliary cirrhosis, α1-antitrypsin deficiency, and intestinal bypass surgery. </w:t>
      </w:r>
      <w:r w:rsidRPr="00A6019F">
        <w:rPr>
          <w:rFonts w:ascii="Arial" w:hAnsi="Arial" w:cs="Arial"/>
        </w:rPr>
        <w:t>■</w:t>
      </w:r>
      <w:r w:rsidRPr="00A6019F">
        <w:t xml:space="preserve">FURTHER READING Finkielman JD et al: Antiproteinase 3 antineutrophil cytoplasmic antibodies and disease activity in Wegener granulomatosis. Ann Intern Med 147:611, 2007. Jayne D et al: A randomized trial of maintenance therapy for vasculitis associated with antineutrophil cytoplasmic autoantibodies. N Engl J Med 349:36, 2003. Jayne DRW et al: Avacopan for the treatment of ANCA-associated vasculitis. N Engl J Med 18:599, 2021. </w:t>
      </w:r>
      <w:r w:rsidRPr="00A6019F">
        <w:lastRenderedPageBreak/>
        <w:t xml:space="preserve">Jennette JC et al: 2012 revised International Chapel Hill Consensus Conference Nomenclature of Vasculitides. Arthritis Rheum 65:1, 2013. Smith RM et al: Rituximab versus azathioprine for maintenance of remission for patients with ANCA-associated vasculitis and relapsing disease: An international randomised controlled trial. Ann Rheum Dis 82:937, 2023. Spiera RF et al: Sarilumab for relapse of polymyalgia rheumatica dur ing glucocorticoid taper. N Engl J Med 389:1263, 2023. Stone JH et al: Rituximab versus cyclophosphamide for ANCA associated vasculitis. N Engl J Med 363:221, 2010. Stone JH et al: Trial of tocilizumab in giant-cell arteritis. N Engl J Med 377:317, 2017. Walsh M et al: Plasma exchange and glucocorticoids in severe ANCA associated vasculitis. N Engl J Med 382:622, 2020. Wechsler ME et al: Mepolizumab or placebo for eosinophilic granu lomatosis with polyangiitis. N Engl J Med 376:1921, 2017. 2908 Behçet Syndrome PART 11 Immune-Mediated, Inflammatory, and Rheumatologic Disorders 376 Yusuf Yazici Behçet syndrome is a systemic vasculitis, first described by Hulusi Behçet, a Turkish dermatologist. It can present with oral and genital ulcers, skin lesions, uveitis, arthritis, major arterial and venous ves sel disease, and gastrointestinal and neurologic manifestations. These manifestations can be present in various combinations and sequences over time. Patients are most commonly from the Middle East, the Mediterranean region, and the Far East; it is most prevalent in Turkey, with a prevalence of 1 in 250 adults. It is relatively rare before the late teens and after age 50. Males and females are equally affected; however, males frequently have more severe disease and poorer outcomes. Some manifestations may show regional differences; for example, gastroin testinal involvement, rare in Turkey, is more common in Japan and is seen in ~30% of patients in the United States. </w:t>
      </w:r>
      <w:r w:rsidRPr="00A6019F">
        <w:rPr>
          <w:rFonts w:ascii="Arial" w:hAnsi="Arial" w:cs="Arial"/>
        </w:rPr>
        <w:t>■</w:t>
      </w:r>
      <w:r w:rsidRPr="00A6019F">
        <w:t>DIAGNOSIS Beh</w:t>
      </w:r>
      <w:r w:rsidRPr="00A6019F">
        <w:rPr>
          <w:rFonts w:ascii="Aptos" w:hAnsi="Aptos" w:cs="Aptos"/>
        </w:rPr>
        <w:t>ç</w:t>
      </w:r>
      <w:r w:rsidRPr="00A6019F">
        <w:t xml:space="preserve">et syndrome is diagnosed clinically. There are no specific labora tory, imaging, or histologic features that can help in the diagnosis of a patient with suggestive symptoms. However, these can be used in rul ing out conditions that may mimic Behçet syndrome and the diagnosis is based on a combination of clinical features in the setting of ruling out other potential causes. In this regard, some patients may require months to years to develop the array of symptoms that would lead to a definitive diagnosis, although a tentative diagnosis may be made well before. The most commonly used and best performing diagnostic criteria are the International Study Group (ISG) criteria (sensitivity ~95%, specificity ~96%); patients need to have recurrent oral ulcers plus two of the following four clinical manifestations: recurrent genital ulcers, skin lesions, eye lesions, or a positive pathergy test (Table 376-1). Additional clinical manifestations may involve various organ systems, including the gastrointestinal, vascular, pulmonary, and central ner vous systems. Up to 50–60% of patients, depending on where they are from, can be positive for HLA B*51; however, it is not used as a diagnostic test because it is also found in around 20% of the normal population. </w:t>
      </w:r>
      <w:r w:rsidRPr="00A6019F">
        <w:rPr>
          <w:rFonts w:ascii="Arial" w:hAnsi="Arial" w:cs="Arial"/>
        </w:rPr>
        <w:t>■</w:t>
      </w:r>
      <w:r w:rsidRPr="00A6019F">
        <w:t>PATHOGENESIS The pathogenesis and etiology of Beh</w:t>
      </w:r>
      <w:r w:rsidRPr="00A6019F">
        <w:rPr>
          <w:rFonts w:ascii="Aptos" w:hAnsi="Aptos" w:cs="Aptos"/>
        </w:rPr>
        <w:t>ç</w:t>
      </w:r>
      <w:r w:rsidRPr="00A6019F">
        <w:t xml:space="preserve">et syndrome are unknown. Family studies show a possible genetic predisposition, and increased inflammation and immunologic mechanisms play a role. Both innate and adaptive immune systems may be involved. Unlike other auto immune </w:t>
      </w:r>
      <w:r w:rsidRPr="00A6019F">
        <w:lastRenderedPageBreak/>
        <w:t xml:space="preserve">diseases, however, Behçet syndrome is not typically associated with autoantibodies, Raynaud’s phenomenon, Sjögren’s syndrome, thrombocytopenia, hemolytic anemia, sun hypersensitivity, serosal involvement, or an increased risk for other autoimmune diseases. On the other hand, features that separate it from autoinflammatory conditions include tendency to abate with time, absence of mutations TABLE 376-1 International Study Group Criteria for the Diagnosis of Behçet Syndrome CRITERIA Oral ulcers Plus 2 out of 4 from below:   Recurrent genital ulcers Skin lesions Eye lesions Pathergy FREQUENCY COMMENTS ~98% ~80% ~80% At least 3 times in a 12-month period Usually scarring Erythema nodosum, pseudofolliculitis, papulopastular or acneiform nodules (postadolescent, not receiving corticosteroids) ~50% ~50% Anterior or posterior uveitis, cells in vitreous or retinal vasculitis Evaluated in 24–48 h, after dermal insertion of a 20-gauge needle associated with autoinflammatory diseases, and higher prevalence than typical autoinflammatory diseases such as familial Mediterranean fever (Chap. 381). There is neutrophil hyperreactivity; however, it is not clear whether this is primary or secondary to cytokine-directed activation. There is also evidence from retrospective patient cohort analyses that there may be different clusters of disease presentation; for example, acne lesions are more commonly seen with arthritis and associated with enthesitis, and each of these clusters may have a differ ent pathogenesis. </w:t>
      </w:r>
      <w:r w:rsidRPr="00A6019F">
        <w:rPr>
          <w:rFonts w:ascii="Arial" w:hAnsi="Arial" w:cs="Arial"/>
        </w:rPr>
        <w:t>■</w:t>
      </w:r>
      <w:r w:rsidRPr="00A6019F">
        <w:t xml:space="preserve">CLINICAL PRESENTATION The most common symptoms are associated with mucocutaneous tis sues. Oral ulcers are seen in virtually all patients and are commonly the first manifestation (Fig. 376-1). Commonly, like ordinary canker sores, they are usually multiple. They last around 10 days but recur unless treated. Only the uncommon, major ulcers tend to scar. Beneficial effects of dental and periodontal therapies suggest that decreased oral health is associated with disease severity. Genital ulcers are the most specific lesions, most commonly occur ring on the scrotum or labia (Fig. 376-1). They are larger and deeper and take longer to heal than oral ulcers and tend to form scars. Acne-like or papulopustular lesions are indistinguishable from acne vulgaris in appearance and pathology. They are seen both at the usual acne sites as well as at uncommon sites such as lower extremities. Other skin findings are the nodular lesions, which are of two types: erythema nodosum lesions due to panniculitis and superficial vein thromboses. Superficial thrombophlebitis often occurs in men and is associated with deep-vein thrombosis; it should trigger workup for other vascular involvement, including pulmonary artery aneurysms. Pathergy reaction is a nonspecific hyperreactivity of the skin to trauma. Typically, a papule or pustule forms in 24–48 h after a A B FIGURE 376-1 Clinical findings in Behçet syndrome. A. Behçet oral ulcer. B. Behçet scrotal ulcer. 2909 20–21-gauge needle prick. It is rather unique for Behçet syndrome and is part of the ISG diagnostic criteria. Arthralgia or arthritis is seen in about half of patients; it is usually a mono- or oligoarthritis in the lower extremities and does not usually cause erosions or deformity. Eye involvement is seen in half of all patients and may be seen in up to ~70% of males. It is most commonly a bilateral panuveitis. A hypopyon, seen in ~10% of patients with eye disease, is an intense inflammation in the </w:t>
      </w:r>
      <w:r w:rsidRPr="00A6019F">
        <w:lastRenderedPageBreak/>
        <w:t xml:space="preserve">anterior chamber and is quite specific for Behçet syndrome. Ocular involvement develops usually in the first 2 years after fulfillment of diagnostic criteria and is most severe during the first few years and then tends to abate. Male gender, posterior involvement, frequent attacks (&gt;3 per year), strong vitreous opacity, and macular edema are poor prognostic factors. Vascular disease is seen in up to 40% of patients. It is associated with intensive thrombosis and runs a relapsing course. Several well defined venous vascular associations are seen; superficial and deep vein thrombosis, Budd-Chiari syndrome, inferior vena cava syndrome, pulmonary artery involvement, intracardiac thrombosis, and cerebral venous sinus thrombosis frequently cluster in various combinations. Pulmonary artery aneurysms carry a 5-year mortality rate of 20–25%. Prevalence of neurologic involvement is ~5%, with about three quarters of patients presenting with parenchymal involvement, while the remaining cases present with cerebral venous sinus thrombosis. These two forms rarely occur together. Parenchymal involvement usu ally affects the telencephalic-diencephalic junction, brainstem, and spinal cord. Patients may present with a subacute onset of severe head ache, cranial nerve palsy, dysarthria, ataxia, and hemiparesis. Prevalence of gastrointestinal involvement changes significantly across different populations (up to 50% in the Far East but rare in the Middle East). Clinical and endoscopic appearance of intestinal involve ment can be similar to, and thus cannot easily be differentiated from, Crohn’s disease. Ulcers tend to be single or less than five, are usually confined to the ileocecal area, are more likely to be deep and round, and are prone to perforate; perianal and rectal area involvement are rare. In practice, it is difficult to distinguish Behçet syndrome from Crohn’s disease unless extraintestinal manifestations are present. TREATMENT Behçet Syndrome Treatment is guided by type and severity of involvement, with the goal of preventing long-term damage. Most new manifestations tend to present within the first 5 years, and for most patients, the natural course is one of diminishing symptoms culminating in potential remission, frequently not requiring ongoing treatment with medications. Patient characteristics, such as being young and male, need to be kept in mind when making treatment decisions, as these patients tend to have a worse prognosis. In most patients, tapering and/or stopping their medications in 2–3 years after the symptoms have improved should be attempted. Oral ulcers can be managed with topical glucocorticoids and on an as-needed basis if mild. Lesions resistant to local measures may require systemic treatment with colchicine, oral glucocorti coids, immunosuppressants such as apremilast, azathioprine, or a tumor necrosis factor (TNF)-α inhibitor such as infliximab. A similar treatment approach can be used for genital ulcers and other mucocutaneous manifestations. Patients may need a combination of medications, at least initially, to control disease activity. Eye involvement, given its frequency and potential morbid ity, requires early and aggressive treatment with brief courses of glucocorticoids and longer-term treatment with an immunosup pressant. Azathioprine is usually the preferred agent in clinical practice. TNF inhibitors infliximab or adalimumab can also be used, either as first-line </w:t>
      </w:r>
      <w:r w:rsidRPr="00A6019F">
        <w:lastRenderedPageBreak/>
        <w:t xml:space="preserve">monotherapy or more commonly in com bination with systemic glucocorticoids and azathioprine, for control of disease activity. Cyclosporine can also be considered in combi nation regimens; monotherapy with interferon is another option. Glucocorticoids can be tapered in many patients after active disease has been controlled, whereas immunosuppressants are generally continued for at least 2 years with plans to potentially taper them also based on treatment response and ongoing disease activity. Gastrointestinal involvement is treated with glucocorticoids plus an immunosuppressant such as azathioprine alone or in combina tion with infliximab. Venous thrombotic events are treated by controlling systemic inflammation with immunosuppressive medications (usually azathio prine or, for more severe cases, cyclophosphamide), rather than using anticoagulants. However, if venous thrombotic events occur, standard anticoagulation treatment can be given, provided there is a low risk of bleeding and there are no coexistent pulmonary artery aneurysms. For central nervous system involvement, the combina tion of azathioprine and a TNF inhibitor is usually the first choice. </w:t>
      </w:r>
      <w:r w:rsidRPr="00A6019F">
        <w:rPr>
          <w:rFonts w:ascii="Arial" w:hAnsi="Arial" w:cs="Arial"/>
        </w:rPr>
        <w:t>■</w:t>
      </w:r>
      <w:r w:rsidRPr="00A6019F">
        <w:t xml:space="preserve">FURTHER READING Hatemi G et al: 2018 update of the EULAR recommendations for the management of Behçet’s syndrome. Ann Rheum Dis 77:808, 2018. Kural-Seyahi E et al: The long-term mortality and morbidity of Behçet syndrome: A 2-decade outcome survey of 387 patients followed at a dedicated center. Medicine (Baltimore) 82:60, 2003. Yazici H et al: Behçet syndrome: A contemporary view. Nat Rev Rheumatol 14:107, 2018. Yazici Y et al: Behçet syndrome. Nat Rev Dis Primers 7:67, 2021. 377 Inflammatory Myopathies Steven A. Greenberg, Anthony A. Amato This chapter focuses on the major types of inflammatory myopathies (IMs), including dermatomyositis (DM), polymyositis (PM), immune mediated necrotizing myopathy (IMNM), antisynthetase syndrome (ASyS), and inclusion body myositis (IBM) (Table 377-1). Other IMs include those caused by infection, eosinophilic myositis, granuloma tous myositis, and myositis triggered by checkpoint inhibitors. Of note, inflammatory cell infiltrates can also be occasionally seen in muscle biopsies of hereditary myopathies (e.g., muscular dystrophies, meta bolic myopathies), sporadic late-onset nemaline myopathy (SLONM), and toxic myopathies. Epidemiologic studies suggest that the incidence of IM grouped together is up to 16 cases per 100,000 with prevalence in the range of 14–32 per 100,000. Defining the actual incidence and prevalence of the individual myositides is limited, however, by different diagnostic criteria employed in various epidemiologic studies, an increasing rec ognition of ASyS and IMNM, as well as the frequent misdiagnosis of IBM. Idiopathic PM without signs of an overlap syndrome is quite rare compared to DM, ASyS, IBM, and IMNM that occur in roughly simi lar frequencies. DM can occur in children (juvenile DM), while IBM always occurs in adults and is the most common cause of myopathy in those aged &gt;50. DM, PM, and ASyS are more common in women, while IBM is more common in men. DIAGNOSTIC APPROACH AND DIFFERENTIAL DIAGNOSIS The approach to patients with suspected myopathy is detailed in Chap. 460. In any patient presenting with weakness, the first step is to localize the site of the lesion by history and clinical findings (Chap. 26). Weakness could </w:t>
      </w:r>
      <w:r w:rsidRPr="00A6019F">
        <w:lastRenderedPageBreak/>
        <w:t xml:space="preserve">be caused by a process in the cerebral hemispheres, spi nal cord (Chap. 453), anterior horn cell (Chap. 448), peripheral nerve CHAPTER 377 Inflammatory Myopathies 2910 PART 11 Immune-Mediated, Inflammatory, and Rheumatologic Disorders (Chaps. 457–458), neuromuscular junction (Chap. 459), or muscle (Chap. 460). Past medical history, medication use, and family history, combined with a detailed clinical examination and an appreciation for the pattern of muscle involvement (e.g., what muscles are weak and atrophic or hypertrophic as well as the presence of scapular winging, early contractures, sensory abnormalities, fasciculations, or rash), help differentiate myopathies from other neuromuscular disorders and the different types of myopathies from each other (see Chap. 460). For example, atrophy with fasciculations suggests a neurogenic process such as amyotrophic lateral sclerosis, fatigable weakness on examination points to a neuromuscular junction defect such as myasthenia gravis, and concomitant sensory symptoms suggest a central process such as a spinal cord disorder or a polyneuropathy. Scapular winging, calf hypertrophy or atrophy, and early contractures before significant weak ness develops would strongly suggest a muscular dystrophy, particularly if there is a positive family history. A heliotrope rash combined with Gottron papules (below) and dilated nailfold capillaries is diagnostic for DM. The presence of atrophy and weakness of the flexor forearm muscles and quadriceps in a person aged &gt;50 years is most likely IBM. When the site of the lesion cannot be localized based on history and clinical examination alone, laboratory testing is required. Serum creatine kinase (CK) is the most sensitive laboratory marker of muscle destruction. Not all myopathies are associated with elevated CK levels, but a markedly elevated CK (e.g., &gt;2000 U/L) is almost always due to a myopathy. A slightly elevated CK can also be seen in neurogenic TABLE 377-1 Inflammatory Myopathies: Clinical and Laboratory Features DISORDER SEX AGE OF ONSET RASH PATTERN OF WEAKNESS LABORATORY FEATURES MUSCLE BIOPSY CELLULAR INFILTRATE RESPONSE TO IS THERAPY COMMON ASSOCIATED CONDITIONS DM F &gt; M Childhood and adult Yes Proximal &gt; distal Normal or increased CK (up to 50× normal or higher); various MSAs (anti-MDA5, anti-TIF1, anti-Mi-2, anti-NXP2) Perimysial and perivascular inflammation; IFN-1 regulated proteins (MHC-1, MxA), MAC deposition on capillaries CD4+ dendritic cells; B cells; macrophages Yes Myocarditis, ILD, malignancy, vasculitis, other CTDs PM F &gt; M Adult No Proximal &gt; distal Increased CK (up to 50× normal or higher) Endomysial and perivascular inflammation; ubiquitous expression of MHC-1 CD8+ T cells; macrophages; plasma cells Yes Myocarditis, ILD, other CTDs IMNM M = F Children and adults No Proximal &gt; distal Elevated CK (&gt;10× normal or higher); anti-HMGCR or anti SRP antibodies Necrotic muscle fibers; minimal inflammatory infiltrate; MHC-I and MAC deposition on sarcolemma of scattered nonnecrotic muscle fibers Macrophages in necrotic fibers undergoing phagocytosis Yes Malignancy, CTD, HMGCR antibody cases can be triggered by statin use ASyS F &gt; M Children and adults Sometimes Proximal &gt; distal Elevated CK (&gt;10× normal or higher); antisynthetase antibodies Perimysial and perivascular inflammation; perimysial fragmentation with alkaline </w:t>
      </w:r>
      <w:r w:rsidRPr="00A6019F">
        <w:lastRenderedPageBreak/>
        <w:t xml:space="preserve">phosphatase staining; perimysial muscle damage with necrosis; MHC-I, HLA-DR, and MAC deposition on sarcolemma of perifascicular muscle fibers CD4+ dendritic cells; B cells; macrophages Yes Nonerosive arthritis, ILD, Raynaud’s phenomenon, mechanic hands, and fever IBM M &gt; F Older adults (&gt;50 years) No Proximal and distal; predilection for: finger/ wrist flexors, knee extensors Normal or mildly increased CK (usually 50 years. However, anti-HMGCR myopathy can develop in children and young adults without a history of statin use and can mimic a limb girdle mus cular dystrophy. Unlike the more common “toxic” myopathy associated with statin use, anti-HMGCR myopathy does not improve when statins are discontinued. Anti-SRP myopathies are notable for the presence of anti-SRP antibodies and a typically subacute, aggressive, and relatively refractory course. FIGURE 377-3 Skeletal muscle magnetic resonance imaging (MRI) with short T1 inversion recovery (STIR) imaging in polymyositis. MRI of the thigh demonstrates bright signal indicative of edema/inflammation, particularly in the rectus femoris muscle. This contrasts with MRI in inclusion body myositis in which there is more selective involvement of the vastus lateralis and medialis with relative sparing of the rectus femoris (see Fig. 377-7F and G). 2913 FIGURE 377-4 Pathology of polymyositis. Muscle biopsy demonstrates endomysial infiltrates surrounding nonnecrotic muscle fibers. Laboratory Features CK levels are markedly elevated (usually &gt;10 × normal) in IMNM and are associated with titers of anti-HMGCR or anti-SRP antibodies. EMG often shows increased insertional and spontaneous activity, including myotonic discharges. Skeletal muscle imaging findings are nonspecifically abnormal. Histopathology and Pathogenesis Muscle biopsies reveal multi focal necrotic and regenerating muscle fibers with a paucity of inflam matory cells (Fig. 377-5). However, some patients with anti-HMGCR myopathy have endomysial, macrophage-predominant infiltrates simi lar to what is seen in PM. Overexpression of MHC-I and membrane attack complex (MAC) molecules may be evident on sarcolemma of nonnecrotic fibers, and MAC deposition present on capillaries. The pathogenesis of IMNM is not completely understood and likely varies depending on subtype. A trial of a complement inhibitor in both anti HMGCR and anti-SRP myopathies failed to demonstrate any efficacy, so IMNM in these subtypes does not appear to be primarily comple ment driven. Interestingly, pathogenic biallelic variants in the HMGCR gene result in proximal weakness, myalgias, high CK, and dystrophic changes on skeletal muscle MRI and biopsies. Recent studies suggest that HMGCR antibodies may bind to the receptor on the sarcolemma and lead to accumulation of acetyl-CoA and subsequently an increase in lipids within muscle fibers. Recent studies also suggest that anti-SRP antibodies are directly causal to the associated IMNM. Prognosis Anti-HMGCR myopathy is often responsive to intra venous immunoglobulin (IVIG) monotherapy. However, anti-SRP FIGURE 377-5 Pathology of immune-mediated necrotizing myopathy. Muscle biopsy demonstrates scattered necrotic fibers with inflammatory infiltrate confined to those fibers undergoing myophagocytosis along with a few regenerating fibers. myopathy and seronegative IMNM are generally much more </w:t>
      </w:r>
      <w:r w:rsidRPr="00A6019F">
        <w:lastRenderedPageBreak/>
        <w:t xml:space="preserve">difficult to treat, and aggressive immunotherapy is usually required. The pro gressive course despite immunotherapy and the marked weakness with atrophy can lead to a misdiagnosis of a limb girdle muscular dystro phy. There may be an increased incidence of cancer in patients with anti-HMGCR myopathy; thus, patients should undergo a malignancy workup. </w:t>
      </w:r>
      <w:r w:rsidRPr="00A6019F">
        <w:rPr>
          <w:rFonts w:ascii="Arial" w:hAnsi="Arial" w:cs="Arial"/>
        </w:rPr>
        <w:t>■</w:t>
      </w:r>
      <w:r w:rsidRPr="00A6019F">
        <w:t>ANTISYNTHETASE SYNDROME Clinical Features The presence of myositis, nonerosive arthritis, ILD, Raynaud</w:t>
      </w:r>
      <w:r w:rsidRPr="00A6019F">
        <w:rPr>
          <w:rFonts w:ascii="Aptos" w:hAnsi="Aptos" w:cs="Aptos"/>
        </w:rPr>
        <w:t>’</w:t>
      </w:r>
      <w:r w:rsidRPr="00A6019F">
        <w:t xml:space="preserve">s phenomenon, mechanic hands, and fever associated with antibodies against aminoacyl-tRNA synthetase constitute the ASyS. Some patients have an erythematous rash, and muscle biopsies share histopathologic features of DM, which likely accounts for many of these patients being classified as having DM. Laboratory Features Antibodies against aminoacyl-tRNA syn thetases are the most common MSA, present in 25–35% of patients with myositis. These include anti-Jo-1 (histidyl), anti-PL-7 (threo nyl), anti-PL-12 (alanyl), anti-EJ (glycyl), anti-OJ (isoleucyl), anti-KS (asparaginyl), anti-Ha (tyrosyl), anti-Zo (phenylalanyl), and other less common antibodies. The most common aminoacyl-tRNA syn thetase antibody is anti-Jo-1. CK is usually elevated in patients with ASyS and myositis. Those with ILD demonstrate reduced forced vital capacity and diffusion capacity on pulmonary function tests. Spiral chest computed tomography (CT) scans are best at demonstrating the honeycomb pattern of ILD. Skeletal muscle MRI and EMG show abnormalities similar to DM, PM, and IMNM. CHAPTER 377 Inflammatory Myopathies Histopathology and Pathogenesis Muscle biopsies demonstrate a predilection for perimysial damage including perimysial fragmenta tion and staining with alkaline phosphatase (Fig. 377-6), plasmacytoid dendritic cells and macrophages in the perimysium and around blood vessels, and MAC deposition on capillaries. Also similar to DM, there is perifascicular muscle fiber damage, but with ASyS, there is more perifascicular muscle fiber necrosis compared to DM, in which peri fascicular atrophy is more prominent. MHC-I, MHC-II (HLA-DR), and MAC deposits on muscle fibers may be seen on sarcolemma of perifascicular muscle fibers. The HLA-DR expression on muscle fibers suggests that ASyS is more driven by gamma-IFN than type 1 IFN. Recent studies suggest that the various antibodies may be directly pathogenic by binding to specific aminoacyl-tRNA synthetases thereby impairing protein synthesis. More work needs to be done to confirm these observations. Prognosis Most patients respond to treatment, although ASyS can be difficult to treat, in particular for patients with interstitial lung disease. Aggressive treatment, often with early rituximab, is war ranted in such cases. There does not appear to be an increased risk of malignancy. </w:t>
      </w:r>
      <w:r w:rsidRPr="00A6019F">
        <w:rPr>
          <w:rFonts w:ascii="Arial" w:hAnsi="Arial" w:cs="Arial"/>
        </w:rPr>
        <w:t>■</w:t>
      </w:r>
      <w:r w:rsidRPr="00A6019F">
        <w:t xml:space="preserve">INCLUSION BODY MYOSITIS Clinical Features IBM usually manifests in patients over the age of 50 years and is slightly more common in men than women. It is associated with slowly progressive weakness and muscle atrophy that has a predilection for early involvement of the wrist and finger flexors in the arms and quadriceps in the legs (Fig. 377-7). Weakness is often asymmetric. Dysphagia is common and rarely can be the presenting feature. These clinical features can help distinguish IBM from PM and other forms of myopathy. The mean duration from onset of symptoms to use of wheelchair or scooter is ~15 years. </w:t>
      </w:r>
      <w:r w:rsidRPr="00A6019F">
        <w:lastRenderedPageBreak/>
        <w:t xml:space="preserve">There is no known increase in risk of malignancy. Laboratory Features CK levels can be normal or only slightly elevated (usually 1 g/d in patients with renal failure) Bone marrow suppression, hypertension, tremor, diarrhea, nausea, vomiting, headache, sinusitis, confusion, amblyopia, cough, teratogenicity, infection, neoplasia Blood count Intravenous immunoglobulin Intravenous 2 g/kg over 2–5 days; then 1 g/kg every 4–8 weeks as needed Hypotension, arrhythmia, diaphoresis, flushing, nephrotoxicity, headache, aseptic meningitis, anaphylaxis, stroke Heart rate, blood pressure, creatinine/BUN Rituximab Intravenous A course is typically 750 mg/m2 (up to 1 g) and repeated in 2 weeks Courses are then repeated usually every 6–18 months Infusion reactions (as per IVIG), infection, progressive multifocal leukoencephalopathy Some check B-cell count prior to subsequent courses (but this may not be warranted) Abbreviations: BUN, blood urea nitrogen; IVIG, intravenous immunoglobulin. Source: Reproduced with permission from AA Amato, JA Russell (eds): Neuromuscular Disorders. 2nd ed. New York: McGraw-Hill Education; 2016. the taper is slowed to 2.5 mg every 2–4 weeks. The goal is to taper pred nisone to ≤10 mg daily. Although most patients improve, the response may not be complete and many will require at least a small dose of pred nisone or a second-line agent to have a sustained remission. Serum CK levels are monitored; however, dose adjustments of prednisone and other immunotherapies are primarily based on the objective clinical examina tion and not the CK levels or the patients’ subjective response. When no response is noted after an adequate trial of high-dose prednisone, alter native diagnoses (e.g., IBM or an inflammatory muscular dystrophy) and a repeat muscle biopsy should be considered. Relapse of the myositis needs to be distinguished from steroid myopathy. Features suggesting a steroid myopathy include weakness developing while on high dosage, a normal serum CK, clinical features of steroid excess such as ecchymoses and “moon facies,” and absence of muscle membrane irritability on EMG. By contrast, patients experi encing relapses of myositis may become weaker during the prednisone taper, have increasing serum CK levels, and display abnormal sponta neous activity on EMG. Intravenous Immunoglobulin IVIG is most often used in patients refractory to prednisone and at least one second-line immuno suppressive agent. However, the ProDERM Trial Group found IVIG to be effective in a randomized, controlled trial in patients with DM, lead ing to U.S. Food and Drug Administration (FDA) approval. Thus, IVIG can be administered as first-line therapy in DM. In addition, IVIG is effective as a monotherapy in anti-HMGCR myopathy and may be the treatment of choice. A dose of 2 g/kg is divided over 2–5 days, and repeat infusions are given at monthly intervals for at least 3 months. Subsequently, intervals can be lengthened or dosage decreased: 2 g/kg every 2 months or 1 g/kg per month. </w:t>
      </w:r>
      <w:r w:rsidRPr="00A6019F">
        <w:rPr>
          <w:rFonts w:ascii="Arial" w:hAnsi="Arial" w:cs="Arial"/>
        </w:rPr>
        <w:t>■</w:t>
      </w:r>
      <w:r w:rsidRPr="00A6019F">
        <w:t xml:space="preserve">SECOND-LINE THERAPIES Methotrexate Methotrexate is usually the second-line treatment of choice because most authorities believe it works faster than other agents. An oral dose of 5 or 7.5 mg/week is initiated and then gradually increased as needed up to 25 mg/week. If there is no improvement after 1 month of 25 mg/week of oral methotrexate, a switch to weekly par enteral </w:t>
      </w:r>
      <w:r w:rsidRPr="00A6019F">
        <w:lastRenderedPageBreak/>
        <w:t xml:space="preserve">(usually subcutaneous) methotrexate is the next step, with dose escalation by 5 mg weekly; only rarely is a dose &gt;35 mg/week used. The major side effects of methotrexate are alopecia, stomatitis, ILD, terato genicity, oncogenicity, risk of infection, and pulmonary fibrosis, along with bone marrow, renal, and liver toxicity. Patients are concomitantly treated with folate or folinic acid. Azathioprine A recommended initial dose is 50 mg/d in adults, which can be increased by 50 mg every 2 weeks up to 2–3 mg/kg per day. Approximately 12% of patients develop a systemic reaction char acterized by fever, abdominal pain, nausea, vomiting, and anorexia that requires discontinuation of the drug. The major practical limitation of azathioprine is that 6–18 months of treatment are usually required before benefit can be seen. Patients can be prescreened for thiopurine methyltransferase (TPMT) deficiency that is associated with severe bone marrow toxicity from this drug. Mycophenolate Mofetil This drug inhibits the proliferation of T and B lymphocytes by blocking purine synthesis. It appears to be effec tive in different forms of myositis and is the second-line treatment of choice for myositis patients with ILD. The starting dose is 1.0 g twice daily and can be increased to 3 g daily in divided doses, if necessary. Mycophenolate is excreted through the kidneys; therefore, the dose should be decreased in patients with renal insufficiency. An advantage 2917 of mycophenolate compared to other immunosuppressive agents is the lack of renal or hepatic toxicity. Rituximab Rituximab is a monoclonal antibody directed against CD20+ B cells. A large randomized controlled trial found no benefit, but there were flaws in the study design. Most authorities feel that rituximab can be beneficial in some patients who are refractory to prednisone and at least one of the other second-line agents. The typi cal dosage is 750 mg/m2 (up to 1 g) IV with a second infusion 2 weeks later and with repeat courses (375 mg/m2 as a single infusion or with a second infusion 2 weeks apart) every 6–18 months as needed. Drugs in Clinical Trials Trials of a monoclonal antibody to block IFN-β and drugs to target downstream pathways (e.g., JAK-1) are ongoing in DM and other forms of myositis. Studies targeting the neo natal Fc receptor (FcRn) to decrease myositis-specific antibodies are underway in DM, ASyS, and IMNM, as are trials with chimeric antigen receptor (CAR) T-cell therapy. Ongoing trials in IBM include rapamy cin as well as a trial of a monoclonal antibody binding to KLRG1 to deplete highly differentiated muscle-invading T cells. MYOSITIS ASSOCIATED WITH CHECKPOINT INHIBITORS Autoimmune neurologic complications, including inflammatory neu ropathy (Chap. 458), myasthenia gravis (Chap. 459), and myositis, can occur with use of immune checkpoint inhibitors (anti-CTLA-4, anti PD-1, and anti-PD-L1) to treat various cancers. Patients with myosi tis often develop muscle pain and weakness (axial musculature and proximal limbs) after one or two cycles. Myocarditis can also develop. Additionally, diplopia with extraocular weakness along with dysphagia and dysarthria suggesting the co-occurrence of myasthenia gravis (MG) may be present. In such cases, an elevated CK level helps sup port the diagnosis of myositis, while acetylcholine receptor antibod ies or decremental response on slow repetitive nerve stimulation can establish the diagnosis of MG. Endomysial inflammatory cell infiltrates </w:t>
      </w:r>
      <w:r w:rsidRPr="00A6019F">
        <w:lastRenderedPageBreak/>
        <w:t xml:space="preserve">composed of macrophages expressing PD-L1 and CD8+ lymphocytes expressing PD-1, overexpression of MHC-I on sarcolemma of muscle fibers, and scattered necrotic and regenerating fibers can be found on muscle biopsies. The immune checkpoint inhibitor should be discontinued, but most patients require concurrent treatment with glucocorticoids or IVIG. Patients generally improve over several months, during which time immunotherapy can be tapered. There are rare reports of patients with mild myositis who were able to be successfully re-treated with an immune checkpoint inhibitor. MYOSITIS ASSOCIATED WITH COVID-19 INFECTION Early series of patients hospitalized with COVID-19 report that as many as 44% of patients experience muscle pain or fatigue and 33% have elevated CK levels. Rare cases are complicated by myoglobinuria. Histopathology can demonstrate inflammatory cell infiltration and necrotic muscle fibers. In autopsy series, SARS-CoV-2 has not been demonstrated in muscle fibers, and the myositis is felt in most, if not all, to be due to cytokine storm. Whether COVID-19 infection can induce a chronic autoimmune myositis is controversial; there have been a number of reports of various types of IM, some with MSA, in patients following COVID-19 infection, but temporal associations do not equal causation. GLOBAL ISSUES There is a lack of epidemiologic data with regard to the incidence and prevalence of various subtypes of IM throughout the world. Compli cating the issue is disease awareness and the inability to obtain and process muscle biopsies and MSAs, particularly in less developed countries. Nevertheless, each of these disorders occurs throughout the world. The specific environmental triggers and genetic risk factors are likely variable. Interestingly, a report from Japan found that 28% of IBM patients had evidence of exposure to hepatitis C, which was much higher than seen in the Western Hemisphere and also more common than seen in PM and healthy population controls in Japan. HIV-associated PM and IBM are more commonly encountered in areas endemic for HIV, and recent studies suggest most of these “PM” patients turn out to have IBM and can develop symptoms at an earlier age (e.g., in the 30s). Interestingly, while most cases of anti-HMGCR myopathy in North America and Europe are associated with prior statin use, the major ity of such cases in Asia are not. Pyomyositis and parasitic myositis are clearly more common in the tropics. The prevalence of different types of cancers varies in different parts of the world, an important consideration with respect to paraneoplastic myositis. For example, nasopharyngeal cancer is particularly common in Asia; thus, assess ment for this type of cancer should be considered in the workup of patients from high-risk regions. </w:t>
      </w:r>
      <w:r w:rsidRPr="00A6019F">
        <w:rPr>
          <w:rFonts w:ascii="Arial" w:hAnsi="Arial" w:cs="Arial"/>
        </w:rPr>
        <w:t>■</w:t>
      </w:r>
      <w:r w:rsidRPr="00A6019F">
        <w:t xml:space="preserve">FURTHER READING Aggarwal R et al: ProDERM Trial Group. Trial of intravenous immune globulin in dermatomyositis. N Engl J Med 387:1264, 2022. Allenbach Y et al: Immune-mediated necrotizing myopathy: Clinical features and pathogenesis. Nat Rev Rheumatol 16:689, 2020. Amato AA, Russell JA (eds): Neuromuscular Disorders, 2nd ed. New York, McGraw-Hill Education, 2016, pp. 827–871. Britson KA et al: Loss of TDP-43 function and rimmed vacuoles persist after T cell depletion in a xenograft model of sporadic inclusion body myositis. Sci Transl Med 14:eabi9196, 2022. CHAPTER 378 </w:t>
      </w:r>
      <w:r w:rsidRPr="00A6019F">
        <w:lastRenderedPageBreak/>
        <w:t xml:space="preserve">Relapsing Polychondritis Greenberg SA: Inclusion body myositis: clinical features and patho genesis. Nat Rev Rheumatol 15:257, 2019. Julien S et al: Immune-mediated necrotizing myopathy (IMNM): A story of antibodies. Antibodies (Basel) 13:12, 2024. Mariampillai K et al: Development of a new classification system for idiopathic inflammatory myopathies based on clinical manifestations and myositis-specific autoantibodies. JAMA Neurol 75:1528, 2018. Müller F et al: CD19 CAR T-cell therapy in autoimmune disease: A case series with follow-up. N Engl J Med 390:687, 2024. Pinal-Fernandez I et al: Pathogenic autoantibody internalization in myositis. medRxiv [Preprint]. 17:2024.01.15.24301339, 2024. Puwanant A et al: Clinical spectrum of neuromuscular complications after immune checkpoint inhibition. Neuromuscul Disord 29:127, 2019. Suh J et al: Skeletal muscle and peripheral nerve histopathology in COVID-19. Neurology 97:e849, 2021. 378 Relapsing Polychondritis Marcela A. Ferrada, Peter C. Grayson Relapsing polychondritis (RP) is a rare systemic disease characterized by recurrent inflammation in cartilaginous structures. Involvement of the ears, nose, respiratory tract, and joints are hallmark features of the disease; however, other organs can be affected including the eyes, inner ear, nervous system, skin, and cardiovascular system. Some patients with RP may be concomitantly diagnosed with other rheumatologic diseases, such as Sjögren’s syndrome or systemic lupus erythematosus. Recurrent chondritis of the ears and nose in older male patients with severe systemic inflammation and progressive bone marrow failure is associated with acquired hematologic mutations in UBA1, a condition now known as the VEXAS (vacuoles, E1 enzyme, X-linked, autoin flammatory, somatic) syndrome. Prompt recognition and accurate diagnosis of RP or VEXAS syndrome are essential to prevent life threatening complications of these diseases. The epidemiology of RP is poorly characterized. The disease is commonly reported to primarily affect middle-aged adults without a strong sex predilection; some cohort studies report female predilection, 2918 however, these findings are not consistent and, therefore, are not rou tinely measured to guide management in clinical practice. PART 11 Immune-Mediated, Inflammatory, and Rheumatologic Disorders </w:t>
      </w:r>
      <w:r w:rsidRPr="00A6019F">
        <w:rPr>
          <w:rFonts w:ascii="Arial" w:hAnsi="Arial" w:cs="Arial"/>
        </w:rPr>
        <w:t>■</w:t>
      </w:r>
      <w:r w:rsidRPr="00A6019F">
        <w:t>CLINICAL MANIFESTATIONS AND ORGAN INVOLVEMENT but large, population-based studies typically show equal sex distribu tion. Children can be affected; however, these data are limited to case reports. Rare instances of familial aggregation have also been reported. The estimated incidence rate of disease is 0.7</w:t>
      </w:r>
      <w:r w:rsidRPr="00A6019F">
        <w:rPr>
          <w:rFonts w:ascii="Aptos" w:hAnsi="Aptos" w:cs="Aptos"/>
        </w:rPr>
        <w:t>–</w:t>
      </w:r>
      <w:r w:rsidRPr="00A6019F">
        <w:t>3.5 cases per million per year, and prevalence estimates range from 4.5</w:t>
      </w:r>
      <w:r w:rsidRPr="00A6019F">
        <w:rPr>
          <w:rFonts w:ascii="Aptos" w:hAnsi="Aptos" w:cs="Aptos"/>
        </w:rPr>
        <w:t>–</w:t>
      </w:r>
      <w:r w:rsidRPr="00A6019F">
        <w:t xml:space="preserve">25 cases per million. Epidemiologic data in RP are limited to older studies, typically evalu ating population distributions more than three decades ago in cohorts from Europe and North America. Given the diagnostic challenges encountered in this condition, these data may underestimate the true prevalence of disease. Although RP has been reported in many regions of the world, whether racial or ethnic differences are associated with variable clinical features or outcomes is not known. </w:t>
      </w:r>
      <w:r w:rsidRPr="00A6019F">
        <w:rPr>
          <w:rFonts w:ascii="Arial" w:hAnsi="Arial" w:cs="Arial"/>
        </w:rPr>
        <w:t>■</w:t>
      </w:r>
      <w:r w:rsidRPr="00A6019F">
        <w:t xml:space="preserve">PATHOLOGY AND PATHOPHYSIOLOGY Histologic findings from biopsy of affected cartilage are dependent on the timing of tissue sampling. In acute disease, a mixed inflammatory infiltrate of myeloid and </w:t>
      </w:r>
      <w:r w:rsidRPr="00A6019F">
        <w:lastRenderedPageBreak/>
        <w:t xml:space="preserve">lymphoid populations is observed at the car tilage interface. Over time, cartilage destruction is marked by lacunar breakdown and loss of chondrocytes, replaced by fibrosis. Biopsy of affected cartilage may cause morbidity, and there are no features on histology that are specifically diagnostic for RP. Therefore, biopsy is often reserved when there is a high suspicion of conditions that mimic RP, particularly infectious diseases and malignancies. Although genetic, environmental, and immunologic aspects of the disease have been studied in humans and in animal models, the exact mechanisms that drive the disease are unclear. Limited studies in animal models support the concept that autoimmunity to cartilage components may play a role in RP. Immunization of specific animals to type II col lagen, type IX collagen, or matrillin-1 can recapitulate various aspects of the clinical phenotypes observed in patients with RP; however, the performance characteristics of these antibodies in clinical practice are poor to differentiate RP from other diseases. Autoantibodies to type II collagen have been reported in small cohorts of patients with RP but are neither sensitive nor specific to be considered as an acceptable diag nostic marker of disease. Observational cohort data suggest that B-cell depleting therapies are not particularly effective to treat the condition, arguing against a strong primary role of antibody-mediated disease. Acute phase reactants (e.g., erythrocyte sedimentation rate or C-reactive protein) are not reliably elevated in patients with RP. Proinflammatory cytokines and chemokines related to both innate and adaptive immunity have been identified in association with RP; A RP is associated with a wide range of clinical manifestations. In the absence of a diagnostic blood test, a detailed medical history and physical examination are the most essential tools for diagnosis and, most importantly, further management. Because disease activity is intermittent and patients may not exhibit clear signs of inflammation during direct evaluation, it is crucial to consider the patient’s symptoms over time and to review any provided photographic documentation of disease features. Ears, Nose, and Throat Ear involvement is one of the most common clinical manifestations of relapsing polychondritis, affecting 80–90% of the patients. However, there are no clear definitions of ear chondritis, and patient descriptions of pain and associated symptoms are variable. The typical description includes involvement of only the cartilaginous aspect of the ear (pinnae) (Fig. 378-1A and B). However, a subset of patients may report pain in the ears with minimal associ ated findings visualized on physical examination, such as mild swell ing or erythema (Fig. 378-1C). Although damage to the cartilaginous portion of the external ear (i.e., “cauliflower ear”) is observed in RP (Fig. 378-1D), it is present only in a small number of patients, usually in the setting of recurrent episodes of ear inflammation. Questions that can be helpful to elicit the nature of ear pain include asking about onset, duration, and triggers. Common triggers include minimal trauma to the ear (such as from lying on the effected side or wearing glasses) or temperature changes. Patients usually describe a sensation of pressure at the bridge of the nose that may not be accompanied by other associated symptoms. Some patients may have overt redness and swelling of the bridge or tip of nose, but this is less </w:t>
      </w:r>
      <w:r w:rsidRPr="00A6019F">
        <w:lastRenderedPageBreak/>
        <w:t>common (Fig. 378-2A). While a “saddle nose” has been described as a typical clinical finding in RP, many patients will not develop an obvious nasal deformity (Fig. 378-2B). The nasal septum and nasal passages should always be evaluated in patients with suspected RP, as many patients can have septal ulcers and mucosal inflammation. In contrast to granulomatosis with polyangiitis (GPA) where a saddle nose deformity is usually associated with a septal perforation (Chap. 375), patients with RP who have a saddle nose deformity usually do not have B FIGURE 378-1 Representation of ear involvement in relapsing polychondritis. A and B. Examples of typical ear chondritis, with significant inflammation of the pinnae. C. Mild ear cartilage inflammation. D. Cartilage damage. 2919 CHAPTER 378 Relapsing Polychondritis and with a review of symptoms positive for possible RP should be fol lowed closely and further evaluated for lower airway involvement. D C a septal perforation, as most of the nasal perforations in patients with RP are located anteriorly. Musculoskeletal • JOINTS RP is associated with a nonerosive inflammatory arthritis that can affect small and large peripheral joints and as well as the axial skeleton. Erosions have been described in the sacroiliac joints but not in other joints. The most common large joint affected is the knees, often presenting with effusions. The pattern of small joint involvement emulates rheumatoid arthritis, without ero sions or deformities. Patients can have complaints of throat pain or a sensation of globus, usually described as a “choking sensation.” Patients can also report pain on the anterior aspect of the neck, in some cases associated with erythema, usually located at the level of the thyroid cartilage. TENOSYNOVITIS Different tendons can be affected including Achilles and peroneal tendons. COSTOCHONDRAL JOINTS Located at the rib-sternum junction, these joints are frequently inflamed in RP, producing constant pain that Upper and Lower Airway Conditions like subglottic stenosis may manifest acutely or subacutely, leading to cough, voice changes, or breathlessness. Severe narrowing can result in stridor, requiring urgent medical attention to avoid mortality (Fig. 378-3A). Often misdiag nosed as adult-onset asthma, timely recognition of airway involvement is important to prevent chronic damage to the large airways, which can result in tracheomalacia, bronchomalacia, or tracheal calcification (Fig. 378-3B and C). Patients with intermittent episodes of wheezing FIGURE 378-1 (Continued) B A FIGURE 378-2 Nose involvement in relapsing polychondritis. A. Redness and swelling of the base and tip of the nose. B. Saddle nose deformity. 2920 PART 11 Immune-Mediated, Inflammatory, and Rheumatologic Disorders stands out due to its unique severe quality. Pain due to costochondritis can be so severe that patients will seek evaluation in the emergency room due to concerns for an acute coronary event. The pain is bilateral, reproducible with palpation, and not associated with movement of the affected rib. Inner Ear All patients with RP should undergo hearing tests to evaluate for conductive and sensorineural hearing loss. During the physical exam, the ear canal should be evaluated as some patients can have severe inflammation or eustachian tube dysfunction leading to conductive hearing loss. The presence of dizziness necessitates further evaluation through maneuvers like finger-to-</w:t>
      </w:r>
      <w:r w:rsidRPr="00A6019F">
        <w:lastRenderedPageBreak/>
        <w:t xml:space="preserve">nose, Romberg, and nys tagmus to rule out vestibular involvement. A B C FIGURE 378-3 Airway involvement in relapsing polychondritis. A. Subglottic stenosis. B and C. Computed tomography demonstrating tracheal calcification and tracheomalacia. Ocular Involvement Episcleritis is the most frequent type of ocu lar inflammation in RP. It might coincide with other flare symptoms or occur independently. Although rare, features suggesting scleritis man date urgent ophthalmologic evaluation due to its potential catastrophic outcomes, including vision loss, scleromalacia, or global rupture neces sitating enucleation (Fig. 378-5A). Cardiovascular Patients with mouth and genital ulcers with inflamed cartilage (MAGIC) syndrome may exhibit symptoms seen in Behçet’s syndrome (Chap. 376), including pathergy and gastrointes tinal involvement. These patients can also have large-vessel vasculitis involving the aorta. Neurologic The diagnosis of neurologic involvement due to RP is one of exclusion. All possible etiologies including infection and malig nancy should be ruled out before attributing the clinical findings to RP; however, encephalitis and meningitis can be seen in RP. </w:t>
      </w:r>
      <w:r w:rsidRPr="00A6019F">
        <w:rPr>
          <w:rFonts w:ascii="Arial" w:hAnsi="Arial" w:cs="Arial"/>
        </w:rPr>
        <w:t>■</w:t>
      </w:r>
      <w:r w:rsidRPr="00A6019F">
        <w:t xml:space="preserve">DIAGNOSIS There are no circulating or tissue-based biomarkers with adequate performance characteristics to function as a diagnostic test for RP. As such, diagnosis is based primarily on clinical pattern recognition informed by a comprehensive review of systems and physical examina tion. Several diagnostic criteria have been proposed; however, these criteria were developed in small cohorts, are largely based on expert opinion, and have not been formally validated. McAdam’s criteria require presence of three of six symptoms, including bilateral auricular chondritis, nonerosive seronegative inflammatory polyarthritis, nasal chondritis, ocular inflammation, respiratory tract chondritis, or ves tibular/cochlear dysfunction. Damiani and Levine modified McAdam’s criteria to include either three clinical features or one clinical feature with histologic evidence of chondritis or two clinical features with clinical response to glucocorticoids, dapsone, or both. Michet’s criteria propose three major criteria (inflammation of ear, nose, or respira tory tract) and four minor criteria (ocular inflammation, hearing loss, vestibular dysfunction, and seronegative inflammatory arthritis) and require fulfillment of two major criteria or one major plus two minor criteria to establish the diagnosis. Another important limitation of these criteria is the lack of precise definitions of organ involvement. The differential diagnosis for RP includes conditions that mimic chondritis in specific cartilaginous organs and systemic diseases for which chondritis may be a manifestation. Ear chondritis can be mim icked by infectious and cutaneous diseases of the external ear, trau matic otohematoma, or red ear syndrome. Various infectious diseases and angiocentric centrofacial lymphoma can mimic nasal chondritis. Asthma, traumatic airway stenosis, infectious diseases, and congenital disorders involving the airway can mimic airway chondritis. Systemic diseases that mimic RP include GPA (Chap. 375) and autoinflamma tory diseases (Chap. 381). GPA can be differentiated from RP in part by the presence of antineutrophil cytoplasmic autoantibodies (ANCA) and glomerulonephritis, which are not features of RP. Presence of cytopenia, most notably macrocytosis and lymphopenia, in older male patients should trigger </w:t>
      </w:r>
      <w:r w:rsidRPr="00A6019F">
        <w:lastRenderedPageBreak/>
        <w:t xml:space="preserve">consideration of genetic testing and bone mar row assessment for VEXAS. Audiometry to assess hearing loss and dynamic expiratory phase computed tomography of the chest to assess tracheobronchomalacia are critical studies that should be performed in all patients with suspected 2921 RP to define the extent of disease involvement. Direct laryngoscopy can be useful to visualize cartilage damage and inflammation in the upper airway; however, bronchoscopy to visualize the lower airway can exacerbate disease and should be performed with caution. Echocardiog raphy can assess valvular heart disease. Fluorodeoxyglucose–positron emission tomography may have utility to detect inflammation in the large arteries and the larger airways. Biopsy of affected cartilage often yields nonspecific findings and should be reserved to exclude mimick ing conditions. TREATMENT Relapsing Polychondritis Patients with RP can present to diverse specialists prior to diagnosis that can include multiple emergency room visits. Internal medicine doctors are typically among the first to encounter patients who present with the initial manifestations of RP and are instrumental in starting the initial treatment regimen. Because RP is a systemic and heterogeneous disease, clini cal management should typically involve multidisciplinary teams, including otolaryngologists (ear, nose, and throat specialists) and pulmonologists. Given the disease’s propensity to progressively involve various organs, it is crucial to perform initial testing to define organ damage. If possible, patients should be referred to a rheumatologist for comprehensive evaluation, diagnosis confirma tion, and the establishment of a tailored treatment plan. Glucocorticoids are the cornerstone of initial treatment for inflammation in RP, with dosages tailored to the severity of the disease and the specific organs involved. In cases where life-threat ening organ involvement, such as the airway, is present, high doses of glucocorticoids (e.g., 1 mg/kg of prednisone or an equivalent glucocorticoid) should be rapidly initiated. For patients with milder disease, lower doses of glucocorticoids can be trialed. Different disease-modifying agents can be used to treat the disease including methotrexate, leflunomide, mycophenolate, anti-interleukin-6, or tumor necrosis factor inhibitors. Due to the heterogeneity of the disease, treatment strategies are often determined by the predomi nant clinical phenotype. </w:t>
      </w:r>
      <w:r w:rsidRPr="00A6019F">
        <w:rPr>
          <w:rFonts w:ascii="Arial" w:hAnsi="Arial" w:cs="Arial"/>
        </w:rPr>
        <w:t>■</w:t>
      </w:r>
      <w:r w:rsidRPr="00A6019F">
        <w:t xml:space="preserve">FURTHER READING Beck DB et al: Somatic mutations in UBA1 and severe adult-onset autoinflammatory disease. N Engl J Med 383:2628, 2020. Ferrada M et al: Defining clinical subgroups in relapsing polychon dritis: A prospective observational cohort study. Arthritis Rheum 72:1396, 2020. 379 Sarcoidosis Alicia K. Gerke Sarcoidosis is a systemic inflammatory disease of unknown cause char acterized by the formation of nonnecrotizing granulomatous inflam mation. Sarcoidosis affects the lung in &gt;90% of cases but can afflict almost any other organ system as well. The disease was first described &gt;150 years ago by Dr. Jonathan Hutchinson of London, England, as a skin malady of symmetrical purple plaques (later termed lupus pernio) and raised red lesions (Mortimer’s malady). In 1899, the skin lesions were noted to be “sarkoid” by Caeser Boeck, a Norwegian dermatolo gist, as they resembled sarcoma, albeit the lesions were largely benign and granulomatous in their histology. The advent </w:t>
      </w:r>
      <w:r w:rsidRPr="00A6019F">
        <w:lastRenderedPageBreak/>
        <w:t xml:space="preserve">of imaging and other clinical technology later unveiled the multiorgan involvement associated with sarcoidosis. However, despite even modern advances in immunology, genetics, and genomics, there is still considerable mys tery regarding the exact etiology of the inflammation and the factors that contribute to variability of disease presentation and clinical course. Because of this considerable heterogeneity and lack of large, random ized treatment trials, decisions regarding diagnosis and management continue to be challenging. EPIDEMIOLOGY Sarcoidosis occurs throughout the world, affecting all genders, races, and ages. Epidemiologic studies regarding the incidence, prevalence, and mortality rates of sarcoidosis are difficult to conduct and compare; this is due to the potential for nonstandardized case definition, differ ing methods of case acquisition, and lack of known etiology. Regional variabilities due to race and gender, as well as phenotypic variability, further confound epidemiologic measurements. Taken as a whole, epi demiologic studies highlight the variation in disease globally. CHAPTER 379 Sarcoidosis </w:t>
      </w:r>
      <w:r w:rsidRPr="00A6019F">
        <w:rPr>
          <w:rFonts w:ascii="Arial" w:hAnsi="Arial" w:cs="Arial"/>
        </w:rPr>
        <w:t>■</w:t>
      </w:r>
      <w:r w:rsidRPr="00A6019F">
        <w:t xml:space="preserve">INCIDENCE AND PREVALENCE The incidence and prevalence of sarcoidosis vary by race, gender, geographic region, ethnicity, and season. An increased familial risk has been noted. The highest incidence in the world occurs in African Americans (35.5 per 100,000) and Northern European populations (24 per 100,000) as described by studies from the United States and Sweden. A higher incidence occurring in women is consistent across most studies, although the ratio does not usually exceed 2:1. The U.S. Black Women’s Health Study cohort found a particularly high annual incidence of 71 per 100,000 and a prevalence of 2%. Some studies suggest an increase in incidence over time in the populations of some countries such as the United States and Japan. Peak incidence of the disease occurs between 35 and 45 years of age, but a significant proportion of cases do happen after age 55, with men manifesting disease earlier than women. The overall perceived incidence rate may be underestimated, as identification of subclinical sarcoidosis may only be possible in screening population studies or at autopsy. Certain occupations and exposures and an elevated body mass index have been identified as risk factors for development of sarcoidosis, whereas smok ing is associated with reduced odds of incident sarcoidosis. Seasonal variation is also reported, with a predominance of diagnoses occurring in the springtime. Differences in presentation and severity are also seen among popu lations. Cardiac and ocular involvement are more commonly observed in Japanese populations, whereas Europeans tend to develop erythema nodosum, which is uncommon among Japanese and black populations. Several studies suggest that overall severity is higher in black popula tions, with black patients presenting with more frequent involvement of extrapulmonary disease and three times the likelihood of familial disease. Women are at increased risk for developing erythema nodo sum and ocular, musculoskeletal, and neurologic disease, while men are at higher risk for hypercalcemia. While most sarcoidosis patients have lung involvement, black and female patients tend to have more severe lung disease. Finally, lower income has also been associated with severity of disease and potentially greater disability and impairment (particularly increased </w:t>
      </w:r>
      <w:r w:rsidRPr="00A6019F">
        <w:lastRenderedPageBreak/>
        <w:t xml:space="preserve">dyspnea and onset of new organ involvement), suggesting that socioeconomic status may impact disease course. </w:t>
      </w:r>
      <w:r w:rsidRPr="00A6019F">
        <w:rPr>
          <w:rFonts w:ascii="Arial" w:hAnsi="Arial" w:cs="Arial"/>
        </w:rPr>
        <w:t>■</w:t>
      </w:r>
      <w:r w:rsidRPr="00A6019F">
        <w:t xml:space="preserve">MORTALITY Mortality rates vary considerably based on the study setting, with popu lation screenings noting lower rates of mortality than those reported from referral centers. These occurrences may reflect differences in disease severity. Analysis of death certificates from the United States shows an average age- and gender-adjusted mortality rate of 4.32 per 1,000,000. Mortality rates are higher in women and in African Ameri cans. Pulmonary fibrosis is the leading cause of death in this population. Lower mortality rates are seen in Japan, with estimates at 0.1 per million people. In Japan, mortality from sarcoidosis itself is usually attributed to cardiac involvement, whereas in Europeans and Americans, respiratory mortality predominates. 2922 ETIOLOGY PART 11 Immune-Mediated, Inflammatory, and Rheumatologic Disorders Antigen Presentation MHC The cause of sarcoidosis is unknown; however, current evidence strongly indicates a heightened host immune response to an undeter mined environmental exposure in a genetically susceptible individual. It is unknown if there are multiple different antigens that induce the same disease process. The immunologic response in sarcoidosis appears to be physiologic, although it is either exaggerated or is defi cient in its regulatory mechanisms. The transmissibility of the immune response also supports the presence of an antigen. For example, the Kveim-Siltzbach reagent (historically used to diagnose sarcoidosis) is a homogenate of human splenic tissue from patients with sarcoidosis that, when injected into the skin, induces a systemic granulomatous response in patients with early sarcoidosis. In a similar fashion, trans plant recipients can develop a sarcoid-like inflammatory response after receiving organ tissue from another person with sarcoidosis. Histologic inflammatory responses like sarcoidosis occur in the lungs of patients with known inorganic and organic exposures such as beryllium, mycobacteria, or fungi, resulting in these antigens being studied as potential causes. Mycobacterial proteins (e.g., mKatG, ESAT-6, mycobacterial superoxide dismutase A, antigen 85A, heat shock pro teins) have been found disproportionately in sarcoidosis granulomas. Heightened macrophage immune responses against these peptides within blood and bronchoalveolar lavage (BAL) have also been noted in patients with sarcoidosis. In a similar manner in other cohorts, Cuti bacterium acnes (formerly Propionibacterium acnes) has been impli cated. A genetic predisposition is also suspected, as antigen recognition and presentation molecule polymorphisms have been associated with sarcoidosis development and phenotype. Similarly, gene–environment interactions have been identified, suggesting a complex interaction of a susceptible host in a predisposing environment. Epidemiologically, the role of antigens in pulmonary sarcoidosis is further supported by case-cluster events and occupational association. Whereas numerous familial case clusters support a genetic predisposi tion to sarcoidosis in at least a proportion of cases, spatial clustering of nonrelated sarcoidosis cases suggests exposure to an inciting envi ronmental antigen. For example, a baseline higher incidence is noted in U.S. firefighters, with an annual incidence of sarcoidosis occurring in 13–15 per 100,000 individuals. Following </w:t>
      </w:r>
      <w:r w:rsidRPr="00A6019F">
        <w:lastRenderedPageBreak/>
        <w:t xml:space="preserve">the World Trade Center event and building collapses, the rates of “sarcoid-like” disease were 86 per 100,000 in the first year and 22 per 100,000 over the next 4 years, with the highest risk associated with working in the debris piles. Inter estingly, the cases included not only those with lung disease but also those with multisystem involvement, which would not be expected from a localized inhalational exposure. Additionally, employment in agriculture, teaching, metalworking, radiation, cotton ginning, and automobiles has also been associated with sarcoidosis. Unknown antigen T Cell Response TCR CD4+ T cell (activated) TH17 cell Th-1 response Granulomatous Inflammation Regulatory Response Increased rates of sarcoidosis have been found in association with environmental exposures. Musty or humid environments, mold and mildew, insecticides, air conditioning, raising birds, and exposure to wood stoves/burning and fireplaces have been associated with increased risk of sarcoidosis. On the other hand, smoking is con sistently a negative predictor of disease; the mechanism of this is unknown, although it is perhaps related to immunomodulatory effects of nicotine and smoke. These epidemiologic studies would indicate that the inciting exposure may be a bioaerosol or an inorganic agent, which may explain some of the epidemiologic variability of clinical presentation by race, age, gender, and ethnicity. Additionally, the incit ing antigen may not be a single agent; rather, differing antigens may exist for each individual or population. Resolution Treg Fibrosis FIGURE 379-1 Immunopathogenesis of sarcoidosis. Granulomatous inflammation of sarcoidosis is presumed to be due to a heightened immune response to an undetermined antigen in a genetically predisposed individual. The antigen presentation via the major histocompatibility complex (MHC) activates CD4+ T PATHOGENESIS Like other granulomatous processes, granulomas of sarcoidosis are presumably forming around a poorly degradable or insoluble material that is identified and presented to lymphocytes by dendritic cells or macrophages via the major histocompatibility complex (Fig. 379-1). The initial innate immune response triggers the production of cytokines and chemokines that begin the cascade of granulomatous inflamma tion, attracting cells of the adaptive immune response. Activated lym phocytes and mononuclear cells migrate to the site of granulomatous cells, leading to a polarized TH 1 response. Activated lymphocytes, macrophages, and monocytes migrate to sites of inflammation, leading to a cascade of tightly formed noncaseating granulomas. Altered T-regulatory (Treg) and TH 17 responses are thought to be involved in lack of resolution of granulomatous inflammation or progression to fibrosis in some cases. inflammation in a process driven by amplification of oligoclonal T cells of undefined antigenic specificity. Type 1 (TH 1) immune polarization is the immunopathogenic hallmark of sarcoidosis, characterized by highly polarized CD4+ TH 1 lymphocytes and less so by CD8+ lymphocytes, producing interferon-gamma (IFN-γ). TH 1-promoting immunoregula 2923 tory cytokines and chemokines (interleukin [IL]-1, IL-2, IL-15, IL-18, CXCR3) are consistently upregulated at sites of inflammation, propa gating the immune response, activating macrophages, and forming granulomas. The accumulation of inflammatory cells at </w:t>
      </w:r>
      <w:r w:rsidRPr="00A6019F">
        <w:lastRenderedPageBreak/>
        <w:t xml:space="preserve">granuloma formation sites appears to be the result of both in situ proliferation and redistribution of the peripheral blood to the lung. Alterations in regula tory T cells and TH 17 cells may also play a role in the body’s inability to control the inflammation. Although most patients with sarcoidosis eventually recover, the critical step as to why some patients with sar coidosis transition to fibrosis is not understood. CLINICAL PRESENTATION The clinical presentation of patients varies considerably from asymp tomatic to progressive organ dysfunction. Acute-onset presentation is seen in Löfgren syndrome in up to 10% of sarcoidosis cases (fever, erythema nodosum, ankle arthralgias, bilateral hilar lymphadenopa thy) and, less commonly, Heerfordt syndrome (facial nerve palsy, fever, anterior uveitis, and bilateral enlargement of the parotid glands). These acute presentations typically have an excellent prognosis with full spontaneous resolution. In subacute or chronic cases, symptoms such as chronic cough, dyspnea, atypical chest pain, or intermittent joint or muscle pain tend to have a more insidious onset. In rare cases, presentation of sarcoidosis can be fatal, usually related to heart failure, sudden cardiac death, or neurologic involvement. Symptoms vary depending on organ involvement and intensity of inflammatory response; therefore, patients can present to different clinical specialists. Nonspecific symptoms of fevers, malaise, night sweats, and weight loss are often present. More fulminant and organ threatening symptoms can include acute hypercalcemia, blindness, arrhythmias, heart block, or neurologic demise, necessitating hospi talization. Cardiopulmonary symptoms such as cough, chest pain, or shortness of breath can mimic more common diseases, contributing to delays in diagnosis. In many cases, findings of sarcoidosis are found incidentally on imaging, prompting further workup. ESTABLISHING A DIAGNOSIS The diagnosis of sarcoidosis is made using three main criteria: (1) a compatible clinical presentation, (2) the presence of nonnecrotizing granulomatous inflammation in one or more tissues, and (3) exclusion of alternative causes of granulomatous inflammation. The diagnostic workup for sarcoidosis should also include assessment of extent and severity of organ involvement, a review of prognostic factors, and a determination of whether therapy will benefit the patient. If a compatible clinical picture or radiographic finding suggests sarcoidosis, then biopsy should be considered as the next step. There are no well-established, clinically useful diagnostic serum biomarkers that can secure a diagnosis. Noninvasive sites for biopsy can include skin, conjunctiva, or superficial lymph nodes, but in cases where lung involvement and mediastinal/hilar lymphadenopathy are the promi nent feature, bronchoscopy is the preferred method for diagnosis. Endobronchial ultrasound-guided lymph node sampling has high diagnostic yield and low procedural risk. BAL studies of lymphocyte subpopulations can be performed and characteristically reveal an elevated percentage of lymphocytes. A CD4:CD8 lymphocyte ratio &gt;3.5 supports a diagnosis of sarcoidosis, particularly when combined with consistent clinical and radiographic findings (albeit a normal ratio does not exclude sarcoidosis). BAL is also important to exclude infection. Granulomas can line all segments of airway walls, providing the “cobblestone” appearance seen during </w:t>
      </w:r>
      <w:r w:rsidRPr="00A6019F">
        <w:lastRenderedPageBreak/>
        <w:t xml:space="preserve">bronchoscopy. If needed, transbronchial lung tissue biopsies can also be done to confirm sar coidosis with lung infiltrates. Endoscopic ultrasound through the esophagus can be considered as an alternative biopsy approach based on clinical presentation and location of inflammation. Rarely, surgical lung biopsy or mediastinoscopy may be indicated when less invasive procedures have proven nondiagnostic and no other accessible sites for biopsy have been identified. 18F-fluorodeoxyglucose (FDG) positron emission tomography (PET)–computed tomography (CT) can also be helpful to identify active tissue inflammation and a site to biopsy in difficult cases. CHAPTER 379 Sarcoidosis In some cases, the clinical presentation can be so compelling that lymph node sampling may not be necessary. For example, this can occur in patients with classic Löfgren syndrome, Heerfordt syndrome, or lupus pernio. Similarly, deferring biopsy in asymptomatic patients with symmetrical bilateral hilar lymphadenopathy may be considered based on patient-oriented discussions. In all cases, however, close clini cal follow-up is still recommended, as the diagnosis of sarcoidosis is never fully secure. PATHOLOGY The sarcoidosis granuloma is an organized collection of macro phages, epithelioid cells, and multinucleated giant cells (which form as the epithelioid cells fuse). These cells are surrounded by a well circumscribed rim of lymphocytes and fibroblasts. CD4+ T lympho cytes are also found interspersed within the granuloma center, while CD8+ T lymphocytes and B lymphocytes reside at the periphery. Sarcoidosis granulomas are nonnecrotizing; however, punctuate necrosis may be present on rare occasions. More abundant necrosis strongly indicates alternative causes of granulomatous inflammation such as infection, and loosely formed nonnecrotizing granulomas would suggest an alternative diagnosis such as hypersensitivity pneu monitis (Fig. 379-2). Additionally, inclusions occasionally appear in sarcoidosis granulomas; these can include asteroid bodies, birefrin gent calcium carbonate or oxalate crystals, Schaumann bodies, and Hamazaki-Wesenberg bodies (especially in lymph nodes). Although most inflammatory granulomas tend to resolve, hyalinization and fibrosis of the granulomas can occur. A B C FIGURE 379-2 Comparison of granulomas. (A) The sarcoidosis granuloma is tightly formed and nonnecrotizing. (B) The infectious granuloma as seen in tuberculosis or fungal infections is tightly formed but with a necrotizing center. (C) The granuloma in hypersensitivity pneumonitis is loosely formed and without necrosis. 2924 TABLE 379-1 Common Exclusionary Causes of Granulomatous Disease in the Diagnosis of Sarcoidosis PART 11 Immune-Mediated, Inflammatory, and Rheumatologic Disorders INFECTIONS Mycobacterial infection • Tuberculosis • Atypical mycobacteria Fungal infection • Histoplasmosis • Coccidiomycosis • Blastomycosis • Aspergillosis • Cryptococcus Parasitic infection • Toxoplasmosis • Schistosomiasis Other bacterial and viral infection (less common) • Herpes zoster • Tularemia (Francisella tularensis) • Q fever (Coxiella burnetii) • Bartonella henselae OTHER INFLAMMATORY DISEASES Environmental exposure • Hypersensitivity pneumonitis • Aspiration pneumonitis • Chronic beryllium disease • Silicosis • Talc inhalation or injection • Local or systemic </w:t>
      </w:r>
      <w:r w:rsidRPr="00A6019F">
        <w:lastRenderedPageBreak/>
        <w:t xml:space="preserve">reaction to tattoo ink Medication sarcoid-like reaction • Immune checkpoint inhibitors • Antiretroviral therapy • Interferon • TNF-α antagonist Autoimmune/Inflammatory • ANCA-associated vasculitis • Granulomatous-lymphocytic interstitial lung disease (associated with common variable immunodeficiency) • IgG4-related disease • Rheumatoid nodules • Inflammatory bowel disease • Bronchocentric granulomatosis MALIGNANCY RELATED Malignancy • Local granulomatous reaction surrounding tumor • Systemic sarcoid like reaction to malignancy Chemotherapy or immunotherapy • Sarcoid-like reaction Abbreviations: ANCA, antineutrophil cytoplasmic antibodies; TNF, tumor necrosis factor. A histopathologic examination of the involved organ tissue reveals granulomas in sarcoidosis; however, diagnosis heavily relies on exclu sion of other causes of granulomas. The differential diagnosis can be broad and must be considered in the clinical context (Table 379-1). A careful history assessment for environmental exposures or other inflammatory diseases is imperative to secure confidence in the diag nosis of sarcoidosis. Infections can be difficult to differentiate from sarcoidosis and require special histologic stains and cultures. Necro tizing sarcoidosis granulomatosis, characterized by necrosis, is a rare and less well-established entity that often involves vasculitis. Given the numerous causes of granulomatous inflammation and disease mimics, the diagnosis of sarcoidosis is never made with absolute certainty, and new symptoms or signs that occur during the disease process should be fully evaluated. DIAGNOSTIC EVALUATION The initial evaluation of sarcoidosis patients includes a complete his tory and physical exam, as well as assessment of organ involvement and severity of disease. Once diagnosis is suspected, a full review of symptoms is warranted to elucidate any potential pulmonary and extrapulmonary involvement, as about half of patients will have extrapulmonary involvement. Almost every organ system in the body can be affected by sarcoidosis (Fig. 379-3). A baseline set of testing (at minimum) should be done in all patients on initial evaluation, including pulmonary function tests, chest imaging, a baseline oph thalmologic investigation to evaluate for clinically silent uveitis, and an electrocardiogram (ECG) (Table 379-2). Serum tests for abnormal calcium metabolism and any significant hepatic, renal, or hematologic involvement should also be performed. Hematologic abnormalities are frequent and can be attributed to redistribution of T cells to sites of disease, splenic sequestration, granulomatous bone marrow involve ment, or immune mediation. Routine asymptomatic follow-up testing is more controversial regarding its utility, but repeat testing should be Eyes: 12% Ear/Nose/Throat: 3% ä Calcium: 4% Peripheral Lymph Nodes: 15% Neurologic: 5% Salivary/Parotid Glands: 4% Lungs: 95% Liver: 12% Heart: 2% Spleen: 7% Kidneys: 1% Skin: 16% Bones/Joints/ Muscles: 1% FIGURE 379-3 Frequency of organ involvement in sarcoidosis. Organ involvement upon presentation. (RP Baughman et al: Am J Respir Crit Care Med 164:1885, 2001.) done to evaluate the onset of any new signs or symptoms as the disease evolves. Abnormal initial testing may require further workup. ORGAN INVOLVEMENT </w:t>
      </w:r>
      <w:r w:rsidRPr="00A6019F">
        <w:rPr>
          <w:rFonts w:ascii="Arial" w:hAnsi="Arial" w:cs="Arial"/>
        </w:rPr>
        <w:t>■</w:t>
      </w:r>
      <w:r w:rsidRPr="00A6019F">
        <w:t xml:space="preserve">LUNGS The lungs are involved in &gt;90% of patients with </w:t>
      </w:r>
      <w:r w:rsidRPr="00A6019F">
        <w:lastRenderedPageBreak/>
        <w:t xml:space="preserve">sarcoidosis. Pulmo nary function tests are important to measure initial lung impairment and to assess improvement or deterioration over time. Many patients have normal lung function testing or a normal lung exam despite the presence of granulomatous inflammation and abnormal imag ing findings. A restrictive pattern is often seen in those with more TABLE 379-2 Baseline Testing upon Initial Diagnosis of Sarcoidosis Full history, review of systems, physical exam Pulmonary function testing Chest imaging Eye exam Serum creatinine, alkaline phosphatase, calcium level, complete blood counts 25- and 1,25-hydroxyvitamin D levels if assessing vitamin D metabolism Electrocardiogram Note: Further testing is dependent upon signs or symptoms indicating potential organ involvement. 2925 advanced disease, and airflow obstruction can occur in up to one-third of patients. Sarcoidosis tends to be upper-lobe predominant on lung imaging. Chest x-rays are classically used to “stage,” or describe the pattern of presentation in the lungs, known as Scadding stages (Fig. 379-4). Although chest CT is not indicated in every patient, it is commonly performed to determine extent of lung disease and to guide biopsies. Sarcoidosis granulomas have a lymphangitic distribution in the lung along the pleural and subpleural areas and interlobular septa and around the bronchovascular bundles. Classic findings of sarcoidosis on chest CT scans are widespread small nodules with a bronchovascular and subpleural distribution (Fig. 379-5A, B), thickened interlobular septa, mediastinal and hilar lymphadenopathy, and conglomerate masses with architectural distortion (Fig. 379-5C). In advanced cases of pulmonary involvement, CT findings include honeycombing, cyst or cavity formation, and bronchiectasis. Nodular sarcoidosis or nec rotizing sarcoid granulomatosis can present with nodular masses. Pleural effusions tend to be indirectly related (e.g., infections, heart failure), but rarely, sarcoidosis can cause lymphocytic, exudative STAGE 1: Bilateral hilar lymphadenopathy without parenchymal lung involvement STAGE 2: Bilateral hilar lymphadenopathy and parenchymal lung involvement STAGE 3: Parenchymal lung involvement without lymphadenopathy STAGE 4: Pulmonary fibrosis with architectural distortion and volume loss pleural effusions. Upper respiratory tract involvement can also occur rarely within the larynx, pharynx, and sinuses and is associated with more chronic severe disease. Progressive pulmonary fibrosis with irreversible scarring is a sig nificant cause of complications and death in patients with sarcoidosis. Fibrosis can be complicated by cavitary lung disease, chronic pul monary aspergillosis or aspergillomas, and pulmonary hypertension. Airflow obstruction is common in these patients due to central airway scarring and distortion of the lung structure. Fibrosis can occur even in the setting of anti-inflammatory therapy. </w:t>
      </w:r>
      <w:r w:rsidRPr="00A6019F">
        <w:rPr>
          <w:rFonts w:ascii="Arial" w:hAnsi="Arial" w:cs="Arial"/>
        </w:rPr>
        <w:t>■</w:t>
      </w:r>
      <w:r w:rsidRPr="00A6019F">
        <w:t>HEART Granulomas can infiltrate any part of the heart, causing rhythm abnor malities, heart failure, pericardial effusion, and even sudden death. In the broader general population, cardiac sarcoidosis is the cause of a significant proportion of cases of new-onset atrioventricular block, cardiomyopathy, and ventricular dysrhythmias, particularly in younger age groups. Clinical evidence of cardiac involvement in patients with CHAPTER 379 Sarcoidosis RESOLUTION RATE: 55–</w:t>
      </w:r>
      <w:r w:rsidRPr="00A6019F">
        <w:lastRenderedPageBreak/>
        <w:t xml:space="preserve">90% 40–70% 10–20% FIGURE 379-4 Scadding stages in sarcoidosis.   0% 2926 PART 11 Immune-Mediated, Inflammatory, and Rheumatologic Disorders A B C FIGURE 379-5 Imaging findings in sarcoidosis. (A and B) Chest computed tomography images of sarcoidosis show widespread small nodules in a perilymphatic and subpleural distribution and prominent bronchovascular bundle thickening. (C) Large peribronchovascular mass-like consolidations extending along the hila along with partially calcified mediastinal and hilar lymphadenopathy in a patient with sarcoidosis. known sarcoidosis is found in 7 days 3–7 days 1–2 days Minutes–3 days Continuous, with flares Serosa Pleurisy, peritonitis; asymptomatic pericardial effusions Pleurisy, peritonitis, pericarditis Abdominal pain, but seldom peritonitis; pleurisy, pericarditis uncommon Abdominal pain; pleurisy, pericarditis rare Rare Rare Skin Erysipeloid erythema Centrifugally migrating erythema Diffuse maculopapular rash; oral ulcers Diffuse urticaria-like rash Cold-induced urticaria-like rash Diffuse urticaria-like rash Joints Acute monoarthritis; chronic hip arthritis (rare) Acute monoarthritis, arthralgia Arthralgia, oligoarthritis Arthralgia, large joint oligoarthritis Polyarthralgia Epiphyseal, patellar overgrowth, clubbing Muscle Exercise-induced myalgia common; protracted febrile myalgia rare Migratory myalgia Uncommon Myalgia common Sometimes myalgia Sometimes myalgia Eyes, ears Uncommon Periorbital edema, conjunctivitis Uncommon Conjunctivitis, episcleritis, optic disc edema; sensorineural hearing loss Conjunctivitis Conjunctivitis, uveitis, optic disc edema, blindness, sensorineural hearing loss CNS Aseptic meningitis rare Headache Headache Headache Headache Aseptic meningitis, seizures Amyloidosis Most common in M694V homozygotes ~15% of cases, most often cysteine mutations, T50M Sometimes associated with V377I/I268T MVK genotype ~25% of cases Uncommon Late complication Treatment Oral colchicine prophylaxis, IL-1 inhibitors for refractory cases Glucocorticoids, IL-1 inhibitors, etanercept NSAIDs for fever; IL-1 inhibitors Canakinumab, rilonacept, anakinra Canakinumab, rilonacept, anakinra Anakinra aA substantial percentage of patients with clinical FMF have only a single demonstrable MEFV mutation on DNA sequencing. Abbreviations: CNS, central nervous system; FCAS, familial cold autoinflammatory syndrome; FMF, familial Mediterranean fever; HIDS/MKD, hyperimmunoglobulinemia D with periodic fever syndrome, also known as mevalonate kinase deficiency; IL, interleukin; MWS, Muckle-Wells syndrome; NOMID, neonatal-onset multisystem inflammatory disease; NSAIDs, nonsteroidal anti-inflammatory drugs; TNF, tumor necrosis factor; TRAPS, TNF receptor-associated periodic syndrome. leukocytosis, thrombocytosis (in children), and elevations in C-reactive protein, fibrinogen, haptoglobin, and serum immunoglobulins. Tran sient albuminuria and hematuria may also be seen. AMYLOIDOSIS Before the advent of colchicine prophylaxis, systemic amyloidosis was a common complication of FMF. It is caused by deposition of a fragment of serum amyloid A, an acute-phase reactant, in the kidneys, adrenals, intestine, spleen, lung, and testes (Chap. 117). Amyloidosis should be suspected in patients who have proteinuria between attacks; renal or rectal biopsy is used most </w:t>
      </w:r>
      <w:r w:rsidRPr="00A6019F">
        <w:lastRenderedPageBreak/>
        <w:t xml:space="preserve">often to establish the diagnosis. Risk fac tors include the M694V homozygous genotype, positive family history (independent of FMF mutational status), the SAA1 genotype, male gender, noncompliance with colchicine or IL-1 inhibitory therapy, and national origin (with amyloid risk paralleling infant mortality rate). DIAGNOSIS For typical cases, physicians experienced with FMF can often make the diagnosis on clinical grounds alone. Clinical criteria sets for FMF have been shown to have high sensitivity and specificity in parts of the world where the pretest probability of FMF is high. Genetic testing can provide a useful adjunct in ambiguous cases or for physicians not experienced in FMF. Most of the more severe disease-associated FMF mutations are in exon 10 of the gene. An updated, expert-curated list of mutations (as well as benign nonpathogenic polymorphisms) for FMF and other hereditary autoinflammatory diseases can be found online at http://fmf.igh.cnrs.fr/infevers/. Genetic testing has permitted a broadening of the clinical spectrum and geographic distribution of FMF and may be of prognostic value. Most studies indicate that M694V homozygotes have an earlier age of onset and a higher frequency of arthritis, rash, and amyloidosis. In contrast, the E148Q variant in exon 2 is quite common in certain Asian populations and is more likely to affect overall levels of inflammation than to cause clinical FMF. E148Q is sometimes found in cis with exon 10 mutations, which may increase the penetrance of the exon 10 mutation. Only ~70% of patients with clinically typical FMF have two identifiable mutations in trans, consistent with the concept that FMF mutations are gain-of-function with regard to inflammasome activation, with a dosage effect. In those cases in which only a single mutation is identified, clinical judgment is very important, and sometimes a therapeutic trial of colchicine or an IL-1 inhibitor may help to confirm the diagnosis. If a patient is seen during their first attack, the differential diagnosis may be broad, although delimited by the specific organ involvement. After several attacks, the differential diagnosis may include the other hereditary recurrent fever syndromes (Table 381-1); the syndrome of periodic fever with aphthous ulcers, pharyngitis, and cervical adenopa thy (PFAPA); systemic-onset juvenile rheumatoid arthritis or adult Still’s disease; porphyria; hereditary angioedema; inflammatory bowel disease; and, in women, gynecologic disorders. 2936 PART 11 Immune-Mediated, Inflammatory, and Rheumatologic Disorders TREATMENT Familial Mediterranean Fever The initial treatment of choice for FMF is daily oral colchicine, which decreases the frequency and intensity of attacks and prevents the development of amyloidosis in compliant patients. Intermittent dosing at the onset of attacks is not as effective as daily prophylaxis and is of unproven value in preventing amyloidosis. The usual adult dose of colchicine is 1.2–1.8 mg/d, which causes substantial reduc tion in symptoms in two-thirds of patients and some improvement in &gt;90%. Children may require lower doses, although not propor tionately to body weight. Common side effects of colchicine include bloating, abdominal cramps, lactose intolerance, and diarrhea. They can be minimized by starting at a low dose and gradually advancing as tolerated, splitting the dose, use of simethicone for flatulence, and avoidance of dairy products. If taken by either parent at </w:t>
      </w:r>
      <w:r w:rsidRPr="00A6019F">
        <w:lastRenderedPageBreak/>
        <w:t xml:space="preserve">the time of concep tion, colchicine may cause a small increase in the risk of trisomy 21 (Down’s syndrome). Colchicine is usually continued during pregnancy, because the risk of miscarriage due to FMF attacks is thought to outweigh any effect of colchicine on fetal develop ment. In elderly patients with renal insufficiency, colchicine can cause a myoneuropathy characterized by proximal muscle weakness and elevation of the creatine kinase. Cyclosporine inhibits hepatic excretion of colchicine by its effects on the multidrug resistance 1 (MDR1) transport system, sometimes leading to colchicine toxicity in patients who have undergone renal transplantation for amyloido sis. Intravenous colchicine should not be administered to patients already taking oral colchicine, because severe, sometimes fatal, toxicity has been observed in this setting. For FMF patients who do not respond to colchicine or cannot tolerate therapeutic doses, injectable IL-1 inhibitors may be used. Based on a randomized placebo-controlled phase 3 trial, monthly subcutaneous administration of the monoclonal anti-IL-1β anti body canakinumab received U.S. Food and Drug Administration (FDA) approval for this indication. In a small randomized placebo controlled trial, weekly subcutaneous rilonacept, a recombinant IL-1 receptor fusion protein, significantly reduced the frequency of attacks. There is also substantial anecdotal experience with daily subcutaneous anakinra, a recombinant IL-1 receptor antagonist, in preventing the acute attacks of FMF and, in some cases, reducing established amyloid deposits. Bone marrow transplantation has been suggested for refractory FMF, but the risk-benefit ratio is usu ally regarded as unacceptable. OTHER HEREDITARY RECURRENT FEVERS </w:t>
      </w:r>
      <w:r w:rsidRPr="00A6019F">
        <w:rPr>
          <w:rFonts w:ascii="Arial" w:hAnsi="Arial" w:cs="Arial"/>
        </w:rPr>
        <w:t>■</w:t>
      </w:r>
      <w:r w:rsidRPr="00A6019F">
        <w:t>TNF RECEPTOR</w:t>
      </w:r>
      <w:r w:rsidRPr="00A6019F">
        <w:rPr>
          <w:rFonts w:ascii="Aptos" w:hAnsi="Aptos" w:cs="Aptos"/>
        </w:rPr>
        <w:t>–</w:t>
      </w:r>
      <w:r w:rsidRPr="00A6019F">
        <w:t>ASSOCIATED PERIODIC SYNDROME Tumor necrosis factor (TNF) receptor</w:t>
      </w:r>
      <w:r w:rsidRPr="00A6019F">
        <w:rPr>
          <w:rFonts w:ascii="Aptos" w:hAnsi="Aptos" w:cs="Aptos"/>
        </w:rPr>
        <w:t>–</w:t>
      </w:r>
      <w:r w:rsidRPr="00A6019F">
        <w:t xml:space="preserve">associated periodic syndrome (TRAPS) is caused by dominantly inherited mutations in the extracel lular domains of the 55-kDa TNF receptor (TNFR1, p55). Although originally described in a large Irish family (and hence the name familial Hibernian fever), TRAPS has a broad ethnic distribution. TRAPS episodes often begin in childhood. The duration of attacks ranges from 1 to 2 days to as long as several weeks, and in severe cases, symptoms may be nearly continuous. In addition to peritoneal, pleural, and synovial attacks similar to FMF, TRAPS patients frequently have ocular inflammation (most often conjunctivitis and/or periorbital edema), and a distinctive migratory myalgia with overlying painful erythema may be present. TRAPS patients generally respond better to glucocorticoids than to prophylactic colchicine. Untreated, ~15% develop amyloidosis. The diagnosis of TRAPS is based on the dem onstration of a TNFRSF1A mutation in the presence of characteristic symptoms. Two particular variants, R92Q and P46L, are common in certain populations and may act more as functional polymorphisms than as disease-causing mutations. In contrast, pathogenic TNFRSF1A mutations, including a number of substitutions at highly conserved cysteine residues, are associated with intracellular TNFR1 misfold ing, aggregation, and retention, with consequent ligand-independent kinase activation, mitochondrial reactive oxygen species production, and proinflammatory cytokine release. Etanercept, a TNF inhibitor, ameliorates TRAPS attacks, but the long-term experience with this agent has been less favorable. IL-1 </w:t>
      </w:r>
      <w:r w:rsidRPr="00A6019F">
        <w:lastRenderedPageBreak/>
        <w:t xml:space="preserve">inhibition has been beneficial in a large percentage of the patients in whom it has been used, and monthly, subcutaneous canakinumab has received FDA approval for the treat ment of TRAPS. Monoclonal anti-TNF antibodies should be avoided, because they may exacerbate TRAPS attacks. </w:t>
      </w:r>
      <w:r w:rsidRPr="00A6019F">
        <w:rPr>
          <w:rFonts w:ascii="Arial" w:hAnsi="Arial" w:cs="Arial"/>
        </w:rPr>
        <w:t>■</w:t>
      </w:r>
      <w:r w:rsidRPr="00A6019F">
        <w:t xml:space="preserve">HYPERIMMUNOGLOBULINEMIA D WITH PERIODIC FEVER SYNDROME (ALSO KNOWN AS MEVALONATE KINASE DEFICIENCY) Hyperimmunoglobulinemia D with periodic fever syndrome (HIDS) is a recessively inherited recurrent fever syndrome found primarily in individuals of northern European ancestry. It is caused by muta tions in mevalonate kinase (MVK), encoding an enzyme involved in the synthesis of cholesterol and nonsterol isoprenoids, including geranylgeranyl pyrophosphate. The latter compound is essential for proper localization of RhoA GTPase to the cell membrane, and the mislocalization of RhoA leads to its inactivation and the consequent activation of the pyrin inflammasome. HIDS attacks usually begin in infancy and last 3–5 days. Clinically distinctive features include painful cervical adenopathy, a diffuse maculopapular rash sometimes affecting the palms and soles, and aphthous ulcers; pleurisy is rare. Amyloidosis has been observed associated with the V377I/I268T MVK genotype. Although originally defined by the persistent elevation of serum IgD, disease activity is not related to IgD levels, and some patients with FMF or TRAPS may have modestly increased serum IgD. Moreover, occa sional patients with MVK mutations and recurrent fever have normal IgD levels, while all patients with mutations have markedly elevated urinary mevalonate levels during their attacks. For these reasons, some have proposed renaming this disorder mevalonate kinase deficiency (MKD). Monthly, subcutaneous canakinumab has been approved by the FDA for the treatment of HIDS/MKD. </w:t>
      </w:r>
      <w:r w:rsidRPr="00A6019F">
        <w:rPr>
          <w:rFonts w:ascii="Arial" w:hAnsi="Arial" w:cs="Arial"/>
        </w:rPr>
        <w:t>■</w:t>
      </w:r>
      <w:r w:rsidRPr="00A6019F">
        <w:t xml:space="preserve">NLRP3-ASSOCIATED AUTOINFLAMMATORY DISEASE (ALSO KNOWN AS THE CRYOPYRINOPATHIES OR CRYOPYRIN-ASSOCIATED PERIODIC SYNDROMES) Three hereditary febrile syndromes, familial cold autoinflammatory syndrome (FCAS), Muckle-Wells syndrome (MWS), and neonatal onset multisystem inflammatory disease (NOMID), are all caused by mutations in NLRP3 (formerly known as CIAS1), the gene encoding cryopyrin (or NLRP3), and represent a clinical spectrum of disease. FCAS patients develop chills, fever, headache, arthralgia, conjunctivitis, and an urticaria-like rash in response to generalized cold exposure. In MWS, an urticarial rash is noted, but it is not usually induced by cold; MWS patients also develop fevers, abdominal pain, limb pain, arthritis, conjunctivitis, and, over time, sensorineural hearing loss. NOMID is the most severe of the three disorders, with chronic aseptic meningitis, a characteristic arthropathy, and rash. Like the FMF protein pyrin, cryopyrin has an N-terminal PYRIN domain, allowing the formation of an NLRP3 inflammasome that mediates caspase-1 activation, IL-1β and IL-18 release, and pyroptosis. Peripheral blood leukocytes from patients with FCAS, MWS, and NOMID release increased amounts of IL-1β upon in vitro stimulation, relative to healthy controls. Macro phages from cryopyrin-deficient mice exhibit decreased IL-1β produc tion in response to certain gram-positive bacteria, bacterial RNA, and monosodium urate crystals. Patients with all three cryopyrinopathies or cryopyrin-associated periodic </w:t>
      </w:r>
      <w:r w:rsidRPr="00A6019F">
        <w:lastRenderedPageBreak/>
        <w:t xml:space="preserve">syndromes (CAPS) show a dramatic response to injections of IL-1 inhibitors. Bimonthly canakinumab and weekly rilonacept are approved by the FDA for the treatment of FCAS and MWS, whereas daily anakinra is approved for the treatment of NOMID. Approximately one-third of patients with clinical manifestations of NOMID do not have germline mutations in NLRP3, but they have been found to be mosaic for somatic NLRP3 mutations. Such patients also 2937 respond dramatically to IL-1 inhibition. Somatic mosaicism in NLRP3 has been reported rarely in Schnitzler’s syndrome, which presents in middle age with recurrent fever, urticarial rash, elevated acute-phase reactants, monoclonal IgM gammopathy, and abnormal bone remodel ing. IL-1 inhibition is the treatment of choice for Schnitzler’s syndrome. </w:t>
      </w:r>
      <w:r w:rsidRPr="00A6019F">
        <w:rPr>
          <w:rFonts w:ascii="Arial" w:hAnsi="Arial" w:cs="Arial"/>
        </w:rPr>
        <w:t>■</w:t>
      </w:r>
      <w:r w:rsidRPr="00A6019F">
        <w:t xml:space="preserve">PERIODIC FEVER WITH APHTHOUS STOMATITIS, PHARYNGITIS, AND CERVICAL ADENITIS Periodic fever with aphthous stomatitis, pharyngitis, and cervical adenitis (PFAPA) is the most common periodic fever syndrome in chil dren, notable for the almost clock-like regularity of episodes and the tendency for resolution of attacks by early adulthood. PFAPA tends to run in families, but not in a Mendelian fashion. Common shared vari ants in the IL12A, IL10, STAT4, and CCR1-CCR3 loci confer suscepti bility for a spectrum of phenotypes ranging from common aphthous ulcers to PFAPA to Behçet’s syndrome. Therapeutic options for PFAPA include intermittent glucocorticoids; daily oral colchicine, cimetidine, or apremilast; or tonsillectomy/adenoidectomy. OTHER INHERITED AUTOINFLAMMATORY DISEASES In the quarter century since the concept of autoinflammation was first proposed, over 60 monogenic autoinflammatory diseases have been described. These discoveries have enabled the understanding of the innate immune system through the lens of human disease and high light the fact that many cellular homeostatic pathways have evolved to double as direct or indirect innate sensing mechanisms for microbial infection. The inflammasomopathies are caused by germline or somatic muta tions in genes encoding structural components of one of the inflamma somes or of proteins that regulate inflammasome activity, and include FMF, HIDS, and CAPS. Dominantly inherited mutations in the PSTPIP1 gene lead to noncanonical activation of the pyrin inflammasome and the syndrome of pyogenic arthritis with pyoderma gangrenosum and acne (PAPA). Patients present with episodes of sterile pyogenic arthritis often induced by trauma, severe pyoderma gangrenosum, and severe cystic acne usually beginning in puberty. Arthritic manifestations often respond to IL-1 inhibition. Dominantly inherited mutations in NLRC4 activate the NLRC4 inflammasome, causing increased IL-1 and IL-18 production. Patients may present with infantile enterocolitis or life-threatening recurrent macrophage activation syndrome later in life. Milder mutations are associated with a cold urticaria syndrome. Inflammasomopathies caused by mutations in NLRP1 and in the IL-1 receptor antagonist gene (IL1RN) have also been described. Another subset of autoinflammatory diseases is characterized by excessive production of type I interferons. These interferonopathies may be caused by mutations in sensors of intracellular nucleic acids that, under physiologic conditions, would trigger a response to viral infection. For </w:t>
      </w:r>
      <w:r w:rsidRPr="00A6019F">
        <w:lastRenderedPageBreak/>
        <w:t xml:space="preserve">example, de novo germline gain-of-function muta tions in TMEM173 cause constitutive activation of STING, a sensor for intracellular double-stranded DNA, causing severe vasculopathy and pulmonary fibrosis. Retrograde transport of STING from the Golgi apparatus to the endoplasmic reticulum is important for STING inactivation. Loss-of-function mutations in COPA, which encodes a chaperone protein involved in retrograde STING transport, cause an autoinflammatory disease characterized by diffuse alveolar hemor rhage or interstitial lung disease, arthritis, and glomerulopathy (COPA syndrome). Mutations in several other genes involved in nucleic acid sensing and/or metabolism cause type I interferonopathies collectively denoted Aicardi-Gutières syndrome. Yet another class of type I inter feronopathy is caused by Mendelian or digenic mutations in various components of the proteasome and is sometimes denoted chronic atypical neutrophilic dermatosis with lipodystrophy and elevated tem perature (CANDLE) syndrome. A third subset of autoinflammatory diseases, the relopathies, involves mutations in genes encoding proteins that mediate or regulate NF-κB activation or TNF-induced cell death. These include the genes encod ing several ubiquitin ligases and deubiquitinases that, when mutated, may cause clinical syndromes of panniculitis (OTULIN), Behçet’s-like mucosal ulcerations (TNFAIP3, RELA), arthritis (SHARPIN), or lymphadenopathy/organomegaly (RIPK1). Blau’s syndrome is caused by mutations in NOD2 (also known as CARD15), which senses certain bacterial products and induces NF-κB activation. Blau’s syndrome is caused by gain-of-function mutations in NOD2/CARD15 and is characterized by granulomatous dermatitis, uveitis, and arthritis; distinct NOD2/CARD15 variants predispose to Crohn’s disease in a non-Mendelian fashion. Autoinflammatory disease associated with certain common variants of NOD2/CARD15 has been denoted Yao’s syndrome, but the causal relationship, if any, between these variants and autoinflammatory phenotypes remains uncertain. ROSAH (retinal dystrophy, optic nerve edema, splenomegaly, anhidrosis, and head aches) syndrome is a relatively newly recognized dominantly inherited autoinflammatory disease caused by gain-of-function mutations in ALPK1, encoding a novel kinase that serves as a sensor for bacterial seven-carbon sugars and activates NF-κB. Many patients lose their vision by adulthood; fevers, arthritis, and elevated acute-phase reac tants are also frequently observed. Although the exact disease mechanism remains to be established, recessive loss-of-function germline mutations in the gene encoding adenosine deaminase 2 (ADA2) cause a vasculopathy that can mani fest as livedoid rash, early-onset lacunar strokes, and/or polyarteritis nodosa (Chap. 375). TNF inhibitors are highly effective in preventing strokes in these patients. Deficiency of ADA2 (DADA2) may also pres ent with immunodeficiency or bone marrow failure. Myeloid-restricted somatic mutations in an essential ubiquitylation enzyme have recently been implicated in a severe adult-onset autoin flammatory disease called VEXAS (vacuoles, E1 enzyme, X-linked, autoinflammatory, somatic) syndrome, which can present as relapsing polychondritis (Chap. 378), Sweet’s syndrome, vasculitis, or myelodys plastic syndrome. VEXAS syndrome is estimated to affect ~1 in 4000 men over the age of 50. </w:t>
      </w:r>
      <w:r w:rsidRPr="00A6019F">
        <w:lastRenderedPageBreak/>
        <w:t xml:space="preserve">Finally, it should be noted that several common, genetically complex disorders are now sometimes considered autoinflammatory, because of evidence that elements of the innate immune system, such as the inflam masome, play a role in the pathogenesis and may thus lead to novel ther apeutic strategies. Two prominent examples are gout and atherosclerosis. Recent data have implicated endothelial inflammasome activation in the disruption of the blood-brain barrier induced by sepsis. CHAPTER 381 Familial Mediterranean Fever and Other Hereditary Autoinflammatory Diseases </w:t>
      </w:r>
      <w:r w:rsidRPr="00A6019F">
        <w:rPr>
          <w:rFonts w:ascii="Arial" w:hAnsi="Arial" w:cs="Arial"/>
        </w:rPr>
        <w:t>■</w:t>
      </w:r>
      <w:r w:rsidRPr="00A6019F">
        <w:t xml:space="preserve">GLOBAL CONSIDERATIONS All the disorders discussed in this chapter have been observed in mul tiple populations. However, as noted herein, FMF is most frequently observed in Mediterranean and Middle Eastern populations and HIDS in northern European populations, particularly the Dutch. A recessive founder mutation in ADA2 is particularly common in the Middle East and is associated with polyarteritis nodosa. </w:t>
      </w:r>
      <w:r w:rsidRPr="00A6019F">
        <w:rPr>
          <w:rFonts w:ascii="Arial" w:hAnsi="Arial" w:cs="Arial"/>
        </w:rPr>
        <w:t>■</w:t>
      </w:r>
      <w:r w:rsidRPr="00A6019F">
        <w:t xml:space="preserve">FURTHER READING Beck DB et al: Estimated prevalence and clinical manifestations of UBA1 variants associated with VEXAS syndrome in a clinical popu lation. JAMA 329:318, 2023. Davidson S et al: Dominant negative OTULIN-related autoinflamma tory syndrome. J Exp Med 221:e20222171, 2024. Harapas CR et al: Organellar homeostasis and innate immune sens ing. Nat Rev Immunol 22:535, 2022. Lee PY et al: Evaluation and management of deficiency of adenosine deaminase 2: An international consensus statement. JAMA Netw Open 6:e2315894, 2023. Lee W et al: Interrupting an IFN-γ-dependent feedback loop in the syndrome of pyogenic arthritis with pyoderma gangrenosum and acne. Ann Rheum Dis 83:787, 2024. Oda H et al: Biallelic human SHARPIN loss of function induces auto inflammation and immunodeficiency. Nat Immunol 25:764, 2024. Reygaerts T et al: Pyrin variant E148Q potentiates inflammasome activation and the effect of pathogenic mutations in cis. Rheumatol ogy (Oxford) 63:882, 2024. Wei C et al: Brain endothelial GSDMD activation mediates inflamma tory BBB breakdown. Nature 629:893, 2024. 2938 ARTICULAR OR NONARTICULAR Section 3 Disorders of the Joints and Adjacent Tissues PART 11 Immune-Mediated, Inflammatory, and Rheumatologic Disorders 382 Approach to Articular and Musculoskeletal Disorders John J. Cush Musculoskeletal disorders affect one in three (approximately 127 million) in the U.S., and account for 15–25% of all outpatient visits in the United States. The Centers for Disease Control and Prevention estimates that 54.4 million U.S. adults (22.7%) have physician-diagnosed arthritis. While many patients will have self-limited conditions requiring mini mal evaluation and symptomatic therapy, specific musculoskeletal pre sentations may herald a more serious condition that requires further evaluation or laboratory testing to establish a diagnosis. The goal of the musculoskeletal evaluation is to formulate a differential diagnosis that leads to an accurate diagnosis and timely therapy, while avoiding excessive diagnostic testing and unnecessary treatment (Table 382-1). There are several urgent conditions that must be diagnosed promptly to avoid damage and morbidity. These “red flag” diagnoses include septic arthritis, acute crystal-induced arthritis (e.g., gout), and fracture. Each is suspected by an acute onset of monoarticular or focal </w:t>
      </w:r>
      <w:r w:rsidRPr="00A6019F">
        <w:lastRenderedPageBreak/>
        <w:t xml:space="preserve">muscu loskeletal pain. Most individuals with musculoskeletal complaints can be diagnosed with a thorough history and a comprehensive physical and musculo skeletal examination. The initial encounter should determine whether the musculoskeletal complaint signals a red flag condition (septic arthritis, gout, or fracture) or not. The evaluation should ascertain if the complaint is (1) articular or nonarticular, (2) inflammatory or non inflammatory, (3) acute or chronic, and (4) localized (monoarticular) or widespread (polyarticular). The term arthralgia (joint pain) is not syn onymous with arthritis, with the latter implying pathology of articular structures. Arthralgia is common and may be a symptom of arthritis. By answering these four questions, the musculoskeletal presenta tion can be characterized (e.g., acute inflammatory monoarthritis or a chronic noninflammatory, nonarticular widespread pain) to narrow the diagnostic possibilities. Many musculoskeletal disorders resemble each other at the outset, and some may take weeks or months (but not years) to evolve into a recognizable diagnostic entity. This consider ation should temper the desire to establish a definitive diagnosis at the first encounter. TABLE 382-1 Evaluation of Patients with Musculoskeletal Complaints Goals Accurate diagnosis Timely provision of therapy Avoidance of unnecessary diagnostic testing Identification of “red flag” conditions Approach Determine the chronology (acute vs chronic) Determine the nature of the pathologic process (inflammatory vs noninflammatory) Anatomic localization of complaint (articular vs nonarticular) Determine the extent of involvement (monoarticular, polyarticular, focal, widespread) Consider the most common disorders first Consider the need for diagnostic testing Formulate a differential diagnosis The musculoskeletal evaluation must discriminate the anatomic origin(s) of the patient’s complaint. For example, ankle pain may result from pathologic conditions involving disparate anatomic struc tures, including gouty arthritis, calcaneal fracture, Achilles tendinitis, plantar fasciitis, or entrapment neuropathy. Distinguishing between articular and nonarticular conditions requires a thorough exami nation. Articular structures include the synovium, synovial fluid, articular cartilage, intraarticular ligaments, joint capsule, and jux taarticular bone. Nonarticular (or periarticular) structures, such as supportive extraarticular ligaments, tendons, bursae, muscle, fascia, bone, nerve, and overlying skin, may be involved in the pathologic process. Musculoskeletal complaints ascribed to the joints are more frequently of nonarticular origin and may be misconstrued as arthri tis. Distinguishing between articular and nonarticular/periarticular pain may be challenging to the inexperienced examiner. Articular disorders are distinguished by deep or diffuse pain, limited range of motion on active and passive movement, and swelling (from synovial proliferation, effusion, or bony enlargement), crepitation, instability, “locking,” or deformity. By contrast, nonarticular disorders tend to be painful on active, but not passive (or assisted), range of motion. Periarticular conditions often demonstrate point or focal tenderness in regions adjacent to articular structures, may radiate or be elicited with a specific movement or position, and have physical findings remote from the joint capsule. </w:t>
      </w:r>
      <w:r w:rsidRPr="00A6019F">
        <w:lastRenderedPageBreak/>
        <w:t xml:space="preserve">Nonarticular disorders seldom dem onstrate swelling, crepitus, instability, or deformity. INFLAMMATORY OR NONINFLAMMATORY Early on, the examiner should determine whether the underlying pathologic process is inflammatory or noninflammatory. Inflam matory disorders may be infectious (Neisseria gonorrhoeae or Mycobacterium tuberculosis), crystal-induced (gout, pseudogout), immune-related (rheumatoid arthritis [RA], systemic lupus ery thematosus [SLE]), reactive (rheumatic fever, reactive arthritis), or idiopathic. Inflammatory disorders may be suggested by any of the four cardinal signs of inflammation (erythema, warmth, pain, or swelling), systemic symptoms (fever, rash, weight loss), or labora tory evidence of inflammation (elevated erythrocyte sedimentation rate [ESR] or C-reactive protein [CRP], thrombocytosis, anemia of chronic disease, or hypoalbuminemia). Articular stiffness often accompanies chronic musculoskeletal disorders. The duration of stiffness may be prolonged (hours) with inflammatory disorders (such as RA or polymyalgia rheumatica [PMR]) and improves with activity. By contrast, short-lived or intermittent stiffness (also known as gel phenomenon) is typical of noninflammatory conditions (such as osteoarthritis [OA]), is brief in duration (≤45 min), and is exac erbated by activity. Fatigue may be profound with inflammation (as seen in RA and PMR) but may also be seen with fibromyalgia (a noninflammatory disorder), chronic pain, poor sleep, depression, anemia, cardiac failure, endocrinopathy, malnutrition, decondition ing, or chronic illness. Noninflammatory disorders may be related to trauma (rotator cuff tear), repetitive use (bursitis, tendinitis), degeneration or ineffective repair (OA), neoplasm (pigmented villonodular synovitis), or pain amplification (fibromyalgia). Noninflammatory disorders are often characterized by pain without synovial swelling or warmth, absence of inflammatory or systemic features, intermittent gel phenomena and normal (for age) or negative laboratory investigations. The musculoskeletal complaint can be refined and categorized by noting the chronology, pathology, locale, and distribution of the complaint (e.g., acute inflammatory monoarthritis, chronic nonin flammatory, nonarticular widespread pain). Narrowing the diagnos tic considerations can clarify the need for immediate diagnostic or therapeutic intervention or for continued observation. Figure 382-1 presents an algorithmic approach to the evaluation of patients with musculoskeletal complaints. This approach relies on clinical and historic features, rather than laboratory testing, to diagnose the most common rheumatic disorders. Musculoskeletal Complaint 2939 Initial rheumatic history and physical exam to determine 1. Is it articular? 2. Is it acute or chronic? 3. Is inflammation present? 4. How many/which joints are involved? Is it acute, focal, or monoarticular Yes No Nonarticular condition Consider • Trauma/fracture • Fibromyalgia • Polymyalgia rheumatica • Bursitis • Tendinitis • Myopathy/myositis Consider • Acute arthritis • Septic arthritis • Gout • Pseudogout • Reactive arthritis • Initial presentation of chronic arthritis No Acute Chronic noninflammatory arthritis Are DIP, CMC1, hip, or knee joints involved? Is it articular? Yes Is complaint &gt;6 wk? No Yes Chronic Consider “red flag” condition • Gout • Septic arthritis • Fracture • Vascular ischemia • Carpal tunnel syndrome Is </w:t>
      </w:r>
      <w:r w:rsidRPr="00A6019F">
        <w:lastRenderedPageBreak/>
        <w:t xml:space="preserve">inflammation present? 1. Is there prolonged morning stiffness? 2. Is there soft tissue swelling? 3. Are there systemic symptoms? 4. Is the ESR or CRP elevated? No Yes Chronic inflammatory arthritis Chronic inflammatory mono/oligoarthritis Consider How many joints involved? 1 – 3 &gt;3 Chronic inflammatory polyarthritis • TB/fungal infection • Psoriatic arthritis No Unlikely to be osteoarthritis Consider • Osteonecrosis • Charcot arthritis • Hemochromatosis Yes Osteoarthritis • Reactive arthritis • Pauciarticular JIA Consider • Psoriatic arthritis • Reactive arthritis • Enteropathic arthritis Unlikely to be rheumatoid arthritis Consider Is involvement symmetric? No No Yes Are PIP, MCP, or MTP joints involved? Yes Rheumatoid arthritis • SLE • Scleroderma • Polymyositis FIGURE 382-1 Algorithm for the diagnosis of musculoskeletal complaints. An approach to formulating a differential diagnosis (shown in italics). CMC, carpometacarpal; CRP, C-reactive protein; DIP, distal interphalangeal; ESR, erythrocyte sedimentation rate; JIA, juvenile idiopathic arthritis; MCP, metacarpophalangeal; MTP, metatarsophalangeal; PIP, proximal interphalangeal; PMR, polymyalgia rheumatica; SLE, systemic lupus erythematosus; TB, tuberculosis. A simpler, alternative approach would consider the most com monly encountered conditions first, based on the age of the subject. The most prevalent causes of musculoskeletal complaints are shown in Fig. 382-2. Because trauma, fracture, low back pain, overuse syndromes, and fibromyalgia are among the most common causes of musculoskeletal pain, these should be considered with each new encounter. If excluded, other frequently occurring disorders should be considered according to the patient’s age. Hence, those under age 60 years are commonly affected by repetitive use/strain disorders, gout (men only), RA, spondyloarthritis, and uncommonly, infectious arthritis. Patients over 60 years old are frequently affected by OA, crystal (gout and pseudogout) arthritis, PMR, osteoporotic fracture, and uncommonly, septic arthritis. Notably, these conditions are between 10 and 100 times more prevalent than other serious auto immune conditions, such as SLE, systemic sclerosis (scleroderma), polymyositis, and vasculitis. CHAPTER 382 Approach to Articular and Musculoskeletal Disorders 2940 PART 11 Immune-Mediated, Inflammatory, and Rheumatologic Disorders Trauma/fracture Low back pain Age 60 years Osteoarthritis Repetitive strain injury (tendinitis, bursitis) Gout (males only) Gout Pseudogout Rheumatoid arthritis Polymyalgia rheumatica Osteoporotic fracture Infectious arthritis (GC, viral, bacterial, Lyme) Septic arthritis (bacterial) Fibromyalgia Orthopedic evaluation PREVALENCE High Low Psoriatic, reactive arthritis, IBD arthritis FIGURE 382-2 Algorithm for consideration of the most common musculoskeletal conditions. GC, gonococcal; IBD, inflammatory bowel disease. </w:t>
      </w:r>
      <w:r w:rsidRPr="00A6019F">
        <w:rPr>
          <w:rFonts w:ascii="Arial" w:hAnsi="Arial" w:cs="Arial"/>
        </w:rPr>
        <w:t>■</w:t>
      </w:r>
      <w:r w:rsidRPr="00A6019F">
        <w:t xml:space="preserve">CLINICAL HISTORY Historic features may reveal important insights into the diagnosis. Aspects of the patient profile, complaint chronology, extent of joint involvement, and precipitating factors can provide important infor mation. Certain diagnoses are more frequent in different age groups. SLE and gonococcal arthritis occur more frequently in young adults, whereas fibromyalgia and RA are frequent in middle age, and OA and PMR are more prevalent in the elderly. Sex and race should also be considered. Gout, </w:t>
      </w:r>
      <w:r w:rsidRPr="00A6019F">
        <w:lastRenderedPageBreak/>
        <w:t xml:space="preserve">spondyloarthritis, and ankylosing spondylitis are more common in men, whereas RA, lupus, fibromyalgia, osteoarthri tis, and osteoporosis are more frequent in women. Racial predilections are common. Thus, PMR, giant cell arteritis, and granulomatosis with polyangiitis (GPA) commonly affect whites, whereas sarcoidosis and SLE more commonly affect African Americans. Familial aggregation is unlikely for most arthropathies but may be seen with ankylosing spondylitis, gout, and Heberden’s nodes of OA. The onset, duration, and evolution of the complaint are equally important. An abrupt onset is typical of septic arthritis or gout, whereas OA, RA, and fibromyalgia may have more indolent presentations. Mus culoskeletal disorders are typically classified by symptom duration as either acute (≤6 weeks) or chronic (&gt;6 weeks). Acute arthropathies tend to be infectious, crystal-induced, or reactive. Chronic conditions may include noninflammatory or immune-mediated (e.g., OA, RA, polymyositis) and nonarticular disorders (e.g., fibromyalgia). The patients’ complaints may evolve differently and be classified as chronic (OA), additive (RA, psoriatic arthritis), intermittent (crystal or Lyme arthritis), or migratory (rheumatic fever, gonococcal or viral arthritis). The distribution of articular involvement is often informative. The number of joints involved defines the complaint as monoarticular (one joint), oligoarticular or pauciarticular (two or three joints), or polyar ticular (four or more joints). Monoarticular and oligoarticular condi tions share similar etiologies. While crystal and infectious arthritis are often mono- or oligoarticular, OA and RA are usually polyarticular. Nonarticular disorders may be classified as either focal or widespread. Tendinitis and carpal tunnel syndrome are typically focal, whereas weakness and myalgia (from polymyositis or fibromyalgia) have more widespread presentations. Joint involvement in RA tends to be symmetric and polyarticular. By contrast, spondyloarthritis, reactive arthritis, and gout are often asymmetric and oligoarticular. OA and psoriatic arthritis may be either symmetric or asymmetric and oligo- or polyarticular. The upper extremities are frequently involved in RA and OA, whereas lower extremity arthritis is characteristic of reactive arthritis and gout at their onset. Involvement of the spine is common in OA and axial spondyloarthritis but is infrequent in RA, with the notable exception of the cervical spine. The clinical history may also identify precipitating events, such as trauma (osteonecrosis, meniscal tear), drug administration (Table 382-2), TABLE 382-2 Drug-Induced Musculoskeletal Conditions Arthralgias Quinidine, cimetidine, beta blockers, quinolones, chronic acyclovir, interferons, IL-2, nicardipine, vaccines, rifabutin, aromatase inhibitors, HIV protease inhibitors, DPP-4 inhibitors (sitagliptin, linagliptin, alogliptin), paclitaxel, checkpoint inhibitors (ipilimumab, pembrolizumab, nivolumab, atezolizumab, durvalumab, cemiplimab), denosumab, teriparatide, abaloparatide, voriconazole Myalgias/myopathy Glucocorticoids, penicillamine, hydroxychloroquine, AZT, lovastatin, simvastatin, atorvastatin, pravastatin, clofibrate, amiodarone, interferon, IL-2, alcohol, cocaine, paclitaxel, docetaxel, imatinib mesylate, colchicine, quinolones, cyclosporine, tacrolimus, protease inhibitors, checkpoint inhibitors Drug-induced dermatomyositis Hydroxyurea, statins, lipid-lowering agents, penicillamine, </w:t>
      </w:r>
      <w:r w:rsidRPr="00A6019F">
        <w:lastRenderedPageBreak/>
        <w:t xml:space="preserve">immune checkpoint inhibitors, trastuzumab, and tumor necrosis factor inhibitors Tendon rupture/tendinitis Quinolones, glucocorticoids, isotretinoin, statins, aromatase inhibitors, collagenase injections Drug-induced enthesitis Dupilumab, voriconazole, immune checkpoint inhibitors, fluoroquinolones, retinoids and fluorinated agents Gout Diuretics, aspirin, cytotoxics, cyclosporine, tacrolimus, alcohol, moonshine, pyrazinamide, ethambutol, fructose-containing soft drinks, nicotinic acid. Drug-induced lupus Hydralazine, procainamide, quinidine, phenytoin, carbamazepine, methyldopa, isoniazid, chlorpromazine, lithium, penicillamine, tetracyclines, TNF inhibitors, ACE inhibitors, ticlopidine, terbinafine, aromatase inhibitors, ethosuximide, vedolizumab, immune checkpoint inhibitors, trastuzumab Drug-induced subacute lupus Proton pump inhibitors, calcium channel blockers (diltiazem), ACE inhibitors, TNF inhibitors, terbinafine, interferons (α and β-1a), paclitaxel, docetaxel, gemcitabine, capecitabine, aromatase inhibitors, HCTZ Osteonecrosis/atypical fractures Glucocorticoids, alcohol, radiation, bisphosphonates Osteopenia Glucocorticoids, chronic heparin, phenytoin, aromatase inhibitors, antiandrogen therapy, thiazolidinediones Psoriasis TNF inhibitors, beta blockers, lithium, hydroxychloroquine, chloroquine, minocycline, ACE inhibitors, terbinafine, checkpoint inhibitors Systemic sclerosis (scleroderma) Vinyl chloride, bleomycin, baricitinib, pentazocine, organic solvents, carbidopa, tryptophan, rapeseed oil Raynaud’s phenomenon Cisplatin, bleomycin, beta blockers, clonidine, bromocriptine, ergot alkaloids, cocaine, methylphenidate, dextroamphetamine, phentermine, interferon therapy, tyrosine kinase inhibitors Vasculitis Allopurinol, amphetamines, cocaine (often levamisole adulterated), cannabis, thiazides, penicillamine, propylthiouracil, montelukast, TNF inhibitors, hepatitis B vaccine, trimethoprim/sulfamethoxazole, minocycline, hydralazine, apixaban Abbreviations: ACE, angiotensin-converting enzyme; AZT, zidovudine; HCTZ, hydrochlorothiazide; IL-2, interleukin 2; TNF, tumor necrosis factor. 2941 recent infection (reactive arthritis, hepatitis, chikungunya), or ill nesses that may underlie the patient’s complaint. Certain comor bidities may have musculoskeletal consequences. This is especially so for diabetes mellitus (carpal tunnel syndrome), renal insufficiency (gout), depression or insomnia (fibromyalgia), myeloma (spinal pain), cancer (myositis), and osteoporosis (fracture). Similarly, there may be musculoskeletal effects with drug use, such as glucocorticoids (osteonecrosis, septic arthritis), diuretics, or chemotherapy (gout) (Table 382-2). Lastly, an adapted and thorough rheumatic review of systems may identify musculoskeletal diagnoses by their associated systemic fea tures, such as fever (Still’s disease, infection), rash (SLE, psoriatic arthritis), nail abnormalities (psoriatic or reactive arthritis), myalgias (fibromyalgia, statin- or drug-induced myopathy), or weakness (poly myositis, neuropathy). Musculoskeletal and autoimmune conditions can be suggested by involvement of other organ systems including the eyes (Behçet’s disease, sarcoidosis, spondyloarthritis), gastrointestinal tract (systemic sclerosis, inflammatory bowel disease), genitourinary tract (reactive arthritis, gonococci), or nervous system (Lyme </w:t>
      </w:r>
      <w:r w:rsidRPr="00A6019F">
        <w:lastRenderedPageBreak/>
        <w:t xml:space="preserve">disease, vasculitis). </w:t>
      </w:r>
      <w:r w:rsidRPr="00A6019F">
        <w:rPr>
          <w:rFonts w:ascii="Arial" w:hAnsi="Arial" w:cs="Arial"/>
        </w:rPr>
        <w:t>■</w:t>
      </w:r>
      <w:r w:rsidRPr="00A6019F">
        <w:t xml:space="preserve">FIBROMYALGIA Fibromyalgia is a common masquerader of musculoskeletal complaints and is often misdiagnosed or not considered. Fibromyalgia (see Chap. 385) is a pain amplification disorder heralded by sleep distur bance, exaggerated pain and sensitivity (owing to lowered pain thresh olds), and a multiplicity of symptoms, yet a paucity of abnormalities on clinical examination or laboratory testing. Tender </w:t>
      </w:r>
      <w:r w:rsidRPr="00A6019F">
        <w:rPr>
          <w:rFonts w:ascii="Aptos" w:hAnsi="Aptos" w:cs="Aptos"/>
        </w:rPr>
        <w:t>“</w:t>
      </w:r>
      <w:r w:rsidRPr="00A6019F">
        <w:t>trigger points</w:t>
      </w:r>
      <w:r w:rsidRPr="00A6019F">
        <w:rPr>
          <w:rFonts w:ascii="Aptos" w:hAnsi="Aptos" w:cs="Aptos"/>
        </w:rPr>
        <w:t>”</w:t>
      </w:r>
      <w:r w:rsidRPr="00A6019F">
        <w:t xml:space="preserve"> may be elicited over the epicondyles, trochanteric bursae, anserine bursae, and specific muscles (gluteal, trapezius, supraspinatus). Fibromyalgia is characterized by widespread aches and pains, even though present ing symptoms may be fewer or focal. Fibromyalgia often coexists with numerous comorbidities including irritable bowel syndrome, dys menorrhea, migraine, depression, anxiety, memory loss, nonanatomic paresthesia or dysesthesia, fatigue, myalgias, temporomandibular joint pain, hypermobility, and multiple chemical sensitivities. Fibromyalgia affects over 5 million Americans. Early consideration of this very com mon disorder can avert needless investigation, therapy, and concern for those afflicted (Fig. 382-2). THE ELDERLY PATIENT The incidence of rheumatic diseases rises with age, such that 58% of those &gt;65 years will have joint complaints. Musculoskeletal complaints in the elderly are usually ascribed to aging and arthritis, but may also be related to sarcopenia, deconditioning, poor sleep, and malnutrition. Musculoskeletal disorders may also be overlooked because the signs and symptoms may be insidious or overshadowed by comorbidities or care access issues. These difficulties are compounded by the dimin ished reliability of laboratory testing in the elderly, who often manifest nonpathologic abnormal results. For example, the ESR (that rises with age) may be misleadingly elevated, and low-titer positive tests for rheu matoid factor (RF) and antinuclear antibodies (ANAs) may be seen in up to 15% of elderly patients. Although nearly all rheumatic disorders afflict the elderly, geriatric patients are particularly prone to OA, osteo porosis, osteoporotic fractures, gout, pseudogout, rotator-cuff disor ders, PMR, vasculitis, septic arthritis, depression, and drug-induced disorders (Table 382-2). The elderly should be approached in the same manner as other patients with musculoskeletal complaints, but with an emphasis on identifying the potential rheumatic consequences of comorbidities and therapies used in the elderly. The physical examina tion should identify the nature of the musculoskeletal complaint as well as coexisting diseases that may influence diagnosis and choice of treatment. THE HOSPITALIZED PATIENT The hospitalized patient with rheumatic complaints may pose a diag nostic challenge owing to symptom severity, acute plus chronic dis ease, and greater interplay of comorbidities. Patients with rheumatic disorders tend to be admitted for one of several reasons: (1) acute onset of inflammatory arthritis (possibly gout or septic arthritis); (2) undiag nosed systemic or febrile illness; (3) musculoskeletal trauma; (4) exac erbation or deterioration of an existing musculoskeletal disorder (e.g., SLE); or (5) new medical diagnoses (e.g., thrombotic event, lymphoma, infection) arising in patients with an established rheumatic disorder. Notably, patients with chronic inflammatory disorders (e.g., RA, SLE, psoriatic arthritis) are at increased risk of </w:t>
      </w:r>
      <w:r w:rsidRPr="00A6019F">
        <w:lastRenderedPageBreak/>
        <w:t xml:space="preserve">infection, cardiovascular events, pulmonary disorders, and neoplasia. Rheumatic patients need not be admitted to hospital for widespread pain, serologic abnormali ties, or the initiation of new therapies. Acute monoarticular inflammatory arthritis is a “red flag” pre sentation (e.g., septic arthritis, gout, pseudogout) that may require arthrocentesis and hospitalization if infection is suspected. New-onset inflammatory polyarthritis has a wide differential diagnosis (e.g., RA, hepatitis-related arthritis, chikungunya arthritis, serum sickness, drug induced lupus, SLE, polyarticular septic arthritis) and may require targeted laboratory investigations more so than synovial fluid analy ses. Patients with febrile, multisystem disorders require exclusion of crystal (gout, pseudogout), infectious, or neoplastic etiologies and an evaluation driven by the dominant symptom/finding with the greatest specificity. Febrile conditions worthy of consideration may include vas culitis (PMR, giant cell arteritis, GPA), adult-onset Still’s disease, SLE, antiphospholipid syndrome, IgG4-related disease, and sarcoidosis. A preexisting rheumatic diagnosis (e.g., SLE, RA, ankylosing spondylitis) should be confirmed by careful history and examination and review of medical records, as this will influence the ensuing in-patient evalu ation. Notably, when patients with established rheumatic disease are admitted to the hospital, it is usually not for their autoimmune disor der, but rather a comorbid or new medical problem or complication of drug therapy. CHAPTER 382 Approach to Articular and Musculoskeletal Disorders Acute gout, pseudogout, or infection, may arise during hospitaliza tion and immobilization. Unfortunately, overly aggressive and unfo cused laboratory testing may yield abnormal findings that are better explained by the patient’s preexisting condition (chronic lung, renal, or liver disease) rather than a new inflammatory or autoimmune disorder (lupus, vasculitis). MUSCULOSKELETAL EXAMINATION The goal of the physical examination is to ascertain the structures involved, the nature of the underlying pathology, the functional consequences of the process, and the presence of systemic or extraar ticular manifestations. A knowledge of topographic and functional anatomy is necessary to identify the primary site(s) of involvement and differentiate articular from nonarticular disorders. The muscu loskeletal examination depends on careful inspection, palpation, con tralateral comparison, and a variety of specific physical maneuvers to elicit diagnostic signs (Table 382-3). Although most articulations of the appendicular skeleton can be examined in this manner, inspec tion and palpation are not possible for many axial (e.g., zygapophy seal) and inaccessible (e.g., sacroiliac or hip) joints. For such joints, there is a greater reliance on specific maneuvers and imaging for assessment. Examination of involved and uninvolved joints will determine whether pain, warmth, erythema, or swelling is present. The locale and level of pain elicited by palpation or movement should be quantified. Examination of 28 easily palpated joints (proximal interphalangeals [PIPs], metacarpophalangeals [MCPs], wrists, elbows, shoulders, and knees) can quantify the number of tender or swollen joints (0–28) involved. Careful examination should distinguish between true articu lar swelling (caused by bony hypertrophy, synovial effusion or prolif eration) and nonarticular (or periarticular) </w:t>
      </w:r>
      <w:r w:rsidRPr="00A6019F">
        <w:lastRenderedPageBreak/>
        <w:t xml:space="preserve">involvement, which usually extends beyond the normal joint margins. Cautious palpation can dis tinguish synovial effusion (fluctuant swelling) from synovial hypertro phy (grape-like compressibility) and bony hypertrophy (firm as a nut). Small to moderate knee effusions may be identified by the “bulge sign” or “ballottement of the patellae.” Bursal effusions (e.g., effusions of the olecranon or prepatellar bursa) are often focal and periarticular, overlie 2942 TABLE 382-3 Glossary of Musculoskeletal Terms Crepitus PART 11 Immune-Mediated, Inflammatory, and Rheumatologic Disorders A palpable (less commonly audible) vibratory or crackling sensation elicited with joint motion; fine joint crepitus is common and often insignificant in large joints; coarse joint crepitus indicates advanced cartilaginous and degenerative changes (as in osteoarthritis) Subluxation Alteration of joint alignment such that articulating surfaces incompletely approximate each other Dislocation Abnormal displacement of articulating surfaces such that the surfaces are not in contact Range of motion For diarthrodial joints, the arc of measurable movement through which the joint moves in a single plane Contracture Loss of full movement resulting from a fixed resistance caused either by tonic spasm of muscle (reversible) or by fibrosis of periarticular structures (permanent) Deformity Abnormal shape, size, or alignment resulting from bony hypertrophy, malalignment of articulating structures, or damage to periarticular supportive structures Enthesitis Inflammation of the entheses (tendinous or ligamentous insertions on bone) Epicondylitis Infection or inflammation involving an epicondyle bony prominences, and are fluctuant with defined borders. Joint stability (indicative of periarticular support and integrity) can be assessed by stabilizing the proximal joint and applying manual stress to the distal appendage in different planes. Subluxation or dislocation, which may be secondary to traumatic, mechanical, or inflammatory causes, can be assessed by inspection and palpation. Joint swelling or volume can be assessed by palpation. Distention of the articular capsule usually causes pain and evident enlargement or fluctuance. The patient will attempt to minimize the pain by maintaining the joint in the position of least intraarticular pressure and greatest volume (usually partial flexion). With chronicity, this may lead to flexion contracture. Active and pas sive range of motion should be assessed in all planes, with contralateral comparison. A goniometer may be used to accurately quantify the arc of movement. Each joint should be passively moved through its full range of motion (including, as appropriate, flexion, extension, rotation, abduction, adduction, lateral bending, inversion, eversion, supination, pronation, medial/lateral deviation, and plantar- or dorsiflexion). Extremes in range of motion and connective tissue laxity may be seen with hypermobility syndrome, Ehlers-Danlos syndrome, or Marfan’s syndrome. Limitation of motion or contractures are frequently caused by inflammation, effusion, pain, deformity, or neuromyopathic causes. If passive motion exceeds active motion, a periarticular process (e.g., tendinitis, tendon rupture, or myopathy) should be considered. Con tractures may reflect antecedent synovial inflammation, trauma, or chronic immobilization. Minor joint crepitus is common during joint palpation and maneuvers, but if it becomes coarser or louder, it </w:t>
      </w:r>
      <w:r w:rsidRPr="00A6019F">
        <w:lastRenderedPageBreak/>
        <w:t xml:space="preserve">may indicate significant cartilage degeneration and degenerative changes (e.g., OA). Joint deformity usually indicates a long-standing or aggres sive pathologic process. Deformities may result from ligamentous destruction, soft tissue contracture, bony enlargement, ankylosis, erosive disease, subluxation, trauma, or loss of proprioception. Exami nation of the musculature will document strength, atrophy, pain, or spasm. Appendicular muscle weakness should be characterized as proximal or distal. Muscle strength should be assessed by observing the patient’s performance (e.g., walking, rising from a chair, grasping, writing). Motor strength may also be graded on a 5-point scale: 0 for no movement; 1 for trace movement or twitch; 2 for movement with grav ity eliminated; 3 for movement against gravity only; 4 for movement against gravity and resistance; and 5 for normal strength. The exam iner should assess for (often overlooked) nonarticular or periarticular involvement, especially when articular complaints are not supported by objective findings referable to the joint capsule. The identification of soft tissue or nonarticular pain will prevent unwarranted and often expensive laboratory or imaging evaluations. Specific maneuvers may reveal common nonarticular abnormalities, such as a carpal tunnel syndrome (best identified by Durkan’s test or Tinel’s sign). Other examples of soft tissue abnormalities include olecranon bursitis, epi condylitis (e.g., tennis elbow), enthesitis (e.g., Achilles tendinitis), and tender trigger points associated with fibromyalgia. REGIONAL RHEUMATIC COMPLAINTS Focal musculoskeletal complaints may exhibit a predictable pattern of onset, evolution, and localization and are best diagnosed by their localization, along with select maneuvers or tests. Four commonly involved anatomic regions—the hand, shoulder, hip, and knee—are reviewed here. </w:t>
      </w:r>
      <w:r w:rsidRPr="00A6019F">
        <w:rPr>
          <w:rFonts w:ascii="Arial" w:hAnsi="Arial" w:cs="Arial"/>
        </w:rPr>
        <w:t>■</w:t>
      </w:r>
      <w:r w:rsidRPr="00A6019F">
        <w:t xml:space="preserve">HAND PAIN Focal or unilateral hand pain may result from trauma, overuse, infec tion, or reactive or crystal-induced arthritis. By contrast, bilateral hand complaints commonly suggest a degenerative (e.g., OA), systemic, or inflammatory/immune (e.g., RA) etiology. The distribution or pattern of joint involvement is suggestive of certain disorders (Fig. 382-3). Thus, OA (or degenerative arthritis) may manifest as distal interpha langeal (DIP) and PIP joint pain with bony hypertrophy leading to Heberden’s and Bouchard’s nodes, respectively. Pain, with or without bony swelling, involving the base of the thumb (first carpometacarpal joint) is also highly suggestive of OA. By contrast, RA manifests as an additive, symmetric, polyarticular arthritis involving the PIP, MCP, intercarpal, and carpometacarpal joints (wrist) with pain and palpable synovial tissue hypertrophy. Psoriatic arthritis may mimic the pat tern of joint involvement seen in OA (DIP and PIP joints) but can be 1st CMC: OA de Quervain’s tenosynovitis DIP: OA, psoriatic or reactive arthritis PIP: OA, SLE, RA, psoriatic arthritis MCP: RA, pseudogout, hemochromatosis Wrist: RA, pseudogout, gonococcal arthritis, juvenile arthritis, carpal tunnel syndrome FIGURE 382-3 Sites of hand or wrist involvement and their potential disease associations. CMC, carpometacarpal; DIP, distal interphalangeal; MCP, metacarpophalangeal; OA, osteoarthritis; PIP, proximal interphalangeal; RA, rheumatoid arthritis; SLE, systemic lupus erythematosus. (Reproduced with permission </w:t>
      </w:r>
      <w:r w:rsidRPr="00A6019F">
        <w:lastRenderedPageBreak/>
        <w:t xml:space="preserve">from JJ Cush et al [eds], Evaluation of musculoskeletal complaints, in Rheumatology: Diagnosis and Therapeutics, 2nd ed. Philadelphia, Lippincott Williams &amp; Wilkins, 2005.) Acromion 2943 distinguished by the presence of inflammation (erythema, warmth, synovial swelling), with or without carpal involvement, nail pitting, or onycholysis. Whereas lateral or medial subluxations at the PIP or DIP joints are most likely due to inflammatory OA or psoriatic arthritis, dorsal or ventral deformities (swan neck or boutonnière deformi ties) are typical of RA. Hemochromatosis should be considered when degenerative changes (bony hypertrophy) are seen at the second and third MCP joints with associated radiographic chondrocalcinosis or episodic, inflammatory wrist arthritis. Dactylitis manifests as soft tissue swelling of the whole digit and may have a sausage-like appearance. Common causes of dactylitis include psoriatic arthritis, spondyloarthritis, juvenile spondylitis, enthesitis related arthropathy, mixed connective tissue disease, systemic sclerosis, sarcoidosis, and sickle cell disease. Soft tissue swelling over the dorsum of the hand and wrist may suggest an inflammatory extensor tendon tenosynovitis possibly caused by gonococcal infection, gout, tubercu losis, RA, or giant cell tumor. Tenosynovitis is suggested by swelling or pitting edema (with or without warmth) and may be confirmed when the soft tissue swelling tracks with tendon movement during flexion and extension of fingers, or when pain is induced while stretching the extensor tendon sheaths (flexing the digits distal to the MCP joints and maintaining the wrist in a fixed, neutral position). Volar (palmar) tendon swellings may be from tenosynovitis, Dupuytren’s contractures, tendon nodules, or synovial cysts. Focal wrist pain localized to the radial aspect may be caused by de Quervain’s tenosynovitis resulting from inflammation of the tendon sheath(s) involving the abductor pollicis longus or extensor pollicis brevis (Fig. 382-3). This commonly results from occupational or repetitive overuse or follows pregnancy and can be diagnosed with Finkelstein’s test. A positive test is present when radial wrist pain is induced after the thumb is flexed and placed inside a clenched fist and the patient actively deviates the hand downward with ulnar deviation at the wrist. Carpal tunnel syndrome is another common disorder of the upper extremity and results from compression of the median nerve within the carpal tunnel. Manifestations include pain in the wrist that may radiate with paresthesia to the thumb, second and third fingers, and radial half of the fourth finger and, at times, atrophy of thenar musculature. Carpal tunnel syndrome is commonly associated with pregnancy, edema, trauma, OA, inflammatory arthritis, and infiltra tive disorders (e.g., amyloidosis). The diagnosis may be suggested by a positive Durkan’s test or Tinel’s sign. With each test, paresthesia in a median nerve distribution is induced or increased by 30 s of compres sion over the carpal tunnel (Durkan’s test) or “thumping” the volar aspect of the wrist and median nerve (Tinel’s sign). The low sensitivity and moderate specificity of these tests may require nerve conduction velocity testing to confirm a suspected diagnosis. </w:t>
      </w:r>
      <w:r w:rsidRPr="00A6019F">
        <w:rPr>
          <w:rFonts w:ascii="Arial" w:hAnsi="Arial" w:cs="Arial"/>
        </w:rPr>
        <w:t>■</w:t>
      </w:r>
      <w:r w:rsidRPr="00A6019F">
        <w:t xml:space="preserve">SHOULDER PAIN Shoulder involvement is common in those with a history of trauma, fibromyalgia, infection, inflammatory arthritis, occupational risks, or previous cervical surgery or disease. The </w:t>
      </w:r>
      <w:r w:rsidRPr="00A6019F">
        <w:lastRenderedPageBreak/>
        <w:t xml:space="preserve">patient should be ques tioned as to the activities or movement(s) that elicit shoulder pain. While arthritis is suggested by pain on movement in all planes, pain with specific or active (not passive) motion suggests a periarticular (nonarticular) process. Shoulder pain may originate in the glenohu meral or acromioclavicular joints, subacromial (subdeltoid) bursa, or periarticular soft tissues (e.g., fibromyalgia, rotator cuff tear/ tendinitis) (Fig. 382-4). Shoulder pain may be referred from the cervical spine but may also be referred from intrathoracic lesions (e.g., a Pancoast tumor), gallbladder, liver, or diaphragmatic disease. These same visceral causes may also manifest as focal scapular pain. Fibromyalgia should be suspected when glenohumeral pain is accom panied by diffuse periarticular (i.e., subacromial, bicipital) pain, ten der points (i.e., trapezius or supraspinatus), and a sleep disturbance. The shoulder should be put through its full range of motion, both active and passive (with examiner assistance) movements: forward flexion, extension, abduction, adduction, and internal and external rotation. Glenohumeral pain and pathology are best detected by placing the thumb anteriorly over the glenohumeral joint, just medial Acromioclavicular joint Supraspinatus muscle Clavicle Supraspinatus tendon Subacromial bursa Bicipital tendon Humerus Glenohumeral (shoulder) joint Subscapularis muscle FIGURE 382-4 Origins of shoulder pain. The schematic diagram of the shoulder indicates, with arrows, the anatomic origins of shoulder pain. and inferior to the coracoid process, and applying pressure anteriorly while internally and externally rotating the humeral head. Synovial effusion or tissue is seldom palpable in the shoulder, but, if present, may suggest infection, RA, amyloidosis, or an acute tear of the rota tor cuff. The examiner should apply direct manual pressure over the subacromial bursa that lies lateral to and immediately beneath the acromion (Fig. 382-4). Subacromial bursitis is a frequent cause of shoulder pain. Anterior to the subacromial bursa, the bicipital tendon traverses the bicipital groove. This tendon is best identified by palpat ing it in its groove as the patient rotates the humerus internally and externally. Direct pressure over the tendon may reveal pain indica tive of bicipital tendinitis. Palpation of the acromioclavicular joint may disclose local pain, bony hypertrophy, or, uncommonly, synovial swelling. Whereas OA and RA commonly involve the acromiocla vicular joint, OA only involves the glenohumeral joint with trauma, occupational causes, or osteonecrosis. Rotator cuff tendinitis or tears are a very common cause of shoul der pain, especially in those who are active, manual laborers or have inflammatory arthritis. Nearly 30% of the elderly with shoulder pain will have rotator cuff tendinitis or tear as a primary cause. The rotator cuff is formed by four tendons that attach the scapula to the proximal humerus (supraspinatus, infraspinatus, teres minor, and subscapu laris tendons). Of these, the supraspinatus muscle is the most com monly damaged. Rotator cuff tendinitis is suggested by pain on active abduction (but not passive abduction), pain over the lateral deltoid muscle, night pain, and evidence of the impingement signs (pain with overhead arm activities). The Neer test for impingement is performed by the examiner raising the patient’s arm into forced flexion while stabilizing and preventing </w:t>
      </w:r>
      <w:r w:rsidRPr="00A6019F">
        <w:lastRenderedPageBreak/>
        <w:t xml:space="preserve">rotation of the scapula. A positive sign is present if pain develops before 180° of forward flexion. Tear of the rotator cuff is common in the elderly and often results from trauma; it may manifest in the same manner as tendinitis. The drop arm test is abnormal with supraspinatus pathology and is demonstrated by passive abduction of the arm to 90° by the examiner. If the patient is CHAPTER 382 Approach to Articular and Musculoskeletal Disorders 2944 PART 11 Immune-Mediated, Inflammatory, and Rheumatologic Disorders unable to hold the arm up actively or unable to lower the arm slowly without dropping, the test is positive. Tendinitis or tear of the rota tor cuff is best confirmed by magnetic resonance imaging (MRI) or ultrasound. </w:t>
      </w:r>
      <w:r w:rsidRPr="00A6019F">
        <w:rPr>
          <w:rFonts w:ascii="Arial" w:hAnsi="Arial" w:cs="Arial"/>
        </w:rPr>
        <w:t>■</w:t>
      </w:r>
      <w:r w:rsidRPr="00A6019F">
        <w:t xml:space="preserve">KNEE PAIN Knee pain may result from intraarticular (OA, RA) or periarticular (anserine bursitis, collateral ligament strain) processes or be referred from hip pathology (fracture). A careful history should delineate the chronology of the knee complaint and whether there are predispos ing conditions, trauma, medications, or activities that may underlie the complaint. For example, patellofemoral disease (e.g., OA) may cause anterior knee pain that worsens with climbing stairs. Observ ing the patient’s gait may identify a knee, hip, or foot disorder. The knee should be carefully inspected in the upright (weight-bearing) and supine positions for swelling, erythema, malalignment, visible trauma, muscle wasting, and leg length discrepancy (measuring from the anterior superior iliac crest to medial malleolus, with contra lateral comparison). The most common malalignment in the knee is genu varum (bowlegs) or genu valgum (knock-knees) resulting from asymmetric cartilage loss medially or laterally, respectively. Bony swelling of the knee joint commonly results from hypertrophic osseous changes seen with disorders such as OA and neuropathic arthropathy. Swelling caused by hypertrophy of the synovium or synovial effusion may manifest as a fluctuant, ballotable, or soft tissue enlargement in the suprapatellar pouch (suprapatellar reflection of the synovial cavity) or regions lateral and medial to the patella. Syno vial effusions may also be detected by balloting the patella downward toward the femoral groove or by eliciting a “bulge sign.” With the knee extended, the examiner should manually compress, or “milk,” synovial fluid down from the suprapatellar pouch and lateral to the patellae. The application of manual pressure lateral to the patella may cause an observable shift in synovial fluid (bulge) to the medial aspect. The examiner should note that this maneuver is only effective in detecting small to moderate effusions (6 weeks) and a lack of response to symptomatic measures. The extent and nature of the additional investigation should be dictated by the clinical features and suspected pathologic process. Laboratory tests should be used to confirm a spe cific clinical diagnosis and not be used to screen or evaluate patients with vague rheumatic complaints. Indiscriminate use of broad batter ies of diagnostic tests and radiographic procedures is rarely a useful or cost-effective means to establish a diagnosis. Besides a complete blood count, including a white blood cell (WBC) and differential count, the routine evaluation should include a determi nation of an acute-phase reactant such as the ESR or CRP, which can be useful in discriminating inflammatory from noninflammatory dis orders. Both are inexpensive, easily obtained, </w:t>
      </w:r>
      <w:r w:rsidRPr="00A6019F">
        <w:lastRenderedPageBreak/>
        <w:t xml:space="preserve">and may be elevated with infection, inflammation, autoimmune disorders, neoplasia, pregnancy, renal insufficiency, advanced age, or hyperlipidemia. Extreme eleva tion of the acute-phase reactants (CRP, ESR) is seldom seen without evidence of serious illness (e.g., sepsis, pleuropericarditis, PMR, giant cell arteritis, Still’s disease). Conversely, not all active, inflammatory or autoimmune conditions will have an elevated ESR or CRP; in active SLE and RA patients, nearly 50% will have normal ESR and CRP results. Serum uric acid determinations are useful in the diagnosis of gout and in monitoring the response to urate-lowering therapy. Uric acid, the product of purine metabolism, is primarily excreted in the urine. Serum values range from 238 to 516 μmol/L (4.0–8.6 mg/dL) in men; lower values (178–351 μmol/L [3.0–5.9 mg/dL]) seen in women are caused by the uricosuric effects of estrogen. Urinary uric acid levels are normally 90% of MCTD 30% of SLE (specific) Sjögren’s 60%, SCLE, neonatal lupus, ANA (–) lupus 50% of Sjögren’s, 15% lupus Scl-70 (topoisomerase I) 40% of diffuse cutaneous systemic sclerosis Jo-1 (histidyl t-RNA synthetase) PM with pneumonitis + arthritis Nucleolar Centromere RNA polymerase I, others Kinetochore 40% of PSS 75% CREST (limited cutaneous systemic sclerosis), PBC, Sjögren’s, thyroiditis Abbreviations: CREST, calcinosis, Raynaud’s phenomenon, esophageal involvement, sclerodactyly, and telangiectasia; MCTD, mixed connective tissue disease; PBC, primary biliary cirrhosis; PSS, progressive systemic sclerosis; SCLE, subacute cutaneous lupus erythematosus; SLE, systemic lupus erythematosus. and inflammatory processes by analysis of the appearance, viscosity, and cell count. Tests for synovial fluid glucose, protein, lactate dehy drogenase, lactic acid, or autoantibodies are not recommended as they have no diagnostic value. Normal synovial fluid is clear or a pale straw color and is viscous, primarily because of the high levels of hyaluronate. Noninflammatory synovial fluid is clear, viscous, and amber-colored, with a WBC count of 50,000/μL, a pre dominance of polymorphonuclear leukocytes (&gt;75%), and low viscos ity. Such effusions are typical of septic arthritis but may also occur with RA or gout. Lastly, hemorrhagic synovial fluid (hemarthrosis) may be seen with trauma (ligament or cartilage tears), osteochondral fracture, neuropathic arthritis, or coagulopathy. An algorithm for synovial fluid aspiration and analysis is shown in Fig. 382-6. Synovial fluid should be analyzed immediately for appearance, viscosity, and cell count. Monosodium urate crystals (observed in gout) are seen by polarized microscopy and are long, needle-shaped, negatively birefringent, and usually intracellular. In chondrocalcinosis and pseudogout, calcium pyrophosphate dihydrate crystals are usually short, rhomboid-shaped, and positively birefringent. Whenever infection is suspected, synovial fluid should be Gram stained and cultured and tested by metagenomic sequencing, when appropriate. If gonococcal arthritis is suspected, nucleic acid amplification tests should be used to detect either Chla mydia trachomatis or N. gonorrhoeae infection. Synovial fluid from patients with chronic monoarthritis should also be cultured for M. tuberculosis and fungi. Last, it should be noted that crystal-induced arthritis and septic arthritis occasionally occur together in the same joint. DIAGNOSTIC IMAGING Conventional </w:t>
      </w:r>
      <w:r w:rsidRPr="00A6019F">
        <w:lastRenderedPageBreak/>
        <w:t xml:space="preserve">radiography has been a valuable tool in the diagnosis and staging of articular disorders. Plain x-rays are most appropriate and cost effective when there is a history of trauma, suspected chronic Strongly consider synovial fluid aspiration and analysis if there is • Monarthritis (acute or chronic) • Trauma with joint effusion • Monarthritis in a patient with chronic polyarthritis • Suspicion of joint infection, crystal-induced arthritis, or hemarthrosis Analyze fluid for • Appearance, viscosity • WBC count, differential • Gram stain, culture, and sensitivity (if indicated) • Crystal identification by polarized microscopy Inflammatory or noninflammatory articular condition Is the WBC &gt;2000/µL? No Consider noninflammatory articular conditions • Osteoarthritis • Trauma • Other Consider other inflammatory or septic arthritides • Gram stain, culture mandatory Is the WBC &gt;50,000/µL? No Probable inflammatory arthritis No Yes No No Yes Is the effusion hemorrhagic? Yes Consider • Trauma or mechanical derangement • Coagulopathy • Neuropathic arthropathy • Other Consider inflammatory or septic arthritis Is the % PMNs &gt;75%? Yes Are crystals present? Yes Crystal identification for specific diagnosis • Gout • Pseudogout Possible septic arthritis FIGURE 382-6 Algorithmic approach to the use and interpretation of synovial fluid aspiration and analysis. PMNs, polymorphonuclear (leukocytes); WBC, white blood cell count. infection, progressive disability, or monoarticular involvement; when therapeutic alterations are considered; or when a baseline assessment is desired for what appears to be a chronic process. However, in acute or early arthritis, early radiography is rarely helpful in establishing a diagnosis and may only reveal soft tissue swelling or juxtaarticular demineralization. As the disease progresses, conventional radiographs may disclose calcification (of soft tissues, cartilage, or periarticular bone), joint space narrowing, erosions, bony ankylosis, new bone for mation (sclerosis, osteophytes, or periostitis), or subchondral cysts may develop and suggest specific clinical entities. Advanced imaging with computed tomography (CT) or magnetic resonance imaging (MRI) is more expensive but may reveal the extent of articular or periarticular involvement. Consultation with a radiologist will help define the opti mal imaging modality, technique, or positioning to optimize interpre tation and prevent the need for further studies. Additional imaging techniques may be indicated in selected cir cumstances or when conventional radiography is inadequate or Approach to Articular and Musculoskeletal Disorders 2947 CHAPTER 382 TABLE 382-5 Diagnostic Imaging Techniques for Musculoskeletal Disorders METHOD COSTa CURRENT INDICATIONS CAVEATS Ultrasound ++ Synovial (Baker’s) cysts Rotator cuff tears Bursitis, tendinitis, tendon injury Enthesitis Carpal tunnel syndrome Urate or calcium pyrophosphate deposition on cartilage Early detection of synovial inflammation or erosions Ultrasound-guided injection/ arthrocentesis Operator dependent Radionuclide scintigraphy ++ Metastatic bone survey Evaluation of Paget’s disease Identifying occult arthritis in patients with undiagnosed polyarthralgia Acute infection Prosthetic infection Acute osteomyelitis Acute and chronic infection Acute osteomyelitis Low sensitivity Resolution issues 99mTc ++ Arthritis Inflammation Degeneration Metastases Infection Ionizing radiation </w:t>
      </w:r>
      <w:r w:rsidRPr="00A6019F">
        <w:lastRenderedPageBreak/>
        <w:t xml:space="preserve">exposure   111In-WBC +++ Septic arthritis  67Ga ++++ Prosthetic joint infection  Computed tomography (CT) ++++ Herniated intervertebral disk Sacroiliitis Spinal stenosis Spinal trauma Osteoid osteoma Stress fracture Ionizing radiation exposure Contrast use Availability of CT angiography   Dual-energy CT +++ Uric acid deposition Tophus localization Not widely available Magnetic resonance imaging ++++ Avascular necrosis Osteomyelitis Septic arthritis, infected prosthetic joints Sacroiliitis Intraarticular derangement and soft tissue injury Derangements of axial skeleton and spinal cord Herniated intervertebral disk Pigmented villonodular synovitis Inflammatory and metabolic muscle pathology Cost Contrast use No ionizing radiation Soft tissue detail FDG-PET CT +++++++ Very expensive Whole-body scanning Limited availability Ionizing radiation exposure  aImaging cost, relative to conventional radiography. Abbreviations: FDG-PET, fluorodeoxyglucose–positron emission tomography; WBC, white blood cell. nondiagnostic (Table 382-5). Ultrasonography is useful in the detec tion of soft tissue abnormalities (tendinitis, tenosynovitis, enthesitis, bursitis), crystal deposition, and entrapment neuropathies. Lower cost, better technology, and enhanced site-specific transducers now allow for wider use and diagnostic specificity, especially when considering synovial (Baker’s) cysts, rotator cuff tears, tendinitis (PMR) and ten don injury, and crystal deposition on cartilage. Use of power Doppler allows for early detection of synovitis and bony erosions. Radionuclide scintigraphy is a very sensitive, but poorly specific, means of detecting inflammatory or metabolic alterations in bone or periarticular soft tis sue structures (Table 382-5). Scintigraphy is best suited for total-body assessment (extent and distribution) of skeletal involvement (neopla sia, Paget’s disease) or the assessment of patients with undiagnosed polyarthralgias, looking for occult arthritis or inflammation. The use of scintigraphy has declined with greater use, specificity, and declining cost of ultrasound and MRI. MRI has largely replaced scintigraphy in diagnosing osseous infection, neoplasia, inflammation, increased blood flow, bone remodeling, heterotopic bone formation, or avascular necrosis. Gallium scanning uses 67Ga, which binds serum and cellular transferrin and lactoferrin and is preferentially taken up by neutro phils, macrophages, bacteria, and tumor tissue (e.g., lymphoma). As such, it is primarily used in the identification of occult infection or malignancy. Scanning with 111In-labeled WBCs has been used to detect osteomyelitis and infectious or inflammatory arthritis. Despite their utility, 111In-labeled WBC and 67Ga scanning have also been largely replaced by MRI, except when there is a suspicion of septic joint or prosthetic joint infections. CT provides detailed visualization of the axial skeleton. Articula tions previously considered difficult to visualize by radiography (e.g., zygapophyseal, sacroiliac, sternoclavicular, hip joints) can be evaluated using CT. CT has been demonstrated to be useful in the diagnosis of low back pain (e.g., spinal stenosis vs herniated disk), sacroiliitis, oste oid osteoma, and stress fractures. Helical or spiral CT (with or without contrast angiography) is a novel technique that is rapid, cost effective, and sensitive in diagnosing pulmonary embolism or obscure fractures, often in the setting of initially equivocal findings. High-resolution </w:t>
      </w:r>
      <w:r w:rsidRPr="00A6019F">
        <w:lastRenderedPageBreak/>
        <w:t xml:space="preserve">CT can be advocated in the evaluation of suspected or established infiltrative lung disease (e.g., systemic sclerosis or rheumatoid lung). The recent use of hybrid (positron emission tomography [PET] or single-photon emission CT [SPECT]) CT scans in metastatic evalua tions has incorporated CT to provide better anatomic localization of scintigraphic abnormalities. 18F-Fluorodeoxyglucose (FDG) is the most used radiopharmaceu tical in PET scanning. FDG-PET/CT scans are rarely indicated in septic or inflammatory arthritis but have been useful in the evalua tion of patients with undiagnosed fever, systemic illness, or suspected large vessel vasculitis. FDG-PET may be better at assessing inflam mation, whereas MRI and CT can better define the extent of tissue damage. Dual-energy CT (DECT) scanning, developed in urology to identify urinary calculi, has been a highly sensitive and specific method used to identify and quantify uric acid deposition in tissues (Fig. 382-7). MRI has significantly revolutionized the imaging of musculoskeletal structures, especially in patients with traumatic, systemic, infectious, or neoplastic disorders. MRI has the advantages of providing multiplanar images with fine anatomic detail and contrast resolution (Fig. 382-8) to visualize fascia, vessels, nerve, muscle, cartilage, ligaments, tendons, pannus, synovial effusions, and bone marrow. Because of its sensitivity to changes in marrow fat, MRI is a sensitive but nonspecific means of detecting osteonecrosis, osteomyelitis, and marrow inflammation indicating overlying synovitis or osteitis (Fig. 382-8). Because of its enhanced soft tissue resolution, MRI is more sensitive than arthrography or CT in the diagnosis of soft tissue injuries (e.g., meniscal and rotator cuff tears); intraarticular derangements; marrow abnormalities (osteonecrosis, myeloma); and spinal cord or nerve root damage, synovitis, or cartilage damage or loss. Although more costly with a longer procedural time than CT, MRI has become the preferred technique when evaluating trauma and complex musculoskeletal disorders. 2948 PART 11 Immune-Mediated, Inflammatory, and Rheumatologic Disorders FIGURE 382-7 Dual-energy computed tomography (DECT) scan from a 45-year-old woman with right ankle swelling around the lateral malleolus. Three-dimensional volume-rendered coronal reformatted DECT image shows that the mass is composed of monosodium urate (red) in keeping with tophus (arrow). (Reprinted from S Nicolaou et al: Dual-energy CT as a potential new diagnostic tool in the management of gout in the acute setting. AJR Am J Roentgenol 194:1072, 2010.) FIGURE 382-8 Superior sensitivity of magnetic resonance imaging (MRI) in the diagnosis of osteonecrosis of the femoral head. A 45-year-old woman receiving high-dose glucocorticoids developed right hip pain. Conventional x-rays (top) demonstrated only mild sclerosis of the right femoral head. T1-weighted MRI (bottom) demonstrated low-density signal in the right femoral head, diagnostic of osteonecrosis. Acknowledgment The author acknowledges the sage contributions of Dr. Peter E. Lipsky to this chapter in previous editions. </w:t>
      </w:r>
      <w:r w:rsidRPr="00A6019F">
        <w:rPr>
          <w:rFonts w:ascii="Arial" w:hAnsi="Arial" w:cs="Arial"/>
        </w:rPr>
        <w:t>■</w:t>
      </w:r>
      <w:r w:rsidRPr="00A6019F">
        <w:t xml:space="preserve">FURTHER READING Cush JJ et al: Evaluation of musculoskeletal complaints. Available from http://www.rheumaknowledgy.com/evaluation-of-musculoskeletal complaints. Accessed April 22, 2024. Hubbard MJ et al: Common soft tissue musculoskeletal pain </w:t>
      </w:r>
      <w:r w:rsidRPr="00A6019F">
        <w:lastRenderedPageBreak/>
        <w:t xml:space="preserve">disor ders. Prim Care 45:289, 2018. Laskowski ER et al: The telemedicine musculoskeletal examination. Mayo Clinic Proc 95:1715, 2020. Nguyen AT et al: Musculoskeletal health: An ecological study assess ing disease burden and research funding. Lancet Reg Health Am 29:100661, 2024. Olsen NJ, Karp DR: Finding lupus in the ANA haystack. Lupus Sci Med 7:e000384, 2020. Rönnelid J et al: Autoantibodies in rheumatoid arthritis: Laboratory and clinical perspectives. Front Immunol 12:685312, 2021. Rudwaleit M et al: How to diagnose axial spondyloarthritis early. Ann Rheum Dis 63:535, 2004. Sciascia S et al: Autoantibodies testing in autoimmunity: Diagnostic, prognostic and classification value. Autoimmun Rev 22:103356, 2023. Simpfendorfer CS: Radiologic approach to musculoskeletal infec tions. Infect Dis Clin North Am 31:299, 2017. 383 Osteoarthritis 2949 David T. Felson, Tuhina Neogi Osteoarthritis (OA) is the most common type of arthritis. Its high prevalence, especially in the elderly, and its negative impact on physi cal function make it a leading cause of disability in the elderly. Because of the aging of Western populations and because obesity, a major risk factor, is increasing in prevalence, the occurrence of OA is on the rise. OA affects certain joints yet spares others (Fig. 383-1). Commonly affected joints include the hip, knee, and first metatarsal phalangeal joint (MTP) and cervical and lumbosacral spine. In the hands, the distal and proximal interphalangeal joints and the base of the thumb are often affected. Usually spared are the wrist, elbow, and ankle. Our joints were designed, in an evolutionary sense, for brachiating apes, animals that still walked on four limbs. We thus develop OA in joints that were ill designed for human tasks such as pincer grip (OA in the thumb base) and walking upright (OA in knees and hips). Some joints, like the ankles, may be spared because their articular cartilage may be uniquely resistant to loading stresses. OA can be diagnosed based on structural abnormalities or on the symptoms these abnormalities evoke. According to cadaveric studies, by elderly years, structural changes of OA are nearly universal. These include cartilage loss (seen as joint space loss on x-rays) and osteophytes. Many persons with x-ray evidence of OA have no joint symptoms, and although the prevalence of structural abnormalities is of interest in understanding disease pathogenesis, what matters more from a clinical perspective is the prevalence of symptomatic OA. Symptoms, usually joint pain, determine disability, visits to clinicians, and disease costs. Symptomatic OA of the knee (pain on most days of a recent month plus x-ray evidence of OA in that knee) occurs in ~12% of persons age ≥60 in the United States and 6% of all adults age ≥30. Symptomatic hip OA is roughly one-third as common as disease in the knee. Although radiographic hand OA and the appearance of bony enlargement in affected hand joints (Fig. 383-2) are extremely common in older First carpo metacarpal Distal and proximal interphalangeal Lower lumbar vertebrae Hip FIGURE 383-1 Joints commonly affected by osteoarthritis.   Cervical vertebrae Knee First metatarso phalangeal FIGURE 383-2 Severe osteoarthritis of the hands affecting the distal interphalangeal joints (Heberden’s nodes) and the proximal interphalangeal joints (Bouchard’s nodes). There is no clear bony enlargement of the other common site in the hands, the thumb base. </w:t>
      </w:r>
      <w:r w:rsidRPr="00A6019F">
        <w:lastRenderedPageBreak/>
        <w:t xml:space="preserve">CHAPTER 383 Osteoarthritis persons, most affected persons have no pain. Even so, painful hand OA occurs in ~10% of elderly individuals and often produces measurable limitation in function. The prevalence of OA rises strikingly with age, being uncommon in adults aged 60. It is also a disease that, at least in middle-aged and elderly persons, is much more common in women than in men. X-ray evidence of OA is common in the lower back and neck, but back pain and neck pain have not been tied to findings of OA on x-ray. Thus, back pain and neck pain are treated separately (Chaps. 18 and 19). </w:t>
      </w:r>
      <w:r w:rsidRPr="00A6019F">
        <w:rPr>
          <w:rFonts w:ascii="Arial" w:hAnsi="Arial" w:cs="Arial"/>
        </w:rPr>
        <w:t>■</w:t>
      </w:r>
      <w:r w:rsidRPr="00A6019F">
        <w:t xml:space="preserve">GLOBAL CONSIDERATIONS With the aging of the populations, both the prevalence of OA and the amount of disability worldwide related to OA have been increasing, especially in developed countries where many are living into old age. Hip OA is rare in China and in immigrants from China to the United States. Anatomic differences between Chinese and white hips may account for much of the difference in hip OA prevalence, with white hips having a higher prevalence of anatomic predispositions to the development of OA. However, OA in the knees is at least as common, if not more so, in Chinese as in whites from the United States, and knee OA represents a major cause of disability in China, especially in rural areas. DEFINITION OA is joint failure, a disease in which all structures of the joint have undergone pathologic change, often in concert. The pathologic sine qua non of disease is hyaline articular cartilage loss, present in a focal and, initially, nonuniform manner. This is accompanied by increasing thickness and sclerosis of the subchondral bony plate, by outgrowth of osteophytes at the joint margin, by stretching of the articular capsule, by variable degrees of synovitis, and by weakness of muscles bridging the joint. In knees, meniscal degeneration is part of the disease. There are numerous pathways that lead to joint failure, but the initial step is often joint injury in the setting of a failure of protective mechanisms. JOINT PROTECTIVE MECHANISMS AND THEIR FAILURE Joint protectors include joint capsule and ligaments, muscle, sensory afferents, and underlying bone. Joint capsule and ligaments serve as joint protectors by providing a limit to excursion, thereby fixing the range of joint motion. Synovial fluid reduces friction between articulating cartilage sur faces, thereby serving as a protector against friction-induced cartilage wear. This lubrication function depends on hyaluronic acid and on lubricin, a mucinous glycoprotein secreted by synovial fibroblasts whose concentration diminishes after joint injury and in the face of synovial inflammation. 2950 PART 11 Immune-Mediated, Inflammatory, and Rheumatologic Disorders increase production of inflammatory cytokines and matrix-degrading enzymes. While chondrocytes synthesize numerous enzymes, matrix metalloproteinases (MMPs; especially collagenases and ADAMTS-5) are critical enzymes in the breakdown of cartilage matrix. The ligaments, along with overlying skin and tendons, contain mechanoreceptor sensory nerves. These mechanoreceptors fire at different frequencies throughout a joint’s range of motion, provid ing feedback by way of the spinal cord to muscles and tendons. As a consequence, these muscles and tendons assume the right tension at appropriate points in joint excursion to act as optimal joint protectors, anticipating joint loading. Muscles and tendons that bridge the </w:t>
      </w:r>
      <w:r w:rsidRPr="00A6019F">
        <w:lastRenderedPageBreak/>
        <w:t xml:space="preserve">joint are key joint protectors. Focal stress across the joint is minimized by muscle contraction that decelerates the joint before impact and assures that when joint impact arrives, it is distributed broadly across the joint surface. Failure of these joint protectors increases the risk of joint injury and OA. For example, in animals, OA develops rapidly when a sensory nerve to the joint is sectioned and joint injury induced. Similarly, in humans, Charcot’s arthropathy, a severe and rapidly progressive OA, develops when minor joint injury occurs in the presence of posterior column peripheral neuropathy. Another example of joint protector failure is rup ture of ligaments, a well-known cause of the early development of OA. </w:t>
      </w:r>
      <w:r w:rsidRPr="00A6019F">
        <w:rPr>
          <w:rFonts w:ascii="Arial" w:hAnsi="Arial" w:cs="Arial"/>
        </w:rPr>
        <w:t>■</w:t>
      </w:r>
      <w:r w:rsidRPr="00A6019F">
        <w:t xml:space="preserve">CARTILAGE AND ITS ROLE IN JOINT FAILURE A thin rim of tissue at the ends of two opposing bones, cartilage is lubri cated by synovial fluid to provide an almost frictionless surface across which these two bones move. The compressible stiffness of cartilage compared to bone provides the joint with impact-absorbing capacity. The earliest changes of OA may occur in cartilage, and abnormali ties there can accelerate disease development. The two major macro molecules in cartilage are type 2 collagen, which provides cartilage its tensile strength, and aggrecan, a proteoglycan macromolecule linked with hyaluronic acid, which consists of highly negatively charged gly cosaminoglycans. In normal cartilage, type 2 collagen is woven tightly, constraining the aggrecan molecules in the interstices between collagen strands, forcing these highly negatively charged molecules into close proximity. The aggrecan molecule, through electrostatic repulsion of its negative charges, gives cartilage its compressive stiffness. Chondrocytes, the cells within this avascular tissue, synthesize all elements of the matrix and produce enzymes that break it down (Fig. 383-3). Cartilage matrix synthesis and catabolism are in a dynamic equilibrium influenced by the cytokine and growth factor environment. Mechanical and osmotic stress on chondrocytes induces these cells to alter gene expression and Articular cartilage Synovium Macrophage Neuron Apidokines Adipose tissue Neuropeptides Local inflammation accelerates the development and progression of osteoarthritis and increases the likelihood that an osteoarthritic joint will be painful. Some of this inflammation may be induced by mechan ical stimuli, so called mechanoinflammation. The synovium, carti lage, and bone all influence disease development through cytokines, chemokines, and even complement activation (Fig. 383-3). Matrix fragments released from cartilage stimulate synovium, which releases inflammatory cytokines, and they, in turn, induce chondrocytes to synthesize other proinflammatory molecules. Ultimately, the combina tion of effects on chondrocytes triggers matrix degradation. Growth factors are also part of this complex network, with bone morphogenetic protein 2 (BMP-2) and transforming growth factor β (TGF-β) playing prominent roles in stimulating the development of osteophytes. Trig gered by local vascular endothelial growth factor (VEGF) synthesis, blood vessels invade cartilage and, with them, come nerves that may bring nociceptive innervation. With aging, articular chondrocytes develop a senescence-associated secretory phenotype, exhibiting a decline in synthetic capacity and pro ducing proinflammatory mediators and matrix-degrading enzymes. </w:t>
      </w:r>
      <w:r w:rsidRPr="00A6019F">
        <w:lastRenderedPageBreak/>
        <w:t xml:space="preserve">These chondrocytes are unable to maintain tissue homeostasis (such as after insults of a mechanical or inflammatory nature). Thus, with age, cartilage is easily damaged by minor sometimes unnoticed injuries, including those that are part of daily activities. OA cartilage is characterized by gradual depletion of aggrecan, an unfurling of the tightly woven collagen matrix, and loss of type 2 col lagen. With these changes comes increasing vulnerability of cartilage, which loses its compressive stiffness. RISK FACTORS Risk factors for OA can be understood in terms of their effect either on joint vulnerability or joint loading. On the one hand, a vulnerable joint whose protectors are dysfunctional can develop OA with minimal lev els of loading, perhaps even levels encountered during everyday activi ties. On the other hand, in a young joint with competent protectors, a DAMPs Cytokines Cartilage degradation Chondrocyte Mechanoammation Growth factors Synoviocyte Osteophyte Subchondral bone Osteoblast Activated osteoblast FIGURE 383-3 Selected factors involved in the osteoarthritic process including chondrocytes, bone, and synovium. Synovitis causes release of cytokines, alarmins, damage-associated molecular pattern (DAMP) molecules, and complement, which activate chondrocytes through cell-surface receptors. Chondrocytes produce matrix molecules (collagen type 2, aggrecan) and the enzymes responsible for the degradation of the matrix (e.g., ADAMTS-5 and matrix metalloproteinases [MMPs]). Bone invasion occurs through the calcified cartilage, triggered by vascular endothelial growth factor (VEGF) and other growth factors. (Reproduced with permission from De Roover A et al: Fundamentals of osteoarthritis: Inflammatory mediators in osteoarthritis. Osteoarthritis Cart 31:1303, 2023.) </w:t>
      </w:r>
      <w:r w:rsidRPr="00A6019F">
        <w:rPr>
          <w:rFonts w:ascii="Arial" w:hAnsi="Arial" w:cs="Arial"/>
        </w:rPr>
        <w:t>■</w:t>
      </w:r>
      <w:r w:rsidRPr="00A6019F">
        <w:t xml:space="preserve">RISK FACTORS IN THE JOINT ENVIRONMENT 2951 Intrinsic joint vulnerabilities (local environment) Systemic factors affecting joint vulnerability Increased age Female gender Racial/ethnic factors Genetic susceptibility Nutritional factors Previous damage (e.g., meniscectomy) Bridging muscle weakness Increasing bone density Malalignment Proprioceptive deficiences Susceptibility to OA FIGURE 383-4 Risk factors for osteoarthritis (OA) either contribute to the susceptibility of the joint (systemic factors or factors in the local joint environment) or increase risk by the load they put on the joint. Usually, a combination of loading and susceptibility factors is required to cause disease or its progression. major acute injury or long-term overloading is necessary to precipitate disease (Fig. 383-4). </w:t>
      </w:r>
      <w:r w:rsidRPr="00A6019F">
        <w:rPr>
          <w:rFonts w:ascii="Arial" w:hAnsi="Arial" w:cs="Arial"/>
        </w:rPr>
        <w:t>■</w:t>
      </w:r>
      <w:r w:rsidRPr="00A6019F">
        <w:t xml:space="preserve">SYSTEMIC RISK FACTORS THAT AFFECT JOINT VULNERABILITY Age is the most potent risk factor for OA. Radiographic evidence of OA is rare in individuals aged 50% of persons aged &gt;70. Aging increases joint vulnerability through several mechanisms. Whereas dynamic loading of joints stimulates matrix synthesis by chondrocytes in young cartilage, aged cartilage is less responsive to these stimuli. As a conse quence of this failure to synthesize matrix with loading, cartilage thins with age, and thinner cartilage experiences higher shear stress and is at greater risk of damage. Also, joint protectors fail more often with age. Muscles that bridge the joint become weaker with age and respond less quickly to oncoming impulses. Sensory nerve input slows with age, retarding the feedback loop of mechanoreceptors to </w:t>
      </w:r>
      <w:r w:rsidRPr="00A6019F">
        <w:lastRenderedPageBreak/>
        <w:t xml:space="preserve">muscles and tendons related to their tension and position. Ligaments stretch with age, making them less able to absorb impulses. These factors work in concert to increase the vulnerability of older joints to OA. Older women are at high risk of OA in all joints, a risk that increases as women reach their sixth decade. Although hormone loss with meno pause may contribute to this risk, there is little understanding of the unique vulnerability of older women versus men. </w:t>
      </w:r>
      <w:r w:rsidRPr="00A6019F">
        <w:rPr>
          <w:rFonts w:ascii="Arial" w:hAnsi="Arial" w:cs="Arial"/>
        </w:rPr>
        <w:t>■</w:t>
      </w:r>
      <w:r w:rsidRPr="00A6019F">
        <w:t>HERITABILITY AND GENETICS AND THEIR RELATION TO JOINT VULNERABILITY OA is a heritable disease, but its heritability is mostly joint specific. Nearly 60</w:t>
      </w:r>
      <w:r w:rsidRPr="00A6019F">
        <w:rPr>
          <w:rFonts w:ascii="Aptos" w:hAnsi="Aptos" w:cs="Aptos"/>
        </w:rPr>
        <w:t>–</w:t>
      </w:r>
      <w:r w:rsidRPr="00A6019F">
        <w:t xml:space="preserve">65% of OA in hips or hands may be attributed to shared genetics within a family. However, heritability of knee OA is, at most, 30%, with some studies suggesting no heritability at all. Knees are susceptible to nongenetic factors like activities that affect joint loading and risk of injury. On the other hand, many people with OA develop “generalized OA” or multisite OA, but the involvement of multiple joints with OA is usually a consequence of aging rather than genetics. The best replicated genetic variant known to increase OA risk lies in the locus for growth differentiation factor 5 (GDF5). It affects epigen etic regulation of GDF5 activity, resulting in reduction in GDF5 expres sion. GDF5 probably affects joint shape, a mechanism by which genes increase disease risk. Minor abnormalities in joint shape can make a joint vulnerable to damage if focal stresses across the joint increase. Some risk factors increase vulnerability of the joint through local effects on the joint environment. With changes in joint anatomy, for example, load across the joint is no longer distributed evenly across the joint surface, but rather shows an increase in focal stress. In the hip, three uncommon developmental abnormalities occurring in utero or in childhood—congenital dysplasia, Legg-Perthes disease, and slipped capital femoral epiphysis—leave a child with distortions of hip joint anatomy that often lead to OA later in life. Girls are predominantly affected by acetabular dysplasia, a mild form of congenital dysplasia, whereas the other abnormalities more often affect boys. Depending on the severity of the anatomic abnormalities, hip OA occurs either in young adulthood (severe abnormalities) or middle age (mild abnormalities). Femoroacetabular impingement can develop during adolescence. It is a clinical syndrome in which an outgrowth of bone at the femur’s head/neck junction thought to develop during closure of the growth plate results in abnormal contact between the femur and acetabulum, especially during hip flexion and rotation. This leads to cartilage and labral damage, to hip pain, and ultimately in later life, to an increased risk of hip OA. Use (loading) factors acting on joints Obesity Injurious physical activities CHAPTER 383 Osteoarthritis Osteoarthritis or its progression Major injuries to a joint also can produce anatomic abnormalities that leave the joint susceptible to OA. For example, a fracture through the joint surface often causes OA in joints in which the disease is oth erwise rare such as the ankle and the wrist. Avascular necrosis can lead to collapse of dead bone at the articular surface, producing anatomic irregularities and subsequent OA. Tears of ligamentous and fibrocartilaginous structures that protect the joints, such as the anterior cruciate ligament or meniscus in the knee and the labrum in the hip, can lead to premature OA. </w:t>
      </w:r>
      <w:r w:rsidRPr="00A6019F">
        <w:lastRenderedPageBreak/>
        <w:t xml:space="preserve">Meniscal tears increase with age and, when chronic, are often asymptomatic but lead to adjacent cartilage damage and accelerated OA. Even recalled injuries in which the affected person never received a diagnosis may increase risk of OA. For example, in the Framingham Study subjects, men with a history of major knee injury, but no surgery, had a 3.5-fold increased risk for subsequent knee OA. Another source of anatomic abnormality is malalignment across the joint (Fig. 383-5), a factor best studied in the knee. Varus (bow legged) knees with OA are at exceedingly high risk of cartilage loss in the medial or inner compartment of the knee, whereas valgus (knock kneed) malalignment predisposes to rapid cartilage loss in the lateral compartment. Malalignment causes this effect by increasing stress on a focal area of cartilage, which then breaks down; it also causes dam age to bone underlying the cartilage, producing bone marrow lesions seen on magnetic resonance imaging (MRI). Malalignment in the knee often produces such a substantial increase in focal stress within the knee (as evidenced by its destructive effects on subchondral bone) that severely malaligned knees may be destined to progress regardless of the status of other risk factors. Weakness in the quadriceps muscles bridging the knee increases the risk of the development of painful OA in the knee, especially in women. Normal Varus Knock knees (valgus) FIGURE 383-5 The two types of limb malalignment in the frontal plane: varus, in which the stress is placed across the medial compartment of the knee joint, and valgus, which places excess stress across the lateral compartment of the knee. 2952 High bone density also increases OA risk, especially risk of a subtype of OA characterized by large osteophytes. PART 11 Immune-Mediated, Inflammatory, and Rheumatologic Disorders </w:t>
      </w:r>
      <w:r w:rsidRPr="00A6019F">
        <w:rPr>
          <w:rFonts w:ascii="Arial" w:hAnsi="Arial" w:cs="Arial"/>
        </w:rPr>
        <w:t>■</w:t>
      </w:r>
      <w:r w:rsidRPr="00A6019F">
        <w:t xml:space="preserve">LOADING FACTORS Obesity Three to six times body weight is transmitted across the knee during single-leg stance. Any increase in weight may be multiplied by this factor to reveal the excess force across the knee in overweight per sons during walking. Obesity is a potent risk factor for the development of knee OA and, less so, for hip OA. It is a stronger risk factor for disease in women than in men, and for women, the relationship of weight to the risk of disease is linear, so that with each pound increase in weight, there is a commensurate increase in risk. Not only is obesity a risk factor for OA in weight-bearing joints, but obese persons have more pain from the disease. Weight loss greater than 10% of body weight reduces cartilage loss and, in most affected persons, alleviates pain. Obesity’s effect on the development and progression of disease, especially in knees, is mediated mostly through the increased loading in weight-bearing joints that occurs in overweight persons. However, high levels of leptin, an adipokine, are associated with increasing pain severity in OA regardless of the joint affected. Repeated Use of Joint and Exercise There are two categories of repetitive joint use: occupational use and leisure time physical activities. Workers who, over many years, perform repetitive tasks as part of their occupations are at high risk of developing OA in joints they use repeatedly. Workers whose jobs require regular knee bending or lifting or carrying heavy loads have a high rate of knee OA. One reason why workers may get disease is that during long days at work, their muscles may gradually become </w:t>
      </w:r>
      <w:r w:rsidRPr="00A6019F">
        <w:lastRenderedPageBreak/>
        <w:t xml:space="preserve">exhausted, no longer serving as effective joint protectors. It is widely recommended for people to adopt an exercise-filled life style, and long-term studies of exercise suggest no consistent associa tion of exercise with OA risk in most persons. However, persons who already have injured joints may put themselves at greater risk by engag ing in certain types of exercise. For example, persons who have already sustained major knee injuries are at increased risk of progressive knee OA as a consequence of running. In addition, compared to nonrun ners, elite runners (professional runners and those on Olympic teams) have high risks of both knee and hip OA. Lastly, although recreational runners are not at increased risk of knee OA, studies suggest that they have a modest increased risk of disease in the hip. PATHOLOGY The pathology of OA provides evidence of the involvement of many joint structures in disease. Cartilage initially shows surface fibrillation and irregularity. As disease progresses, focal erosions develop there, and these eventually extend to the subjacent bone. With further pro gression, cartilage erosion down to bone expands to involve a larger proportion of the joint surface, even though OA remains a focal disease with nonuniform loss of cartilage. After an injury to cartilage, chondrocytes undergo mitosis and clus tering. Although the metabolic activity of these chondrocyte clusters is high, the net effect of this activity is to promote proteoglycan depletion in the matrix surrounding the chondrocytes. This is because the catabolic activity is greater than the synthetic activity. As disease develops, colla gen matrix becomes damaged, the negative charges of proteoglycans get exposed, and cartilage swells from ionic attraction to water molecules. Because in damaged cartilage proteoglycans are no longer forced into close proximity, cartilage does not bounce back after loading as it did when healthy, and cartilage becomes vulnerable to further injury. With loss of cartilage comes alteration in subchondral bone. Stimu lated by growth factors and cytokines, osteoclasts and osteoblasts in the bony plate just underneath cartilage become activated. Bone forma tion produces a thickening of the subchondral plate that occurs even before cartilage ulcerates. Trauma to bone during joint loading may be the primary factor driving this bone response, with healing from injury (including microcracks) inducing remodeling. Small areas of osteonecrosis usually exist in joints with advanced disease. Bone death may also be caused by bone trauma with shearing of microvasculature, leading to a cutoff of vascular supply to some bone areas. At the margin of the joint, near areas of cartilage loss, osteophytes form. These start as outgrowths of new cartilage, and with neurovas cular invasion from the bone, this cartilage ossifies. Osteophytes are an important radiographic hallmark of OA. The synovium produces lubricating fluids that minimize shear stress during motion. In healthy joints, the synovium consists of a single dis continuous layer filled with fat and containing two types of cells, macro phages and fibroblasts, but in OA, it can sometimes become edematous and inflamed. There is a migration of macrophages from the periphery into the tissue, and cells lining the synovium proliferate. Inflammatory cytokines and alarmins secreted by the synovium activate chondrocytes to produce enzymes that accelerate destruction of matrix. Additional pathologic </w:t>
      </w:r>
      <w:r w:rsidRPr="00A6019F">
        <w:lastRenderedPageBreak/>
        <w:t xml:space="preserve">changes occur in the capsule, which stretches, becomes edematous, and can become fibrotic. The pathology of OA is not identical across joints. In hand joints with severe OA, for example, there are often cartilage erosions in the center of the joint probably produced by bony pressure from the oppo site side of the joint. Basic calcium phosphate and calcium pyrophosphate dihydrate crystals are present microscopically in most joints with end-stage OA. Their role in osteoarthritic cartilage is unclear, but their release from cartilage into the joint space and joint fluid likely triggers synovial inflammation, which can, in turn, produce release of cytokines and trigger nociceptive stimulation. SOURCES OF PAIN Because healthy cartilage is aneural, cartilage loss alone is not accom panied by much pain. Thus, pain in OA likely arises from structures outside the cartilage. Innervated structures in the joint include the synovium, ligaments, joint capsule, muscles, and subchondral bone. Most of these are not visualized by x-ray, and the severity of x-ray changes in OA correlates poorly with pain severity. However, in later stages of OA, loss of cartilage integrity accompanied by neurovascular invasion may contribute more to pain. Based on MRI studies in osteoarthritic knees comparing those with and without pain and on studies mapping tenderness in unanesthetized joints, likely sources of pain include synovial inflammation, joint effu sions, and bone marrow edema. Modest synovitis develops in many but not all osteoarthritic joints. The presence of synovitis on MRI is cor related with the presence and severity of knee pain, and potentially with pain sensitization. Capsular stretching from fluid in the joint stimulates nociceptive fibers there, inducing pain. Increased focal loading as part of the disease not only damages cartilage but probably also injures the underlying bone. As a consequence, bone marrow edema appears on the MRI; histologically, this edema signals the presence of microcracks and scar, which are the consequences of trauma. These lesions may stimu late bone nociceptive fibers. Pain may arise from outside the joint also, including bursae near the joints. Common sources of pain near the knee are anserine bursitis and iliotibial band syndrome. Much of the pain experienced in OA occurs when nociceptors in the joint are stimulated during weight-bearing activities. However, the pain may eventually become more constant and present at rest, and this suggests other mechanisms contribute to the pain experience. The pathologic changes of OA may lead to alterations in nervous system signaling (Chap. 18). Specifically, peripheral nociceptors can become more responsive to sensory input, known as peripheral sensitization, and there can also be an increase in facilitated central ascending noci ceptive signaling, known as central sensitization. Individuals with OA may also have insufficient descending inhibitory modulation. Some individuals may be genetically predisposed to becoming sensitized; however, regardless of the etiology, these nervous system alterations are associated with more severe pain, contribute to the presence of allodynia and hyperalgesia in patients with OA, and may predispose to development of chronic pain. CLINICAL FEATURES Joint pain from OA is primarily activity-related in the early stages of the disease. Pain comes on either during or just after joint use and then gradually resolves. Examples include knee or hip pain with going </w:t>
      </w:r>
      <w:r w:rsidRPr="00A6019F">
        <w:lastRenderedPageBreak/>
        <w:t xml:space="preserve">up or 2953 FIGURE 383-6 X-ray and magnetic resonance imaging (MRI) of knee with medial osteoarthritis. X-ray shows osteophytes at the medial and lateral tibia and femur and joint space narrowing of the medial tibiofemoral joint. Coronal intermediate-weighted fat-suppressed MRI confirms the presence of medial and lateral osteophytes and the medial tibiofemoral joint space narrowing. There is diffuse denuded area with no cartilage remaining at the weight-bearing medial tibiofemoral joint (arrows). There is also a severe medial meniscus extrusion (arrowhead). Bone marrow lesions, which provide evidence of bone injury, are present at medial tibia, medial femur, and intraspinous tibial region. Cartilage focal defects are also seen at the lateral weight-bearing femur and tibia. down stairs, pain in weight-bearing joints when walking, and, for hand OA, pain when cooking. Early in disease, pain is episodic, triggered often by overactive use of a diseased joint, such as a person with knee OA taking a long run and noticing a few days of pain thereafter. As disease progresses, the pain becomes continuous and even begins to be bothersome at night. Stiffness of the affected joint may be prominent, but morning stiffness is usually brief (45, but the differential diagnosis is long. Inflammatory arthritis is likely if there is prolonged morning stiffness, and many other joints are affected. Bursitis occurs commonly around knees and hips. A physical examination should focus on whether tenderness is over the joint line (at the junction of the two bones around which the joint is articulat ing) or outside of it. Anserine bursitis, medial and distal to the knee, is an extremely common cause of chronic knee pain that may respond to a glucocorticoid injection. Prominent nocturnal pain in the absence of end-stage OA merits a distinct workup. For hip pain, OA can be detected by loss of internal rotation on passive movement, and pain isolated to an area lateral to the hip joint usually reflects the presence of trochanteric bursitis. an x-ray. If the synovial fluid white count is &gt;1000/μL, inflammatory arthritis or gout or pseudogout is likely, the latter two being also identi fied by the presence of crystals. Radiographs are not indicated in the workup of OA. They should be ordered only when joint pain and physical findings are not typical of OA or if pain persists after inauguration of treatment effective for OA. In OA, imaging findings (Fig. 383-6) correlate poorly with the pres ence and severity of pain. Further, in both knees and hips, radiographs may be normal in early disease as they are insensitive to cartilage loss and other early findings. Although MRI may reveal the extent of pathology in an osteo arthritic joint, it is not indicated as part of the diagnostic workup. Findings such as meniscal tears and cartilage and bone lesions occur not only in most patients with OA in the knee but also in most older persons without joint pain. MRI findings rarely warrant a change in therapy. TREATMENT CHAPTER 383 Osteoarthritis Osteoarthritis The goals of the treatment of OA are to alleviate pain and minimize loss of physical function. To the extent that pain and loss of function are consequences of inflammation, of weakness across the joint, and of laxity and instability, the treatment of OA involves addressing each of these impairments. Comprehensive therapy consists of a multimodality approach including physical modalities and phar macologic elements. No blood tests are routinely indicated for </w:t>
      </w:r>
      <w:r w:rsidRPr="00A6019F">
        <w:lastRenderedPageBreak/>
        <w:t xml:space="preserve">workup of patients with OA unless symptoms and signs suggest inflammatory arthritis. Exami nation of the synovial fluid is often more helpful diagnostically than Foundational to OA management is patient education and self-management strategies. Patients with mild and intermit tent symptoms may need only symptomatic management and/ or treatments aimed at weight loss, physical activity, exercise, and 2954 PART 11 Immune-Mediated, Inflammatory, and Rheumatologic Disorders self-management strategies. Patients with ongoing, disabling pain are likely to need both physical modalities and pharmacotherapy. Treatments for knee OA have been more completely evaluated than those for hip and hand OA or for disease in other joints. Thus, although the principles of treatment are identical for OA in all joints, we shall focus below on the treatment of knee OA, not ing specific recommendations for disease in other joints, especially when they differ from those for the knee. PHYSICAL MANAGEMENT MODALITIES Because OA is a mechanically driven disease, the mainstay of treat ment involves altering loading across the painful joint and improv ing the function of joint protectors, so they can better distribute load across the joint. Ways of lessening focal load across the joint include: 1. Avoiding painful activities as these are usually activities that overload the joint 2. Improving the strength and conditioning of muscles that bridge the joint to optimize their function 3. Unloading the joint, either by redistributing load within the joint with a brace or a splint or by unloading the joint during weight bearing with a cane or a crutch The simplest treatment for many patients is to avoid activities that precipitate pain. For example, for the middle-aged patient whose long-distance running brings on symptoms of knee OA, a less demanding form of weight-bearing activity may alleviate all symptoms. For an older person whose daily walks up and down hills bring on knee pain, routing these away from hills might elimi nate symptoms. Weight loss is a central strategy for those who are overweight or obese, particularly for knee OA. Each pound of weight loss has a multiplier effect, unloading both knees and hips and probably relieving pain in those joints. Depending on how much weight loss occurs, bariatric surgery and drugs that cause weight loss such as glucagon-like peptide 1 receptor agonists (GLP1R agonists) often reduce pain and may slow structural disease progression. In hand joints affected by OA, splinting, by limiting motion, often minimizes pain for patients with involvement especially in the base of the thumb. Weight-bearing joints such as knees and hips can be unloaded by using a cane in the hand opposite the affected joint for partial weight bearing. A physical therapist can help teach the patient how to use the cane optimally, including ensuring that its height is optimal for unloading. Crutches or walkers can serve a similar beneficial function. Exercise Osteoarthritic pain in knees or hips during weight bear ing results in lack of activity and poor mobility, and because OA is so common, the inactivity that results increases the risk of cardio vascular disease and obesity. Aerobic capacity is poor in most elders with symptomatic knee OA, worse than others of the same age. Weakness in muscles that bridge osteoarthritic joints is multi factorial in etiology. First, there is a decline in strength with age. Second, with limited mobility comes disuse muscle atrophy. Third, </w:t>
      </w:r>
      <w:r w:rsidRPr="00A6019F">
        <w:lastRenderedPageBreak/>
        <w:t xml:space="preserve">patients with painful knee or hip OA alter their gait to lessen load ing across the affected joint, and this further diminishes muscle use. Fourth, “arthrogenous inhibition” may occur, whereby contrac tion of muscles bridging the joint is inhibited by a nerve afferent feedback loop emanating in a swollen and stretched joint capsule; this prevents attainment of voluntary maximal strength. Because adequate muscle strength and conditioning are critical to joint pro tection, weakness in a muscle that bridges a diseased joint makes the joint more susceptible to further damage and pain. The degree of weakness correlates strongly with the severity of joint pain and the degree of physical limitation. One of the cardinal elements of the treatment of OA is to improve the functioning of muscles sur rounding the joint. Trials in knee and hip OA have shown that exercise lessens pain and improves physical function. Most effective exercise regimens consist of aerobic and/or resistance training, the latter of which focuses on strengthening muscles across the joint. Treatment guide lines strongly recommend exercise for knee and hip OA with no hierarchy regarding type of exercise due to lack of sufficient head to-head data. Exercises are likely to be effective especially if they train muscles for the activities a person performs daily. Activities that increase pain in the joint should be avoided. Range-of-motion exercises, which do not strengthen muscles, and isometric exer cises that strengthen muscles, but not through range of motion, are unlikely to be effective by themselves. Low-impact exercises, including water aerobics and water resistance training, are often better tolerated by patients than exercises involving impact load ing, such as running or treadmill exercises. Evidence suggests that high-intensity strengthening is no more effective in reducing knee pain than less aggressive strengthening regimens. The exercise regimen needs to be individualized to optimize effectiveness, and patients should be referred to an exercise class or a therapist who can create an individualized regimen. In addition to conventional exercise regimens, tai chi may be effective for knee OA. However, there is no strong evidence that patients with hand OA benefit from therapeutic exercise. Adherence over the long term is the major challenge to an exer cise prescription. In trials involving patients with knee OA who were engaged in exercise treatment, from a third to over half of patients stopped exercising by 6 months. Less than 50% continued regular exercise at 1 year. The strongest predictor of a patient’s con tinued exercise is a previous personal history of successful exercise. Physicians should reinforce the exercise prescription at each clinic visit, help the patient recognize barriers to ongoing exercise, and identify convenient times for exercise to be done routinely. Mobile health and wearable technologies are increasingly being used to encourage adherence to exercise. The combination of exercise with calorie restriction and weight loss is especially effective in lessening pain. Correction of Malalignment Malalignment in the frontal plane (varus-valgus) markedly increases the stress across the joint, which can lead to progression of disease and to pain and disability (Fig. 383-5). Correcting varus-valgus malalignment, either surgically or with bracing, may relieve pain in persons whose knees are malaligned. However, correcting malalignment is often challenging. Fitted braces that straighten varus knees </w:t>
      </w:r>
      <w:r w:rsidRPr="00A6019F">
        <w:lastRenderedPageBreak/>
        <w:t xml:space="preserve">by putting valgus stress across the knee can be effective. Unfortunately, many patients are unwilling to wear a realigning knee brace; in addition, in patients with obese legs, braces may slip with usage and lose their realigning effect. Braces are indicated for willing patients who can learn to put them on correctly and on whom they do not slip. Shoes modified with rubber hemispheres on the sole that alter alignment of the proximal knee have shown efficacy in trials especially if worn for brief periods daily over several months. Pain from the patellofemoral compartment of the knee can be caused by tilting of the patella or patellar malalignment with the patella riding laterally in the femoral trochlear groove. Using a patel lar brace to realign the patella, or tape to pull the patella back into the trochlear sulcus or reduce its tilt, can lessen patellofemoral pain. However, patients may find it difficult to apply tape, with skin irrita tion common, and, like realigning braces, patellar braces may slip. Although their effect on malalignment is questionable, neoprene sleeves pulled up to cover the knee lessen pain and are easy to use and popular among patients. The explanation for their therapeutic effect on pain is unclear. In patients with knee OA, acupuncture produces modest pain relief compared to placebo needles and may be an adjunctive treat ment, though placebo effect is likely high. In patients with refrac tory joint pain from OA, radiofrequency ablation of the nerves innervating the joint has been shown to provide prolonged pain relief, although long-term safety is unknown. PHARMACOTHERAPY Although approaches involving physical modalities constitute its mainstay, pharmacotherapy serves an important adjunctive role 2955 in OA treatment for symptom management. Available drugs are administered using oral, topical, and intraarticular routes. To date, there are no available drugs that alter the disease process itself. Acetaminophen, Nonsteroidal Anti-Inflammatory Drugs (NSAIDs), and Cyclooxygenase-2 (COX-2) Inhibitors The treatment effect of acetaminophen (paracetamol) in OA is small and not considered clinically meaningful (Table 383-1). However, for a minority of patients, it is adequate to control symptoms, in which case more toxic drugs such as oral NSAIDs can be avoided. NSAIDs are the most popular drugs to treat osteoarthritic pain. They can be administered either topically or orally. In clinical trials, oral NSAIDs produce ~30% greater improvement in pain than high-dose acetaminophen. Response to NSAIDs varies greatly across patients. Occasional patients treated with NSAIDs experience dramatic pain relief, whereas others experience little improvement. Initially, NSAIDs should be administered topically or taken orally on an “as-needed” basis because side effects are less frequent with low intermittent doses. For those with mild symp toms, topical NSAIDs may be sufficient to reduce pain. If topicals or occasional oral medication use is insufficiently effective, then daily treatment may be indicated, with an anti-inflammatory dose selected (Table 383-1). Topical NSAIDs absorbed through the skin have plasma concen trations an order of magnitude lower than the same amount of drug administered orally. However, when these drugs are administered TABLE 383-1 Pharmacologic Treatment for Osteoarthritis TREATMENT Oral NSAIDs and COX-2 inhibitors Naproxen Salsalate Ibuprofen Celecoxib Acetaminophen Opiates Topical NSAIDs Diclofenac Na 1% gel </w:t>
      </w:r>
      <w:r w:rsidRPr="00A6019F">
        <w:lastRenderedPageBreak/>
        <w:t xml:space="preserve">Capsaicin Intraarticular injections MAXIMAL DOSAGE 375–500 mg bid 1500 mg bid 600–800 mg qid/tid 100–200 mg qd Up to 2 g/d COMMENTS Take with food. Increased risk of myocardial infarction and stroke for some NSAIDs. High rates of gastrointestinal side effects, including ulcers and bleeding. Patients at high risk for gastrointestinal side effects should also take either a proton pump inhibitor or misoprostol.a There is an increase in gastrointestinal side effects or bleeding when taken with acetylsalicylic acid. Can also cause edema and renal insufficiency. Of limited efficacy; conditionally recommended. Common side effects include dizziness, sedation, nausea, vomiting, dry mouth, constipation, urinary retention, and pruritus. Addiction risk. Less efficacious than oral NSAIDs. Rub onto hands/knees. Few systemic side effects. 4 g qid 0.025–0.075% cream tid/qid Steroids Hyaluronans Various Varies from 3 to 5 weekly injections Skin irritation common. Can irritate mucous membranes. Mild to moderate pain at injection site. Controversy exists regarding efficacy. aPatients at high risk include those with previous gastrointestinal events, persons ≥60 years, and persons taking glucocorticoids. Trials have shown the efficacy of proton pump inhibitors and misoprostol in the prevention of ulcers and bleeding. Misoprostol is associated with a high rate of diarrhea and cramping; therefore, proton pump inhibitors are more widely used to reduce NSAID-related gastrointestinal symptoms. Abbreviations: COX-2, cyclooxygenase-2; NSAIDs, nonsteroidal anti-inflammatory drugs. Source: From DT Felson: Osteoarthritis of the Knee. N Engl J Med 354:841, 2006. Copyright © 2006 Massachusetts Medical Society. Reprinted with permission from Massachusetts Medical Society. topically over a superficial joint (knees, hands, but not hips), the drug can be found in joint tissues such as the synovium and car tilage. Generally, topical NSAIDs are slightly less efficacious than oral agents, but have far fewer gastrointestinal (GI) and systemic side effects. Topical NSAIDs often cause local skin irritation where the medication is applied, inducing redness, burning, or itching (see Table 383-1). Oral NSAIDs are often effective in reducing moderate or severe joint pain, but they have substantial and frequent side effects, the most common of which is upper GI toxicity, including dyspepsia, nausea, bloating, GI bleeding, and ulcer disease. Certain oral agents including celecoxib and nabumetone are safer to the stomach than others. Major NSAID-related GI side effects can occur in patients who do not complain of upper GI symptoms. Patients should be reminded to take low-dose aspirin and ibuprofen or naproxen at different times during the day to avoid a drug interaction. Because of the increased rates of cardiovascular events associated with conventional NSAIDs such as diclofenac, many of these drugs are not appropriate long-term treatment choices for older persons with OA, especially those at high risk of heart disease or stroke. The American Heart Association has identified COX-2 inhibitors as putting patients at high risk, although low doses of celecoxib (≤200 mg/d) are not associated with an elevation of risk. Naproxen is a safe NSAID from a cardiovascular perspective, but it does have GI toxicity. There are other common side effects of NSAIDs, including the tendency to develop edema because of prostaglandin inhibition of afferent blood supply to </w:t>
      </w:r>
      <w:r w:rsidRPr="00A6019F">
        <w:lastRenderedPageBreak/>
        <w:t xml:space="preserve">glomeruli in the kidneys and, for similar reasons, a predilection toward reversible renal insufficiency. Blood pressure may increase modestly in some NSAID-treated patients. Oral NSAIDs should not be used in patients with stage 3, 4, or 5 renal disease. Intraarticular Injections: Glucocorticoids, Hyaluronic Acid, and Other Products Because synovial inflammation is likely to be a major cause of pain in patients with OA, local anti-inflammatory treatments administered intraarticularly may be effective in ame liorating pain for up to 3 months. Glucocorticoid injections provide such efficacy, but response is variable, with some patients having little relief of pain, whereas most experience pain relief lasting up to several months. Synovitis, a major cause of joint pain in OA, may abate after an injection, and this correlates with the reduction in knee pain severity. Glucocorticoid injections are useful to get patients over acute flares of pain. Repeated injections may cause minor amounts of cartilage loss, but these do not appear to increase risk of disease progression, worsening pain, functional limitations, or the need for surgery. Hyaluronic acid injections can be given for treatment of symp toms in knee and hip OA, but most evidence suggests they have little efficacy versus placebo (Table 383-1). Few rigorous studies of intraarticular stem cell therapy and platelet-rich plasma (PRP) have been conducted to date. Further, the composition of the injected biologic materials reflecting stem cells or PRP has not been standardized, making it challenging to compare across studies due to variability in formulation. Other Classes of Drugs and Nutraceuticals Opioids have only modest short-term efficacy in treating pain in hip or knee OA without evidence of long-term benefit and, given concerns about opioid dependency, should be avoided. If NSAIDs are ineffective, one option is the use of duloxetine, which is U.S. Food and Drug Administration approved for OA. Duloxetine may be particularly efficacious when knee pain is part of a syndrome of widespread pain. Biologic agents and disease-modifying agents used for rheuma toid arthritis have been tested for OA, but trials have mostly been negative. Notable exceptions are two randomized trials for hand OA, one of 6 weeks of prednisolone and the other of 6 months of methotrexate. Both trials demonstrated reductions in hand pain compared with placebo. In a large randomized trial, GLP1R ago nists reduced knee pain in obese patients. CHAPTER 383 Osteoarthritis 2956 PART 11 Immune-Mediated, Inflammatory, and Rheumatologic Disorders 384 Gout and Other Crystal-Associated Arthropathies Hyon K. Choi Recent guidelines recommend against the use of glucosamine or chondroitin for OA. Large publicly supported trials have failed to show that, compared with placebo, these compounds relieve pain in persons with disease. Curcumin has anti-inflammatory effects and may alleviate pain in OA. Optimal pharmacologic therapy for OA is often achieved by trial and error, with each patient having idiosyncratic responses to specific treatments. Placebo (or contextual) effects may account for 50% of more of treatment effects in OA, and certain modes of treatment delivery including intraarticular injections have greater contextual effects than others such as pills. When medical therapies have failed and the patient has an unacceptable reduction in their quality of life and ongoing pain and disability, then at </w:t>
      </w:r>
      <w:r w:rsidRPr="00A6019F">
        <w:lastRenderedPageBreak/>
        <w:t xml:space="preserve">least for knee and hip OA, total joint arthroplasty is indicated. SURGERY Based on data from randomized trials, the efficacy of arthroscopic debridement and lavage in persons with OA is no greater than that of sham surgery for relief of pain or disability. Further, if a meniscal tear is present, as is often the case in persons with knee OA, trials have shown that arthroscopic meniscectomies do not relieve knee pain or improve function long-term, nor do they reduce catching or locking symptoms. On the other hand, for patients with knee OA isolated to the medial compartment, operations to realign the knee to lessen medial loading can relieve pain. These include a high tibial oste otomy, in which the tibia is broken just below the tibial plateau and realigned to load the lateral, nondiseased compartment, or a unicompartmental replacement with realignment. Each surgery may provide the patient with years of pain relief before a total knee replacement is required. Ultimately, when the patient with knee or hip OA has failed nonsurgical treatments with limitations of pain or function that compromise their quality of life, patients with reasonable expecta tions and readiness for surgery should be referred for total knee or hip arthroplasty. These are highly efficacious operations that relieve pain and improve function in the vast majority of patients, although pain elimination occurs in almost all patients getting a hip replacement but only ~80% of those undergoing knee replacement. Currently, failure rates from loosening or infection for both are ~1% per year, with higher rates in obese patients. The chance of surgical success is greater in centers where at least 25 such operations are performed yearly or with surgeons who perform multiple operations annually. The timing of knee or hip replacement is critical. If the patient suffers for many years until their functional status has declined substantially, with consider able muscle weakness, postoperative functional status may not improve to a level achieved by others who underwent operation earlier in their disease course. Cartilage Regeneration Chondrocyte transplantation has not been found to be efficacious in OA, perhaps because OA includes pathology of joint mechanics, which is not corrected by chondro cyte transplants. Similarly, abrasion arthroplasty (chondroplasty) has not been well studied for efficacy in OA, but it produces fibrocartilage in place of damaged hyaline cartilage. Both surgical attempts to regenerate and reconstitute articular cartilage are more likely to be efficacious early in disease when joint malalignment and many of the other noncartilage abnormalities that characterize OA have not yet developed. </w:t>
      </w:r>
      <w:r w:rsidRPr="00A6019F">
        <w:rPr>
          <w:rFonts w:ascii="Arial" w:hAnsi="Arial" w:cs="Arial"/>
        </w:rPr>
        <w:t>■</w:t>
      </w:r>
      <w:r w:rsidRPr="00A6019F">
        <w:t xml:space="preserve">FURTHER READING De Roover A et al: Fundamentals of osteoarthritis: Inflammatory mediators in osteoarthritis. Osteoarthritis Cart 31:1303, 2023. Katz JN et al: Diagnosis and treatment of hip and knee osteoarthritis: A review. JAMA 325:568, 2021. Kolasinski SL et al: 2019 American College of Rheumatology/Arthritis Foundation guideline for the management of osteoarthritis of the hand, hip, and knee. Arthritis Rheumatol 72:220, 2020. The use of polarizing light microscopy during synovial fluid analysis in 1961 by McCarty and Hollander and the subsequent application of other crystallographic techniques, such as electron microscopy, energy-dispersive elemental analysis, and x-ray diffraction, have allowed investigators to identify the pathogenic roles of different microcrystals, </w:t>
      </w:r>
      <w:r w:rsidRPr="00A6019F">
        <w:lastRenderedPageBreak/>
        <w:t xml:space="preserve">including monosodium urate (MSU), calcium pyro phosphate (CPP), calcium apatite (apatite), and calcium oxalate (CaOx), in inducing acute or chronic arthritis or periarthritis (Table 384-1). The clinical manifestations that result from these crystals have sub stantial similarities but also have notable differences. Given their therapeutic implications, the need to perform synovial fluid analysis to distinguish the type of crystal involved should be emphasized. Polarized light microscopy alone can identify most typical crystals, except for apatite. Aspiration and analysis of effusions are also important to assess the possibility of infection. Crystal shedding from inert deposits triggered by certain factors is considered a key process behind episodic manifestation of acute inflammation (gout or pseu dogout) involving activation of inflammasome and potent proinflam matory cytokines such as interleukin (IL) 1β. Furthermore, physical, inflammatory, and catalytic effects (involving metalloproteinase, collagenase, or prostaglandin E2 ) of crystal deposits on the cartilage and other joint structures can lead to chronic erosive or destructive changes in the articular structures. GOUT </w:t>
      </w:r>
      <w:r w:rsidRPr="00A6019F">
        <w:rPr>
          <w:rFonts w:ascii="Arial" w:hAnsi="Arial" w:cs="Arial"/>
        </w:rPr>
        <w:t>■</w:t>
      </w:r>
      <w:r w:rsidRPr="00A6019F">
        <w:t xml:space="preserve">PATHOGENESIS Gout is a hyperuricemic metabolic condition, typically manifested by episodic inflammatory arthritis with disabling pain, typically among middle-aged to elderly men and postmenopausal women. It stems from an increased body pool of urate due to chronic hyperuricemia, leading to supersaturation and crystal formation of MSU within the joints and connective tissue and inflammatory reactions to the crystals (Fig. 384-1). Although chronic hyperuricemia is a prerequisite for the development of gout, other factors influence subsequent MSU crystallization and inflammatory reactions (Fig. 384-1); a minority of hyperuricemic indi viduals develop gout during their lifetime. Considered often as a part of the insulin resistance syndrome, hyperuricemia and gout are associ ated with multiple cardiometabolic-kidney comorbidities, including obesity, hypertension, type 2 diabetes, myocardial infarction, stroke, chronic kidney disease (CKD), and urate nephrolithiasis; modifiable TABLE 384-1 Musculoskeletal Manifestations of Crystal-Induced Arthritis Acute arthritis (episodic) Mono-, oligo-, or polyarthritis Periarticular inflammation Bursitis Tendinitis Enthesitis Tophaceous deposits Chronic arthropathy Destructive arthropathies Chronic inflammatory arthritis Peculiar type of osteoarthritis Spinal arthritis Carpal tunnel syndrome Risk factors Normal urate level 2957 • Obesity and insulin resistance syndrome • Metabolic factors (diet, alcohol) • Genes • Medications (diuretics, low-dose aspirin) • Cardiovascular-renal conditions Chronic hyperuricemia Increased urate pool Dissolution Urate-lowering therapy with SU target 6.85 mg/dL • Temperature • pH • Intra-articular dehydration • Cation concentration • Collagen, chondrotin sulfate • Nonaggregating proteoglycans Triggers • Metabolic triggers (purine-rich food, alcohol) • Diuresis • Rapid changes in urate levels (ULT initiation) • Local trauma • Medical illness (e.g., heart failure, hypoxia) SU &gt;~6.85 mg/dL MSU crystallization, crystal growth, tissue deposition Recurrent gout flares Acute crystal-induced inflammation Chronic gouty arthritis Crystal burden sequalae Anti-inflammatory therapy (NSAlDs, colchicine, glucocorticoids) FIGURE 384-1 Pathogenesis of gout and therapeutic targets. Metabolic </w:t>
      </w:r>
      <w:r w:rsidRPr="00A6019F">
        <w:lastRenderedPageBreak/>
        <w:t xml:space="preserve">and some genetic factors contribute to the development of chronic hyperuricemia. Gout stems from an increased body pool of urate due to chronic hyperuricemia, leading to supersaturation and crystal formation and deposition of monosodium urate (MSU; tophi) within the joints and connective tissue. Synovial tophi are usually walled off, but certain triggers may loosen them from the organic matrix, leading to crystal shedding and interaction with synovial cell lining and residential inflammatory cells, initiating an acute gout flare. In some individuals, growing MSU crystal deposition leads to chronic gouty arthritis with subcutaneous tophi. Anti-inflammatory therapy targets the downstream process of crystal-induced inflammation, whereas ultimate control of gout requires correction of the underlying central cause, chronic hyperuricemia with increased urate pool. NSAIDs, nonsteroidal anti-inflammatory drugs; SU, sodium urate; ULT, urate-lowering therapy. risk factors include obesity, Western diet, alcohol, sedentary lifestyle, and diuretics (Fig. 384-1). Humans are the only mammals known to develop gout spontane ously as they often develop hyperuricemia with their evolutionary species-wide loss of uricase, which converts urate into the highly water soluble compound allantoin. At physiologic pH, uric acid exists largely as urate, the ionized form, given its weak acidic property (pKa, 5.8). The systemic urate concentration reflects a balance between dietary intake, endogenous synthesis, and excretion. Hyperuricemia arises predominantly from impaired urate excretion (90%) or, less commonly, from overproduction (10%), with many cases involving both mecha nisms. The pathways leading to urate overproduction, implicated in hyperuricemia and gout, are delineated in Fig. 384-2. Most instances of endogenous urate overproduction are linked to salvaged purines from increased cell turnover in proliferative and inflammatory disorders, such as hematologic malignancies and psoriasis, pharmacologic agents that elevate urate synthesis, like chemotherapy, or tissue hypoxia. A minority of hyperuricemia cases (10%) are due to inherited metabolic disorders, including heightened activity of 5′-phosphoribosyl 1-pyro phosphate (PRPP) synthetase or deficits in hypoxanthine-guanine phosphoribosyl transferase (HPRT) (Fig. 384-2). Genetic mutations causing PRPP synthetase overactivity result in an accelerated produc tion of PRPP, purine nucleotides, and urate, culminating in conditions like gout and urate nephrolithiasis. Approximately two-thirds of daily uric acid elimination occurs through renal excretion, with the remaining one-third via the gastrointestinal tract. Within the renal proximal tubule, distinct transporter systems are responsible for urate reabsorption and secretion. The reabsorption of urate at the apical membrane of the proximal tubule is sodium-dependent. This process involves the sodium-driven uptake of certain anions, which in turn promotes apical urate-anion exchange primarily through URAT1 and OAT10 transporters. Subsequently, urate is excreted across the basolateral membrane via the GLUT9 transporter. This mechanism underlies the notable anti-uricosuric actions of agents like pyrazinoate (PZA) and nicotinate. Meanwhile, urate entry into the intestinal tract is facilitated in part by ABCG2, a high-capacity urate efflux transporter encoded by the ABCG2 gene and also present in the renal proximal tubular </w:t>
      </w:r>
      <w:r w:rsidRPr="00A6019F">
        <w:lastRenderedPageBreak/>
        <w:t xml:space="preserve">epithelium. In the intestine, urate undergoes degradation by gut bacteria (intestinal uricolysis). In gout, urate crystals trigger a robust inflammatory response by stimulating the synthesis and release of inflammatory mediators. Cen tral to this process is the phagocytosis of MSU crystals by neutrophils, which amplifies inflammation. Preceding neutrophil recruitment are events in the synovium and joint vasculature, involving activation of resident synovial phagocytes, including monocytes/macrophages and mast cells, and the NOD-like receptor protein 3 (NLRP3) inflamma some. This leads to the generation of pro-interleukin (IL)-1 and IL-1β, as well as other proinflammatory molecules like IL-6, IL-8, and tumor necrosis factor (TNF)-α. Neutrophils respond to MSU crystals with a respiratory burst, releas ing inflammatory agents such as lysosomal enzymes, superoxide anion, leukotriene B4, IL-1, and other cytokines and chemokines. The cellular mechanisms for neutrophil chemotaxis and activation involve kinases, phospholipases, chemoattractants, adhesion molecules, and other factors, highlighting the intense nature of the inflammatory response in gout. If left untreated, gout can progress to chronic gouty arthritis, fre quently with low-grade persistent synovitis and erosive deformities due to growing deposition of MSU crystals surrounded by granulomatous inflammation (tophi). Tophi, often found in proteoglycan-rich tissues like joints and tendons, encapsulate this chronic inflammatory process. These tophi engage both innate and adaptive immunity, representing a dynamic response to MSU crystals. Although occasionally exhibit ing acute inflammatory signs, tophi predominantly signify a chronic inflammatory state in gout. CHAPTER 384 Gout and Other Crystal-Associated Arthropathies 2958 DE NOVO SYNTHESIS Ribose-5-P + ATP PART 11 Immune-Mediated, Inflammatory, and Rheumatologic Disorders PRPP synthetase PRPP + Ethanol Fructose Intolerance or Infusion Glycogen Storage Diseases (Type I, III, V, and VIII) Severe Tissue Hypoxia ATP AMP SALVAGE PATHWAYS APRT + PRPP 5' nucleotidase Adenosine–– IMP 5' nucleotidase +–– HPRT ä: PRPP synthetase superactivity å: HPRT deficiency (Lesch-Nyhan syndrome &amp; variants) GTP GMP 5' nucleotidase PNP Adenine adenosine deaminase Inosine PNP Hypoxanthine + PRPP Guanosine PNP Guanine xanthine oxidase Xanthine xanthine oxidase Urate FIGURE 384-2 Urate production pathways implicated in the pathogenesis of gout. The de novo synthesis starts with 5’-phosphoribosyl 1-pyrophosphate (PRPP). PRPP is produced by addition of a further phosphate group from adenosine triphosphate (ATP) to the modified sugar ribose-5-phosphate. This step is performed by the family of PRPP synthetase (PRS) enzymes. Mutations in the PRS genes can result in overactivity of the pathway. Superactivity of PRS is an X chromosome-linked inborn error of metabolism, which leads to increased rate of PRPP, purine nucleotide, and urate production, in association with gout and urate urolithiasis. In addition, purine bases derived from tissue nucleic acids are reutilized through the salvage pathway. The enzyme hypoxanthine-guanine phosphoribosyl transferase (HPRT) salvages hypoxanthine to inosine monophosphate (IMP) and guanine to guanosine monophosphate (GMP). Mutations in the gene encoding HPRT are associated with a spectrum of disease that ranges from hyperuricemia alone to </w:t>
      </w:r>
      <w:r w:rsidRPr="00A6019F">
        <w:lastRenderedPageBreak/>
        <w:t xml:space="preserve">hyperuricemia with profound neurological and behavioral dysfunction (Lesch-Nyhan syndrome). Hypoxanthine cannot be reutilized without HPRT, and can only be degraded to urate. Both the underutilization of PRPP and decrease in IMP and GMP levels in the salvage pathway further contributes to hyperuricemia by feedback inhibition on de novo purine synthesis. The HPRT is located on the X chromosome and 250 different mutations of the gene have been described. Further, conditions associated with net ATP degradation lead to the accumulation of adenosine diphosphate (ADP) and adenosine monophosphate (AMP), which can be rapidly degraded to uric acid. These conditions are displayed in left upper corner. PNP, Purine nucleotide phosphorylase; APRT, adenine phosphoribosyl transferase. </w:t>
      </w:r>
      <w:r w:rsidRPr="00A6019F">
        <w:rPr>
          <w:rFonts w:ascii="Arial" w:hAnsi="Arial" w:cs="Arial"/>
        </w:rPr>
        <w:t>■</w:t>
      </w:r>
      <w:r w:rsidRPr="00A6019F">
        <w:t xml:space="preserve">CLINICAL MANIFESTATIONS Early clinical manifestation of gout is characterized by acute recurrent gout flares. Usually, only one joint is affected initially, although oligo- and polyarticular gout flares can develop over time. The metatarsophalangeal joint of the first toe is involved in 70–90% of cases (podagra), followed by tarsal joints, ankles, and knees. Finger, wrist, and elbow joints can also be involved, although more often in elderly patients or in advanced disease. The gout flares often begin at night to early morning, constituting one of the most painful conditions experienced by humans. The affected joints and periarticular areas rapidly become warm, red, tender, and substan tially swollen with a clinical appearance that often mimics that of cellulitis (pseudocellulitis). Typical flares tend to subside spontaneously within 1–2 weeks, and most patients have intervals of varying length with no residual symptoms until the next episode (intercritical gout). Triggers of gout flares include purine-rich food, alcohol, diuretic use, initial introduc tion of urate-lowering therapy, local trauma, and medical illnesses such as congestive heart failure and respiratory hypoxic conditions (Fig. 384-1). Feedback inhibition syndrome). In the absence of functional HPRT, hypoxanthine cannot be recycled and is exclusively converted to urate. This enzymatic defi ciency leads to underuse of PRPP and a reduction in inosine mono phosphate (IMP) and guanosine monophosphate (GMP) levels in the purine salvage pathway. These alterations contribute to hyperuricemia through feedback inhibition of de novo purine synthesis (Fig. 384-2). Owing to the X-linked inheritance of these enzyme defects, males who are homozygous for the mutation exhibit the disease phenotype. Carrier females, particularly postmenopausal, may develop gout and urinary tract stones. Notably, the presence of hyperuricemia in prepu bertal boys should prompt consideration of these specific enzymatic deficits. </w:t>
      </w:r>
      <w:r w:rsidRPr="00A6019F">
        <w:rPr>
          <w:rFonts w:ascii="Arial" w:hAnsi="Arial" w:cs="Arial"/>
        </w:rPr>
        <w:t>■</w:t>
      </w:r>
      <w:r w:rsidRPr="00A6019F">
        <w:t xml:space="preserve">DIAGNOSIS Usually after years of gout flares without treatment, chronic gouty arthritis can develop, associated with ongoing synovitis, subcutaneous tophi, deformity, and bony destruction. Less commonly, chronic gouty arthritis will be the only manifestation, and more rarely, gout can mani fest only as tophi. Women represent only 5–20% of all patients with gout. Most women with gout are postmenopausal and elderly; tend to have osteoarthritis, hypertension, or mild renal insufficiency; and usu ally are receiving diuretics. Premenopausal gout is rare, although kin dreds of precocious gout in young women caused by decreased renal urate clearance and renal insufficiency have been </w:t>
      </w:r>
      <w:r w:rsidRPr="00A6019F">
        <w:lastRenderedPageBreak/>
        <w:t xml:space="preserve">described. Genetic mutations in the HPRT gene are linked to a diverse range of clinical manifestations, extending from isolated hyperuricemia to severe neurologic and behavioral abnormalities (Lesch-Nyhan Laboratory Diagnosis Even if characteristic clinical features strongly suggest gout, the presumptive diagnosis ideally should be confirmed by needle aspiration of involved joints or tophaceous deposits. Acute septic arthritis, other crystal-associated arthropathies, palindromic rheumatism, and psoriatic arthritis can mimic clinical presentations of gout. During acute gout flares, needle-shaped MSU crystals typically are present both intracellularly and extracellularly (Fig. 384-3). Under compensated polarized light, these crystals show bright, negative birefringence. Synovial fluid appears cloudy due to the increased numbers of leukocytes (e.g., from 5000–75,000/μL). Large amounts of crystals occasionally produce a thick, pasty, chalky joint fluid or drainage from distended tophus. Because bacterial infection can coexist with MSU crystals in synovial fluid, joint fluid is often stained and cultured for potential septic arthritis. MSU crystals also can often be demonstrated in the first metatarsophalangeal joint and 2959 A B FIGURE 384-3 A. Extracellular and intracellular monosodium urate crystals, as seen in a fresh preparation of synovial fluid, illustrate needle- and rod-shaped crystals (400×). These crystals are strongly negative birefringent crystals under compensated polarized light microscopy. (Inset 400×, provided by Eliseo Pascual.) B. Intracellular and extracellular calcium pyrophosphate (CPP) crystals, as seen in a fresh preparation of synovial fluid, illustrate rectangular, rod-shaped, and rhomboid crystals (400×). These crystals are weakly positively or nonbirefringent crystals under compensated polarized light microscopy (inset 600×). (Images provided by Eliseo Pascual.) in knees not acutely involved with gout, making arthrocentesis of these joints useful for the diagnosis of gout between flares. While chronic hyperuricemia is a prerequisite in the pathogenesis of gout, serum urate levels can be normal or low at the time of an acute flare, as inflammatory cytokines’ uricosuric property (e.g., IL-6) can lower the level by ~2 mg/dL. This tends to limit the value of serum urate testing in the setting of an acute flare. Nevertheless, serum urate levels are almost always elevated at some time in a gout patient’s lifetime, and thus, it is important to seek historical or postflare serum urate values as a diagnostic clue or therapeutic target to urate-lowering therapy. Serum creatinine, liver function tests, hemoglobin, white blood cell (WBC) count, hemoglobin A1c , and serum lipids are usually obtained at baseline to assess possible risk factor and comorbidities requiring treatment or monitored for potential adverse effects of gout treatments. Radiographic Features Musculoskeletal ultrasound can timely aid early diagnosis by revealing a double-contour sign overlying the articular cartilage (signifying MSU deposition). Similarly, dual-energy computed tomography (CT) that utilizes two different energy beams and identifies MSU based on its chemical composition can indicate specific presence of MSU crystals. In plain radiography, cystic changes, well-defined erosions with sclerotic margins (often with overhang ing bony edges), and soft tissue masses are characteristic features of advanced gout with tophaceous deposits, </w:t>
      </w:r>
      <w:r w:rsidRPr="00A6019F">
        <w:lastRenderedPageBreak/>
        <w:t xml:space="preserve">although these findings are typically absent in earlier stages of gout. TREATMENT Acute Gout Care Although nonpharmacologic measures, such as ice pack application and rest of the involved joints, can be helpful, the mainstay of acute gout care is the administration of anti-inflammatory drugs such as colchicine, nonsteroidal anti-inflammatory drugs (NSAIDs), and glu cocorticoids (Fig. 384-1). The choice of these options largely depends on the patients’ comorbidities, concurrent medications, and previous response if recurrent flares. Early initiation of anti-inflammatories helps abort or reduce the severity of flares. Thus, for recurrent flares in established gout patients, patients can be provided a supply of their medications ready to start at the first sign of a flare. Oral colchicine is effective, particularly if used early in a gout flare. A low-dose regi men (1.2 mg with the first sign of a flare, followed by 0.6 mg in 1 h and subsequent-day dosing depending on response) is as effective as, and better tolerated than, the formerly used higher-dose regimens. Colchicine is eliminated from the body through P-glycoprotein (also known as MDR1) in the liver, small intestine, and kidneys as well as via enteric and hepatic cytochrome P450 3E4 (CYP3A4). As such, the dose, particularly for prolonged use, is reduced among patients with renal disease or when used with P-glycoprotein or CYP3A4 inhibitors such as clarithromycin or tacrolimus; additional caution is warranted among patients with hepatorenal impairment. NSAIDs are used most often in individuals without complicating comorbidities; NSAIDs given in full anti-inflammatory doses are effective in the vast majority of patients (e.g., indomethacin, 25–50 mg tid; naproxen, 500 mg bid; ibuprofen, 800 mg tid; and celecoxib, 800 mg followed by 400 mg 12 h later, then 400 mg bid). Glucocorticoids given orally (e.g., prednisone, 30–50 mg/d as the initial dose and gradually tapered with the resolution of the attack) or as an intramuscular injection can be effective even in polyarticu lar gout. For a single joint or a few involved joints, intraarticular glucocorticoid injection is effective and well tolerated. With the central role of the inflammasome and IL-1β in gout flares, anakinra or canakinumab is a useful option when other treatments are con traindicated or have failed. CHAPTER 384 Gout and Other Crystal-Associated Arthropathies URATE-LOWERING THERAPY Ultimate control of gout requires correction of the underlying chronic hyperuricemia with increased urate pool, the central cause for gout. Attempts to normalize serum urate to a subsaturation point (typically, 100 mg daily in CKD patients), and HLA-B*5801 carriage are important risk factors. As the HLA-B*5801 carriage rate is high among Southeast Asian (except for Japanese descendants), Pacific Islander/Native Hawaiian, and black patients (leading to racial disparity in the risk of SCARs), screening for HLA-B*5801 should be performed before starting allopurinol in these populations. If patients carry the HLA-B*5801 allele, an alternative urate-lowering agent should be administered. Febuxostat is another xanthine oxidase inhibitor that is predominantly metabolized by glucuronide formation and oxidation in the liver and considered to not require dose adjustment in moderate to severe chronic kidney disease. It has also been used in patients who carry the HLA-B*5801 allele. Uricosuric agents such as probenecid are considered second-line urate-lowering </w:t>
      </w:r>
      <w:r w:rsidRPr="00A6019F">
        <w:lastRenderedPageBreak/>
        <w:t xml:space="preserve">therapies for gout and can be used in patients with good renal function either alone or in combination with xanthine oxidase inhibitors such as allopurinol. Probenecid can be started at a dose of 250 mg twice daily and increased gradually as needed up to 3 g/d to achieve and maintain a target serum urate level. Proben ecid is generally not effective in patients with serum creatinine levels &gt;177 μmol/L (2 mg/dL); benzbromarone (not available in the United States) is another uricosuric drug that is more effective in patients with CKD. Pegloticase is a pegylated uricase that is available for patients who do not tolerate or fail full doses of other treatments. It is often used in combination with methotrexate to reduce immu nogenicity, which can lead to a loss of efficacy and infusion reactions. Therapies used to treat common cardiometabolic comorbidities of gout can also help lower serum urate levels, including losartan, amlodipine, fenofibrate, and sodium-glucose cotransporter-2 inhibi tors (SGLT2i). Given their approved multiple cardiometabolic-kidney indications, SGLT2i can be beneficial for gout patients, offering both urate reduction and comprehensive comorbidity care. Urate-lowering drugs are generally not initiated during active ongoing gout flares, given the potential worsening of the flare by acutely lowering serum urate levels. However, urate-lowering therapy can be started during the resolution phase of or after a gout flare, together with anti-inflammatory prophylaxis (e.g., colchicine 0.6 mg one to two times daily or naproxen 250 mg twice daily) to reduce the risk of the flares that often occur with the initiation of urate-lowering therapy. These paradoxical flares are presumed to be inflammatory reactions to MSU crystals shed from dissolu tion of organized MSU deposits (synovial tophi) induced by rapid serum urate reduction (Fig. 384-1). As such, faster urate reduction has been associated with higher risk of flares in clinical trials of urate-lowering drugs. Continuing concomitant anti-inflammatory prophylaxis is usually recommended until the patient is normouri cemic and without gouty attacks for 3–6 months or tophi disappear. CALCIUM PYROPHOSPHATE DEPOSITION DISEASE CPP deposition (CPPD) predominately affects the elderly, with a doubling prevalence of CPPD in articular tissues with each decade &gt;60 years of age (e.g., prevalence of nearly 50% for those &gt;85 years old). In most cases, this process is asymptomatic with uncertain underlying etiology, although it is likely that biochemical changes in aging or diseased car tilage favor CPP crystal nucleation. Increased levels of inorganic pyro phosphate in cartilage matrix are thought to be a central pathogenic Aging Osteoarthritis Postmeniscectomy or joint trauma Familial-genetic Endocrine-metabolic conditions Primary hyperparathyroidism Hemochromatosis Hypophosphatasia Hypomagnesemia Certain drugs: thiazide and loop diuretics, potentially proton pump inhibitors Malabsorption Gitelman’s syndrome Gout X-linked hypophosphatemic rickets Familial hypocalciuric hypercalcemia process in patients with CPPD arthritis, analogous to hyperuricemia in gout. This pyrophosphate can combine with calcium to form CPP crystals in cartilage matrix vesicles or on collagen fibers. Most inor ganic pyrophosphate in cartilage matrix originates from breakdown of extracellular ATP. The ATP efflux (and thus the levels of inorganic pyrophosphate) is tightly regulated by a </w:t>
      </w:r>
      <w:r w:rsidRPr="00A6019F">
        <w:lastRenderedPageBreak/>
        <w:t xml:space="preserve">multipass membrane protein, ANKH. As such, mutations in the ANKH gene, as described in both familial and sporadic cases, have been found to increase elaboration and extracellular transport of pyrophosphate. The increase in pyro phosphate production is also related to enhanced activity of ATP pyro phosphohydrolase and 5′-nucleotidase, which catalyze the reaction of ATP to adenosine and pyrophosphate. Decreased levels of cartilage gly cosaminoglycans and increased activities of transglutaminase enzymes may contribute to the deposition of CPP crystals. Similar to MSU crystals, release of CPP crystals into the joint space is followed by the phagocytosis of those crystals by monocyte-macro phages and neutrophils, which respond by releasing chemotactic and inflammatory substances and activating the inflammasome. A minority of patients with CPPD arthropathy have metabolic abnormalities or hereditary CPPD (Table 384-2). As such, the pres ence of CPPD arthritis in individuals aged 38.3°C (101°F) warrants concern about infection, and joint aspiration should be considered. Recurrent hemarthrosis may result in chronic noninflammatory, fibrotic arthropathy. The joints remain swollen, and flexion deformi ties may develop. Joint motion may be restricted and function severely limited. Bleeding into muscle and soft tissue also causes musculoskeletal dysfunction. When bleeding into the iliopsoas muscle occurs, the hip is held in flexion because of the pain, resulting in a hip flexion con tracture. Rotation of the hip is generally preserved, distinguishing this from hemarthrosis or hip synovitis. Expansion of the hematoma may place pressure on the femoral nerve, resulting in femoral neuropathy. Hemorrhage into a closed compartment space, such as the calf or the volar compartment in the forearm, can result in muscle necrosis, neuropathy, and flexion deformities of the ankles, wrists, and fingers. When bleeding involves periosteum or bone, a painful pseudotumor forms. These pseudotumors occur distal to the elbows or knees in children and improve with treatment of hemophilia. Surgical removal is indicated if the pseudotumor continues to enlarge. In adults, pseu dotumors develop in the femur and pelvis and are usually refractory to treatment. When bleeding occurs in muscle, cysts may develop within the muscle. Needle aspiration of a cyst is relatively contraindicated because it can induce further bleeding; however, if the cyst becomes secondarily infected, drainage may be necessary (after factor repletion). Septic arthritis is rare in hemophilia but is difficult to distinguish from acute hemarthrosis on physical examination. If there is serious suspicion of an infected joint, the joint should be aspirated immediately, the fluid cultured, and empiric treatment with broad-spectrum antibiotics admin istered, with coverage including Staphylococcus, until culture results become available. Clotting factor deficiency should be corrected before arthrocentesis to minimize the risk of traumatic bleeding. Notably, low grade fevers can occur in the setting of acute hemarthrosis. Radiographs of joints reflect the stage of disease. Initially there is only capsule distention; later, juxtaarticular osteopenia, marginal erosions, and subchondral cysts may develop. Late in the disease, the joint space is narrowed and there is bony overgrowth similar to that in osteoarthritis. Blood collections may calcify. TREATMENT </w:t>
      </w:r>
      <w:r w:rsidRPr="00A6019F">
        <w:lastRenderedPageBreak/>
        <w:t xml:space="preserve">Musculoskeletal Bleeding The treatment of musculoskeletal bleeding is initiated with the immediate infusion of factor VIII or IX at the first sign of joint or muscle hemorrhage. Patients who have developed factor inhibitors are at elevated risk for joint damage and may benefit from receiving recombinant activated factor VII or activated prothrombin complex concentrate. The joint should be splinted in gentle forced extension, as tolerated, to avoid contracture. Analgesia should be provided; nonselective NSAIDs, which can diminish platelet function, should be avoided if possible. Selective cyclooxygenase-2 inhibitors do not interfere with platelet function, although cardiovascular, renal, and gastrointestinal concerns should be considered. Synovectomy—open or arthroscopic—may be attempted to limit future bleeding and fibrosis in patients with chronic symptomatic synovial proliferation and recurrent hemarthrosis, although hypertrophied synovium is highly vascular and subject to bleeding. Open surgical synovectomy has been associated with decreased range of motion. Both require aggressive prophylaxis against bleeding. Radiosynovectomy with either yttrium-90 silicate or phosphorus-31 colloid has been effec tive and may be attempted if available when surgery is not advised. Total joint replacement is indicated for severe joint destruction and incapacitating pain. </w:t>
      </w:r>
      <w:r w:rsidRPr="00A6019F">
        <w:rPr>
          <w:rFonts w:ascii="Arial" w:hAnsi="Arial" w:cs="Arial"/>
        </w:rPr>
        <w:t>■</w:t>
      </w:r>
      <w:r w:rsidRPr="00A6019F">
        <w:t xml:space="preserve">ARTHROPATHIES ASSOCIATED WITH HEMOGLOBINOPATHIES Sickle Cell Disease Sickle cell disease (Chap. 103) is associated with several musculoskeletal abnormalities (Table 386-1). Children aged 10. At the bedside, clubbing can be appreciated by having the patient place the dorsal surface of the distal phalanges of the fourth fingers together with the nails opposing each other. Normally, an open area is visible between the bases of the opposing fingernails; when clubbing is present, this open space is no longer visible. The base of the nail feels spongy when compressed, and the nail can be easily rocked on its bed. When club bing is advanced, the finger may have a drumstick appearance, and the distal interphalangeal joint can be hyperextended. Periosteal involve ment in the distal extremities may produce a burning or deep-seated aching pain. The pain, which can be quite incapacitating, is aggravated by dependency and relieved by elevation of the affected limbs. Pressure applied over the distal forearms and legs or gentle percussion of distal long bones like the tibia may be quite painful. Patients may experience joint pain, most often in the ankles, wrists, and knees. The small joints of the hands are rarely affected. Severe joint or long bone pain may be the presenting symptom of an underly ing lung malignancy and may precede the appearance of clubbing. In addition, the progression of HOA tends to be more rapid when associ ated with malignancies, most notably bronchogenic carcinoma. Non inflammatory but variably painful knee effusions may occur prior to the appearance of clubbing and symptoms of distal periostitis. Unlike primary HOA, secondary HOA does not commonly include excessive sweating and oiliness of the skin or thickening of the facial skin. HOA occurs in 5–10% of patients with intrathoracic malignan cies, the most common being bronchogenic carcinoma and pleural tumors (Table 386-3). Lung metastases infrequently cause HOA. HOA is also seen in patients with intrathoracic infections, including lung abscesses, empyema, and </w:t>
      </w:r>
      <w:r w:rsidRPr="00A6019F">
        <w:lastRenderedPageBreak/>
        <w:t xml:space="preserve">bronchiectasis, but is uncommon in pulmonary tuberculosis. HOA may accompany chronic interstitial pneumonitis, sarcoidosis, and cystic fibrosis. In cystic fibrosis, clubbing is more common than the full syndrome of HOA. Other causes of club bing include congenital heart disease with right-to-left shunts, bacterial endocarditis, Crohn’s disease, ulcerative colitis, sprue, and neoplasms of the esophagus, liver, and small and large bowel. In patients who </w:t>
      </w:r>
      <w:r w:rsidRPr="00A6019F">
        <w:rPr>
          <w:rFonts w:ascii="Arial" w:hAnsi="Arial" w:cs="Arial"/>
        </w:rPr>
        <w:t>■</w:t>
      </w:r>
      <w:r w:rsidRPr="00A6019F">
        <w:t xml:space="preserve">TIETZE SYNDROME AND COSTOCHONDRITIS 2971 TABLE 386-3 Disorders Associated with Hypertrophic Osteoarthropathy Pulmonary Bronchogenic carcinoma and other neoplasms Lung abscesses, empyema, bronchiectasis Chronic interstitial pneumonitis Cystic fibrosis Sarcoidosis Gastrointestinal Inflammatory bowel disease Sprue Neoplasms: esophagus, liver, bowel Cardiovascular Cyanotic congenital heart disease Subacute bacterial endocarditis Infected arterial graftsa Aortic aneurysmb Aneurysm of major extremity arterya Patent ductus arteriosusb Arteriovenous fistula of major extremity vessela Thyroid (thyroid acropachy) Hyperthyroidism (Graves’ disease) aUnilateral involvement. bBilateral lower-extremity involvement. have congenital heart disease with right-to-left shunts, clubbing alone occurs more often than the full syndrome of HOA. Unilateral clubbing has been found in association with aneurysms of major extremity arteries, with infected arterial grafts, and with arteriovenous fistulas of brachial vessels. Clubbing of the toes but not the fingers has been associated with an infected abdominal aortic aneu rysm and patent ductus arteriosus. Clubbing of a single digit may fol low trauma and has been reported in tophaceous gout and sarcoidosis. While clubbing occurs more commonly than the full syndrome in most diseases, periostitis in the absence of clubbing has been observed in the affected limb of patients with infected arterial grafts. Hyperthyroidism (Graves’ disease), treated or untreated, is occa sionally associated with clubbing and periostitis of the bones of the hands and feet. This condition is referred to as thyroid acropachy and may result from similar factors that stimulate the growth of retrobul bar connective tissue. Periostitis may be asymptomatic and occurs in the midshaft and diaphyseal portion of the metacarpal and phalangeal bones. Significant hand-joint pain may occur; this pain may respond to successful therapy for thyroid dysfunction. The long bones of the extremities are seldom affected. Elevated levels of long-acting thyroid stimulator are found in the sera of these patients. TREATMENT Hypertrophic Osteoarthropathy The treatment of HOA aims to identify the associated disorder and treat it appropriately. The symptoms and signs of HOA may disap pear completely with removal of or effective chemotherapy for a tumor or with antibiotic therapy for a chronic pulmonary infection and drainage of the infected site. Vagotomy or percutaneous block of the vagus nerve leads to symptomatic relief in some patients. NSAIDs or analgesics may help control symptoms of HOA. </w:t>
      </w:r>
      <w:r w:rsidRPr="00A6019F">
        <w:rPr>
          <w:rFonts w:ascii="Arial" w:hAnsi="Arial" w:cs="Arial"/>
        </w:rPr>
        <w:t>■</w:t>
      </w:r>
      <w:r w:rsidRPr="00A6019F">
        <w:t xml:space="preserve">COMPLEX REGIONAL PAIN SYNDROME The reflex sympathetic dystrophy syndrome is now referred to as com plex regional pain syndrome, type 1. This syndrome is characterized by pain, sometimes with swelling, usually of a distal extremity, accompa nied by variable vasomotor instability, trophic skin changes, and the rapid development of bony </w:t>
      </w:r>
      <w:r w:rsidRPr="00A6019F">
        <w:lastRenderedPageBreak/>
        <w:t xml:space="preserve">demineralization. Complex regional pain syndrome, including its treatment, is covered in greater detail in Chap. 451. Tietze syndrome is manifested by painful swelling of one or more costochondral articulations. The age of onset is usually before 40, and both sexes are affected equally. In most patients, only one joint is involved, usually the second or third costochondral joint. The onset of anterior chest pain may be sudden or gradual. The pain may radiate to the arms or shoulders and is aggravated by sneezing, coughing, deep inspirations, or twisting motions of the chest. The term costochondritis is often used interchangeably with Tietze syndrome, but some authors restrict the latter term to pain of the costochondral articulations with swelling. Costochondritis is observed in patients aged &gt;40 years; it tends to affect the third, fourth, and fifth costochondral joints, and occurs more often in women. Both syndromes may superficially mimic cardiac or pulmonary-vascular causes of pain. Rheumatoid and psori atic arthritis, ankylosing spondylitis, and reactive arthritis may involve costochondral joints but are readily distinguished by the presence of other clinical features. Other anterior chest wall pain syndromes are xiphoidalgia and the slipping rib syndrome, which usually involves the tenth or lower ribs and causes pain below the rib cage that can be reproduced or exacerbated by gently hooking the examiner’s fingers around the rib and exerting mild caudal traction. Malignancies can invade the ribs, thoracic spine, or chest wall and produce symptoms suggesting Tietze syndrome, as can thoracic herpes zoster. Patients with osteomalacia may have significant rib pain, with or without documented microfractures; this can be suggested by documenting very low vitamin D levels and nuclear bone imaging. Analgesics, anti inflammatory drugs, and local glucocorticoid injections usually relieve symptoms of costochondritis/Tietze syndrome. Care should be taken to avoid overdiagnosing these syndromes in patients with acute chest pain syndromes; many patients are tender to overly vigorous palpation of the costochondral joints. </w:t>
      </w:r>
      <w:r w:rsidRPr="00A6019F">
        <w:rPr>
          <w:rFonts w:ascii="Arial" w:hAnsi="Arial" w:cs="Arial"/>
        </w:rPr>
        <w:t>■</w:t>
      </w:r>
      <w:r w:rsidRPr="00A6019F">
        <w:t xml:space="preserve">MYOFASCIAL PAIN SYNDROME Myofascial pain syndrome is characterized by multiple areas of local ized musculoskeletal pain and tenderness often in association with ten der points that can fluctuate in intensity. The pain is deep and aching and may be accompanied by a burning sensation. Myofascial pain may be regional following trauma, overuse, or prolonged static contraction of a muscle or muscle group, which may occur when an individual is reading or writing at a desk or working at a computer. This type of pain may be associated with underlying osteoarthritis of the neck or low back. Pain may be referred from tender points to defined areas distant from the area of original tenderness. Palpation of the tender point reproduces or accentuates the pain. The tender points are usu ally located in the center of a muscle belly, but they can occur at other sites such as costosternal junctions, the xiphoid process, ligamentous and tendinous insertions, fascia, and fatty areas. Notably tender point sites in muscles are also present in pain-free patients. Myofascial pain most often involves the posterior neck, low back, shoulders, and chest. Chronic pain in the muscles of the posterior neck may involve referral of pain from a tender point in the erector neck muscle or upper trape zius to the head, leading to persistent headaches </w:t>
      </w:r>
      <w:r w:rsidRPr="00A6019F">
        <w:lastRenderedPageBreak/>
        <w:t xml:space="preserve">that may last for days. Tender points in the paraspinal muscles of the low back may refer pain to the buttock. Pain may be referred down the leg from a tender point in the gluteus medius and can mimic sciatica. Lateral hip trochanteric area tenderness may radiate down the lateral leg. A tender point in the infraspinatus muscle may produce local and referred pain over the lateral deltoid and down the outside of the arm into the hand, and a tender point medial to the scapula can radiate to the anterior chest or arm in a distribution that can mimic coronary pain. Injection of a local anesthetic such as 1% lidocaine into the tender point site often results in at least transient pain relief. Another useful technique is first to spray an agent such as ethyl chloride from the tender point toward the area of referred pain and then to stretch the muscle. This maneuver may need to be repeated several times. Massage and application of ultrasound to the affected area also may be beneficial. Attention to posture and rest ing positions can be helpful in preventing abnormal muscle tension. The prognosis in most patients is good. In some patients, regionally localized myofascial pain syndrome may seem to evolve into or be part CHAPTER 386 Arthritis Associated with Systemic Disease, and Other Arthritides 2972 PART 11 Immune-Mediated, Inflammatory, and Rheumatologic Disorders of previously unrecognized generalized fibromyalgia (Chap. 385). Abnor mal or nonrestorative sleep is a common accompaniment in these patients and should be specifically addressed, as fatigue and “brain fog” are often present. </w:t>
      </w:r>
      <w:r w:rsidRPr="00A6019F">
        <w:rPr>
          <w:rFonts w:ascii="Arial" w:hAnsi="Arial" w:cs="Arial"/>
        </w:rPr>
        <w:t>■</w:t>
      </w:r>
      <w:r w:rsidRPr="00A6019F">
        <w:t xml:space="preserve">NEOPLASIAS AND ARTHRITIS Primary tumors and tumor-like disorders of synovium are uncom mon but should be considered in the differential diagnosis of chronic monoarticular joint disease. In addition, metastases to bone and pri mary bone tumors adjacent to a joint may produce joint symptoms, occasionally with joint effusions. Pigmented villonodular synovitis (PVNS), likely the same process caus ing tenosynovial giant cell tumors, is characterized by slowly progres sive, benign proliferation of tenosynovial tissue. This usually involves a single large joint or tendon. The most common age of onset is in the third decade, and women are affected slightly more often than men. The proliferating tissue usually displays clonal chromosomal translocations, often involving the colony stimulating factor-1 (CSF-1) pathway, which influences the proliferation and maturation of mononuclear cells and macrophages. This provides a target for potential therapy. The synovium has a brownish color and numerous large, fingerlike villi and nodules. There is marked hyperplasia of synovial cells in the stroma of the villi. Hemosiderin and lipids are found in the cytoplasm of macrophages and in the interstitial tissue. Multinucleated giant cells may be present. The proliferative synovium may behave as a simple mass or as a more diffuse invasive tissue growing into the adjacent cartilage and bone. The clinical picture of PVNS is characterized by the insidious onset of progressive swelling and pain in affected joints or tendons, most commonly the knee or flexor tendons of the hand. Other commonly affected joints include the hips, ankles, calcaneocuboid joints, elbows, and small joints of the fingers or toes. A multifocal form of PVNS occurs less commonly. Tendon sheaths in the wrist, ankle, or foot may be involved. Symptoms of pain, a catching sensation, and stiffness </w:t>
      </w:r>
      <w:r w:rsidRPr="00A6019F">
        <w:lastRenderedPageBreak/>
        <w:t xml:space="preserve">are often mild and intermittent for years before the patient seeks medical attention. Radiographs may show joint space narrowing, erosions, and subchondral cysts. The diagnosis of PVNS is strongly suggested by gradient echo MRI, which reveals a synovial mass lesion of low signal intensity typical of tissue containing hemosiderin (Fig. 386-3). The joint fluid may contain blood and is often dark red or almost black in color. Lipid-containing macrophages may be present in the fluid. The treatment for PVNS, if needed, is open or arthroscopic syno vectomy. Irradiation of the involved joint has been successful in some patients but may cause a delayed malignant transformation. Treatment directed at inhibiting the CSF-1 pathway activated kinase has demon strated efficacy. FIGURE 386-3 Pigmented villonodular synovitis. Magnetic resonance imaging gradient echo sagittal image showing a mass that abuts the neck of the talus with marked low signal typical of tissue containing hemosiderin. (Courtesy of Donald Flemming, MD; with permission.) Synovial chondromatosis is a disorder characterized by multiple focal metaplastic growths of normal-appearing cartilage in the synovium or tendon sheath. Segments of cartilage break loose and continue to grow as loose bodies. When calcification and ossification of loose bodies occur, the disorder is referred to as synovial osteochondromatosis. The disorder is usually monoarticular and affects young to middle-aged individuals. The knee is most often involved, followed by hip, elbow, and shoulder. Symptoms are pain, swelling, and decreased motion of the joint. Radio graphs may show several rounded calcifications within the joint cavity. Treatment is synovectomy; as in PVNS, the growths may recur. Synovial sarcoma is a malignant neoplasm often found near a large joint of upper or lower extremities, commonly in the legs. It seldom arises within the joint itself. Synovial sarcomas constitute 10% of soft tissue sarcomas. The tumor is believed to arise from primitive mesenchymal tissue that differentiates into epithelial and/or spindle cells. Small foci of calcification may be present in the tumor mass. Synovial sarcoma occurs most often in young male adults. The tumor presents as a slowly growing deep-seated mass near a joint, without much pain. The area of the knee is the most common site, followed by the foot, ankle, elbow, and shoulder. Other primary sites include the buttocks, abdominal wall, retroperitoneum, and mediastinum. The tumor spreads along tissue planes. The most common site of visceral metastasis is the lung. The diagnosis is made by biopsy and must be distinguished from PVNS. Treatment consists of wide resection of the tumor, including adjacent muscle and regional lymph nodes, followed by chemotherapy and radiation therapy. Amputation of the involved distal extremity may be required. Chemotherapy may be beneficial in some patients with metastatic disease. Isolated pulmonary metastases can be surgically removed. The 5-year survival rate with treatment depends on the staging of the tumor, ranging from ~25% to ≥60%. Synovial sarcomas tend to recur locally and metastasize to regional lymph nodes, lungs, and skeleton. In addition to the rare direct metastases of solid cell tumors to the highly vascular synovium, neoplasia arising from nonarticular organ sites can affect joints in other ways. Acute leukemias in children can mimic juvenile systemic inflammatory </w:t>
      </w:r>
      <w:r w:rsidRPr="00A6019F">
        <w:lastRenderedPageBreak/>
        <w:t xml:space="preserve">arthritis with severe joint pain and fever. In adults, chronic and acute myeloid leukemia rarely infil trates the synovium. Hairy cell leukemia has a peculiar tendency to cause episodic inflammatory oligoarthritis and tenosynovitis; these episodes are dramatic and mimic acute gout flares. They respond to potent anti-inflammatory therapy with glucocorticoids; with remission of the leukemia, they may abate. Lymphomas, usually of T-cell origin, may also involve the synovium. Carcinomas can be associated with several paraneoplastic articular syndromes, including HOA (discussed above). Acute palmar fasciitis with polyarthritis is a well-described but rare condition associated with certain cancers, mainly adenocarcinomas. Clinically, this syndrome is abrupt in onset, with pain in the metacarpophalangeal and proximal interphalangeal joints of the hands and rapidly evolving contractures of the fingers due to thickening of the palmar (flexor) tendons. A similar syndrome, although less dramatic in onset, can occur in dia betics. Paraneoplastic arthritis has been described and may occur in several patterns: asymmetric disease predominantly affecting the lower extremity joints and symmetric polyarthritis with hand joint involve ment. Tumors are often found after the onset of the arthritis, and many patients have a preceding period of malaise or weight loss. The onset is often acute, and patients tend to be older men. These features should raise the specter of an underlying malignancy (or a viral infection such as hepatitis C) as the cause of the arthritis. In one series, the symptoms resolved with successful therapy for the malignancy and did not recur with relapse of the malignancy. Dermatomyositis and necrotizing myopathy have well-described associations with neoplasms and may include joint pain and arthritis as part of the clinical presentation. Malignancy-associated arthritis may be initially responsive to NSAIDs and to treatment of the primary neoplasm. Immune checkpoint inhibitors, increasingly used to treat various malignancies, are now well recognized to elicit severe, autoimmune, inflammatory, organ-targeted reactions including myositis, polymyal gia rheumatica, and polyarthritis. </w:t>
      </w:r>
      <w:r w:rsidRPr="00A6019F">
        <w:rPr>
          <w:rFonts w:ascii="Arial" w:hAnsi="Arial" w:cs="Arial"/>
        </w:rPr>
        <w:t>■</w:t>
      </w:r>
      <w:r w:rsidRPr="00A6019F">
        <w:t xml:space="preserve">FURTHER READING 2973 Aguilar C et al: Bone and joint disease in sickle cell disease. Hematol Oncol Clin North Am 19:929, 2005. Botek G et al: Charcot neuroarthropathy: An often overlooked com plication of diabetes. Cleve Clin J Med 77:593, 2010. Dallos T et al: Idiopathic hand osteoarthritis vs haemochromatosis arthropathy: A clinical, functional and radiographic study. Rheuma tology 52:910, 2013. Guggenbuhl P et al: Miscellaneous non-inflammatory musculoskeletal conditions. Haemochromatosis: The bone and the joint. Best Pract Res Clin Rheumatol 25:649, 2011. Kedar E, Gardner GC: Lipid-associated rheumatologic syndromes. Rheum Dis Clin North Am 39:481, 2013. Killinger Z et al: Arthropathy in acromegaly. Rheum Dis Clin North Am 36:713, 2010. Pineda C, Martínez-Lavín M: Hypertrophic osteoarthropathy: What a rheumatologist should know about this uncommon condition. Rheum Dis Clin North Am 39:383, 2013. Stephan SR et al: Pigmented villonodular synovitis. A comprehensive review and proposed treatment algorithm. JBJS Rev 4:1, 2016. Vanderhave KL et al: Musculoskeletal care of the hemophiliac patient. J Am Acad Orthop Surg 20:553, 2012. 387 Periarticular Disorders of the Extremities Carol A. Langford Periarticular disorders </w:t>
      </w:r>
      <w:r w:rsidRPr="00A6019F">
        <w:lastRenderedPageBreak/>
        <w:t xml:space="preserve">are common musculoskeletal abnormalities that can affect people of all ages. This chapter reviews some of the more frequently encountered periarticular disorders. </w:t>
      </w:r>
      <w:r w:rsidRPr="00A6019F">
        <w:rPr>
          <w:rFonts w:ascii="Arial" w:hAnsi="Arial" w:cs="Arial"/>
        </w:rPr>
        <w:t>■</w:t>
      </w:r>
      <w:r w:rsidRPr="00A6019F">
        <w:t xml:space="preserve">BURSITIS Bursitis is inflammation of a bursa, which is a thin-walled sac lined with synovial tissue. Adults typically have over 150 bursae that function to facilitate movement of tendons and muscles over bony prominences. Excessive frictional forces from overuse, trauma, systemic disease (e.g., rheumatoid arthritis, gout), or infection may cause bursitis. Although any bursa has the ability to become inflamed, certain bursal structures are more prone to developing bursitis because of their location and the mechanical stresses they are subject to. Subacromial bursitis (subdeltoid bursitis) is the most common form of bursitis and often accompanies rotator cuff tendinitis. The subacromial bursa, which is contiguous with the subdeltoid bursa, is located between the undersurface of the acromion and the humeral head and is covered by the deltoid muscle. Patients most often experience pain in the anterolateral aspect of the shoulder. As it can develop in the setting of other shoulder disorders, directed examination and imaging are particularly important to rule these out. Trochanteric bursitis (also called greater trochanteric pain syndrome) is a tendinopathy of the gluteus medius and/or minimus muscles that occurs with or without inflammation of the bursa located around the insertion of the gluteus medius onto the greater trochanter of the femur. Patients experience pain over the lateral aspect of the hip and upper thigh and have tenderness over the posterior aspect of the greater trochanter, often most noticeable when lying on their side. External rotation and resisted abduction of the hip elicit pain, as will direct pressure applied to the bursa. Olecranon bursitis involves the posterior elbow, often presenting with visible swelling over the olecra non. In settings where this area becomes acutely inflamed with redness and/or warmth, infection or gout should be excluded by aspirating the bursa and performing a Gram stain and culture on the fluid as well as examining the fluid for urate crystals. Achilles bursitis (also called subcutaneous calcaneal bursitis) impacts the bursa located between the skin and the Achilles tendon and is most often caused by overuse and ill-fitting shoes. Retrocalcaneal bursitis impacts a deeper bursa that is located between the calcaneus and posterior surface of the Achilles tendon. This bursa facilitates sliding of the Achilles tendon over the calcaneus and can become inflamed as a result of repetitive movement, trauma, or in association with spondyloarthritis, rheumatoid arthritis, or gout. Patients experience pain at the back of the heel and swelling along the medial and/or lateral side of the tendon. Ischial bursitis affects the bursa separating the gluteus medius from the ischial tuberosity and typically occurs from prolonged sitting on hard surfaces. Iliopsoas bur sitis affects the iliopsoas bursa, the largest bursa in the body, which lies between the anterior aspect of the hip joint and the iliopsoas muscle. Bursitis in this location is associated with overuse or an underlying systemic disease process. Patients experience pain over the area, made worse by hip extension and flexion, which must be differentiated from pain originating within the hip joint. Anserine bursitis is an inflamma tion of the bursa located over the medial side of the tibia just below the knee joint under </w:t>
      </w:r>
      <w:r w:rsidRPr="00A6019F">
        <w:lastRenderedPageBreak/>
        <w:t xml:space="preserve">the conjoint tendon of the sartorius, gracilis, and semitendinosus muscles. Pain can be elicited on climbing stairs and by direct pressure over the bursa about 5 cm below the medial knee joint line. Prepatellar bursitis occurs in the bursa situated between the patella and overlying skin and is caused by kneeling on hard surfaces. Gout or infection may also occur at this site. Bursitis is typically diag nosed by history and physical examination, but ultrasound may play a useful role in selected instances for diagnosis and directed guidance of glucocorticoid injection. Treatment of bursitis consists of prevention of aggravating factors, rest of the involved part, administration of a topi cal or systemic nonsteroidal anti-inflammatory drug (NSAID) where appropriate for an individual patient, or local glucocorticoid injection. CHAPTER 387 Periarticular Disorders of the Extremities </w:t>
      </w:r>
      <w:r w:rsidRPr="00A6019F">
        <w:rPr>
          <w:rFonts w:ascii="Arial" w:hAnsi="Arial" w:cs="Arial"/>
        </w:rPr>
        <w:t>■</w:t>
      </w:r>
      <w:r w:rsidRPr="00A6019F">
        <w:t xml:space="preserve">ROTATOR CUFF TENDINITIS AND IMPINGEMENT SYNDROME Tendinitis of the rotator cuff (also called impingement syndrome) is the major cause of a painful shoulder. The rotator cuff consists of the tendons of the supraspinatus, infraspinatus, subscapularis, and teres minor muscles, and inserts on the humeral tuberosities. Of the tendons forming the rotator cuff, the supraspinatus tendon is the most often affected, because of its potential for impingement between the humeral head and the undersurface of the anterior third of the acromion and coracoacromial ligament above (Fig. 387-1). The tendon of the infra spinatus and that of the long head of the biceps are less commonly involved. Subacromial bursitis often accompanies this syndrome. Symptoms can appear without a triggering cause or after injury or Subacrominal bursa Greater tubercle Deltoid Humerus Acromion “Critical zone” of supraspinatus tendon Supraspinatus Scapula Glenoid Inferior (axillary) pouch Glenohumeral joint capsule FIGURE 387-1 Coronal section of the shoulder illustrating the relationships of the glenohumeral joint, the joint capsule, the subacromial bursa, and the rotator cuff (supraspinatus tendon). (Reproduced with permission from F Kozin, in WJ Koopman [ed]: Arthritis and Allied Conditions, 13th ed, Baltimore, Williams &amp; Wilkins, 1997.) 2974 PART 11 Immune-Mediated, Inflammatory, and Rheumatologic Disorders overuse, especially with occupations or sports that involve elevation of the arm with forward flexion such as baseball, tennis, or swimming. Work and home ergonomic issues have also increasingly been raised as contributing factors. Patients typically experience a dull aching in the shoulder, which may interfere with sleep. Severe pain occurs when the arm is actively abducted into an overhead position, with the arc between 60° and 120° being especially painful. Tenderness is present over the lateral aspect of the humeral head just below the acromion. NSAIDs, local glucocorticoid injection, and physical therapy may relieve symptoms. Surgical decompression of the subacromial space may be necessary in patients refractory to conservative treatment. </w:t>
      </w:r>
      <w:r w:rsidRPr="00A6019F">
        <w:rPr>
          <w:rFonts w:ascii="Arial" w:hAnsi="Arial" w:cs="Arial"/>
        </w:rPr>
        <w:t>■</w:t>
      </w:r>
      <w:r w:rsidRPr="00A6019F">
        <w:t xml:space="preserve">ROTATOR CUFF TEARS Rotator cuff tears may be acute, subacute, or chronic. Acute tears can occur related to sports, falling on an outstretched arm, or lifting a heavy object. Subacute and chronic tears are more common and develop in middle-aged and older patients, where the cause of the tear is likely multifactorial. Osteoarthritis is a risk factor for rotator cuff tears. Symptoms are pain </w:t>
      </w:r>
      <w:r w:rsidRPr="00A6019F">
        <w:lastRenderedPageBreak/>
        <w:t xml:space="preserve">along with weakness of abduction and exter nal rotation of the shoulder. There is no single examination finding that can diagnose a torn rotator cuff, although this can be suggested by a range of maneuvers that include a painful abduction arc above 90°, failure to control shoulder adduction (drop arm test), or weakness in external rotation. The diagnosis is established by ultrasound or mag netic resonance imaging (MRI). Multiple factors influence manage ment including symptom duration, degree of the tear (partial or full thickness), level of pain and disability, functional status, severity of osteoarthritis if present, and individual patient characteristics. Surgical referral should be pursued in patients with acute or acute-on-chronic tears that are moderate to severe with functional loss. Surgery may also be indicated in patients who fail to respond to conservative measures. </w:t>
      </w:r>
      <w:r w:rsidRPr="00A6019F">
        <w:rPr>
          <w:rFonts w:ascii="Arial" w:hAnsi="Arial" w:cs="Arial"/>
        </w:rPr>
        <w:t>■</w:t>
      </w:r>
      <w:r w:rsidRPr="00A6019F">
        <w:t xml:space="preserve">CALCIFIC TENDINITIS Calcific tendinitis is characterized by deposition of calcium salts, pri marily hydroxyapatite, within a tendon. The shoulder is the main site of involvement with calcific deposits in or around the rotator cuff ten dons, with the supraspinatus tendon being involved in 63% of patients. The condition usually develops after age 40. Although the mechanism through which calcification is initiated is unknown, the process is felt to go through different phases. It is not felt to be due to overuse or sys temic disease, although links have been seen with diabetes and thyroid disorders and a genetic predisposition has been questioned. Calcifi cation within the tendon may evoke acute inflammation, producing sudden and severe shoulder pain, but may also be asymptomatic. Diag nosis of calcific tendinitis can be made by radiograph or ultrasound. Most cases are self-limited and respond to conservative therapy with physical therapy and/or NSAIDs. For patients with refractory pain, ultrasound-guided percutaneous needle aspiration and lavage, extra corporeal shock wave therapy, or surgery has been used. </w:t>
      </w:r>
      <w:r w:rsidRPr="00A6019F">
        <w:rPr>
          <w:rFonts w:ascii="Arial" w:hAnsi="Arial" w:cs="Arial"/>
        </w:rPr>
        <w:t>■</w:t>
      </w:r>
      <w:r w:rsidRPr="00A6019F">
        <w:t xml:space="preserve">BICIPITAL TENDINITIS AND RUPTURE Bicipital tendinitis is produced by friction on the tendon of the long head of the biceps as it passes through the bicipital groove. When the inflammation is acute, patients experience anterior shoulder pain that radiates down the biceps into the forearm. Abduction and external rotation of the arm are painful and limited with tenderness over the bicipital groove. Pain may be elicited along the course of the tendon by resisting supination of the forearm with the elbow at 90° (Yergason’s test). Acute rupture of the tendon may occur with vigorous exercise of the arm and is often painful. In a healthy and active patient, it should be repaired surgically as soon as possible after the rupture occurs. Rupture of the tendon in an older person may be associated with little or no pain and is recognized by the presence of persistent swelling of the biceps produced by the retraction of the long head of the biceps. Surgery is usually not necessary in this setting. </w:t>
      </w:r>
      <w:r w:rsidRPr="00A6019F">
        <w:rPr>
          <w:rFonts w:ascii="Arial" w:hAnsi="Arial" w:cs="Arial"/>
        </w:rPr>
        <w:t>■</w:t>
      </w:r>
      <w:r w:rsidRPr="00A6019F">
        <w:t>DE QUERVAIN</w:t>
      </w:r>
      <w:r w:rsidRPr="00A6019F">
        <w:rPr>
          <w:rFonts w:ascii="Aptos" w:hAnsi="Aptos" w:cs="Aptos"/>
        </w:rPr>
        <w:t>’</w:t>
      </w:r>
      <w:r w:rsidRPr="00A6019F">
        <w:t>S TENOSYNOVITIS De Quervain</w:t>
      </w:r>
      <w:r w:rsidRPr="00A6019F">
        <w:rPr>
          <w:rFonts w:ascii="Aptos" w:hAnsi="Aptos" w:cs="Aptos"/>
        </w:rPr>
        <w:t>’</w:t>
      </w:r>
      <w:r w:rsidRPr="00A6019F">
        <w:t xml:space="preserve">s tenosynovitis is the result of inflammation involving the abductor pollicis longus and the extensor pollicis brevis as these tendons pass through a fibrous sheath at the radial styloid process. The usual cause is repetitive twisting of the wrist. It may also occur in pregnancy and in parents who hold their babies with the thumb out stretched. Patients experience pain on grasping or pinching with their thumb. Swelling and tenderness are often present over </w:t>
      </w:r>
      <w:r w:rsidRPr="00A6019F">
        <w:lastRenderedPageBreak/>
        <w:t xml:space="preserve">the radial styloid process. A positive Finkelstein test can be elicited by having the patient place the thumb in the palm, closing the fingers over it, and then ulnar deviating the wrist, which results in pain over the involved tendon sheath in the area of the radial styloid. Initial treatment consists of wrist splinting and NSAIDs. When severe or refractory, local glucocorticoid injections can be effective. </w:t>
      </w:r>
      <w:r w:rsidRPr="00A6019F">
        <w:rPr>
          <w:rFonts w:ascii="Arial" w:hAnsi="Arial" w:cs="Arial"/>
        </w:rPr>
        <w:t>■</w:t>
      </w:r>
      <w:r w:rsidRPr="00A6019F">
        <w:t xml:space="preserve">PATELLAR TENDINITIS Patellar tendinitis involves the patellar tendon at its attachment to the lower pole of the patella. Patients may experience pain when jumping during sports, going up stairs, or doing deep knee squats. Tenderness is noted on examination over the lower pole of the patella. Treatment consists of rest, icing, and NSAIDs, followed by physical therapy. </w:t>
      </w:r>
      <w:r w:rsidRPr="00A6019F">
        <w:rPr>
          <w:rFonts w:ascii="Arial" w:hAnsi="Arial" w:cs="Arial"/>
        </w:rPr>
        <w:t>■</w:t>
      </w:r>
      <w:r w:rsidRPr="00A6019F">
        <w:t xml:space="preserve">DRUG-INDUCED TENDINOPATHIES With the broadening range of pharmacologic agents, the potential for drug-induced tendinopathies has become increasingly recognized. The drug classes most associated with tendinopathies include quino lones, glucocorticoids, aromatase inhibitors, and statins. Although any tendon can be affected, the tendons of the lower extremities are most often impacted, particularly the Achilles tendon. The pathophysiologic mechanisms responsible for drug-induced tendinopathies remain unknown. Presenting features include pain and potentially swelling over the tendon, although some patients may first present with tendon rupture. Ultrasound and MRI can provide information on tendon structure and integrity in support of the diagnosis. When suspected, the potential agent should be withdrawn and not reintroduced where possible. Tendon ruptures may require surgery. </w:t>
      </w:r>
      <w:r w:rsidRPr="00A6019F">
        <w:rPr>
          <w:rFonts w:ascii="Arial" w:hAnsi="Arial" w:cs="Arial"/>
        </w:rPr>
        <w:t>■</w:t>
      </w:r>
      <w:r w:rsidRPr="00A6019F">
        <w:t xml:space="preserve">ILIOTIBIAL BAND SYNDROME The iliotibial band is a thick connective tissue that runs from the ilium to the tibia. Iliotibial band syndrome most commonly presents with aching or burning pain where the band courses over the lateral femoral condyle of the knee; pain may also radiate up the thigh, toward the hip. Predisposing factors for iliotibial band syndrome include a varus align ment of the knee, distance running, poorly fitted shoes, or running on uneven terrain. Treatment consists of rest, NSAIDs, physical therapy, and addressing modifiable risk factors. Glucocorticoid injection into the area of tenderness can provide relief, but running must be avoided for at least 2 weeks after the injection. Surgical release of the iliotibial band has been helpful in rare patients for whom conservative treatment has failed. </w:t>
      </w:r>
      <w:r w:rsidRPr="00A6019F">
        <w:rPr>
          <w:rFonts w:ascii="Arial" w:hAnsi="Arial" w:cs="Arial"/>
        </w:rPr>
        <w:t>■</w:t>
      </w:r>
      <w:r w:rsidRPr="00A6019F">
        <w:t>ADHESIVE CAPSULITIS Adhesive capsulitis (</w:t>
      </w:r>
      <w:r w:rsidRPr="00A6019F">
        <w:rPr>
          <w:rFonts w:ascii="Aptos" w:hAnsi="Aptos" w:cs="Aptos"/>
        </w:rPr>
        <w:t>“</w:t>
      </w:r>
      <w:r w:rsidRPr="00A6019F">
        <w:t>frozen shoulder</w:t>
      </w:r>
      <w:r w:rsidRPr="00A6019F">
        <w:rPr>
          <w:rFonts w:ascii="Aptos" w:hAnsi="Aptos" w:cs="Aptos"/>
        </w:rPr>
        <w:t>”</w:t>
      </w:r>
      <w:r w:rsidRPr="00A6019F">
        <w:t xml:space="preserve">) is characterized by pain and restricted movement of the shoulder, usually in the absence of intrinsic shoulder disease. It most often develops in the setting of reduced arm mobility following bursitis or tendinitis of the shoulder, fractures, or recovery from surgery but can occur without an antecedent event. Adhesive capsulitis has been associated with systemic disorders such as diabetes mellitus, chronic pulmonary disease, myocardial infarc tion, and thyroid disease. Pathologically, the capsule of the shoulder is thickened, and a mild chronic inflammatory infiltrate and fibrosis may be present. Adhesive capsulitis occurs more commonly in women over age 50. Pain and stiffness usually develop gradually but can rapidly progress. Night pain is often present in the affected shoulder and interferes with sleep. The shoulder is tender to palpation, and both active and passive movements are restricted. The diagnosis is </w:t>
      </w:r>
      <w:r w:rsidRPr="00A6019F">
        <w:lastRenderedPageBreak/>
        <w:t xml:space="preserve">based on physical examina tion showing a reduced range of motion in the shoulder that is not due to other causes. There are no diagnostic findings by plain radiograph, ultrasound, or MRI, but these can be used to rule out other conditions. In most patients, the condition improves spontaneously 1–3 years after onset. While pain usually improves, many patients are left with 2975 some limitation of shoulder motion. Early mobilization of the arm fol lowing a shoulder injury may prevent the development of this disorder. Physical therapy provides the foundation of treatment for adhesive capsulitis. Local glucocorticoid injection and NSAIDs may also pro vide relief of symptoms. Slow but forceful injection of contrast material into the joint may lyse adhesions and stretch the capsule, resulting in improvement of shoulder motion. Manipulation under anesthesia may be helpful in some patients. </w:t>
      </w:r>
      <w:r w:rsidRPr="00A6019F">
        <w:rPr>
          <w:rFonts w:ascii="Arial" w:hAnsi="Arial" w:cs="Arial"/>
        </w:rPr>
        <w:t>■</w:t>
      </w:r>
      <w:r w:rsidRPr="00A6019F">
        <w:t xml:space="preserve">LATERAL EPICONDYLITIS Lateral epicondylitis, also known as tennis elbow, is a painful condition involving the soft tissue over the lateral aspect of the elbow. The pain originates at or near the site of attachment of the common extensors to the lateral epicondyle and may radiate into the forearm and dorsum of the wrist. The pain is usually linked to work or recreational activi ties that involve repeated motions of wrist extension and supination against resistance. Most patients with this disorder injure themselves in activities other than tennis, such as pulling weeds, carrying suitcases or briefcases, or using a screwdriver. The injury in tennis usually occurs when hitting a backhand with the elbow flexed. The pain can be repro duced by shaking hands or opening doors. The treatment is usually rest with avoidance of activities that would aggravate the elbow along with an NSAID. Ultrasound, icing, and friction massage may also help relieve pain. When pain is severe, the elbow is placed in a sling or splinted at 90° of flexion. A one-time local glucocorticoid injection can be considered for severe, acute pain, but repeat injections should be avoided. After 4–6 weeks of rest, the patient should begin physical therapy to strengthen and increase flexibility of the extensor muscles. A forearm band placed 2.5–5.0 cm below the elbow may help to reduce tension on the extensor muscles at their attachment to the lateral epicondyle. The patient should be advised to restrict activities requiring forcible extension and supination of the wrist. The patient may continue to experience mild pain but, with care, can usually avoid the return of debilitating pain. In recalcitrant cases, ultrasound-guided needle tenotomy and injection of platelet-rich plasma have been used. Occasionally, surgical release of the extensor aponeurosis may be necessary. </w:t>
      </w:r>
      <w:r w:rsidRPr="00A6019F">
        <w:rPr>
          <w:rFonts w:ascii="Arial" w:hAnsi="Arial" w:cs="Arial"/>
        </w:rPr>
        <w:t>■</w:t>
      </w:r>
      <w:r w:rsidRPr="00A6019F">
        <w:t xml:space="preserve">MEDIAL EPICONDYLITIS Medial epicondylitis is an overuse syndrome resulting in pain over the medial side of the elbow with radiation into the forearm. The cause of this syndrome is considered to be repetitive resisted motions of wrist flexion and pronation, which lead to microtears at the origin of the pronator teres and forearm flexors, particularly the flexor carpi radialis. This overuse syndrome is usually seen in patients aged &gt;35 years and is much less common than lateral epicondylitis. It occurs most often in work-related repetitive activities and with recreational activities such as swinging a golf club or throwing a baseball. On physical examination, there is tenderness just distal to the medial epicondyle over the origin of the forearm flexors. </w:t>
      </w:r>
      <w:r w:rsidRPr="00A6019F">
        <w:lastRenderedPageBreak/>
        <w:t xml:space="preserve">Pain can be reproduced by resisting wrist flexion and pronation with the elbow extended. Radiographs are usually normal. The initial treatment of medial epicondylitis is conservative, involv ing rest, NSAIDs, friction massage, ultrasound, and icing. Some patients may require splinting. For severe pain, a one-time local gluco corticoid injection can be considered. Patients should be instructed to rest for at least 4–6 weeks followed by physical therapy once the pain has subsided. In patients with chronic debilitating medial epicondylitis that remains unresponsive after at least a year of treatment, surgical release of the flexor muscle at its origin may be necessary and is often successful. </w:t>
      </w:r>
      <w:r w:rsidRPr="00A6019F">
        <w:rPr>
          <w:rFonts w:ascii="Arial" w:hAnsi="Arial" w:cs="Arial"/>
        </w:rPr>
        <w:t>■</w:t>
      </w:r>
      <w:r w:rsidRPr="00A6019F">
        <w:t xml:space="preserve">PLANTAR FASCIITIS Plantar fasciitis is a common cause of foot pain in adults. The pain originates at or near the site of the plantar fascia attachment to the medial tuberosity of the calcaneus. Factors that increase the risk of developing plantar fasciitis include obesity, pes planus (flat foot or absence of the foot arch when standing), pes cavus (high-arched foot), limited dorsiflexion of the ankle, prolonged standing, walking on hard surfaces, and faulty shoes. In runners, excessive running and a change to a harder running surface may precipitate plantar fasciitis. The diagnosis of plantar fasciitis can usually be made on the basis of history and physical examination alone. Patients experience severe pain with the first steps on arising in the morning or following inac tivity during the day. The pain usually lessens with weight-bearing activity but then increases with continued activity. Pain is made worse on walking barefoot or going up stairs. On examination, tenderness is elicited on palpation over the inferior heel at the attachment site of the plantar fascia to the calcaneus. Imaging may be indicated when the diagnosis is not clear. Plain radiographs may show heel spurs, which are of little diagnostic significance. Ultrasonography in plantar fasciitis can demonstrate thickening of the fascia and diffuse hypoechogenicity, indicating edema at the attachment of the plantar fascia to the calca neus. MRI is a sensitive method for detecting plantar fasciitis, but it is usually not required to establish the diagnosis. CHAPTER 387 Periarticular Disorders of the Extremities Resolution of symptoms occurs within 12 months in &gt;80% of patients with plantar fasciitis. Initial treatment consists of ice, heat, massage, stretching, and eliminating inciting activities. Orthotics pro vide medial arch support and can be effective. Some patients may ben efit from foot strapping or taping or by wearing a night splint designed to keep the ankle in a neutral position. A short course of NSAIDs can be given to patients who do not have contraindications. Local gluco corticoid injections have also been shown to be efficacious but may carry an increased risk for plantar fascia rupture. Plantar fasciotomy is reserved for patients who have failed to improve after at least 6–12 months of conservative treatment. </w:t>
      </w:r>
      <w:r w:rsidRPr="00A6019F">
        <w:rPr>
          <w:rFonts w:ascii="Arial" w:hAnsi="Arial" w:cs="Arial"/>
        </w:rPr>
        <w:t>■</w:t>
      </w:r>
      <w:r w:rsidRPr="00A6019F">
        <w:t xml:space="preserve">FURTHER READING Buchbinder R: Plantar fasciitis. N Engl J Med 350:2159, 2004. Greis AC et al: Evaluation and nonsurgical management of rotator cuff calcific tendinopathy. Orthop Clin North Am 46:293, 2015. Harrison AK, Flatow EL: Subacromial impingement syndrome. J Am Acad Orthop Surg 19:701, 2011. Kirchgesner T et al: Drug-induced tendinopathy: From physiology to clinical applications. Joint Bone Spine 81:485, 2014. Neviaser AS, Neviaser RJ: Adhesive </w:t>
      </w:r>
      <w:r w:rsidRPr="00A6019F">
        <w:lastRenderedPageBreak/>
        <w:t xml:space="preserve">capsulitis of the shoulder. J Am Acad Orthop Surg 19:536, 2011. This page intentionally left blank Endocrinology and Metabolism PART 12 Section 1 Endocrinology 388 Approach to the Patient with Endocrine Disorders J. Larry Jameson The management of endocrine disorders has applied principles of precision medicine before the term was commonly used (Chap. 5). A general goal is to maintain or restore homeostasis using precise homone measurements to titrate treatment regimens. Effective patient management requires a broad understanding of intermediary metabo lism, reproductive physiology, bone metabolism, and growth. Accord ingly, the practice of endocrinology is intimately linked to a conceptual framework for understanding hormone secretion, hormone action, and principles of feedback control (Chap. 389). The endocrine system is evaluated primarily by measuring hormone concentrations, arming the clinician with valuable diagnostic information. Most disorders of the endocrine system are amenable to effective treatment once the cor rect diagnosis is established. Endocrine deficiency disorders are treated with physiologic hormone replacement; hormone excess conditions, which usually are caused by benign glandular adenomas, are managed by removing tumors surgically or reducing hormone levels medically. SCOPE OF ENDOCRINOLOGY Classically, the specialty of endocrinology encompasses the study of glands and the hormones they produce. Over time, the field has expanded because of the discovery of hormones and growth factors produced by the brain, gastrointestinal (GI) tract, musculoskeletal system, and other nonglandular organs. The term endocrine was coined by Starling to contrast the actions of hormones secreted internally (endocrine) with those secreted externally (exocrine) or into a lumen, such as the GI tract. The term hormone, derived from a Greek phrase meaning “to set in motion,” aptly describes the dynamic actions of hormones as they elicit cellular responses and regulate physiologic processes through feedback mechanisms. Unlike many other specialties in medicine, it is not possible to define endocrinology strictly along anatomic lines. The classic endocrine glands—pituitary, thyroid, parathyroid, pancreatic islets, adrenals, and gonads—communicate broadly with other organs through the nervous system, hormones, cytokines, and growth factors. In addition to its traditional synaptic functions, the brain produces a vast array of peptide hormones, and this has led to the discipline of neuroendo crinology. Through the production of hypothalamic releasing factors, the central nervous system (CNS) exerts a major regulatory influence over pituitary hormone secretion (Chap. 390). The peripheral nervous system stimulates the adrenal medulla. The immune and endocrine systems are also intimately intertwined. The adrenal hormone cortisol is a powerful immunosuppressant. Cytokines and interleukins (ILs) have profound effects on the functions of the pituitary, adrenal, thy roid, and gonads. Common endocrine diseases such as autoimmune thyroid disease and type 1 diabetes mellitus are caused by dysregulation of immune surveillance and tolerance. Less common diseases such as polyglandular failure, Addison’s disease, and lymphocytic hypophysitis also have an immunologic basis. Immune therapies for cancer and vari ous autoimmune diseases </w:t>
      </w:r>
      <w:r w:rsidRPr="00A6019F">
        <w:lastRenderedPageBreak/>
        <w:t xml:space="preserve">can initiate autoimmune endocrine disease as a side effect of treatment. The interdigitation of endocrinology with physiologic processes in other specialties sometimes blurs the role of hormones. For example, hormones play an important role in maintenance of blood pressure, intravascular volume, and peripheral resistance in the cardiovascular system. Vasoactive substances such as catecholamines, angiotensin II, endothelin, and nitric oxide are involved in dynamic changes of vascu lar tone in addition to their multiple roles in other tissues. The heart is the principal source of atrial natriuretic peptide, which acts in classic endocrine fashion to induce natriuresis at a distant target organ (the kidney). Erythropoietin, a traditional circulating hormone, is made in the kidney and stimulates erythropoiesis in bone marrow (Chap. 66). The kidney is also integrally involved in the renin-angiotensin axis (Chap. 398) and is a primary target of several hormones, including parathyroid hormone (PTH), mineralocorticoids, fibroblast growth factor 23 (FGF23), and vasopressin. The GI tract produces a vast array of peptide hormones, such as glucagon-like peptide 1 (GLP1), chole cystokinin, ghrelin, gastrin, secretin, and vasoactive intestinal peptide, among many others. Carcinoid and islet tumors can secrete excessive amounts of these hormones, leading to specific clinical syndromes (Chap. 89). Many of these GI hormones are also produced in the CNS, where their functions are poorly understood. Adipose tissue produces leptin, which acts centrally to control appetite, along with adiponectin, resistin, and other hormones that regulate metabolism. As hormones such as inhibin, ghrelin, and leptin are discovered, they become inte grated into the science and practice of medicine on the basis of their functional roles rather than their tissues of origin. Characterization of hormone receptors frequently reveals unex pected relationships to factors in nonendocrine disciplines. The growth hormone (GH) and leptin receptors, for example, are members of the cytokine receptor family. The G protein–coupled receptors (GPCRs), which mediate the actions of many peptide hormones, are used in numerous physiologic processes, including vision, smell, and neurotransmission. PATHOLOGIC MECHANISMS OF ENDOCRINE DISEASE Endocrine diseases can be divided into three major types of condi tions: (1) hormone excess, (2) hormone deficiency, and (3) hormone resistance (Table 388-1). </w:t>
      </w:r>
      <w:r w:rsidRPr="00A6019F">
        <w:rPr>
          <w:rFonts w:ascii="Arial" w:hAnsi="Arial" w:cs="Arial"/>
        </w:rPr>
        <w:t>■</w:t>
      </w:r>
      <w:r w:rsidRPr="00A6019F">
        <w:t xml:space="preserve">CAUSES OF HORMONE EXCESS Syndromes of hormone excess can be caused by neoplastic growth of endocrine cells, autoimmune disorders, and excess hormone admin istration. Benign endocrine tumors, including parathyroid, pituitary, and adrenal adenomas, often retain the capacity to produce hormones, reflecting the fact that these tumors are relatively well differentiated. Many endocrine tumors exhibit subtle defects in their “set points” for feedback regulation. For example, in Cushing’s disease, impaired feed back inhibition of adrenocorticotropic hormone (ACTH) secretion is associated with autonomous function. However, the tumor cells are less sensitive to feedback inhibition, as evidenced by ACTH suppression at higher doses of dexamethasone (e.g., high-dose dexamethasone test) (Chap. 398). Similar set point defects are also typical of parathyroid adenomas and autonomously functioning thyroid nodules. The molecular </w:t>
      </w:r>
      <w:r w:rsidRPr="00A6019F">
        <w:lastRenderedPageBreak/>
        <w:t>basis of some endocrine tumors, such as the multiple endocrine neoplasia (MEN) syndromes (MEN1, 2A, 2B), has provided important insights into tumorigenesis (Chap. 402). MEN1 is char acterized primarily by the triad of parathyroid, pancreatic islet, and pituitary tumors. MEN2 predisposes to medullary thyroid carcinoma, pheochromocytoma, and hyperparathyroidism. The MEN1 gene, located on chromosome 11q13, encodes a tumor-suppressor gene, menin. Analogous to the paradigm first described for retinoblastoma, the affected individual inherits a mutant copy of the MEN1 gene, and tumorigenesis ensues after a somatic “second hit” leads to loss of func tion of the normal MEN1 gene (through deletion or point mutations). In contrast to inactivation of a tumor-suppressor gene, as occurs in MEN1 and most other inherited cancer syndromes, MEN2 is caused by activating mutations in a single allele. In this case, activating mutations of the RET protooncogene, which encodes a receptor tyrosine kinase,</w:t>
      </w:r>
    </w:p>
    <w:p w14:paraId="298ACD40" w14:textId="4323C3EB" w:rsidR="00A6019F" w:rsidRDefault="00A6019F">
      <w:pPr>
        <w:rPr>
          <w:b/>
          <w:bCs/>
          <w:sz w:val="32"/>
          <w:szCs w:val="32"/>
        </w:rPr>
      </w:pPr>
      <w:r w:rsidRPr="00A6019F">
        <w:rPr>
          <w:b/>
          <w:bCs/>
          <w:sz w:val="32"/>
          <w:szCs w:val="32"/>
        </w:rPr>
        <w:br/>
        <w:t>Part 12-</w:t>
      </w:r>
      <w:r w:rsidRPr="00A6019F">
        <w:rPr>
          <w:b/>
          <w:bCs/>
          <w:sz w:val="32"/>
          <w:szCs w:val="32"/>
        </w:rPr>
        <w:t>Endocrinology and Metabolism</w:t>
      </w:r>
    </w:p>
    <w:p w14:paraId="785F2B2A" w14:textId="251E1612" w:rsidR="00A6019F" w:rsidRDefault="00A6019F">
      <w:r>
        <w:t>Aa</w:t>
      </w:r>
    </w:p>
    <w:p w14:paraId="71341B7C" w14:textId="32FB8416" w:rsidR="00A6019F" w:rsidRDefault="00A6019F">
      <w:r w:rsidRPr="00A6019F">
        <w:t xml:space="preserve">Endocrinology and Metabolism PART 12 Section 1 Endocrinology 388 Approach to the Patient with Endocrine Disorders J. Larry Jameson The management of endocrine disorders has applied principles of precision medicine before the term was commonly used (Chap. 5). A general goal is to maintain or restore homeostasis using precise homone measurements to titrate treatment regimens. Effective patient management requires a broad understanding of intermediary metabo lism, reproductive physiology, bone metabolism, and growth. Accord ingly, the practice of endocrinology is intimately linked to a conceptual framework for understanding hormone secretion, hormone action, and principles of feedback control (Chap. 389). The endocrine system is evaluated primarily by measuring hormone concentrations, arming the clinician with valuable diagnostic information. Most disorders of the endocrine system are amenable to effective treatment once the cor rect diagnosis is established. Endocrine deficiency disorders are treated with physiologic hormone replacement; hormone excess conditions, which usually are caused by benign glandular adenomas, are managed by removing tumors surgically or reducing hormone levels medically. SCOPE OF ENDOCRINOLOGY Classically, the specialty of endocrinology encompasses the study of glands and the hormones they produce. Over time, the field has expanded because of the discovery of hormones and growth factors produced by the brain, gastrointestinal (GI) tract, musculoskeletal system, and other nonglandular organs. The term endocrine was coined by Starling to contrast the actions of hormones secreted internally (endocrine) with those secreted externally (exocrine) or into a lumen, such as the GI tract. The term hormone, derived from a Greek phrase meaning “to set in motion,” aptly describes the dynamic actions of hormones as they elicit cellular responses and </w:t>
      </w:r>
      <w:r w:rsidRPr="00A6019F">
        <w:lastRenderedPageBreak/>
        <w:t xml:space="preserve">regulate physiologic processes through feedback mechanisms. Unlike many other specialties in medicine, it is not possible to define endocrinology strictly along anatomic lines. The classic endocrine glands—pituitary, thyroid, parathyroid, pancreatic islets, adrenals, and gonads—communicate broadly with other organs through the nervous system, hormones, cytokines, and growth factors. In addition to its traditional synaptic functions, the brain produces a vast array of peptide hormones, and this has led to the discipline of neuroendo crinology. Through the production of hypothalamic releasing factors, the central nervous system (CNS) exerts a major regulatory influence over pituitary hormone secretion (Chap. 390). The peripheral nervous system stimulates the adrenal medulla. The immune and endocrine systems are also intimately intertwined. The adrenal hormone cortisol is a powerful immunosuppressant. Cytokines and interleukins (ILs) have profound effects on the functions of the pituitary, adrenal, thy roid, and gonads. Common endocrine diseases such as autoimmune thyroid disease and type 1 diabetes mellitus are caused by dysregulation of immune surveillance and tolerance. Less common diseases such as polyglandular failure, Addison’s disease, and lymphocytic hypophysitis also have an immunologic basis. Immune therapies for cancer and vari ous autoimmune diseases can initiate autoimmune endocrine disease as a side effect of treatment. The interdigitation of endocrinology with physiologic processes in other specialties sometimes blurs the role of hormones. For example, hormones play an important role in maintenance of blood pressure, intravascular volume, and peripheral resistance in the cardiovascular system. Vasoactive substances such as catecholamines, angiotensin II, endothelin, and nitric oxide are involved in dynamic changes of vascu lar tone in addition to their multiple roles in other tissues. The heart is the principal source of atrial natriuretic peptide, which acts in classic endocrine fashion to induce natriuresis at a distant target organ (the kidney). Erythropoietin, a traditional circulating hormone, is made in the kidney and stimulates erythropoiesis in bone marrow (Chap. 66). The kidney is also integrally involved in the renin-angiotensin axis (Chap. 398) and is a primary target of several hormones, including parathyroid hormone (PTH), mineralocorticoids, fibroblast growth factor 23 (FGF23), and vasopressin. The GI tract produces a vast array of peptide hormones, such as glucagon-like peptide 1 (GLP1), chole cystokinin, ghrelin, gastrin, secretin, and vasoactive intestinal peptide, among many others. Carcinoid and islet tumors can secrete excessive amounts of these hormones, leading to specific clinical syndromes (Chap. 89). Many of these GI hormones are also produced in the CNS, where their functions are poorly understood. Adipose tissue produces leptin, which acts centrally to control appetite, along with adiponectin, resistin, and other hormones that regulate metabolism. As hormones such as inhibin, ghrelin, and leptin are discovered, they become inte grated into the science and practice of medicine on the basis of their functional roles rather than their tissues of origin. Characterization of hormone receptors frequently reveals unex pected relationships to factors in nonendocrine disciplines. The growth hormone (GH) and </w:t>
      </w:r>
      <w:r w:rsidRPr="00A6019F">
        <w:lastRenderedPageBreak/>
        <w:t xml:space="preserve">leptin receptors, for example, are members of the cytokine receptor family. The G protein–coupled receptors (GPCRs), which mediate the actions of many peptide hormones, are used in numerous physiologic processes, including vision, smell, and neurotransmission. PATHOLOGIC MECHANISMS OF ENDOCRINE DISEASE Endocrine diseases can be divided into three major types of condi tions: (1) hormone excess, (2) hormone deficiency, and (3) hormone resistance (Table 388-1). </w:t>
      </w:r>
      <w:r w:rsidRPr="00A6019F">
        <w:rPr>
          <w:rFonts w:ascii="Arial" w:hAnsi="Arial" w:cs="Arial"/>
        </w:rPr>
        <w:t>■</w:t>
      </w:r>
      <w:r w:rsidRPr="00A6019F">
        <w:t xml:space="preserve">CAUSES OF HORMONE EXCESS Syndromes of hormone excess can be caused by neoplastic growth of endocrine cells, autoimmune disorders, and excess hormone admin istration. Benign endocrine tumors, including parathyroid, pituitary, and adrenal adenomas, often retain the capacity to produce hormones, reflecting the fact that these tumors are relatively well differentiated. Many endocrine tumors exhibit subtle defects in their “set points” for feedback regulation. For example, in Cushing’s disease, impaired feed back inhibition of adrenocorticotropic hormone (ACTH) secretion is associated with autonomous function. However, the tumor cells are less sensitive to feedback inhibition, as evidenced by ACTH suppression at higher doses of dexamethasone (e.g., high-dose dexamethasone test) (Chap. 398). Similar set point defects are also typical of parathyroid adenomas and autonomously functioning thyroid nodules. The molecular basis of some endocrine tumors, such as the multiple endocrine neoplasia (MEN) syndromes (MEN1, 2A, 2B), has provided important insights into tumorigenesis (Chap. 402). MEN1 is char acterized primarily by the triad of parathyroid, pancreatic islet, and pituitary tumors. MEN2 predisposes to medullary thyroid carcinoma, pheochromocytoma, and hyperparathyroidism. The MEN1 gene, located on chromosome 11q13, encodes a tumor-suppressor gene, menin. Analogous to the paradigm first described for retinoblastoma, the affected individual inherits a mutant copy of the MEN1 gene, and tumorigenesis ensues after a somatic “second hit” leads to loss of func tion of the normal MEN1 gene (through deletion or point mutations). In contrast to inactivation of a tumor-suppressor gene, as occurs in MEN1 and most other inherited cancer syndromes, MEN2 is caused by activating mutations in a single allele. In this case, activating mutations of the RET protooncogene, which encodes a receptor tyrosine kinase, 2978 PART 12 Endocrinology and Metabolism TABLE 388-1 Causes of Endocrine Dysfunction TYPE OF ENDOCRINE DISORDER EXAMPLES Hyperfunction Neoplastic Benign Malignant Ectopic Genetic predisposition Autoimmune Iatrogenic Infectious/inflammatory Activating receptor mutations   Pituitary adenomas, hyperparathyroidism, autonomous thyroid or adrenal nodules Adrenal cancer, medullary thyroid cancer, carcinoid Ectopic ACTH, SIADH secretion MEN1, MEN2 Graves’ disease Cushing’s syndrome, hypoglycemia Subacute thyroiditis LH, TSH, Ca2+, PTH receptors, Gs α Hypofunction Autoimmune Iatrogenic Infectious/inflammatory Hormone mutations Enzyme defects Developmental defects Nutritional/vitamin deficiency Hemorrhage/infarction Hashimoto’s thyroiditis, type 1 diabetes mellitus, Addison’s disease, polyglandular failure Radiation-induced hypopituitarism, hypothyroidism, surgical Adrenal insufficiency, hypothalamic </w:t>
      </w:r>
      <w:r w:rsidRPr="00A6019F">
        <w:lastRenderedPageBreak/>
        <w:t xml:space="preserve">sarcoidosis GH, LHβ, FSHβ, vasopressin 21-Hydroxylase deficiency Kallmann’s syndrome, Turner’s syndrome, transcription factors Vitamin D deficiency, iodine deficiency Sheehan’s syndrome, adrenal insufficiency Hormone Resistance Receptor mutations Membrane Nuclear Signaling pathway mutations Postreceptor   GH, vasopressin, LH, FSH, ACTH, GnRH, GHRH, PTH, leptin, Ca2+ AR, TR, VDR, ER, GR, PPARγ Albright’s hereditary osteodystrophy Type 2 diabetes mellitus, leptin resistance Abbreviations: ACTH, adrenocorticotropic hormone; AR, androgen receptor; ER, estrogen receptor; FSH, follicle-stimulating hormone; GH, growth hormone; GHRH, growth hormone–releasing hormone; GnRH, gonadotropin-releasing hormone; GR, glucocorticoid receptor; LH, luteinizing hormone; MEN, multiple endocrine neoplasia; PPAR, peroxisome proliferator activated receptor; PTH, parathyroid hormone; SIADH, syndrome of inappropriate antidiuretic hormone; TR, thyroid hormone receptor; TSH, thyroid stimulating hormone; VDR, vitamin D receptor. lead to thyroid C-cell hyperplasia in childhood before the develop ment of medullary thyroid carcinoma. Elucidation of this pathogenic mechanism has allowed early genetic screening for RET mutations in individuals at risk for MEN2, permitting identification of those who may benefit from prophylactic thyroidectomy and biochemical screen ing for pheochromocytoma and hyperparathyroidism. Mutations that activate hormone receptor signaling have been identified in several GPCRs. For example, activating mutations of the luteinizing hormone (LH) receptor cause a dominantly transmitted form of male-limited precocious puberty, reflecting premature stimu lation of testosterone synthesis in Leydig cells (Chap. 403). Activating mutations in these GPCRs are located predominantly in the trans membrane domains and induce receptor coupling to Gs α even in the absence of hormone. Consequently, adenylate cyclase is activated, and cyclic adenosine monophosphate (AMP) levels increase in a manner that mimics hormone action. A similar phenomenon results from acti vating mutations in Gs α. When these mutations occur early in develop ment, they cause McCune-Albright syndrome. When they occur only in somatotropes, the activating Gs α mutations cause GH-secreting tumors and acromegaly (Chap. 392). In autoimmune Graves’ disease, antibody interactions with the thyroid-stimulating hormone (TSH) receptor mimic TSH action, lead ing to hormone overproduction (Chap. 394). Analogous to the effects of activating mutations of the TSH receptor, these stimulating auto antibodies induce conformational changes in the TSH receptor that release it from a constrained state, thereby triggering receptor coupling to G proteins, and signaling induces excess thyroid hormone synthesis and secretion. </w:t>
      </w:r>
      <w:r w:rsidRPr="00A6019F">
        <w:rPr>
          <w:rFonts w:ascii="Arial" w:hAnsi="Arial" w:cs="Arial"/>
        </w:rPr>
        <w:t>■</w:t>
      </w:r>
      <w:r w:rsidRPr="00A6019F">
        <w:t xml:space="preserve">CAUSES OF HORMONE DEFICIENCY Most examples of hormone deficiency states can be attributed to glandular destruction caused by autoimmunity, surgery, infection, inflammation, infarction, hemorrhage, or tumor infiltration (Table 388-1). Autoimmune damage to the thyroid gland (Hashimoto’s thyroiditis) and pancreatic islet β cells (type 1 diabetes mellitus) are examples of relatively common endocrine diseases. Mutations in a number of hor mones, hormone receptors, transcription factors, enzymes, and chan nels can also lead to hormone </w:t>
      </w:r>
      <w:r w:rsidRPr="00A6019F">
        <w:lastRenderedPageBreak/>
        <w:t xml:space="preserve">deficiencies. </w:t>
      </w:r>
      <w:r w:rsidRPr="00A6019F">
        <w:rPr>
          <w:rFonts w:ascii="Arial" w:hAnsi="Arial" w:cs="Arial"/>
        </w:rPr>
        <w:t>■</w:t>
      </w:r>
      <w:r w:rsidRPr="00A6019F">
        <w:t xml:space="preserve">HORMONE RESISTANCE Most severe hormone resistance syndromes are due to inherited defects in membrane receptors, nuclear receptors, or the pathways that transduce receptor signals. These disorders are characterized by defective hormone action despite the presence of increased hormone levels. In complete androgen resistance, for example, mutations in the androgen receptor result in a female phenotypic appearance in genetic (XY) males, even though LH and testosterone levels are increased (Chap. 402). In addition to these relatively rare genetic disorders, more common acquired forms of functional hormone resistance include insulin resistance in type 2 diabetes mellitus, leptin resistance in obesity, and GH resistance in catabolic states. The pathogenesis of functional resistance involves receptor downregulation and postrecep tor desensitization of signaling pathways; functional forms of resis tance are generally reversible. </w:t>
      </w:r>
      <w:r w:rsidRPr="00A6019F">
        <w:rPr>
          <w:rFonts w:ascii="Arial" w:hAnsi="Arial" w:cs="Arial"/>
        </w:rPr>
        <w:t>■</w:t>
      </w:r>
      <w:r w:rsidRPr="00A6019F">
        <w:t xml:space="preserve">CLINICAL EVALUATION OF ENDOCRINE DISORDERS Because most glands are relatively inaccessible, the physical exami nation usually focuses on the manifestations of hormone excess or deficiency as well as direct examination of palpable glands, such as the thyroid and gonads. For these reasons, it is important to evaluate patients in the context of their presenting symptoms, review of systems, family and social history, and exposure to medications that may affect the endocrine system. Astute clinical skills are required to detect subtle symptoms and signs suggestive of underlying endocrine disease. For example, a patient with Cushing’s syndrome may manifest specific findings, such as central fat redistribution, skin striae, and proximal muscle weakness, in addition to features seen commonly in the general 2979 Approach to the Patient with Endocrine Disorders CHAPTER 388 TABLE 388-2 Examples of Prevalent Endocrine and Metabolic Disorders in the Adult DISORDER APPROXIMATE PREVALENCE IN ADULTSa SCREENING/TESTING RECOMMENDATIONSb CHAPTER(S) Obesity 40% Obese, BMI ≥30 70% Overweight, BMI ≥25 Calculate BMI Measure waist circumference Exclude secondary causes Consider comorbid complications 414 Type 2 diabetes mellitus &gt;10% Beginning at age 45, screen every 3 years, or earlier in high-risk groups: FPG &gt;126 mg/dL Random plasma glucose &gt;200 mg/dL An elevated HbA1c Consider comorbid complications 415 Hyperlipidemia 20–25% Cholesterol screening at least every 5 years; more often in high-risk groups Lipoprotein analysis (LDL, HDL) for increased cholesterol, CAD, diabetes Consider secondary causes 419 Metabolic syndrome 35% Measure waist circumference, FPG, BP, lipids 420 Hypothyroidism 5–10%, women 0.5–2%, men TSH; confirm with free T4 396 Graves’ disease 1–3%, women 0.1%, men TSH, free T4 395 Thyroid nodules and neoplasia 2–5% palpable &gt;25% by ultrasound Physical examination or ultrasound of thyroid Fine-needle aspiration biopsy 397 Osteoporosis 5–10%, women 2–5%, men Bone mineral density measurements in women &gt;65 years or in postmenopausal women or men at risk Exclude secondary causes 423 Hyperparathyroidism 0.1–0.5%, women &gt; men Serum calcium PTH, if calcium is elevated Assess comorbid conditions 422 Infertility 10%, couples Investigate both members of couple Semen analysis in male Assess ovulatory cycles in female Specific tests as indicated 403,404 Polycystic ovarian syndrome 5–10%, women Free </w:t>
      </w:r>
      <w:r w:rsidRPr="00A6019F">
        <w:lastRenderedPageBreak/>
        <w:t xml:space="preserve">testosterone, DHEAS Consider comorbid conditions 404 Hirsutism 5–10% Free testosterone, DHEAS Exclude secondary causes Additional tests as indicated 406 Menopause Median age, 51 FSH 407 Hyperprolactinemia 15% in women with amenorrhea or galactorrhea PRL level MRI, if not medication-related 392 Erectile dysfunction 10–25% Careful history, PRL, testosterone Consider secondary causes (e.g., diabetes) 409 Hypogonadism, male 1–2% Testosterone, LH 403 Gynecomastia 15% Often, no tests are indicated Consider Klinefelter’s syndrome Consider medications, hypogonadism, liver disease 403 Klinefelter’s syndrome 0.2%, men Karyotype Testosterone 402 Vitamin D deficiency 10% Measure serum 25-OH vitamin D Consider secondary causes 421 Turner’s syndrome 0.03%, women Karyotype Consider comorbid conditions 402 aThe prevalence of most disorders varies among ethnic groups and with aging. Data based primarily on U.S. population. bSee individual chapters for additional information on evaluation and treatment. Early testing is indicated in patients with signs and symptoms of disease and in those at increased risk. Abbreviations: BMI, body mass index; BP, blood pressure; CAD, coronary artery disease; DHEAS, dehydroepiandrosterone; FPG, fasting plasma glucose; FSH, follicle stimulating hormone; HbA1C , hemoglobin A1C ; HDL, high-density lipoprotein; LDL, low-density lipoprotein; LH, luteinizing hormone; MRI, magnetic resonance imaging; PRL, prolactin; PTH, parathyroid hormone; TSH, thyroid-stimulating hormone. population, such as obesity, plethora, hypertension, and glucose intol erance. Similarly, the insidious onset of hypothyroidism—with fatigue, mental slowing, dry skin, and other features—can be difficult to dis tinguish from similar, nonspecific findings in the general population. Clinical judgment that is based on knowledge of disease prevalence and pathophysiology is required to decide when to embark on more extensive evaluation of these disorders. Laboratory testing plays an essential role in endocrinology by allowing quantitative assessment of hormone levels and dynamics. Radiologic imaging tests such as computed tomography (CT) scan, magnetic resonance imaging (MRI), 2980 ultrasound, and thyroid scan are also used for the diagnosis of endo crine disorders. However, these tests generally are employed only after a hormonal abnormality has been established by biochemical testing. </w:t>
      </w:r>
      <w:r w:rsidRPr="00A6019F">
        <w:rPr>
          <w:rFonts w:ascii="Arial" w:hAnsi="Arial" w:cs="Arial"/>
        </w:rPr>
        <w:t>■</w:t>
      </w:r>
      <w:r w:rsidRPr="00A6019F">
        <w:t xml:space="preserve">HORMONE MEASUREMENTS AND ENDOCRINE TESTING PART 12 Endocrinology and Metabolism Immunoassays are the most important diagnostic tool in endocrinol ogy, as they allow sensitive, specific, and quantitative determination of steady-state and dynamic changes in hormone concentrations. Immu noassays use antibodies to detect specific hormones. For many peptide hormones, these measurements are now configured to use two differ ent antibodies to increase binding affinity and specificity. There are many variations of these assays; a common format involves using one antibody to capture the antigen (hormone) onto an immobilized sur face and a second antibody, coupled to a chemiluminescent (immuno chemiluminescent assay [ICMA]) or radioactive (immunoradiometric assay [IRMA]) signal, to detect the antigen. These assays are sensitive enough to detect plasma hormone concentrations in the picomolar to </w:t>
      </w:r>
      <w:r w:rsidRPr="00A6019F">
        <w:lastRenderedPageBreak/>
        <w:t xml:space="preserve">nanomolar range, and they can readily distinguish structurally related proteins, such as PTH from PTH-related peptide (PTHrP). A variety of other techniques are used to measure specific hormones, including mass spectroscopy, various forms of chromatography, and enzymatic methods; bioassays are now used rarely. Mass spectroscopy is increas ingly being used given its ability to quantitatively measure large num bers of peptides or steroids simultaneously. Most hormone measurements are based on plasma or serum sam ples. However, urinary hormone determinations remain useful for the evaluation of some conditions. Urinary collections over 24 h provide an integrated assessment of the production of a hormone or metabolite, many of which vary during the day. It is important to ensure complete collections of 24-h urine samples; simultaneous measurement of creati nine provides an internal control for the adequacy of collection and can be used to normalize some hormone measurements. A 24-h urine-free cortisol measurement largely reflects the amount of unbound cortisol, thus providing a reasonable index of biologically available hormone. Other commonly used urine determinations include 17-hydroxycor ticosteroids, 17-ketosteroids, vanillylmandelic acid, metanephrine, catecholamines, 5-hydroxyindoleacetic acid, and calcium. The value of quantitative hormone measurements lies in their correct interpretation in a clinical context. The normal range for most hormones is relatively broad, often varying by a factor of two- to tenfold. The wide normal range reflects the effects of binding proteins as well as circadian rhythms and other physiologic variables. The normal ranges for many hormones are sex- and age-specific. Thus, using the correct normative database is an essential part of interpreting hormone tests. The pulsatile nature of hormones and factors that can affect their secretion, such as sleep, meals, and medications, must also be considered. Cortisol values increase fivefold between midnight and dawn; reproductive hormone levels vary dramatically during the female menstrual cycle. For many endocrine systems, much information can be gained from basal hormone testing, particularly when different components of an endocrine axis are assessed simultaneously. For example, low testoster one and elevated LH levels suggest a primary gonadal disease, whereas a hypothalamic-pituitary disorder is likely if both LH and testosterone are low. Because TSH is a sensitive indicator of thyroid function, it is generally recommended as a first-line test for thyroid disorders. An elevated TSH level is almost always the result of primary hypothyroid ism, whereas a low TSH is most often caused by thyrotoxicosis. These predictions can be confirmed by determining the free thyroxine level. In the less common circumstance when free thyroxine and TSH are both low, it is important to consider secondary hypopituitarism caused by hypothalamic-pituitary disease. Elevated calcium and PTH levels suggest hyperparathyroidism, whereas PTH is suppressed in hypercal cemia caused by malignancy or granulomatous diseases. A suppressed ACTH in the setting of hypercortisolemia, or increased urine free cor tisol, is seen with hyperfunctioning adrenal adenomas. It is not uncommon, however, for baseline hormone levels associ ated with pathologic endocrine conditions to overlap with the normal range. In this </w:t>
      </w:r>
      <w:r w:rsidRPr="00A6019F">
        <w:lastRenderedPageBreak/>
        <w:t xml:space="preserve">circumstance, dynamic testing is useful to separate the two groups further. There are a multitude of dynamic endocrine tests, but all are based on principles of feedback regulation, and most responses can be rationalized based on principles that govern the regulation of endocrine axes. Suppression tests are used in the setting of suspected endocrine hyperfunction. An example is the dexamethasone suppression test used to evaluate Cushing’s syndrome (Chaps. 392 and 398). Stimulation tests generally are used to assess endocrine hypo function. The ACTH stimulation test, for example, is used to assess the adrenal gland response in patients with suspected adrenal insuffi ciency. Other stimulation tests use hypothalamic-releasing factors such as corticotropin-releasing hormone (CRH) and growth hormone releasing hormone (GHRH) to evaluate pituitary hormone reserve (Chap. 392). Insulin-induced hypoglycemia evokes pituitary ACTH and GH responses. Stimulation tests based on reduction or inhibition of endogenous hormones are now used infrequently. Examples include metyrapone inhibition of cortisol synthesis and clomiphene inhibition of estrogen feedback. </w:t>
      </w:r>
      <w:r w:rsidRPr="00A6019F">
        <w:rPr>
          <w:rFonts w:ascii="Arial" w:hAnsi="Arial" w:cs="Arial"/>
        </w:rPr>
        <w:t>■</w:t>
      </w:r>
      <w:r w:rsidRPr="00A6019F">
        <w:t xml:space="preserve">SCREENING AND ASSESSMENT OF COMMON ENDOCRINE DISORDERS Many endocrine disorders are prevalent in the adult population (Table 388-2) and can be diagnosed and managed by general inter nists, family practitioners, or other primary health care providers. The high prevalence and clinical impact of certain endocrine diseases justify vigilance for features of these disorders during routine physical examinations; laboratory screening is indicated in selected high-risk populations. </w:t>
      </w:r>
      <w:r w:rsidRPr="00A6019F">
        <w:rPr>
          <w:rFonts w:ascii="Arial" w:hAnsi="Arial" w:cs="Arial"/>
        </w:rPr>
        <w:t>■</w:t>
      </w:r>
      <w:r w:rsidRPr="00A6019F">
        <w:t>FURTHER READING Endocrine Society: The Endocrine Society Clinical Practice Guidelines. Available from https://www.endocrine.org/clinical-practice-guidelines. Loriaux DL: A Biographical History of Endocrinology. Hoboken, Wiley Blackwell, 2016. Robertson RP (ed): DeGroot</w:t>
      </w:r>
      <w:r w:rsidRPr="00A6019F">
        <w:rPr>
          <w:rFonts w:ascii="Aptos" w:hAnsi="Aptos" w:cs="Aptos"/>
        </w:rPr>
        <w:t>’</w:t>
      </w:r>
      <w:r w:rsidRPr="00A6019F">
        <w:t xml:space="preserve">s Endocrinology: Adult and Pediatric, 8th ed. Philadelphia, Elsevier, 2023. 389 Mechanisms of Hormone Action J. Larry Jameson The endocrine system, composed of various glands and the hormones they produce, regulates growth, metabolism, homeostasis, and repro duction. Because hormones circulate and act via receptors in target tissues, they serve to coordinate physiologic responses to external or internal cues. For example, the light-dark cycle, sensed through the visual system, modulates hypothalamic corticotropin-releasing hor mone (CRH), which increases pituitary adrenocorticotropin hormone (ACTH) production, leading to increased adrenal cortisol production before the time of waking in the morning. Increased cortisol, in turn, circulates throughout the body, acting via the nuclear glucocorticoid receptor, to activate numerous genetic programs that influence metab olism, the cardiovascular system, behavior, and the immune system. This chapter provides an overview of the different types of hormones and how they function at the cellular level to control myriad physi ologic processes. CLASSES OF HORMONES Hormones can be divided into five major types: (1) amino acid deriva tives such as dopamine, catecholamine, and thyroid hormone; (2) small neuropeptides such as gonadotropin-releasing hormone (GnRH), 2981 thyrotropin-releasing hormone (TRH), somatostatin, and vasopres sin; (3) large proteins such as insulin, luteinizing hormone </w:t>
      </w:r>
      <w:r w:rsidRPr="00A6019F">
        <w:lastRenderedPageBreak/>
        <w:t xml:space="preserve">(LH), and parathyroid hormone (PTH); (4) steroid hormones such as cortisol and estrogen that are synthesized from cholesterol-based precursors; and (5) vitamin derivatives such as retinoids (vitamin A) and vitamin D. A variety of peptide growth factors, such as insulin-like growth factor 1 (IGF1), share actions with hormones but often act more locally. As a rule, amino acid derivatives and peptide hormones interact with cell surface membrane receptors. Steroids, thyroid hormones, vitamin D, and retinoids are lipid-soluble and bind to intracellular nuclear recep tors, although many also interact with membrane receptors or intracel lular signaling proteins as well. </w:t>
      </w:r>
      <w:r w:rsidRPr="00A6019F">
        <w:rPr>
          <w:rFonts w:ascii="Arial" w:hAnsi="Arial" w:cs="Arial"/>
        </w:rPr>
        <w:t>■</w:t>
      </w:r>
      <w:r w:rsidRPr="00A6019F">
        <w:t xml:space="preserve">HORMONE AND RECEPTOR FAMILIES Hormones and receptors can be grouped into families, reflecting struc tural similarities and evolutionary origins (Table 389-1). The evolution of these families generates diverse but highly selective pathways of hor mone action. Understanding these relationships is useful to extrapolate structural and mechanistic insights gleaned from one hormone or receptor to other family members. The glycoprotein hormone family, consisting of thyroid-stimulating hormone (TSH), follicle-stimulating hormone (FSH), LH, and human chorionic gonadotropin (hCG), illustrates many features of evolution arily related hormones. The glycoprotein hormones are heterodimers that share the α subunit in common; the β subunits are distinct and confer specific biologic actions. The overall three-dimensional archi tecture of the β subunits is similar, reflecting the locations of conserved disulfide bonds that constrain protein conformation. Evolutionary analysis suggests that the β-subunit genes arose from a common ancestral gene through gene duplication and divergence to evolve new biologic functions. As hormone families expand and diverge, their receptors have co evolved to create new biologic functions. Related G protein–coupled receptors (GPCRs), for example, have evolved for each of the glyco protein hormones. These receptors are also structurally similar, and each is coupled predominantly to the Gs α signaling pathway. Because of co-evolution with respective hormones to achieve specificity, there TABLE 389-1 Examples of Membrane Receptor Families and Signaling Pathways RECEPTORS EFFECTORS SIGNALING PATHWAYS G Protein–Coupled Seven-Transmembrane Receptor (GPCR) LH, FSH, TSH, β-adrenergic Glucagon, PTH, PTHrP, ACTH, MSH, GHRH, CRH Somatostatin, α-adrenergic TRH, GnRH Gs α, adenylate cyclase Ca2+ channels G i α Gq , G11 Receptor Tyrosine Kinase Insulin, IGF-I  GH, PRL Stimulation of cyclic AMP production, protein kinase A Calmodulin, Ca2+-dependent kinases Inhibition of cyclic AMP production Activation of K+, Ca2+ channels Phospholipase C, diacyl glycerol, IP3 , protein kinase C, voltage-dependent Ca2+ channels Tyrosine kinases, IRS MAP kinases, PI 3-kinase; AKT  Cytokine Receptor–Linked Kinase JAK, tyrosine kinases STAT, MAP kinase, PI 3-kinase, IRS-1 Serine Kinase Activin, TGF-β, MIS Serine kinase Smads Abbreviations: IP3 , inositol triphosphate; IRS, insulin receptor substrates; MAP, mitogen-activated protein; MSH, melanocyte-stimulating hormone; PI, phosphatidylinositol; RSK, ribosomal S6 kinase; TGF-β, transforming growth factor β. For all other abbreviations, see text. Note that most receptors interact with multiple effectors and activate networks of signaling pathways. </w:t>
      </w:r>
      <w:r w:rsidRPr="00A6019F">
        <w:lastRenderedPageBreak/>
        <w:t xml:space="preserve">is minimal overlap of hormone binding. For example, TSH binds with high specificity to the TSH receptor but interacts minimally with the LH or FSH receptors. Nonetheless, there can be subtle physiologic con sequences of hormone cross-reactivity with other receptors. Very high levels of hCG during pregnancy weakly stimulate the TSH receptor and increase thyroid hormone levels, resulting in feedback inhibition and a compensatory decrease in TSH. IGF1 and IGF2 have structural similarities that are most apparent when precursor forms of the proteins are compared. In contrast to the high degree of specificity seen with the glycoprotein hormones, there is moderate cross-talk among the members of the insulin/IGF family. High concentrations of an IGF2 precursor produced by certain tumors (e.g., sarcomas) can cause hypoglycemia, partly because of binding to insulin and IGF1 receptors. High concentrations of insulin also bind to the IGF1 receptor, accounting for some of the clinical manifestations seen in conditions with chronic hyperinsulinemia. Another important example of receptor cross-talk is seen with PTH and parathyroid hormone–related peptide (PTHrP) (Chap. 422). PTH is produced by the parathyroid glands, whereas PTHrP is expressed at high levels during development and by a variety of tumors (Chap. 98). These hormones have amino acid sequence similarity, particularly in their amino-terminal regions. Both hormones bind to the PTH1R receptor that is expressed in bone and kidney. Excessive production of either hormone results in hypercalcemia and hyperphosphatemia, making it difficult to distinguish hyperparathyroidism from hypercal cemia of malignancy solely on the basis of serum chemistries. However, sensitive and specific assays for PTH and PTHrP now allow these dis orders to be distinguished. Based on their specificities for DNA-binding sites, the nuclear receptor family can be subdivided into type 1 receptors (glucocorti coid receptor, mineralocorticoid receptor, androgen receptor, estrogen receptor, progesterone receptor) that bind steroids and type 2 receptors (thyroid hormone receptor, vitamin D receptor, retinoic acid receptor, peroxisome proliferator activated receptor) that bind thyroid hormone, vitamin D, retinoic acid, or lipid derivatives, respectively. Certain functional domains in nuclear receptors, such as the zinc finger DNA binding domains, are highly conserved. However, selective amino acid differences within this domain confer DNA sequence specificity. The hormone-binding domains are more variable, providing great diversity in the array of small molecules that bind to different nuclear recep tors. With few exceptions, hormone binding is highly specific for a single type of nuclear receptor. One exception involves the glucocor ticoid and mineralocorticoid receptors. Because the mineralocorticoid receptor also binds glucocorticoids with high affinity, an enzyme (11β-hydroxysteroid dehydrogenase) in renal tubular cells inactivates glucocorticoids, allowing selective renal responses to mineralocorti coids such as aldosterone. However, when very high glucocorticoid concentrations occur, as in Cushing’s syndrome, the glucocorticoid degradation pathway becomes saturated, allowing excessive cortisol levels to bind mineralocorticoid receptors leading to sodium retention and potassium wasting. This phenomenon is particularly pronounced in ectopic ACTH syndromes (Chap. 398). </w:t>
      </w:r>
      <w:r w:rsidRPr="00A6019F">
        <w:lastRenderedPageBreak/>
        <w:t xml:space="preserve">Another example of relaxed nuclear receptor specificity involves the estrogen receptor, which can bind an array of compounds, some of which have little apparent struc tural similarity to the high-affinity ligand estradiol. This feature of the estrogen receptor makes it susceptible to activation by “environmental estrogens” such as resveratrol, octylphenol, and many other aromatic hydrocarbons. However, this lack of specificity provides an opportu nity to synthesize clinically useful antagonists (e.g., tamoxifen) and selective estrogen response modulators (SERMs) such as raloxifene. These compounds generate distinct estrogen receptor conformations that alter receptor interactions with components of the transcription machinery (see below), thereby conferring their unique actions. CHAPTER 389 Mechanisms of Hormone Action </w:t>
      </w:r>
      <w:r w:rsidRPr="00A6019F">
        <w:rPr>
          <w:rFonts w:ascii="Arial" w:hAnsi="Arial" w:cs="Arial"/>
        </w:rPr>
        <w:t>■</w:t>
      </w:r>
      <w:r w:rsidRPr="00A6019F">
        <w:t xml:space="preserve">HORMONE SYNTHESIS AND PROCESSING The synthesis of peptide hormones and their receptors occurs through a classic pathway of gene expression: transcription → mRNA → protein → posttranslational protein processing → intracellular sorting, followed by membrane integration or secretion. 2982 somatostatin exerts effects in virtually every tissue, a short half-life allows its concentrations and actions to be controlled locally. Structural modifications that impair somatostatin degradation have been useful for generating long-acting therapeutic analogues such as octreotide (Chap. 392). In contrast, the actions of TSH are highly specific for the thyroid gland. Its prolonged half-life generates relatively constant serum levels even though TSH is secreted in discrete pulses. PART 12 Endocrinology and Metabolism Many hormones are embedded within larger precursor polypep tides that are proteolytically processed to yield the biologically active hormone. Examples include proopiomelanocortin (POMC) → ACTH; proglucagon → glucagon; proinsulin → insulin; and pro-PTH → PTH, among others. In many cases, such as POMC and proglucagon, these precursors generate multiple biologically active peptides. For example, proglucagon generates glucagon, as well as glucagon-like peptide 1 (GLP1), among other peptides. It is provocative that hormone precur sors are typically inactive, presumably adding an additional level of control through peptide processing. Prohormone conversion occurs not only for peptide hormones but also for certain steroids (testosterone → dihydrotestosterone) and thyroid hormone (T4 → T3 ). Peptide precursor processing is intimately linked to intracellular sorting pathways that transport proteins to appropriate vesicles and enzymes, resulting in specific cleavage steps, followed by protein fold ing and translocation to secretory vesicles. Hormones destined for secretion are translocated across the endoplasmic reticulum guided by an amino-terminal signal sequence that subsequently is cleaved. Cell-surface receptors are inserted into the membrane via short seg ments of hydrophobic amino acids that remain embedded within the lipid bilayer. During translocation through the Golgi and endoplasmic reticulum, hormones and receptors are subject to a variety of post translational modifications, such as glycosylation and phosphorylation, which can alter protein conformation, modifying circulating half-life and biological activity. Synthesis of most steroid hormones is based on modifications of the precursor, cholesterol. Multiple regulated enzymatic steps are required for the synthesis of testosterone (Chap. 403), </w:t>
      </w:r>
      <w:r w:rsidRPr="00A6019F">
        <w:lastRenderedPageBreak/>
        <w:t xml:space="preserve">estradiol (Chap. 404), cortisol (Chap. 398), and vitamin D (Chap. 421). This large number of synthetic steps predisposes to multiple genetic and acquired disorders of steroidogenesis. Endocrine genes contain regulatory DNA elements similar to those found in many other genes, but their exquisite control by hormones reflects the presence of specific hormone response elements. For example, the TSH genes are repressed directly by thyroid hormones acting through the thyroid hormone receptor (TR), a member of the nuclear receptor family. Steroidogenic enzyme gene expression requires specific transcription factors, such as steroidogenic factor 1 (SF1), acting in conjunction with signals transmitted by trophic hor mones (e.g., ACTH or LH). Once activated, SF1 functions as a master regulator, inducing a large array of genes required for steroidogenic and metabolic pathways required for steroid synthesis. For some hormones, substantial regulation occurs at the level of translational efficiency. Insulin biosynthesis, although it requires ongoing gene transcription, is regulated primarily at the translational and secretory levels in response to the levels of glucose or amino acids. </w:t>
      </w:r>
      <w:r w:rsidRPr="00A6019F">
        <w:rPr>
          <w:rFonts w:ascii="Arial" w:hAnsi="Arial" w:cs="Arial"/>
        </w:rPr>
        <w:t>■</w:t>
      </w:r>
      <w:r w:rsidRPr="00A6019F">
        <w:t xml:space="preserve">HORMONE SECRETION, TRANSPORT, AND DEGRADATION The circulating level of a hormone is determined by its rate of secre tion and its half-life. After protein processing, peptide hormones (e.g., GnRH, insulin, growth hormone [GH]) are stored in secretory gran ules. As these granules mature, they are poised beneath the plasma membrane for imminent release into the circulation. In most instances, the stimulus for hormone secretion is a releasing factor or neural signal that induces rapid changes in voltage-gated channel activity or intracel lular calcium concentrations, leading to secretory granule fusion with the plasma membrane and release of its contents into the extracellular environment and bloodstream. Steroid hormones, in contrast, diffuse into the circulation as they are synthesized. Thus, their secretory rates are closely aligned with rates of synthesis. For example, ACTH and LH induce steroidogenesis by stimulating the activity of the steroidogenic acute regulatory (StAR) protein, which transports cholesterol into the mitochondrion. These hormones also induce other rate-limiting enzy matic steps (e.g., cholesterol side-chain cleavage enzyme, CYP11A1) in specific steroidogenic pathways. Hormone transport and degradation dictate the rapidity with which a hormonal signal decays. Some hormone signals are evanescent (e.g., somatostatin), whereas others are longer-lived (e.g., TSH). Because An understanding of circulating hormone half-life is important for achieving physiologic hormone replacement, as the frequency of dosing and the time required to reach steady state are intimately linked to rates of hormone decay. T4 , for example, has a circulating half-life of 7 days. Consequently, &gt;1 month is required to reach a new steady state, and single daily doses are sufficient to achieve constant hormone levels. T3 , in contrast, has a half-life of 1 day. Its administration is associated with more dynamic serum levels, and it must be administered two to three times per day. Similarly, synthetic glucocorticoids vary widely in their half-lives; those with longer half-lives (e.g., dexamethasone) are associ ated with greater suppression of the hypothalamic-pituitary-adrenal (HPA) axis. Most protein hormones (e.g., ACTH, GH, prolactin [PRL], </w:t>
      </w:r>
      <w:r w:rsidRPr="00A6019F">
        <w:lastRenderedPageBreak/>
        <w:t xml:space="preserve">PTH, LH) have relatively short half-lives (80% during the aging process. IGF-1 con centrations are higher in women than in men. Because GH is the major determinant of hepatic IGF-1 synthesis, abnormalities of GH synthesis or action (including pituitary failure, GHRH receptor defect, GH receptor defect, or pharmacologic GH receptor blockade) lead to reduced IGF-1 levels. Hypocaloric states are associated with GH resistance; IGF-1 levels are therefore low with cachexia, malnutrition, and sepsis. In acromegaly, IGF-1 levels are high and reflect a log-linear relationship with circulating GH concentrations. IGF-1 PHYSIOLOGY Injected IGF-1 (100 μg/kg) induces hypoglyce mia, and lower doses improve insulin sensitivity in patients with severe insulin resistance and diabetes. In cachectic subjects, IGF-1 infusion (12 μg/kg per h) enhances nitrogen retention and lowers cholesterol levels. Longer-term subcutaneous IGF-1 injections enhance protein synthesis and are anabolic. Although bone formation markers are induced, bone turnover also may be stimulated by IGF-1. IGF-1 is approved for use in patients with GH-resistance syndromes. IGF-1 side effects are dose dependent, and overdose may result in hypoglycemia, hypotension, fluid retention, temporomandibular jaw pain, and increased intracranial pressure, all of which are revers ible. Retinal damage and avascular femoral head necrosis have been reported. Chronic excess IGF-1 administration presumably would result in features of acromegaly. </w:t>
      </w:r>
      <w:r w:rsidRPr="00A6019F">
        <w:rPr>
          <w:rFonts w:ascii="Arial" w:hAnsi="Arial" w:cs="Arial"/>
        </w:rPr>
        <w:t>■</w:t>
      </w:r>
      <w:r w:rsidRPr="00A6019F">
        <w:t xml:space="preserve">ADRENOCORTICOTROPIC HORMONE (See also Chap. 398). Synthesis ACTH-secreting corticotrope cells constitute ~20% of the pituitary cell population. ACTH (39 amino acids) is derived from the POMC precursor protein (266 amino acids) that also generates several other peptides, including β-lipotropin, β-endorphin, met-enkephalin, α-melanocyte-stimulating hormone (α-MSH), and corticotropin-like intermediate lobe protein (CLIP). The POMC gene is potently sup pressed by glucocorticoids and induced by corticotropin-releasing 2991 hormone (CRH), AVP, and proinflammatory cytokines, including IL-6, as well as leukemia inhibitory factor. CRH, a 41-amino-acid hypothalamic peptide synthesized in the paraventricular nucleus as well as in higher brain centers, is the predominant stimulator of ACTH synthesis and release. The CRH receptor is a GPCR that is expressed on the corticotrope and signals to induce POMC transcription. Secretion ACTH secretion is pulsatile and exhibits a characteristic circadian rhythm, peaking at about 6:00 a.m. and reaching a nadir about midnight. Adrenal glucocorticoid secretion, which is driven by ACTH, follows a parallel diurnal pattern. ACTH circadian rhythmicity is determined by variations in secretory pulse amplitude rather than changes in pulse frequency. Superimposed on this endogenous rhythm, ACTH levels are increased by physical and psychological stress, exer cise, acute illness, and insulin-induced hypoglycemia. Glucocorticoid-mediated negative regulation of the hypothalamic pituitary-adrenal (HPA) axis occurs as a consequence of both hypotha lamic CRH suppression and direct attenuation of pituitary POMC gene expression and ACTH release. In contrast, loss of cortisol feedback inhibition, as occurs in primary adrenal failure, results in extremely high ACTH levels. Acute inflammatory or septic insults activate the HPA axis through the integrated actions of proinflammatory </w:t>
      </w:r>
      <w:r w:rsidRPr="00A6019F">
        <w:lastRenderedPageBreak/>
        <w:t xml:space="preserve">cytokines, bacterial toxins, and neural signals. The overlapping cascade of ACTH-inducing cyto kines (tumor necrosis factor [TNF]; IL-1, -2, and -6; and leukemia inhibitory factor) activates hypothalamic CRH and AVP secretion, pituitary POMC gene expression, and local pituitary paracrine cytokine networks. The resulting cortisol elevation restrains the inflammatory response and enables host protection. Concomitantly, cytokine-mediated central glucocorticoid receptor resistance impairs glucocorticoid sup pression of the HPA. Thus, the neuroendocrine stress response reflects the net result of highly integrated hypothalamic, intrapituitary, and peripheral hormone and cytokine signals acting to regulate cortisol secretion. Action The major function of the HPA axis is to maintain meta bolic homeostasis and mediate the neuroendocrine stress response, largely by inducing adrenal cortisol production. ACTH induces adre nocortical steroidogenesis by sustaining adrenal cell proliferation and function. The receptor for ACTH, designated melanocortin-2 receptor, is a GPCR that induces steroidogenesis by stimulating a cascade of steroidogenic enzymes (Chap. 398). </w:t>
      </w:r>
      <w:r w:rsidRPr="00A6019F">
        <w:rPr>
          <w:rFonts w:ascii="Arial" w:hAnsi="Arial" w:cs="Arial"/>
        </w:rPr>
        <w:t>■</w:t>
      </w:r>
      <w:r w:rsidRPr="00A6019F">
        <w:t xml:space="preserve">GONADOTROPINS: FSH AND LH Synthesis and Secretion Gonadotrope cells constitute ~10% of anterior pituitary cells and produce two gonadotropin hormones—LH and FSH. Like TSH and human chorionic gonadotropin, LH and FSH are glycoprotein hormones that contain α and β subunits. The α subunit is common to these glycoprotein hormones; specificity of hormone function is conferred by the β subunits, which are expressed by separate genes. Gonadotropin synthesis and release are dynamically regulated. This is particularly true in women, in whom rapidly fluctuating gonadal steroid levels vary throughout the menstrual cycle. Hypo thalamic GnRH, a 10-amino-acid peptide, regulates the synthesis and secretion of both LH and FSH. Brain kisspeptin, a product of the KISS1 gene, regulates hypothalamic GnRH release. GnRH is secreted in discrete pulses every 60–120 min, and the pulses in turn elicit LH and FSH pulses (Fig. 390-3). The pulsatile mode of GnRH input is essen tial to its action; pulses prime gonadotrope responsiveness, whereas continuous GnRH exposure induces desensitization. Based on this phenomenon, long-acting GnRH agonists are used to suppress gonad otropin levels in children with precocious puberty and in men with prostate cancer (Chap. 92) and are used in some ovulation-induction protocols to reduce levels of endogenous gonadotropins (Chap. 404). Estrogens act at both the hypothalamus and the pituitary to modulate gonadotropin secretion. Chronic estrogen exposure is inhibitory, whereas rising estrogen levels, as occur during the preovulatory surge, exert positive feedback to enhance pituitary responsiveness and to increase gonadotropin pulse frequency and amplitude. Progesterone slows GnRH pulse frequency but enhances gonadotropin responses to GnRH. Testosterone feedback in men also occurs at the hypotha lamic and pituitary levels and is mediated in part by its conversion to estrogens. Although GnRH is the main regulator of LH and FSH secretion, FSH synthesis is also under distinct control by the gonadal peptides inhibin and activin, members of the transforming growth factor β (TGF-β) family. Inhibin selectively suppresses FSH, whereas activin stimulates FSH synthesis (Chap. 404). Action The </w:t>
      </w:r>
      <w:r w:rsidRPr="00A6019F">
        <w:lastRenderedPageBreak/>
        <w:t xml:space="preserve">gonadotropin hormones interact with their respective GPCRs expressed in the ovary and testis, evoking germ cell develop ment and maturation and steroid hormone biosynthesis. In women, FSH regulates ovarian follicle development and stimulates ovarian estrogen production. LH mediates ovulation and maintenance of the corpus luteum. In men, LH induces Leydig cell testosterone synthesis and secretion, and FSH stimulates seminiferous tubule development and regulates spermatogenesis. </w:t>
      </w:r>
      <w:r w:rsidRPr="00A6019F">
        <w:rPr>
          <w:rFonts w:ascii="Arial" w:hAnsi="Arial" w:cs="Arial"/>
        </w:rPr>
        <w:t>■</w:t>
      </w:r>
      <w:r w:rsidRPr="00A6019F">
        <w:t xml:space="preserve">THYROID-STIMULATING HORMONE Synthesis and Secretion TSH-secreting thyrotrope cells consti tute 5% of the anterior pituitary cell population. TSH shares a common α subunit with LH and FSH but contains a specific TSH β subunit. TRH is a hypothalamic tripeptide (pyroglutamyl histidylprolinamide) that acts through a pituitary GPCR to stimulate TSH synthesis and secretion; it also stimulates the lactotrope cell to secrete PRL. TSH secretion is stimulated by TRH, whereas thyroid hormones, dopamine, somatostatin, and glucocorticoids suppress TSH by overriding TRH induction. Thyroid hormones are the predominant negative regulator of TSH production. CHAPTER 390 Physiology of Anterior Pituitary Hormones Thyrotrope cell proliferation and TSH secretion are both induced when negative feedback inhibition by thyroid hormones is removed. Thus, thyroid damage (including surgical thyroidectomy), radia tion-induced hypothyroidism, chronic thyroiditis, and prolonged goitrogen exposure are associated with increased TSH levels. Long standing untreated hypothyroidism can lead to elevated TSH levels, which may be associated with thyrotrope hyperplasia and pituitary enlargement and may sometimes be evident on magnetic resonance imaging. Action TSH is secreted in pulses, although the excursions are modest in comparison to other pituitary hormones because of the low amplitude of the pulses and the relatively long half-life of TSH. Consequently, single determinations of TSH suffice to precisely assess its circulating levels. TSH binds to a GPCR on thyroid follicular cells to stimulate thyroid hormone synthesis and release (Chap. 394). </w:t>
      </w:r>
      <w:r w:rsidRPr="00A6019F">
        <w:rPr>
          <w:rFonts w:ascii="Arial" w:hAnsi="Arial" w:cs="Arial"/>
        </w:rPr>
        <w:t>■</w:t>
      </w:r>
      <w:r w:rsidRPr="00A6019F">
        <w:t xml:space="preserve">FURTHER READING Bernard V et al: Prolactin: A pleiotropic factor in health and disease. Nat Rev Endocrinol 15:356, 2019. Das N, Kumar TR: Molecular regulation of follicle-stimulating hor mone synthesis, secretion and action. J Mol Endocrinol 60:R131, 2018. Langlais D et al: Adult pituitary cell maintenance: Lineage-specific contribution of self-duplication. Mol Endocrinol 27:1103, 2013. Le Tissier P et al: The process of anterior pituitary hormone pulse generation. Endocrinology 159:3524, 2018. Ho KY et al: The physiology of growth hormone (GH) in adults: Translational journey to GH replacement therapy. J Endocrinol 257:e220197, 2023. Ranke MB, Wit JM: Growth hormone: Past, present and future. Nat Rev Endocrinol 14:285, 2018. Zhang S et al: Single-cell transcriptomics identifies divergent develop mental lineage trajectories during human pituitary development. Nat Commun 11:5275, 2020. 2992 391 Hypopituitarism Shlomo Melmed, J. Larry Jameson PART 12 Endocrinology and Metabolism Deficient production of anterior pituitary hormones leads to features of hypopituitarism. Impaired production of one or more of the anterior pituitary trophic hormones can result from inherited disorders; more commonly, adult hypopituitarism is acquired and reflects the com pressive mass </w:t>
      </w:r>
      <w:r w:rsidRPr="00A6019F">
        <w:lastRenderedPageBreak/>
        <w:t xml:space="preserve">effects of tumors or the consequences of local pituitary or hypothalamic traumatic, autoimmune, inflammatory, or vascular damage. These processes also may impair synthesis or secretion of hypothalamic hormones, with resultant pituitary failure (Table 391-1). </w:t>
      </w:r>
      <w:r w:rsidRPr="00A6019F">
        <w:rPr>
          <w:rFonts w:ascii="Arial" w:hAnsi="Arial" w:cs="Arial"/>
        </w:rPr>
        <w:t>■</w:t>
      </w:r>
      <w:r w:rsidRPr="00A6019F">
        <w:t>DEVELOPMENTAL CAUSES OF HYPOPITUITARISM Pituitary dysplasia may result in aplastic, hypoplastic, or ectopic pituitary gland development. Because pituitary development follows midline cell migration from the nasopharyngeal Rathke</w:t>
      </w:r>
      <w:r w:rsidRPr="00A6019F">
        <w:rPr>
          <w:rFonts w:ascii="Aptos" w:hAnsi="Aptos" w:cs="Aptos"/>
        </w:rPr>
        <w:t>’</w:t>
      </w:r>
      <w:r w:rsidRPr="00A6019F">
        <w:t xml:space="preserve">s pouch, mid line craniofacial disorders may be associated with pituitary dysplasia. Acquired pituitary failure in the newborn also can be caused by birth trauma, including cranial hemorrhage, asphyxia, and breech delivery. A large number (&gt;50) of transcription factors and growth factors are critical for the development of the hypothalamus and pituitary gland and the function of differentiated anterior pituitary cell lineages. Muta tions have been described in the HESX1, SOX2, SOX3, LHX3, LHX4, OTX, GLI2, PAX6, BMP4, ARNT2, FGF8, FGFR1, SHH, PROKR2, GPR161, IGSF1, PITX2, and CHD7 genes, among others. Heterozygous loss-of-function or autosomal recessive mutations disrupt hypothalamic and pituitary development at different developmental stages, causing a wide array of phenotypes ranging from severe syndromic midline and other defects to combined pituitary hormone defects or isolated hor mone deficiencies. Depending on the gene involved, the pituitary may be hypoplastic, hyperplastic, or ectopic. Midline defects include variable combinations of abnormal development of the eyes, corpus collosum, vertebrae, and genital systems. Pituitary dysfunction ranges from iso lated hormone deficiency to combined pituitary hormone deficiency (CPHD) and arginine vasopressin deficiency (AVP-D). In addition to these syndromic developmental disorders, some mutations affect specific pituitary cell lineages. For example, Pit-1 mutations cause combined growth hormone (GH), prolactin (PRL), and thyroid-stimulating hormone (TSH) deficiencies. These patients usually present with growth failure and varying degrees of hypothy roidism. The pituitary may appear hypoplastic on magnetic resonance imaging (MRI). Prop-1 is expressed early in pituitary development and appears to be required for Pit-1 function. Familial and sporadic PROP1 mutations result in combined GH, PRL, TSH, and gonado tropin deficiency. Over 80% of these patients have growth retarda tion; by adulthood, all are deficient in TSH and gonadotropins, and a small minority later develop adrenocorticotropic hormone (ACTH) deficiency. Because of gonadotropin deficiency, these individuals do not enter puberty spontaneously. In some cases, the pituitary gland appears enlarged on MRI. TPIT mutations result in ACTH deficiency associated with hypocortisolism. Mutations in NR5A1 (also known as steroidogenic factor 1 [SF1]) impair development of gonadotropes, as well as adrenal/gonadal development. </w:t>
      </w:r>
      <w:r w:rsidRPr="00A6019F">
        <w:rPr>
          <w:rFonts w:ascii="Arial" w:hAnsi="Arial" w:cs="Arial"/>
        </w:rPr>
        <w:t>■</w:t>
      </w:r>
      <w:r w:rsidRPr="00A6019F">
        <w:t xml:space="preserve">HYPOTHALAMIC ENDOCRINE DYSFUNCTION Hypothalamic disorders can affect temperature regulation, appetite, sleep-wake cycles, autonomic systems, behavior, and memory, as well as multiple endocrine systems. Selected examples of hypothalamic dis orders that affect the endocrine system are described below. Kallmann Syndrome Kallmann syndrome results from defective hypothalamic gonadotropin-releasing hormone </w:t>
      </w:r>
      <w:r w:rsidRPr="00A6019F">
        <w:lastRenderedPageBreak/>
        <w:t xml:space="preserve">(GnRH) synthesis and is associated with anosmia or hyposmia due to olfactory bulb agenesis or hypoplasia (Chap. 403). Classically, the syndrome may also be asso ciated with color blindness, optic atrophy, nerve deafness, cleft palate, renal abnormalities, cryptorchidism, and neurologic abnormalities TABLE 391-1 Etiology of Hypopituitarisma Development/structural Midline cerebral defect syndromes Pituitary dysplasia/aplasia Primary empty sella Congenital hypothalamic disorders (septo-optic dysplasia, Prader-Willi syndrome, Bardet-Biedl syndrome, Kallmann syndrome) Congenital central nervous system mass, encephalocele Genetic Combined pituitary hormone deficiencies Isolated primary hormone deficiencies Traumatic Surgical resection Radiotherapy damage Head injuries Neoplastic Pituitary adenoma Parasellar mass (germinoma, ependymoma, glioma) Rathke’s cyst Craniopharyngioma Hypothalamic hamartoma, gangliocytoma Pituitary metastases (breast, lung, colon carcinoma) Lymphoma and leukemia Meningioma Infiltrative/inflammatory Lymphocytic hypophysitis Hemochromatosis Sarcoidosis Histiocytosis X Granulomatous hypophysitis Transcription factor antibodies Immunotherapy Vascular Pituitary apoplexy Pregnancy-related (infarction with diabetes; postpartum necrosis) Subarachnoid hemorrhage Sickle cell disease Arteritis Snake bite venom Infections Fungal (histoplasmosis) Parasitic (toxoplasmosis) Tuberculosis Pneumocystis jirovecii Drug-induced CTLA-4 inhibitors PD-1/PD-L1 inhibitors  aTrophic hormone failure associated with pituitary compression or destruction usually occurs sequentially: growth hormone &gt; follicle-stimulating hormone &gt; luteinizing hormone &gt; thyroid-stimulating hormone &gt; adrenocorticotropic hormone. During childhood, growth retardation is often the presenting feature, and in adults, hypogonadism is the earliest symptom. Abbreviations: CTLA-4, cytotoxic T lymphocyte antigen 4; PD-1, programmed cell death protein 1; PD-L1, programmed cell death protein ligand 1. such as mirror movements. The initial genetic cause was the X-linked KAL gene, mutations of which impair embryonic migration of GnRH neurons from the hypothalamic olfactory placode to the hypothala mus. Since then, more than a dozen additional genetic abnormalities, in addition to KAL mutations, have been found to cause isolated GnRH deficiency. Autosomal recessive (i.e., GPR54, KISS1) and dominant (i.e., FGFR1) modes of transmission have been described, and there is a growing list of genes associated with GnRH deficiency (including GNRH1, PROK2, PROKR2, CHD7, PCSK1, FGF8, NELF, WDR11, TAC3, TACR3, and SEMA3E). Some patients have oligogenic 2993 mutations in which mutations in a combination of different genes lead to the phenotype. Associated clinical features, in addition to GnRH deficiency, vary depending on the genetic cause. GnRH deficiency prevents progression through puberty. Males present with delayed puberty and pronounced hypogonadal features, including micro penis, probably the result of low testosterone levels during infancy. Females present with primary amenorrhea and failure of secondary sexual development. Kallmann syndrome and other causes of congenital GnRH defi ciency are characterized by low luteinizing hormone (LH) and follicle-stimulating hormone (FSH) levels and low concentrations of </w:t>
      </w:r>
      <w:r w:rsidRPr="00A6019F">
        <w:lastRenderedPageBreak/>
        <w:t xml:space="preserve">sex steroids (testosterone or estradiol). In sporadic cases of isolated gonadotropin deficiency, the diagnosis is often one of exclusion after other known causes of hypothalamic-pituitary dysfunction have been eliminated. Repetitive GnRH administration restores normal pituitary gonadotropin responses, pointing to a hypothalamic defect in these patients. Long-term treatment of males with human chorionic gonadotropin (hCG) or testosterone restores pubertal development and secondary sex characteristics; women can be treated with cyclic estrogen and progestin. Fertility may be restored by the administration of gonado tropins or by using a portable infusion pump to deliver subcutaneous, pulsatile GnRH. Bardet-Biedl Syndrome This very rare genetically heterogeneous disorder is characterized by intellectual disability, renal abnormalities, obesity, and hexadactyly, brachydactyly, or syndactyly. Central AVP-D may or may not be associated. GnRH deficiency occurs in 75% of males and half of affected females. Retinal degeneration begins in early childhood, and most patients are blind by age 30. Numerous subtypes of Bardet-Biedl syndrome have been identified, with genetic linkage to at least nine different loci. Several of the loci encode genes involved in basal body cilia function, and this may account for the diverse clinical manifestations. Leptin and Leptin Receptor Mutations Deficiencies of leptin or its receptor cause a broad spectrum of hypothalamic abnormalities, including hyperphagia, obesity, and central hypogonadism (Chap. 413). Decreased GnRH production in these patients results in attenuated pituitary FSH and LH synthesis and release. Prader-Willi Syndrome This is a contiguous gene syndrome that results from deletion of the paternal copies of the imprinted SNRPN gene, the NECDIN gene, and possibly other genes on chromosome 15q. Prader-Willi syndrome is associated with hypogonadotropic hypogo nadism, hyperphagia-obesity, chronic muscle hypotonia, intellectual disability, and adult-onset diabetes mellitus. Multiple somatic defects also involve the skull, eyes, ears, hands, and feet. Diminished hypo thalamic oxytocin- and AVP-producing nuclei have been reported. Deficient GnRH synthesis is suggested by the observation that chronic GnRH treatment restores pituitary LH and FSH release. </w:t>
      </w:r>
      <w:r w:rsidRPr="00A6019F">
        <w:rPr>
          <w:rFonts w:ascii="Arial" w:hAnsi="Arial" w:cs="Arial"/>
        </w:rPr>
        <w:t>■</w:t>
      </w:r>
      <w:r w:rsidRPr="00A6019F">
        <w:t xml:space="preserve">ACQUIRED HYPOPITUITARISM Hypopituitarism may be caused by accidental or neurosurgical trauma; vascular events such as apoplexy; pituitary or hypothalamic neoplasms, craniopharyngioma, lymphoma, or metastatic tumors; inflammatory disease such as lymphocytic hypophysitis; autoimmune hypophysitis associated with checkpoint inhibitor cancer immunotherapy; infiltra tive disorders such as sarcoidosis, hemochromatosis (Chap. 426), and tuberculosis; or irradiation. Patients with brain injury, including from contact sports trauma, motor vehicle accidents, explosive causes, subarachnoid hemorrhage, and irradiation, can experience transient or long-term hypopituita rism. These traumatic and vascular conditions likely account for about 5% of hypopituitarism, reflecting the growing prevalence and recogni tion of these disorders. Long-term periodic endocrine follow-up is indicated because hypothalamic or pituitary dysfunction will develop in 25–40% of these patients. Hypothalamic Infiltration Disorders Sarcoidosis, histiocy tosis X, </w:t>
      </w:r>
      <w:r w:rsidRPr="00A6019F">
        <w:lastRenderedPageBreak/>
        <w:t xml:space="preserve">amyloidosis, and hemochromatosis frequently involve both hypothalamic and pituitary neuronal and neurochemical tracts. Con sequently, AVP-D is a common presentation, reported in half of patients with these disorders. Growth retardation is seen if attenuated GH secretion occurs before puberty. Hypogonadotropic hypogonad ism and hyperprolactinemia are also common. Inflammatory Lesions Pituitary damage and subsequent secre tory dysfunction can be seen with chronic site infections such as tuber culosis, with opportunistic fungal infections associated with AIDS, and in tertiary syphilis. Other inflammatory processes, such as granulomas and sarcoidosis, should be considered in the differential diagnosis of imaging studies suggestive of a pituitary adenoma. These lesions may cause extensive hypothalamic and pituitary damage, leading to hor mone deficiencies. Cranial Irradiation Cranial irradiation may result in long-term hypothalamic and pituitary dysfunction, especially in children and adolescents, as they are more susceptible to damage after whole-brain or head and neck therapeutic irradiation. The development of sub sequent hormonal abnormalities correlates strongly with irradiation dosage and the time interval after completion of radiotherapy. Up to two-thirds of patients ultimately develop hormone insufficiency after a median dose of 50 Gy (5000 rad) directed at the skull base. The devel opment of hypopituitarism occurs over 5–15 years and usually reflects hypothalamic damage rather than primary destruction of pituitary cells. Although the pattern of hormone loss is variable, GH deficiency is most common, followed by gonadotropin, TSH, and ACTH defi ciency. When deficiency of one or more hormones is documented, the possibility of diminished reserve of other hormones is likely. Accord ingly, anterior pituitary function should be continually evaluated over the long term in previously irradiated patients, and replacement therapy instituted when appropriate (see below). CHAPTER 391 Hypopituitarism Lymphocytic Hypophysitis This occurs most often in post partum women; it usually presents with hyperprolactinemia and MRI evidence of a prominent pituitary mass that often resembles an adenoma, with mildly elevated PRL levels. Pituitary failure caused by diffuse lymphocytic infiltration may be transient or permanent but requires immediate evaluation and treatment. Rarely, isolated pituitary hormone deficiencies have been described, suggesting a selective auto immune process targeted to specific cell types. Most patients manifest symptoms of progressive mass effects with headache and visual distur bance. The erythrocyte sedimentation rate often is elevated. Because it may be indistinguishable from a pituitary adenoma on MRI, hypophy sitis should be considered in a postpartum woman with a newly diagnosed pituitary mass before an unnecessary surgical intervention is undertaken. The inflammatory process often resolves after several months of glucocorticoid treatment, and pituitary function may be restored, depending on the extent of damage. Immunotherapy and Hypophysitis Pituitary cells express cyto toxic T lymphocyte antigen-4 (CTLA-4), and up to 20% of patients receiving cancer immunotherapy with CTLA-4 inhibitors (e.g., ipi limumab) may develop hypophysitis with heterogeneously associ ated thyroid, adrenal, islet, and gonadal failure. Hypophysitis is also reported </w:t>
      </w:r>
      <w:r w:rsidRPr="00A6019F">
        <w:lastRenderedPageBreak/>
        <w:t xml:space="preserve">with PD-1/PD-L1 inhibitors (e.g., pembrolizumab and nivolumab) and may show delayed presentation. HLA type DQ0602 is associated with checkpoint inhibitor–associated hypophysitis in 39% of such patients. Pituitary hormone replacement, with or without high-dose glucocorticoids, may be safely tolerated with continued immunotherapy. Pituitary Apoplexy Acute intrapituitary hemorrhagic vascular events can cause substantial damage to the pituitary and surround ing sellar structures. Pituitary apoplexy may occur spontaneously in a preexisting pituitary adenoma; postpartum (Sheehan’s syndrome); or in association with diabetes, hypertension, sickle cell anemia, or acute shock. The hyperplastic enlargement of the pituitary, which occurs normally during pregnancy, increases the risk for hemorrhage and infarction. Apoplexy is an endocrine emergency that may result in severe hypoglycemia, hypotension and shock, central nervous system 2994 (CNS) hemorrhage, and death. Acute symptoms may include severe headache with signs of meningeal irritation, bilateral visual changes, ophthalmoplegia, and, in severe cases, cardiovascular collapse and loss of consciousness. Pituitary computed tomography (CT) or MRI may reveal signs of intratumoral or sellar hemorrhage, with pituitary stalk deviation and compression of pituitary tissue. PART 12 Endocrinology and Metabolism Patients with no evident visual loss or impaired consciousness can be observed and managed conservatively with high-dose glucocorti coids. Those with significant or progressive visual loss, cranial nerve palsy, or loss of consciousness require urgent surgical decompression. Visual recovery after sellar surgery is inversely correlated with the length of time after the acute event. Therefore, severe ophthalmoplegia or visual deficits are indications for early surgery. Hypopituitarism is common after apoplexy. Empty Sella A partial or apparently totally empty sella is often an incidental MRI finding and may sometimes be associated with intracranial hypertension. These patients usually have normal pitu itary function, implying that the surrounding rim of pituitary tissue is fully functional. Hypopituitarism, however, may develop insidiously. Pituitary adenomas also may undergo clinically silent infarction and involution with development of a partial or totally empty sella by cerebrospinal fluid (CSF) filling the dural herniation. Rarely, small but functional pituitary adenomas may arise within the rim of normal pituitary tissue, and they are not always visible on MRI. </w:t>
      </w:r>
      <w:r w:rsidRPr="00A6019F">
        <w:rPr>
          <w:rFonts w:ascii="Arial" w:hAnsi="Arial" w:cs="Arial"/>
        </w:rPr>
        <w:t>■</w:t>
      </w:r>
      <w:r w:rsidRPr="00A6019F">
        <w:t xml:space="preserve">PRESENTATION AND DIAGNOSIS The clinical manifestations of hypopituitarism depend on which hormones are lost and the extent of the hormone deficiency (see below). GH deficiency causes growth disorders in children and leads to abnormal body composition in adults. Gonadotropin deficiency causes menstrual disorders and infertility in women and decreased sexual function, infertility, and loss of secondary sexual characteris tics in men. TSH and ACTH deficiencies usually develop later in the course of pituitary failure. TSH deficiency causes growth retardation in children and features of hypothyroidism in children and adults. Secondary adrenal insufficiency caused by ACTH deficiency leads to hypocortisolism with relative preservation of mineralocorticoid production. PRL deficiency causes failure of lactation. When lesions involve the posterior pituitary, polyuria and polydipsia </w:t>
      </w:r>
      <w:r w:rsidRPr="00A6019F">
        <w:lastRenderedPageBreak/>
        <w:t xml:space="preserve">reflect loss of AVP secretion. In patients with long-standing pituitary damage, epi demiologic studies document an increased mortality rate, primarily from increased cardiovascular and cerebrovascular disease. Previous head or neck irradiation is also a determinant of increased mortality rates in patients with hypopituitarism, especially from cerebrovascular disease. </w:t>
      </w:r>
      <w:r w:rsidRPr="00A6019F">
        <w:rPr>
          <w:rFonts w:ascii="Arial" w:hAnsi="Arial" w:cs="Arial"/>
        </w:rPr>
        <w:t>■</w:t>
      </w:r>
      <w:r w:rsidRPr="00A6019F">
        <w:t xml:space="preserve">LABORATORY INVESTIGATION Biochemical diagnosis of pituitary insufficiency is made by demon strating low levels of respective pituitary trophic hormones in the setting of low levels of target organ hormones. For example, low free thyroxine in the setting of a low or inappropriately normal TSH level suggests secondary hypothyroidism. Similarly, a low testosterone level without elevation of gonadotropins suggests hypogonadotropic hypogonadism. Provocative tests may be required to assess pituitary reserve (Table 391-2). GH responses to insulin-induced hypogly cemia, arginine, glucagon, l-dopa, growth hormone–releasing hor mone (GHRH), or growth hormone–releasing orally active ghrelin receptor agonist macimorelin can be used to assess GH reserve. Corticotropin-releasing hormone (CRH) administration induces ACTH release, and administration of synthetic ACTH (cosyntropin) evokes adrenal cortisol release as an indirect indicator of pituitary ACTH reserve (Chap. 398). ACTH reserve is most reliably assessed by measuring ACTH and cortisol levels during insulin-induced hypoglycemia. However, this test should be performed cautiously in patients with suspected adrenal insufficiency because of enhanced susceptibility to hypoglycemia and hypotension. Administering insu lin to induce hypoglycemia is contraindicated in patients with active coronary artery disease or known seizure disorders. TREATMENT Hypopituitarism Hormone replacement therapy, including glucocorticoids, thyroid hormone, sex steroids, GH, and AVP, is usually safe and free of complications. Treatment regimens that mimic physiologic hor mone production allow for maintenance of satisfactory clinical homeostasis. Effective dosage schedules are outlined in Table 391-3. Patients in need of glucocorticoid replacement require especially careful dose adjustments during stressful events such as acute ill ness, dental procedures, trauma, and hospitalization. </w:t>
      </w:r>
      <w:r w:rsidRPr="00A6019F">
        <w:rPr>
          <w:rFonts w:ascii="Arial" w:hAnsi="Arial" w:cs="Arial"/>
        </w:rPr>
        <w:t>■</w:t>
      </w:r>
      <w:r w:rsidRPr="00A6019F">
        <w:t xml:space="preserve">DISORDERS OF GROWTH AND DEVELOPMENT Skeletal Maturation and Somatic Growth The growth plate is dependent on a variety of hormonal stimuli, including GH, insulin like growth factor (IGF)-1, sex steroids, thyroid hormones, paracrine and circulating growth factors (e.g., fibroblast growth factor family), and cytokines. The growth-promoting process also requires caloric energy, amino acids, vitamins, and trace metals and consumes ~10% of normal energy production. Malnutrition impairs chondrocyte activity, increases GH resistance, and leads to reduced circulating IGF-1 and IGF binding protein (IGFBP)-3 levels. Linear bone growth rates are very high in infancy and are pituitary dependent. Mean growth velocity is ~6 cm/year in later childhood and usually is maintained within a given range on a standardized percen tile chart. Peak growth rates occur during midpuberty when bone age is 12 (girls) or 13 (boys). Secondary sexual development is associated with elevated sex steroids that cause progressive epiphyseal growth plate closure. Bone age is delayed in patients with all forms of true GH deficiency or GH </w:t>
      </w:r>
      <w:r w:rsidRPr="00A6019F">
        <w:lastRenderedPageBreak/>
        <w:t xml:space="preserve">receptor defects that result in attenuated GH action. Short stature may occur as a result of constitutive intrinsic growth defects or because of acquired extrinsic factors that impair growth. In general, delayed bone age in a child with short stature is suggestive of a hormonal or systemic disorder, whereas normal bone age in a short child is more likely to be caused by a genetic cartilage dysplasia or growth plate disorder (Chap. 425). GH Deficiency in Children Isolated GH deficiency is character ized by short stature, micropenis, increased fat, high-pitched voice, and a propensity to hypoglycemia due to relatively unopposed insulin action. Familial modes of inheritance are seen in at least one-third of these individuals and may be autosomal dominant, recessive, or X-linked. About 10% of children with GH deficiency have mutations in the GH-N gene, including gene deletions and a wide range of point mutations. Mutations in transcription factors Pit-1 and Prop-1, which control somatotrope development (see above), result in GH deficiency in combination with other pituitary hormone deficiencies, which may become manifest only in adulthood. The diagnosis of idiopathic GH deficiency should be made only after known molecular defects have been rigorously excluded. GHRH RECEPTOR MUTATIONS Recessive mutations of the GHRH receptor gene in subjects with severe proportionate dwarfism are asso ciated with low basal GH levels that cannot be stimulated by exogenous GHRH, GH-releasing peptide, or insulin-induced hypoglycemia, as well as anterior pituitary hypoplasia. The syndrome exemplifies the importance of the GHRH receptor for determining somatotrope pro liferation and hormonal responsiveness. GH INSENSITIVITY This is caused by defects of GH receptor structure or signaling. Homozygous or heterozygous mutations of the GH recep tor are associated with partial or complete GH insensitivity and growth failure (Laron syndrome). The diagnosis is based on normal or high GH levels, with decreased circulating GH-binding protein (GHBP), and low IGF-1 levels. Very rarely, defective IGF-1, IGF-1 receptor, or IGF-1 signaling defects are also encountered. STAT5B mutations result in both immunodeficiency as well as abrogated GH signaling, leading to short stature with normal or elevated GH levels and low IGF-1 levels. Circulat ing GH receptor antibodies may rarely cause peripheral GH insensitivity. 2995 Hypopituitarism CHAPTER 391 TABLE 391-2 Tests of Pituitary Sufficiency HORMONE TEST BLOOD SAMPLES INTERPRETATION GH Insulin tolerance test: Regular insulin (0.05–0.15 U/kg IV)–30, 0, 30, 60, 120 min for glucose and GH Glucose 3 μg/L GHRH/L-arginine test: GHRH 1 μg/kg IV and arginine 30 g IV over 30 min 0, 15, 30, 45, 60, 120 min for GH Normal GH response is BMI dependent: 11 μg/L if BMI 2.8 μg/L Glucagon test: 1 mg IM (1.5 mg if body weight &gt;90 kg) 0, 30, 60, 90, 120, 150, 180, 210, 240 for GH Normal response is GH &gt;3.0 µg/L if BMI 1.0 µg/L if BMI 25-30 and high pretest probability or if BMI &gt;30 l-Dopa test: 500 mg PO 0, 30, 60, 120 min for GH Normal response is GH &gt;3 μg/L PRL TRH test: 200–500 μg IV 0, 20, and 60 min for TSH and PRL Normal PRL is &gt;2 μg/L and increase &gt;200% of baseline ACTH           Insulin tolerance test: Regular insulin (0.05–0.15 U/kg IV)–30, 0, 30, 60, 90 min for glucose and cortisol Glucose 7 μg/dL or to &gt;20 μg/dL CRH test: 1 μg/kg CRH IV at 8 a.m. 0, 15, 30, 60, 90, 120 min for ACTH and </w:t>
      </w:r>
      <w:r w:rsidRPr="00A6019F">
        <w:lastRenderedPageBreak/>
        <w:t xml:space="preserve">cortisol Basal ACTH increases 2- to 4-fold and peaks at 20–100 pg/mL Cortisol levels &gt;20–25 μg/dL Metyrapone test: Metyrapone (30 mg/kg) at midnight Plasma 11-deoxycortisol and cortisol at 8 a.m.; ACTH can also be measured Plasma cortisol should be 7.5 μg/dL or ACTH &gt;75 pg/mL Standard ACTH stimulation test: ACTH 1-24 (cosyntropin), 0.25 mg IM or IV 0, 30, 60 min for cortisol and aldosterone Normal response is cortisol &gt;21 μg/dL and aldosterone response &gt;4 ng/dL above baseline Low-dose ACTH test: ACTH 1-24 (cosyntropin), 1 μg IV 0, 30, 60 min for cortisol Cortisol should be &gt;21 μg/dL 3-day ACTH stimulation test consists of 0.25 mg ACTH 1-24 given IV over 8 h each day  Cortisol &gt;21 μg/dL TSH   Basal thyroid function tests: T4 , T3 , TSH Basal measurements Low free thyroid hormone levels in the setting of TSH levels that are not appropriately increased indicate pituitary insufficiency TRH test: 200–500 μg IV 0, 20, 60 min for TSH and PRLa TSH should increase by &gt;5 mU/L unless thyroid hormone levels are increased LH, FSH   LH, FSH, testosterone, estrogen Basal measurements Basal LH and FSH should be increased in postmenopausal women Low testosterone levels in the setting of low LH and FSH indicate pituitary insufficiency GnRH test: GnRH (100 μg) IV 0, 30, 60 min for LH and FSH In most adults, LH should increase by 10 IU/L and FSH by 2 IU/L Normal responses are variable Multiple hormones Combined anterior pituitary test: GHRH (1 μg/kg), CRH (1 μg/kg), GnRH (100 μg), TRH (200 μg) are given IV–30, 0, 15, 30, 60, 90, 120 min for GH, ACTH, cortisol, LH, FSH, and TSH Combined or individual releasing hormone responses must be elevated in the context of basal target gland hormone values and may not be uniformly diagnostic (see text) aEvoked PRL response indicates lactotrope integrity. Abbreviations: T3 , triiodothyronine; T4 , thyroxine; TRH, thyrotropin-releasing hormone. For other abbreviations, see text. NUTRITIONAL SHORT STATURE Caloric deprivation and malnutri tion, uncontrolled diabetes, and chronic renal failure represent sec ondary causes of abrogated GH receptor function. These conditions also stimulate production of proinflammatory cytokines, which act to exacerbate the block of GH-mediated signal transduction. Children with these conditions typically exhibit features of acquired short stature with normal or elevated GH and low IGF-1 levels. PSYCHOSOCIAL SHORT STATURE Emotional and social deprivation lead to growth retardation accompanied by delayed speech, discordant hyperphagia, and an attenuated response to administered GH. A nur turing environment restores growth rates. </w:t>
      </w:r>
      <w:r w:rsidRPr="00A6019F">
        <w:rPr>
          <w:rFonts w:ascii="Arial" w:hAnsi="Arial" w:cs="Arial"/>
        </w:rPr>
        <w:t>■</w:t>
      </w:r>
      <w:r w:rsidRPr="00A6019F">
        <w:t xml:space="preserve">PRESENTATION AND DIAGNOSIS Short stature is commonly encountered in clinical practice, and the decision to evaluate these children requires clinical judgment in asso ciation with auxologic data and family history. Short stature should be evaluated comprehensively if a patient’s height is &gt;3 standard deviations below the mean for age or if the growth rate has decelerated. Skeletal maturation is best evaluated by measuring a radiologic bone age, which is based mainly on the degree of wrist bone growth plate fusion. Final height can be predicted using standardized scales (Bayley Pinneau or Tanner-Whitehouse) or estimated by adding 6.5 cm (boys) or subtracting 6.5 cm (girls) from the midparental height. </w:t>
      </w:r>
      <w:r w:rsidRPr="00A6019F">
        <w:rPr>
          <w:rFonts w:ascii="Arial" w:hAnsi="Arial" w:cs="Arial"/>
        </w:rPr>
        <w:t>■</w:t>
      </w:r>
      <w:r w:rsidRPr="00A6019F">
        <w:t xml:space="preserve">LABORATORY INVESTIGATION Because GH secretion is pulsatile, GH </w:t>
      </w:r>
      <w:r w:rsidRPr="00A6019F">
        <w:lastRenderedPageBreak/>
        <w:t xml:space="preserve">deficiency is best assessed by examining the response to provocative stimuli, including exercise, insulin-induced hypoglycemia, and other pharmacologic tests that normally increase GH to &gt;7 </w:t>
      </w:r>
      <w:r w:rsidRPr="00A6019F">
        <w:rPr>
          <w:rFonts w:ascii="Aptos" w:hAnsi="Aptos" w:cs="Aptos"/>
        </w:rPr>
        <w:t>μ</w:t>
      </w:r>
      <w:r w:rsidRPr="00A6019F">
        <w:t xml:space="preserve">g/L in children. Random GH measure ments do not distinguish children with normal GH levels from those with true GH deficiency. Adequate adrenal and thyroid hormone replacement should be assured before testing. Age-matched IGF-1 levels are not sufficiently sensitive or specific to make the diagno sis but can be useful to confirm GH deficiency. Pituitary MRI may reveal pituitary mass lesions or structural defects. Molecular analyses for known mutations should be undertaken when the cause of short stature remains cryptic or when additional clinical features suggest a genetic cause. 2996 PART 12 Endocrinology and Metabolism TABLE 391-4 Features of Adult Growth Hormone Deficiency Clinical Impaired quality of life Decreased energy and drive Poor concentration Low self-esteem Social isolation Body composition changes Increased body fat mass Central fat deposition Increased waist-to-hip ratio Decreased lean body mass Reduced exercise capacity Reduced maximum O2 uptake Impaired cardiac function Reduced muscle mass Cardiovascular risk factors Impaired cardiac structure and function Abnormal lipid profile Decreased fibrinolytic activity Atherosclerosis Omental obesity Imaging Pituitary: mass or structural damage Bone: reduced bone mineral density Abdomen: excess omental adiposity Laboratory Evoked GH 5 μg/L; AGHD is defined by a peak GH response to hypoglycemia of 1 year). Many patients note significant improvement in quality of life when evaluated by standardized questionnaires. The effect of GH replacement on mortality rates in GH-deficient patients is currently the subject of long-term prospective investigation. Recently approved long-acting GH preparations for patients with AGHD require weekly injections. Ideally, dosing should be titrated to achieve normal but not supra-normal IGF-1 levels. Early reports indicate that side effects appear similar to subcutaneous formulations. About 30% of patients exhibit reversible dose-related fluid reten tion, joint pain, and carpal tunnel syndrome, and up to 40% exhibit myalgias and paresthesia. Patients receiving insulin require careful monitoring for dosing adjustments, as GH is a potent counterregulatory hormone for insulin action. Patients with type 2 diabetes mellitus may initially develop further insulin resistance. However, glycemic control usually improves with the sustained loss of abdominal fat associated with long-term GH replacement. Headache, increased intracranial pressure, hypertension, and tin nitus occur rarely. Pituitary tumor regrowth and progression of skin lesions or other tumors have not been encountered in long-term surveillance programs with appropriate replacement doses. </w:t>
      </w:r>
      <w:r w:rsidRPr="00A6019F">
        <w:rPr>
          <w:rFonts w:ascii="Arial" w:hAnsi="Arial" w:cs="Arial"/>
        </w:rPr>
        <w:t>■</w:t>
      </w:r>
      <w:r w:rsidRPr="00A6019F">
        <w:t xml:space="preserve">PRESENTATION AND DIAGNOSIS Secondary adrenal insufficiency occurs as a result of pituitary ACTH deficiency. It is characterized by fatigue, weakness, anorexia, nausea, vomiting, and, occasionally, hypoglycemia. In contrast to primary adrenal failure, hypocortisolism associated with pituitary failure usu ally is not accompanied by hyperpigmentation or mineralocorticoid deficiency. ACTH deficiency is commonly due to glucocorticoid withdrawal after treatment-associated suppression of the hypothalamic-pituitary adrenal (HPA) axis. Isolated ACTH deficiency may occur </w:t>
      </w:r>
      <w:r w:rsidRPr="00A6019F">
        <w:lastRenderedPageBreak/>
        <w:t xml:space="preserve">after surgical resection of an ACTH-secreting pituitary adenoma that has suppressed the HPA axis; this phenomenon is in fact suggestive of a surgical cure. The mass effects of other pituitary adenomas or sellar lesions may lead to ACTH deficiency, usually in combination with other pituitary hor mone deficiencies. Partial ACTH deficiency may be unmasked in the presence of an acute medical or surgical illness, when clinically signifi cant hypocortisolism reflects diminished ACTH reserve. Rarely, TPIT or POMC mutations result in primary ACTH deficiency. </w:t>
      </w:r>
      <w:r w:rsidRPr="00A6019F">
        <w:rPr>
          <w:rFonts w:ascii="Arial" w:hAnsi="Arial" w:cs="Arial"/>
        </w:rPr>
        <w:t>■</w:t>
      </w:r>
      <w:r w:rsidRPr="00A6019F">
        <w:t xml:space="preserve">LABORATORY DIAGNOSIS Inappropriately low ACTH levels in the setting of low cortisol levels are characteristic of diminished ACTH reserve. Low basal serum cortisol levels are associated with blunted cortisol responses to ACTH stimula tion and impaired cortisol response to insulin-induced hypoglycemia or testing with metyrapone or CRH. For a description of provocative ACTH tests, see Chap. 398. CHAPTER 391 Hypopituitarism TREATMENT ACTH Deficiency Glucocorticoid replacement therapy improves most features of ACTH deficiency. The total daily dose of hydrocortisone replace ment preferably should not exceed 20 mg daily, divided into two or three doses. Prednisone (5 mg each morning) is longer acting and has fewer mineralocorticoid effects than hydrocortisone. Some authorities advocate lower maintenance doses in an effort to avoid cushingoid side effects. Doses should be increased severalfold dur ing periods of acute illness or stress. Patients should wear medical alert bracelets and/or carry identification cards with information about their glucocorticoid requirements. GONADOTROPIN DEFICIENCY Hypogonadism is the most common presenting feature of adult hypo pituitarism even when other pituitary hormones are also deficient. It is often a harbinger of hypothalamic or pituitary lesions that impair GnRH production or delivery through the pituitary stalk. As noted below, hypogonadotropic hypogonadism is a common presenting fea ture of hyperprolactinemia. A variety of inherited and acquired disorders are associated with isolated hypogonadotropic hypogonadism (Chap. 403). Hypothalamic defects associated with GnRH deficiency include Kallmann syndrome and mutations in more than a dozen genes that regulate GnRH neu ron migration, development, and function (see above). Mutations in GPR54, DAX1, NR5A1, kisspeptin, the GnRH receptor, and the LHβ or FSHβ subunit genes also cause pituitary gonadotropin deficiency. Acquired forms of GnRH deficiency leading to hypogonadotropism are seen in association with anorexia nervosa, stress, starvation, and extreme exercise but also may be idiopathic. Hypogonadotropic hypo gonadism in these disorders is reversed by removal of the stressful stimulus or by caloric replenishment. </w:t>
      </w:r>
      <w:r w:rsidRPr="00A6019F">
        <w:rPr>
          <w:rFonts w:ascii="Arial" w:hAnsi="Arial" w:cs="Arial"/>
        </w:rPr>
        <w:t>■</w:t>
      </w:r>
      <w:r w:rsidRPr="00A6019F">
        <w:t xml:space="preserve">PRESENTATION AND DIAGNOSIS In premenopausal women, hypogonadotropic hypogonadism presents as diminished ovarian function leading to oligomenorrhea or amenor rhea, infertility, decreased vaginal secretions, decreased libido, and breast atrophy. In hypogonadal adult men, secondary testicular failure 2998 is associated with decreased libido and potency, infertility, decreased muscle mass with weakness, reduced beard and body hair growth, soft testes, and characteristic fine facial wrinkles. Osteoporosis occurs in both untreated hypogonadal women and men. </w:t>
      </w:r>
      <w:r w:rsidRPr="00A6019F">
        <w:rPr>
          <w:rFonts w:ascii="Arial" w:hAnsi="Arial" w:cs="Arial"/>
        </w:rPr>
        <w:t>■</w:t>
      </w:r>
      <w:r w:rsidRPr="00A6019F">
        <w:t xml:space="preserve">LABORATORY INVESTIGATION PART 12 </w:t>
      </w:r>
      <w:r w:rsidRPr="00A6019F">
        <w:lastRenderedPageBreak/>
        <w:t xml:space="preserve">Endocrinology and Metabolism Central hypogonadism is associated with low or inappropriately normal serum gonadotropin levels in the setting of low sex hormone concentrations (testosterone in men, estradiol in women). Because gonadotropin secretion is pulsatile, valid assessments may require repeated measurements or the use of pooled serum samples. Men have reduced sperm counts. Intravenous GnRH (100 μg) stimulates gonadotropes to secrete LH (which peaks within 30 min) and FSH (which plateaus during the ensuing 60 min). Normal responses vary according to menstrual cycle stage, age, and sex of the patient. Generally, LH levels increase about threefold, whereas FSH responses are less pronounced. In the setting of gonadotropin deficiency, a normal gonadotropin response to GnRH indicates intact pituitary gonadotrope function and suggests a hypo thalamic abnormality. An absent response, however, does not reliably distinguish pituitary from hypothalamic causes of hypogonadism. For this reason, GnRH testing usually adds little to the information gained from baseline evaluation of the hypothalamic-pituitary-gonadotrope axis except in cases of isolated GnRH deficiency (e.g., Kallmann syndrome). MRI examination of the sellar region and assessment of other pituitary functions usually are indicated in patients with documented central hypogonadism. TREATMENT Gonadotropin Deficiency In males, testosterone replacement is necessary to achieve and maintain normal growth and development of the external genitalia, secondary sex characteristics, male sexual behavior, and androgenic anabolic effects, including maintenance of muscle function and bone mass. Testosterone may be administered by intramuscular injections every 1–4 weeks or by using skin patches or testoster one gels (Chap. 403). Gonadotropin injections (hCG or human menopausal gonadotropin [hMG]) over 12–18 months are used to restore fertility. Pulsatile GnRH therapy (25–150 ng/kg every 2 h), administered by a subcutaneous infusion pump, is also effective for treatment of hypothalamic hypogonadism when fertility is desired. In premenopausal women, cyclical replacement of estrogen and progesterone maintains secondary sexual characteristics and integ rity of genitourinary tract mucosa and prevents premature osteo porosis (Chap. 404). Gonadotropin therapy is used for ovulation induction. Follicular growth and maturation are initiated using hMG or recombinant FSH; hCG or human luteinizing hormone is subsequently injected to induce ovulation. As in men, pulsatile GnRH therapy can be used to treat hypothalamic causes of gonado tropin deficiency. ARGININE VASOPRESSIN DEFICIENCY See Chap. 393 for diagnosis and treatment of AVP-D. </w:t>
      </w:r>
      <w:r w:rsidRPr="00A6019F">
        <w:rPr>
          <w:rFonts w:ascii="Arial" w:hAnsi="Arial" w:cs="Arial"/>
        </w:rPr>
        <w:t>■</w:t>
      </w:r>
      <w:r w:rsidRPr="00A6019F">
        <w:t xml:space="preserve">FURTHER READING Fleseriu M et al: Hormonal replacement in hypopituitarism in adults: An Endocrine Society clinical practice guideline. J Clin Endocrinol Metab 101:3888, 2016. Gregory LC, Dattani MT: The molecular basis of congenital hypopi tuitarism and related disorders. J Clin Endocrinol Metab 105:e2103, 2020. Melmed S: Pathogenesis and diagnosis of growth hormone deficiency in adults. N Engl J Med 380:2551, 2019. Miller BS et al: Long-acting growth hormone preparations-current status and future considerations. J Clin Endocrinol Metab 105:e2121, 2020. Prodam F et al: Insights into non-classic and emerging causes of hypo pituitarism. Nat </w:t>
      </w:r>
      <w:r w:rsidRPr="00A6019F">
        <w:lastRenderedPageBreak/>
        <w:t xml:space="preserve">Rev Endocrinol 17:114, 2021. Quandt Z et al: Spectrum of clinical presentations, imaging findings, and HLA types in immune checkpoint inhibitor-induced hypophysi tis. J Endocr Soc 7:bvad012, 2023. Tanriverdi F et al: Pituitary dysfunction after traumatic brain injury: A clinical and pathophysiological approach. Endocr Rev 36:305, 2015. Yamamoto M et al: Autoimmune pituitary disease: New concepts with clinical implications. Endocr Rev 41:261, 2020. 392 Pituitary Tumor Syndromes Shlomo Melmed, J. Larry Jameson HYPOTHALAMIC, PITUITARY, AND OTHER SELLAR MASSES </w:t>
      </w:r>
      <w:r w:rsidRPr="00A6019F">
        <w:rPr>
          <w:rFonts w:ascii="Arial" w:hAnsi="Arial" w:cs="Arial"/>
        </w:rPr>
        <w:t>■</w:t>
      </w:r>
      <w:r w:rsidRPr="00A6019F">
        <w:t xml:space="preserve">EVALUATION OF SELLAR MASSES Local Mass Effects Clinical manifestations of sellar lesions vary, depending on the anatomic location of the mass and the direction of its extension (Table 392-1). The dorsal sellar diaphragm presents the least resistance to soft tissue expansion from the sella; consequently, pituitary adenomas frequently extend in a suprasellar direction. Bony invasion may occur as well, especially through the sellar floor to the sphenoid sinus (Fig. 392-1). Headaches are common features of small intrasellar tumors, even with no demonstrable suprasellar extension. Because of the confined nature of the pituitary, small changes in intrasellar pressure stretch the dural plate; however, headache severity correlates poorly with adenoma size or extension. Suprasellar extension can lead to visual loss by several mechanisms, the most common being compression of the optic chiasm. Rarely, direct invasion of the optic nerves or obstruction of cerebrospinal fluid (CSF) flow leading to secondary visual disturbances can occur. Pitu itary stalk compression by a hormonally active or inactive intrasellar mass may compress the portal vessels, disrupting pituitary access to hypothalamic hormones and dopamine; this results in early hyperpro lactinemia and later concurrent loss of other pituitary hormones. This “stalk section” phenomenon may also be caused by trauma, whiplash injury with posterior clinoid stalk compression, or skull base fractures. Lateral mass invasion may impinge on the cavernous sinus and com press its neural contents, leading to cranial nerve III, IV, and VI palsies as well as effects on the ophthalmic and maxillary branches of the fifth cranial nerve (Chap. 452). Patients may present with diplopia, ptosis, ophthalmoplegia, and decreased facial sensation, depending on the extent of neural damage. Extension into the sphenoid sinus indicates that the pituitary mass has eroded through the sellar floor (Fig. 392-1). Aggressive tumors rarely invade the palate roof and cause nasopharyn geal obstruction, infection, and CSF leakage. Temporal and frontal lobe involvement may rarely lead to uncinate seizures, personality disor ders, and anosmia. Direct hypothalamic encroachment by an invasive pituitary mass may cause important metabolic sequelae, including precocious puberty or hypogonadism, arginie vasopressin deficiency (AVP-D), sleep disturbances, dysthermia, and appetite disorders. Magnetic Resonance Imaging Sagittal and coronal T1-weighted magnetic resonance imaging (MRI) before and after administration of gadolinium allows precise visualization of the pituitary gland with 2999 TABLE 392-1 Features of Sellar Mass Lesionsa IMPACTED STRUCTURE Pituitary Optic chiasm Hypothalamus Cavernous sinus Frontal lobe Brain CLINICAL IMPACT Hypogonadism Hypothyroidism Growth failure, adult growth hormone deficiency </w:t>
      </w:r>
      <w:r w:rsidRPr="00A6019F">
        <w:lastRenderedPageBreak/>
        <w:t xml:space="preserve">Hypoadrenalism Hyperprolactinema (stalk compression) Loss of red perception Bitemporal hemianopia Superior or bitemporal field defect Scotoma Blindness Temperature dysregulation Appetite and thirst disorders Obesity Arginine vasopression deficiency Sleep disorders Behavioral dysfunction Autonomic dysfunction Ophthalmoplegia with or without ptosis or diplopia Facial numbness Personality disorder Anosmia Headache Hydrocephalus Psychosis Dementia Laughing seizures aAs the intrasellar mass expands, it first compresses intrasellar pituitary tissue, then usually invades dorsally through the dura to lift the optic chiasm or laterally to the cavernous sinuses. Bony erosion is rare, as is direct brain compression. Microadenomas may present with headache. clear delineation of the hypothalamus, pituitary stalk, pituitary tissue and surrounding suprasellar cisterns, cavernous sinuses, sphenoid sinus, and optic chiasm. Pituitary gland height ranges from 6 mm in children to 8 mm in adults; during pregnancy and puberty, the height may reach 10–12 mm. The upper aspect of the adult pituitary is flat or slightly concave, but in adolescent and pregnant individuals, this sur face may be convex, reflecting physiologic pituitary enlargement. The stalk should be midline and vertical. Anterior pituitary gland soft tissue consistency is slightly hetero geneous on MRI, and signal intensity resembles that of brain matter on T1-weighted imaging (Fig. 392-2). Adenoma density is usually lower than that of surrounding normal tissue on T1-weighted imaging, and the signal intensity increases with T2-weighted images. Computed tomography (CT) scan is reserved to define the extent of bony erosion or the presence of calcification. Sellar masses are encountered commonly as incidental findings on MRI, and most are pituitary adenomas (incidentalomas). In the absence of hormone hypersecretion, these small intrasellar lesions can be monitored safely with MRI, which is performed annually and then less often if there is no evidence of further growth. Resection should be considered for incidentally discovered larger macroadenomas, because about one-third become invasive or cause local pressure effects. If hormone hypersecretion is identified, specific therapies are indicated as described below. When larger masses (&gt;1 cm) are encountered, they should also be distinguished from nonadenomatous lesions. Meningio mas often are associated with bony hyperostosis; craniopharyngiomas may have calcifications and are usually hypodense, whereas gliomas are hyperdense on T2-weighted images. Ophthalmologic Evaluation Because optic tracts may be con tiguous to an expanding pituitary mass, reproducible visual field assessment using perimetry techniques should be performed on all patients with sellar mass lesions that impinge the optic chiasm (Chap. 34). Bitemporal hemianopia, often more pronounced superiorly, is observed classically. It occurs because nasal ganglion cell fibers, which cross in the optic chiasm, are especially vulnerable to compression of the ventral optic chiasm. Occasionally, homonymous hemianopia occurs from postchiasmal compression or monocular temporal field loss from prechiasmal compression. Invasion of the cavernous sinus can produce diplopia from ocular motor nerve palsy. Early diagnosis reduces the risk of optic atrophy, vision loss, or eye misalignment. Laboratory </w:t>
      </w:r>
      <w:r w:rsidRPr="00A6019F">
        <w:lastRenderedPageBreak/>
        <w:t xml:space="preserve">Investigation The presenting clinical features of functional pituitary adenomas (e.g., acromegaly, prolactinoma, or Cushing’s disease) should guide the laboratory studies (Table 392-2). However, for a sellar mass with no obvious clinical features of hormone excess, laboratory studies are geared toward determining the nature of the tumor and assessing the possible presence of hypopituitarism. When a pituitary adenoma is suspected based on MRI, initial hormonal evaluation usually includes (1) basal prolactin (PRL); (2) insulin-like growth factor (IGF)-1; (3) 24-h urinary free cortisol (UFC) and/or overnight oral dexamethasone (1 mg) suppression test; (4) α subunit, follicle-stimulating hormone (FSH), and luteinizing hormone (LH); and (5) thyroid function tests. Additional hormonal evaluation may be indicated based on the results of these tests. Pending more detailed assessment of hypopituitarism, a menstrual history, measurement of testosterone and 8 A.M. cortisol levels, and thyroid function tests usu ally identify patients with pituitary hormone deficiencies that require hormone replacement before further testing or surgery (Chap. 391). Histologic Evaluation Immunohistochemical staining of pitu itary tumor specimens obtained at transsphenoidal surgery for hor mones as well as cell-type specific transcription factors confirms clinical and laboratory studies and provides a histologic diagnosis when hormone studies are equivocal and in cases of clinically non functioning tumors. CHAPTER 392 Pituitary Tumor Syndromes TREATMENT Hypothalamic, Pituitary, and Other Sellar Masses OVERVIEW Successful management of sellar masses requires accurate diagnosis as well as selection of optimal therapeutic modalities. Most pitu itary tumors are benign and slow growing. Clinical features result from local mass effects and hormonal hyper- or hyposecretion syndromes caused directly by the adenoma or occurring as a conse quence of treatment. Thus, lifelong management and follow-up are necessary for these patients. MRI with gadolinium enhancement for pituitary visualiza tion, new advances in transsphenoidal surgery and in stereotactic radiotherapy, and novel therapeutic agents have improved pitu itary tumor management. The goals of pituitary tumor treatment include normalization of excess pituitary secretion, amelioration of symptoms and signs of hormonal hypersecretion syndromes, and shrinkage or ablation of large tumor masses with relief of adjacent structure compression. Residual anterior pituitary function should be preserved during treatment and sometimes can be restored by removing the tumor mass. Ideally, adenoma recurrence should be prevented. TRANSSPHENOIDAL SURGERY Transsphenoidal resection is the desired surgical approach for pituitary tumors, except for the rare invasive suprasellar mass sur rounding the frontal or middle fossa or the optic nerves or invad ing posteriorly behind the clivus, which may require transcranial approaches. Intraoperative microscopy facilitates visual distinc tion between adenomatous and normal pituitary tissue as well as microdissection of small tumors that may not be visible by MRI (Fig. 392-3). Endoscopic techniques with three-dimensional intraoperative localization enable better visualization and access to tumor tissue. Transsphenoidal surgery also avoids cranial invasion and manipulation of brain </w:t>
      </w:r>
      <w:r w:rsidRPr="00A6019F">
        <w:lastRenderedPageBreak/>
        <w:t xml:space="preserve">tissue required by subfrontal surgical 3000 PART 12 Endocrinology and Metabolism A B FIGURE 392-1 Expanding pituitary mass. Pituitary mass expansion may (A) impinge vital soft tissue structures and (B) invade the sphenoid sinus. (Reproduced with permission from P Cappabianca et al: Size does not matter. The intrigue of giant adenomas: a true surgical challenge. Acta Neurochir (Wien) 156:2217, 2014.) FIGURE 392-2 Pituitary adenoma. Coronal T1-weighted postcontrast magnetic resonance image shows a homogeneously enhancing mass (arrowheads) in the sella turcica and suprasellar region compatible with a pituitary adenoma; the small arrows outline the carotid arteries. approaches. Individual surgical experience is a major determinant of outcome efficacy with these techniques. In addition to correction of hormonal hypersecretion, pituitary surgery is indicated for mass lesions that impinge on surround ing structures. Surgical decompression and resection are required for an expanding pituitary mass, which may be asymptomatic or accompanied by persistent headache, progressive visual field defects, cranial nerve palsies, hydrocephalus, and, occasionally, intrapituitary hemorrhage and apoplexy. Transsphenoidal surgery rarely is used for pituitary tissue biopsy to establish a histologic diagnosis. Whenever possible, the pituitary mass lesion should be selectively excised; normal pituitary tissue should be manipulated or resected only when critical for effective mass dissection. Non selective hemihypophysectomy or total hypophysectomy may be indicated if no hypersecreting mass lesion is clearly discernible, multifocal lesions are present, or the remaining nontumorous pitu itary tissue is obviously necrotic. This strategy, however, increases the likelihood of postoperative hypopituitarism and the need for lifelong hormone replacement. Preoperative mass effects, including visual field defects and compromised pituitary function, may be reversed by surgery, par ticularly when the deficits are not long-standing. For large and invasive tumors, it is necessary to determine the optimal balance between maximal tumor resection and preservation of anterior pituitary hormonal function, especially for preserving growth and 3001 TABLE 392-2 Screening Tests for Functional Pituitary Adenomas TEST Acromegaly Prolactinoma Serum IGF-1 Oral glucose tolerance test with GH obtained at 0, 30, and 60 min Serum PRL Cushing’s disease 24-h urinary free cortisol Dexamethasone (1 mg) at 11 P.m. and fasting plasma cortisol measured at 8 a.m. Late night salivary cortisol ACTH assay CRH stimulation test with measurements of cortisol and ACTH from peripheral and/or petrosal sinus blood  Gonadotropinoma Baseline FSH, LH, free α subunit, ovarian hyperstimulation, estrogen (females), testosterone (males) TRH stimulation test with assays for LH, FSH, free α subunit, free LHβ, free FSHβ subunits TSH-producing adenoma Free T4 , free T3 , TSH, free α subunit COMMENTS Interpret IGF-1 relative to age- and sex-matched controls Normal subjects should suppress growth hormone to 200 μg/L (see below). Less pronounced PRL elevation can also be seen with microprolactinomas but is more commonly caused by drugs, pituitary stalk compression, hypothyroidism, or renal failure (Table 392-5). Pregnancy and lactation are the important physiologic causes of hyperprolactinemia. Sleep-associated </w:t>
      </w:r>
      <w:r w:rsidRPr="00A6019F">
        <w:lastRenderedPageBreak/>
        <w:t xml:space="preserve">hyperprolactinemia reverts to normal within an hour of awakening. Nipple stimulation and sexual orgasm also may increase PRL. Chest wall stimulation or trauma (including chest surgery and herpes zoster) invokes the reflex suckling arc with resultant hyperprolactinemia. Chronic renal failure elevates PRL by decreasing peripheral clearance. Primary hypothyroidism is associated with mild hyperprolactinemia, probably because of com pensatory TRH secretion. Mutation of the PRL receptor is a rare cause of hyperprolactinemia. Lesions of the hypothalamic-pituitary region that disrupt hypo thalamic dopamine synthesis, portal vessel delivery, or lactotrope responses are associated with hyperprolactinemia. Thus, hypothalamic tumors, cysts, infiltrative disorders, and radiation-induced dam age cause elevated PRL levels, usually in the range of 30–100 μg/L. Plurihormonal adenomas (including GH and ACTH tumors) may hypersecrete PRL directly. Pituitary masses, including clinically non functioning pituitary tumors, may compress the pituitary stalk to cause hyperprolactinemia. Drug-induced inhibition or disruption of dopaminergic receptor function is a common cause of hyperprolactinemia (Table 392-5). Thus, antipsychotics and antidepressants are a relatively common cause of mild hyperprolactinemia. Most patients receiving risperidone have elevated PRL levels, sometimes exceeding 200 μg/L. Methyldopa inhibits dopamine synthesis, and verapamil blocks dopamine release, also leading to hyperprolactinemia. Hormonal agents that induce PRL include estrogens and thyrotropin-releasing hormone (TRH). Presentation and Diagnosis Amenorrhea, galactorrhea, and infertility are the hallmarks of hyperprolactinemia in women. If hyper prolactinemia develops before menarche, primary amenorrhea results. More commonly, hyperprolactinemia develops later in life and leads to oligomenorrhea and ultimately to amenorrhea. If hyperprolactinemia is sustained, vertebral bone mineral density can be reduced compared with age-matched controls, particularly when it is associated with pro nounced hypoestrogenemia. Galactorrhea is present in up to 80% of hyperprolactinemic women. Although usually bilateral and spontane ous, it may be unilateral or expressed only manually. Patients also may complain of decreased libido, weight gain, and mild hirsutism. In men with hyperprolactinemia, diminished libido, infertility, and visual loss (from optic nerve compression) are the usual presenting symptoms. Gonadotropin suppression leads to reduced testosterone, impotence, and oligospermia. True galactorrhea is uncommon in men with hyperprolactinemia. If the disorder is long-standing, secondary effects of hypogonadism are evident, including osteopenia, reduced muscle mass, and decreased beard growth. The diagnosis of idiopathic hyperprolactinemia is made by exclu sion of known causes of hyperprolactinemia in the setting of a normal 3005 Pituitary Tumor Syndromes CHAPTER 392 TABLE 392-5 Etiology of Hyperprolactinemia I. Physiologic hypersecretion Pregnancy Lactation Chest wall stimulation Sleep Stress II. Hypothalamic-pituitary stalk damage Pituitary adenoma with stalk compression Suprasellar mass Craniopharyngioma Meningioma Dysgerminoma Metastases Empty sella Lymphocytic hypophysitis Granulomas Rathke’s cyst Irradiation Trauma Pituitary stalk section </w:t>
      </w:r>
      <w:r w:rsidRPr="00A6019F">
        <w:lastRenderedPageBreak/>
        <w:t xml:space="preserve">Suprasellar surgery III. Pituitary adenoma hypersecretion Prolactinoma Acromegaly IV. Systemic disorders Chronic renal failure Hypothyroidism Cirrhosis Pseudocyesis Epileptic seizures V. Drug-induced hypersecretion Dopamine receptor blockers Atypical antipsychotics: risperidone Phenothiazines: chlorpromazine, perphenazine Butyrophenones: haloperidol Thioxanthenes Metoclopramide Dopamine synthesis inhibitors α-Methyldopa Catecholamine depletors Reserpine Opiates H2 antagonists Cimetidine, ranitidine Imipramines Amitriptyline, amoxapine Serotonin reuptake inhibitors Fluoxetine Calcium channel blockers Verapamil Estrogens Thyrotropin-releasing hormone Note: Hyperprolactinemia &gt;200 μg/L almost invariably is indicative of a prolactin secreting pituitary adenoma. Physiologic causes, hypothyroidism, and drug-induced hyperprolactinemia should be excluded before extensive evaluation. pituitary MRI. Some of these patients may harbor small microadeno mas below visible MRI sensitivity (~2 mm). </w:t>
      </w:r>
      <w:r w:rsidRPr="00A6019F">
        <w:rPr>
          <w:rFonts w:ascii="Arial" w:hAnsi="Arial" w:cs="Arial"/>
        </w:rPr>
        <w:t>■</w:t>
      </w:r>
      <w:r w:rsidRPr="00A6019F">
        <w:t xml:space="preserve">GALACTORRHEA Galactorrhea, the inappropriate discharge of milk-containing fluid from the breast, is considered abnormal if it persists longer than 6 months after childbirth or discontinuation of breast-feeding. Postpartum galactorrhea associated with amenorrhea is a self-limiting disorder usually associated with moderately elevated PRL levels. Galactorrhea may occur spontaneously, or it may be elicited by nipple pressure. In both men and women, galactorrhea may vary in color and consistency (transparent, milky, or bloody) and arise either unilaterally or bilater ally. Mammography or ultrasound is indicated for bloody discharges (particularly from a single nipple), which may be caused by breast cancer. Galactorrhea is commonly associated with hyperprolactinemia caused by any of the conditions listed in Table 392-5. Acromegaly is associated with galactorrhea in about one-third of patients. Treatment of galactorrhea usually involves managing the underlying disorder (e.g., replacing T4 for hypothyroidism, discontinuing a medication, treating prolactinoma). Laboratory Investigation Basal, fasting morning PRL levels (normally 1000 μg/L), reported results may be falsely lowered because of assay artifacts; sample dilution is required to measure these high values accurately. Falsely elevated values may be caused by aggregated forms of circulating PRL, which are usually biologically inactive (macroprolactinemia). Hypo thyroidism should be excluded by measuring TSH and T4 levels. TREATMENT Hyperprolactinemia Treatment of hyperprolactinemia depends on the cause of elevated PRL levels. Regardless of the etiology, however, treatment should be aimed at normalizing PRL levels to alleviate suppressive effects on gonadal function, halt galactorrhea, and preserve bone mineral density. Dopamine agonists are effective for most causes of hyper prolactinemia (see the treatment section for prolactinoma, below) regardless of the underlying cause. If the patient is taking a medication known to cause hyperprolac tinemia, the drug should be withdrawn, if possible. For psychiatric patients who require neuroleptic agents, supervised dose titration or the addition of a dopamine agonist can help restore normopro lactinemia and alleviate reproductive symptoms. However, dopa mine agonists may worsen the underlying psychiatric condition, especially at high doses. Hyperprolactinemia usually resolves after adequate </w:t>
      </w:r>
      <w:r w:rsidRPr="00A6019F">
        <w:lastRenderedPageBreak/>
        <w:t xml:space="preserve">thyroid hormone replacement in hypothyroid patients or after renal transplantation in patients undergoing dialysis. Resec tion of hypothalamic or sellar mass lesions can reverse hyperprolac tinemia caused by stalk compression and reduced dopamine tone. Granulomatous infiltrates occasionally respond to glucocorticoid administration. In patients with irreversible hypothalamic dam age, no treatment may be warranted. In up to 30% of patients with hyperprolactinemia—usually without a visible pituitary microad enoma—the condition may resolve spontaneously. </w:t>
      </w:r>
      <w:r w:rsidRPr="00A6019F">
        <w:rPr>
          <w:rFonts w:ascii="Arial" w:hAnsi="Arial" w:cs="Arial"/>
        </w:rPr>
        <w:t>■</w:t>
      </w:r>
      <w:r w:rsidRPr="00A6019F">
        <w:t xml:space="preserve">PROLACTINOMA Etiology and Prevalence Tumors arising from lactotropes account for about half of all functioning pituitary tumors, with a popu lation prevalence of ~10/100,000 in men and ~30/100,000 in women. Mixed tumors that secrete combinations of GH and PRL, ACTH and PRL, and rarely TSH and PRL are also seen. These plurihormonal tumors are usually recognized by immunohistochemistry, sometimes without apparent clinical manifestations from the production of addi tional hormones. Microadenomas are classified as 250 μg/L usually are associated with macroadenomas. Men tend to present with larger tumors than women, possibly because the features of male hypogonadism are less readily evident. PRL levels remain stable 3006 in most patients, reflecting the slow growth of these tumors. About 5% of microadenomas progress in the long term to macroadenomas. Presentation and Diagnosis Women usually present with amen PART 12 Endocrinology and Metabolism orrhea, infertility, and galactorrhea. If the tumor extends outside the sella, visual field defects or other mass effects may be seen. Men often present with impotence, loss of libido, infertility, or signs of central nervous system (CNS) compression, including headaches and visual defects. Assuming that physiologic and medication-induced causes of hyperprolactinemia are excluded (Table 392-5), the diagnosis of pro lactinoma is likely with a PRL level &gt;200 μg/L. PRL levels 14 days after a single oral dose and induces prolactinoma shrinkage in most patients. Cabergoline (0.5–1.0 mg twice weekly) achieves normoprolactinemia and resumption of normal gonadal function in ~80% of patients with microadenomas; galactorrhea improves or resolves in 90% of patients. Cabergoline normalizes PRL and shrinks ~70% of macroprolactinomas. Mass effect symptoms, including headaches and visual disorders, usu ally improve dramatically within days after cabergoline initiation; improvement of sexual function requires several weeks of treat ment but may occur before complete normalization of PRL levels. MRI should be repeated within 16 weeks after initial therapy of macroadenomas as shrinkage of invasive adenomas may be striking (Fig. 392-6). After initial control of PRL levels has been achieved, cabergoline should be reduced to the lowest effective maintenance dose. In ~5% of treated patients harboring a microadenoma, hyper prolactinemia may resolve and not recur when dopamine agonists are discontinued after long-term treatment. Cabergoline also may be effective in patients resistant to bromocriptine. Adverse effects and drug intolerance are encountered less commonly than with bromocriptine. Bromocriptine The ergot alkaloid bromocriptine mesylate is a dopamine receptor agonist that suppresses PRL secretion. Because it is short-acting, the drug is preferred when pregnancy is desired. </w:t>
      </w:r>
      <w:r w:rsidRPr="00A6019F">
        <w:lastRenderedPageBreak/>
        <w:t xml:space="preserve">Therapy is initiated by administering a low bromocriptine dose (0.625–1.25 mg) at bedtime with a snack, followed by gradually ELEVATED PROLACTIN LEVELS Exclude secondary causes of hyperprolactinemia MRI evidence for pituitary mass Symptomatic Prolactinoma Microadenoma Titrate dopamine agonist Serum PRL 50 (µg/L) Reassess diagnosis Increase dose No tumor shrinkage or tumor growth or persistent hyperprolactinemia Consider Surgery Test visual fields Test pituitary reserve function Titrate dopamine agonist Repeat MRI within 4 months Tumor shrinkage and prolactin normalized Monitor PRL and repeat MRI annually FIGURE 392-5 Management of prolactinoma. MRI, magnetic resonance imaging; PRL, prolactin. 3007 CHAPTER 392 A B C D FIGURE 392-6 Large invasive prolactinoma successfully treated with cabergoline. A–B. Prolactin-secreting macroadenoma in a 32-year-old male measuring 5.6 × 6.9 cm invading the skull base. PRL level was 122,260 μg/L. Four days after cabergoline was started, PRL was 10,823 μg/L and dropped to 772 μg/L after 3 weeks. C–D. Substantial tumor regression after 40 months of treatment, with PRL levels stable at 25 μg/L. (Reproduced with permission from M Ahmed, O Al-Nozha: Images in clinical medicine. Large prolactinoma. N Engl J Med 363:177, 2010.) increasing the dose. Most patients are controlled with a daily dose of 500 prolactinoma patients receiv ing recommended doses of cabergoline (up to 2 mg weekly) have shown no evidence for an increased incidence of valvular disorders. Nevertheless, because no controlled prospective studies in pituitary tumor patients are available, it is prudent to perform echocardio grams before initiating standard-dose cabergoline therapy. Surgery Surgical adenoma debulking may be indicated for dopa mine resistance or intolerance as well as the presence of an invasive macroadenoma with compromised vision that fails to improve after drug treatment. Initial PRL normalization is achieved in ~70% of microprolactinomas after surgical resection, but only 40% of mac roadenomas can be resected successfully. Follow-up studies have shown that hyperprolactinemia recurs in up to 20% of patients within the first year after surgery; long-term recurrence rates may exceed 50% for macroadenomas. Radiotherapy for prolactinomas is reserved for patients with aggressive tumors that do not respond to maximally tolerated dopamine agonists and/or surgery. PREGNANCY The pituitary increases in size during pregnancy, reflecting the stimulatory effects of estrogen and perhaps other growth factors Pituitary Tumor Syndromes 3008 larger. GH-secreting tumors rarely arise from ectopic pituitary tissue remnants in the nasopharynx or midline sinuses. PART 12 Endocrinology and Metabolism There are case reports of ectopic GH secretion by tumors of pan creatic, ovarian, lung, or hematopoietic origin. Rarely, excess GHRH production may cause acromegaly because of chronic stimulation of somatotropes. These patients present with classic features of acromeg aly, elevated GH levels, pituitary enlargement on MRI, and pathologic characteristics of pituitary hyperplasia. The most common cause of GHRH-mediated acromegaly is a chest or abdominal carcinoid tumor. Although these tumors usually express positive GHRH immunoreac tivity, clinical features of acromegaly are evident in only a minority of patients with carcinoid disease. Excessive </w:t>
      </w:r>
      <w:r w:rsidRPr="00A6019F">
        <w:lastRenderedPageBreak/>
        <w:t xml:space="preserve">GHRH also may be elabo rated by hypothalamic tumors, usually choristomas or neuromas. Presentation and Diagnosis Protean manifestations of GH and on pituitary vascularity and lactotrope hyperplasia. About 5% of microadenomas significantly increase in size, but 15–30% of macroadenomas grow during pregnancy. Bromocriptine has been used for &gt;30 years to restore fertility in women with hyperprolac tinemia, without evidence of teratogenic effects. Nonetheless, most authorities recommend strategies to minimize fetal exposure to the drug. For women taking bromocriptine who desire pregnancy, mechanical contraception should be used through three regular menstrual cycles to allow for conception timing. When pregnancy is confirmed, bromocriptine should be discontinued and PRL levels followed serially, especially if headaches or visual symptoms occur. For women harboring macroadenomas, regular visual field test ing is recommended, and the drug should be reinstituted if tumor growth is apparent. Although pituitary MRI may be safe during pregnancy, this procedure should be reserved for symptomatic patients with severe headache and/or visual field defects. Surgical decompression may be indicated if vision is threatened. Although comprehensive data support the efficacy and relative safety of bromocriptine-facilitated fertility, patients should be advised of potential unknown deleterious effects and the risk of tumor growth during pregnancy. Because cabergoline is long-acting with a high D2-receptor affinity, it is not recommended for use in women when fertility is desired. </w:t>
      </w:r>
      <w:r w:rsidRPr="00A6019F">
        <w:rPr>
          <w:rFonts w:ascii="Arial" w:hAnsi="Arial" w:cs="Arial"/>
        </w:rPr>
        <w:t>■</w:t>
      </w:r>
      <w:r w:rsidRPr="00A6019F">
        <w:t xml:space="preserve">ACROMEGALY Etiology GH hypersecretion is usually the result of a somato trope adenoma but may rarely be caused by extrapituitary lesions (Table 392-6). In addition to the more common GH-secreting somato trope adenomas, mixed mammosomatotrope tumors and acidophilic stem cell adenomas secrete both GH and PRL. In patients with acido philic stem cell adenomas, features of hyperprolactinemia (hypogo nadism and galactorrhea) predominate over the less clinically evident signs of acromegaly. Occasionally, mixed plurihormonal tumors are encountered that also secrete ACTH, the glycoprotein hormone α subunit, or TSH in addition to GH. Patients with partially empty sel lae may present with GH hypersecretion due to a small GH-secreting adenoma within the compressed rim of pituitary tissue; some of these may reflect the spontaneous necrosis of tumors that were previously TABLE 392-6 Causes of Acromegaly Excess Growth Hormone Secretion Pituitary Densely or sparsely granulated GH cell adenoma Mixed GH cell and PRL cell adenoma Mammosomatotrope cell adenoma Plurihormonal adenoma GH cell carcinoma or metastases Multiple endocrine neoplasia 1 (GH cell adenoma) McCune-Albright syndrome Ectopic sphenoid or parapharyngeal sinus pituitary adenoma Extrapituitary tumor Pancreatic islet cell tumor Lymphoma PREVALENCE, % 98 60 25 10 60% of patients and is associated with both soft tissue laryngeal airway obstruction and central sleep dysfunction. Diabetes mellitus develops in 25% of patients with acromegaly, and most patients are intolerant of a glucose load (as GH counteracts the action of insulin). Acromegaly is associated with an increased risk of colon polyps and mortality from colonic malig nancy; polyps are diagnosed in up to one-third of patients. Overall mortality is increased about </w:t>
      </w:r>
      <w:r w:rsidRPr="00A6019F">
        <w:lastRenderedPageBreak/>
        <w:t xml:space="preserve">threefold and is due primarily to cardio vascular and cerebrovascular disorders and respiratory disease. Unless GH levels are controlled, survival is reduced by an average of 10 years compared with an age-matched control population. Laboratory Investigation Age-matched serum IGF-1 levels are elevated in acromegaly. Consequently, an IGF-1 level provides a use ful laboratory screening measure when clinical features raise the possibility of acromegaly. Owing to the pulsatility of GH secretion, measurement of a single random GH level is not useful for the diag nosis or exclusion of acromegaly and does not correlate with disease severity. The diagnosis of acromegaly is confirmed by demonstrating the failure of GH suppression to 115% ideal body weight) 80 Thin skin 80 Moon facies 75 Hypertension 75 Purple skin striae 65 Hirsutism 65 Menstrual disorders (usually amenorrhea) 60 Plethora 60 Abnormal glucose tolerance 55 Impotence 55 Proximal muscle weakness 50 Truncal obesity 50 Acne 45 Bruising 45 Mental changes 45 Osteoporosis 40 Edema of lower extremities 30 Hyperpigmentation 20 Hypokalemic alkalosis 15 Diabetes mellitus 15 Source: Adapted with permission from MA Magiokou et al, in Wierman ME: Diseases of the Pituitary. Totowa, NJ: Humana; 1997. relatively small microadenomas. However, macroadenomas also are seen and some ACTH-expressing adenomas are clinically silent. Cush ing’s disease is 5–10 times more common in women than in men. These pituitary adenomas exhibit unrestrained ACTH secretion, with resultant hypercortisolemia. However, they retain partial suppress ibility in the presence of high doses of administered glucocorticoids, providing the basis for dynamic testing to distinguish pituitary from nonpituitary causes of Cushing’s syndrome. Presentation and Diagnosis The diagnosis of Cushing’s syn drome presents two great challenges: (1) to distinguish patients with pathologic cortisol excess from those with physiologic or other dis turbances of cortisol production and (2) to determine the etiology of pathologic cortisol excess. Typical features of chronic cortisol excess include thin skin, central obesity, hypertension, plethoric moon facies, purple striae and easy bruisability, glucose intolerance or diabetes mellitus, gonadal dysfunc tion, osteoporosis, proximal muscle weakness, signs of hyperandrogen ism (acne, hirsutism), and psychological disturbances (depression, mania, and psychoses) (Table 392-7). Hematopoietic features of hypercortisolism include leukocytosis, lymphopenia, and eosinopenia. Immune suppression includes delayed hypersensitivity and infection propensity. These protean yet commonly encountered manifestations of hypercortisolism make it challenging to decide which patients man date formal laboratory evaluation. Certain features make pathologic causes of hypercortisolism more likely; they include characteristic central redistribution of fat, thin skin with striae and bruising, and proximal muscle weakness. In children and young females, early osteo porosis may be particularly prominent. The primary cause of death is cardiovascular disease, but life-threatening infections and risk of suicide are also increased. Rapid development of features of hypercortisolism associated with skin hyperpigmentation and severe myopathy suggests an ectopic tumor source of ACTH. Hypertension, hypokalemic alkalosis, glucose intolerance, and edema are also more </w:t>
      </w:r>
      <w:r w:rsidRPr="00A6019F">
        <w:lastRenderedPageBreak/>
        <w:t xml:space="preserve">pronounced in these patients. Serum potassium levels M M &gt; F Clinical features Slow onset Rapid onset Pigmentation Severe myopathy Serum potassium 5 μg/dL     Cortisol &gt;5 μg/dL High-dose (2 mg q6h) Cortisol 5 μg/dL UFC &gt;80% suppressed Microadenomas: 90% Macroadenomas: 50% 10% Inferior petrosal sinus sampling    Basal central: peripheral   &gt;2   3   2) before and a peak central:peripheral ACTH ratio &gt;3 after CRH injection confirm the presence of a pituitary ACTH-secreting adenoma. The sensitivity of this test is &gt;95%, with very rare false-positive results. False-negative results may be encountered in patients with aberrant venous drainage. Petrosal sinus catheterizations are technically difficult, and ~0.05% of patients develop neurovascular complications. The procedure should not be performed in patients with hypertension, in patients with known cerebrovascular disease, or in the presence of a well-visualized pituitary adenoma on MRI. TREATMENT Endocrinology and Metabolism Cushing’s Disease Selective transsphenoidal resection is the treatment of choice for Cushing’s disease (Fig. 392-9). The remission rate for this proce dure is ~80% for microadenomas but SST2 receptor subtypes, may control hypercor tisolemia in a subset of patients with ACTH-secreting pituitary tumors when surgery is not an option or has not been successful. The drug lowers plasma ACTH levels and normalizes 24-h UFC levels in ~20% of patients, and up to 40% of patients may experience pituitary tumor shrinkage. Side effects are similar to those encoun tered for other SRLs and include transient abdominal discomfort, diarrhea, nausea, and gallstones (20% of patients). Notably, hyper glycemia and new-onset diabetes develop in up to 70% of patients, likely due to suppressed pancreatic secretion of insulin and incre tins. Because patients with hypercortisolism are insulin-resistant, hyperglycemia should be rigorously managed. The drug requires consistent long-term administration. Osilodrostat (2 mg twice daily titrated up to 30 mg twice daily), an oral 11β-hydroxylase inhibitor that blocks adrenal gland cortisol biosynthesis, normalized 24-h UFC in 86% of patients. Mild, mostly transient gastrointestinal symptoms are common. Patients should be closely monitored for development of hypocortisolism and adre nal insufficiency. Elevated adrenal hormone precursors may lead to hypokalemia and hypertension. QTc prolongation and possibly increased tumor volume are also reported. Ketoconazole, an imidazole derivative antimycotic agent, inhib its several P450 enzymes and effectively lowers cortisol in most patients with Cushing’s disease when administered twice daily (600–1200 mg/d). Elevated hepatic transaminases, gynecomastia, impotence, gastrointestinal upset, and edema are common side effects. Levoketoconazole, a 2S,4R enantiomer of ketoconazole, is admin istered at the same dose/schedule as ketoconazole and has a similar side effect profile. Mifepristone (300–1200 mg/d), a glucocorticoid receptor antago nist, blocks peripheral cortisol action and is approved to treat hyperglycemia in Cushing’s disease. Because the drug does not target the pituitary tumor, both ACTH and cortisol levels remain elevated, thus obviating a reliable circulating biomarker. Side effects are largely due to general antagonism of other steroid hormones and include hypokalemia, endometrial hyperplasia, hypoadrenal ism, and hypertension. </w:t>
      </w:r>
      <w:r w:rsidRPr="00A6019F">
        <w:lastRenderedPageBreak/>
        <w:t xml:space="preserve">Metyrapone (2–4 g/d) inhibits 11β-hydroxylase activity and nor malizes plasma cortisol in up to 75% of patients. Side effects include nausea and vomiting, rash, and exacerbation of acne or hirsutism. Mitotane (3–6 g/d orally in four divided doses) suppresses cortisol hypersecretion by inhibiting 11β-hydroxylase and cholesterol side chain cleavage enzymes and by destroying adrenocortical cells. Side effects of mitotane include gastrointestinal symptoms, dizziness, gynecomastia, hyperlipidemia, skin rash, and hepatic enzyme eleva tion. It also may lead to hypoaldosteronism. Other agents include aminoglutethimide (250 mg tid), trilostane (200–1000 mg/d), cypro heptadine (24 mg/d), and IV etomidate (0.3 mg/kg per h). Glucocor ticoid insufficiency is a potential side effect of agents used to block steroidogenesis. The use of steroidogenic inhibitors has decreased the need for bilateral adrenalectomy. Surgical removal of both adrenal glands corrects hypercortisolism but may be associated with significant morbidity rates and necessitates permanent glucocorticoid and min eralocorticoid replacement. Adrenalectomy in the setting of residual corticotrope adenoma tissue predisposes to the development of Nelson’s syndrome, a disorder characterized by rapid pituitary tumor enlargement and increased pigmentation secondary to high ACTH levels. Prophylactic radiation therapy may be indicated to prevent the development of Nelson’s syndrome after adrenalectomy. </w:t>
      </w:r>
      <w:r w:rsidRPr="00A6019F">
        <w:rPr>
          <w:rFonts w:ascii="Arial" w:hAnsi="Arial" w:cs="Arial"/>
        </w:rPr>
        <w:t>■</w:t>
      </w:r>
      <w:r w:rsidRPr="00A6019F">
        <w:t xml:space="preserve">NONFUNCTIONING AND GONADOTROPIN PRODUCING PITUITARY ADENOMAS Etiology and Prevalence Nonfunctioning pituitary adenomas include those that secrete little or no pituitary hormones into the systemic circulation, as well as tumors that produce too little hormone 3013 to result in recognizable clinical features. They are the most common type of pituitary adenoma and are usually macroadenomas at the time of diagnosis because clinical features are not apparent until tumor mass effects occur. Based on immunohistochemistry, most clinically non functioning adenomas can be shown to originate from gonadotrope cells or from pituitary null cells. These tumors typically produce small amounts of intact gonadotropins (usually FSH) as well as uncombined α, LH β, and FSH β subunits. Tumor secretion may lead to elevated α and FSH β subunits and, very rarely, to increased LH β subunit lev els. Some adenomas express α subunits without FSH or LH. A TRH stimulation test often induces an atypical increase of tumor-derived gonadotropins or subunits. Presentation and Diagnosis Clinically nonfunctioning tumors often present with optic chiasm pressure and other symptoms of local expansion or may be incidentally discovered on an MRI performed for another indication (incidentaloma). Rarely, menstrual disturbances or ovarian hyperstimulation occur in women with large tumors that pro duce FSH and LH. In these cases, ovaries may have features that resem ble polycystic ovarian syndrome and may produce very high levels of estrogen. More commonly, adenoma compression of the pituitary stalk or surrounding pituitary tissue leads to attenuated LH and features of hypogonadism. PRL levels are usually slightly increased, also because of stalk compression. It is important to distinguish this circumstance from true prolactinomas, as nonfunctioning tumors do not shrink in response to treatment with dopamine agonists. Laboratory Investigation The goal of </w:t>
      </w:r>
      <w:r w:rsidRPr="00A6019F">
        <w:lastRenderedPageBreak/>
        <w:t xml:space="preserve">laboratory testing in clini cally nonfunctioning tumors is to classify the type of tumor, identify hormonal markers of tumor activity, and detect possible hypopituita rism. Free α subunit levels may be elevated in 10–15% of patients with nonfunctioning tumors. In female patients, peri- or postmenopausal basal FSH concentrations are difficult to distinguish from tumor derived FSH elevation. Premenopausal women have cycling FSH levels, also preventing clear-cut diagnostic distinction from tumor-derived FSH. In men, gonadotropin-secreting tumors may be diagnosed because of slightly increased gonadotropins (FSH &gt; LH) in the setting of a pituitary mass. Testosterone levels are usually low despite the nor mal or increased LH level, perhaps reflecting reduced LH bioactivity or the loss of normal LH pulsatility. Because this pattern of hormone test results is also seen in primary gonadal failure and, to some extent, with aging (Chap. 403), the finding of increased gonadotropins alone is insufficient for the diagnosis of a gonadotropin-secreting tumor. In the majority of patients with gonadotrope adenomas, TRH adminis tration stimulates LH β subunit secretion; this response is not seen in normal individuals. GnRH testing, however, is not helpful for making the diagnosis. For nonfunctioning and gonadotropin-secreting tumors, the diagnosis usually rests on immunohistochemical analyses of surgi cally resected tumor tissue, as the mass effects of these tumors usually necessitate resection. Although acromegaly or Cushing’s disease usually presents with unique clinical features, clinically inapparent (silent) somatotrope or corticotrope adenomas may only be diagnosed by immunostaining of resected tumor tissue. These silent tumors usually grow more aggres sively and account for up to 20% of all nonfunctioning adenomas. If PRL levels are 4%). Silent corticotrope and somatotrope tumors, as well as pro lactinomas occurring in middle-aged men, are particularly prone to aggressive growth and recurrence. Patients with these tumors usually require an integrated management approach including repeat surger ies and irradiation. Temozolomide has also been used with variable responses. </w:t>
      </w:r>
      <w:r w:rsidRPr="00A6019F">
        <w:rPr>
          <w:rFonts w:ascii="Arial" w:hAnsi="Arial" w:cs="Arial"/>
        </w:rPr>
        <w:t>■</w:t>
      </w:r>
      <w:r w:rsidRPr="00A6019F">
        <w:t xml:space="preserve">FURTHER READING Coopmans EC et al: Multivariable prediction model for biochemical response to first-generation somatostatin receptor ligands in acro megaly. J Clin Endocrinol Metab 105:2964, 2020. Elbelt U et al: Efficacy of temozolomide therapy in patients with aggressive pituitary adenomas and carcinomas: A German survey. J Clin Endocrinol Metab 105:e660, 2020. Fleseriu M et al: Acromegaly: Pathogenesis, diagnosis, and manage ment. Lancet Diabetes Endocrinol 10:804, 2022. Fleseriu M et al: An individualized approach to the management of Cushing disease. Nat Rev Endocrinol 19:581, 2023. Hamblin R et al: Natural history of non-functioning pituitary micro adenomas: Results from the UK non-functioning pituitary adenoma consortium. Eur J Endocrinol 189:87, 2023. Melmed S: Pituitary-tumor endocrinopathies. N Engl J Med 382:937, 2020. Neou M et al: Pangenomic classification of pituitary neuroendocrine tumors. Cancer Cell 37:123, 2020. Petersenn S et al: Diagnosis and management of prolactin-secreting pituitary adenomas: A Pituitary Society international Consensus Statement. Nat Rev Endocrinol 19:722, 2023. Samson SL et al: Maintenance of acromegaly control in patients switching from </w:t>
      </w:r>
      <w:r w:rsidRPr="00A6019F">
        <w:lastRenderedPageBreak/>
        <w:t xml:space="preserve">injectable somatostatin receptor ligands to oral octreotide. J Clin Endocrinol Metab 105:e3785, 2020. 393 Disorders of the Neurohypophysis Mirjam Christ-Crain, Mark Sherlock The posterior pituitary consists of the distal axons of the hypothalamic magnocellular neurons that make up the neurohypophysis. The peri karya (cell bodies) of these axons are located in paired paraventricular and supraoptic nuclei of the hypothalamus. Some of these neurons produce arginine vasopressin (AVP), also known as antidiuretic hor mone (ADH); others produce oxytocin. AVP acts on the renal tubules to reduce water loss by concentrating the urine. Oxytocin stimulates postpartum milk letdown in response to suckling, and also elicits socioemotional responses. A deficiency of AVP secretion or action causes a syndrome characterized by the production of large amounts of dilute urine. Excessive or inappropriate AVP production impairs urinary water excretion and predisposes to hyponatremia. VASOPRESSIN </w:t>
      </w:r>
      <w:r w:rsidRPr="00A6019F">
        <w:rPr>
          <w:rFonts w:ascii="Arial" w:hAnsi="Arial" w:cs="Arial"/>
        </w:rPr>
        <w:t>■</w:t>
      </w:r>
      <w:r w:rsidRPr="00A6019F">
        <w:t xml:space="preserve">SYNTHESIS AND SECRETION AVP is a nonapeptide composed of a six-member disulfide ring and a tripeptide tail (Fig. 393-1). It is synthesized via a polypeptide precursor that includes AVP, neurophysin, and copeptin, all encoded by a single gene on chromosome 20. After preliminary processing and folding, the precursor is packaged in neurosecretory vesicles, where it is trans ported down the axon. It is further processed to AVP, neurophysin, and copeptin, and stored in neurosecretory vesicles in the posterior pituitary until it is released by exocytosis into peripheral blood. In healthy individuals, AVP secretion is regulated primarily by the “effective” osmotic pressure, which is determined largely by the plasma concentration of sodium and its anions. This regulation is mediated by specialized cells in the anteromedial hypothalamus, known as osmo receptors. The osmoreceptors receive blood from small perforating branches of the anterior communicating artery. They are extremely sensitive to small changes in the plasma concentration of sodium and its anions but normally are insensitive to other naturally occurring plasma solutes such as urea and glucose. This osmoregulatory system includes inhibitory as well as stimulatory components that function in concert to create an osmotic threshold, or set point, control system. Below this osmotic threshold, plasma AVP is suppressed to levels that permit the development of a maximum water diuresis. Above the threshold, plasma AVP rises steeply in direct proportion to plasma osmolarity, quickly reaching levels sufficient to produce maximum antidiuresis. The absolute levels of plasma osmolarity/sodium at which minimally and maximally effective levels of plasma AVP occur differ from person to person, apparently due to genetic influences on the set and sensitivity of the system. However, the average threshold, or set point, for AVP release corresponds to a plasma osmolarity and sodium of ~275 mosmol/L and 135 meq/L, respectively; levels only 2–4% higher normally result in maximum antidiuresis. AVP is also secreted in response to a decrease in blood pressure or by volume loss of &gt;10–20%. These hemodynamic (baroregulated) influ ences are mediated by neuronal afferents that originate in transmural pressure receptors of the heart and large arteries and project via the vagus and glossopharyngeal nerves to the brainstem, which sends post synaptic projections to the hypothalamus. </w:t>
      </w:r>
      <w:r w:rsidRPr="00A6019F">
        <w:lastRenderedPageBreak/>
        <w:t xml:space="preserve">AVP secretion also can be stimulated by nausea, acute hypoglycemia, glucocorticoid deficiency, smoking, and possibly angiotensin. Emetic stimuli are extremely potent in comparison to osmotic stimuli; they typically elicit immediate, 50- to 100-fold increases in plasma AVP even when the nausea is transient and not associated with vomiting or other symptoms. They act via the emetic center in the medulla and can be blocked completely by treat ment with antiemetics such as fluphenazine. There is no evidence that pain or other noxious stresses have any effect on AVP unless they elicit a vasovagal reaction and its associated nausea and hypotension. 3015 DNA Neurophysin II Thirst Vasopressin Osmoreceptor Hypothalamus Copeptin Oxytocin Neurophysin I Vagus nerve Posterior pituitary Brainstem Baroreceptor FIGURE 393-1 Primary structure, production, and release of arginine vasopressin (AVP). AVP is a nonapeptide composed of a six-member disulfide ring and a tripeptide tail. It is synthesized via a polypeptide precursor that includes AVP, neurophysin, and copeptin, all encoded by a single gene on chromosome 20. The precursor hormone, pre-pro-vasopressin consists of three peptides: AVP, neurophysin 2, and copeptin. </w:t>
      </w:r>
      <w:r w:rsidRPr="00A6019F">
        <w:rPr>
          <w:rFonts w:ascii="Arial" w:hAnsi="Arial" w:cs="Arial"/>
        </w:rPr>
        <w:t>■</w:t>
      </w:r>
      <w:r w:rsidRPr="00A6019F">
        <w:t xml:space="preserve">ACTION The most important physiologic action of AVP is to reduce water excretion by promoting the concentration of urine. Other physiologic actions of AVP include stimulating ACTH and vasoconstriction. This antidiuretic effect is achieved primarily by increasing the hydro osmotic permeability of principal cells that line the distal tubule and medullary collecting ducts of the kidney (Fig. 393-2). In the absence of AVP, these cells are impermeable to water and reabsorb little, if any, of the relatively large volume of dilute filtrate that enters from the proximal nephron. In this condition, the rate of urine output can be as high as 0.2 mL/kg per min and the specific gravity and osmolarity as low as ~1.000 and 50 mOsmol/L, respectively. When AVP is secreted, it binds to V2 receptors on the basal surface of principal cells causing water channels composed of aquaporin-2 (AQ-2) to be inserted into the apical surface of the cell. These channels allow water to flow pas sively from the lumen through the cell down the osmotic gradient cre ated by the hypertonicity of the renal medulla. The magnitude of this antidiuretic effect varies in direct proportion to plasma AVP, the rate of solute excretion, and the level of hypertonicity in the renal medulla. The maximum antidiuresis achievable in healthy humans occurs at plasma AVP concentrations in the range of 1 to 3 pg/mL and results in a urine osmolarity as high as 1200 mOsmol/L. However, maximum concentrating capacity varies considerably depending on the level of hypertonicity in the renal medulla and that, in turn, is a function of the level and duration of AVP receptor 2 (AVPR2)–stimulated reabsorp tion of urea in the distal nephron. Hence, if basal AVP stimulation of AVPR2 is low (e.g., a high basal fluid intake in primary polydipsia), the rise in urine osmolarity that occurs immediately after an increase in AVP concentrations may be so blunted as to suggest a defect in antidi uretic function. This reduced concentrating capacity accounts for the shortcomings of the traditional indirect methods for the differential diagnosis of polyuric states (see below). At high concentrations, AVP also causes contraction of smooth muscle in blood vessels in the skin and gastrointestinal tract, induces </w:t>
      </w:r>
      <w:r w:rsidRPr="00A6019F">
        <w:lastRenderedPageBreak/>
        <w:t xml:space="preserve">glycogenolysis in the liver, and potentiates ACTH release by Luminal membrane Basolateral membrane Migration to the luminal membrane mRNA for AQ2 channels Pre-formed AQ2 channels AQ2 channel ATP cAMP V2 receptor AVP FIGURE 393-2 Antidiuretic effect of arginine vasopressin (AVP) in the regulation of urine volume. In a typical 70-kg adult, the kidney filters ~180 L/d of plasma. Of this, ~144 L (80%) is reabsorbed isosmotically in the proximal tubule and another 8 L (4–5%) is reabsorbed without solute in the descending limb of Henle’s loop. In the presence of AVP, solute-free water is reabsorbed osmotically through the principal cells of the collecting ducts, resulting in the excretion of a much smaller volume of concentrated urine. This antidiuretic effect is mediated via a G protein–coupled V2 receptor that increases intracellular cyclic AMP, thereby inducing translocation of aquaporin 2 (AQP 2) water channels into the apical membrane. The resultant increase in permeability permits an influx of water that diffuses out of the cell through AQP 3 and AQP 4 water channels on the basal-lateral surface. The net rate of flux across the cell is determined by the number of AQP 2 water channels in the apical membrane and the strength of the osmotic gradient between tubular fluid and the renal medulla. CHAPTER 393 Disorders of the Neurohypophysis 3016 NORMAL AVP AND THIRST RESPONSE TO 5% SALINE INFUSION 10 10 8 6 PART 12 Endocrinology and Metabolism Plasma AVP (pg/mL) 4 2 LD 8 6 Thirst (cm/VAS) 270 280 290 300 Plasma osmolality (mosm/kg) 310 4 2 270 280 290 300 Plasma osmolality (mosm/kg) FIGURE 393-3 The relationship of plasma osmolality to arginine vasopressin (AVP) secretion and thirst. VAS, visual analogue scale. corticotropin-releasing factor. These effects are mediated by V1a or V1b receptors that are coupled to phospholipase C. They may also affect the sensitivity of the baroreceptor and influence sympathetic and parasym pathetic outflows to a variety of target organs, including the heart, the peripheral vasculature, and the kidneys. 310 the central extracellular space and directly projected to other brain regions, where it acts as a neurotransmitter. The central oxytocinergic system is key in regulating socioemotional functioning, including attachment and pair bonding, fear extinction, emotion recognition, and empathy. </w:t>
      </w:r>
      <w:r w:rsidRPr="00A6019F">
        <w:rPr>
          <w:rFonts w:ascii="Arial" w:hAnsi="Arial" w:cs="Arial"/>
        </w:rPr>
        <w:t>■</w:t>
      </w:r>
      <w:r w:rsidRPr="00A6019F">
        <w:t>METABOLISM AVP distributes rapidly into a space approximately equal to the extra cellular fluid volume. It is cleared irreversibly with a half-life (t1/2 ) of 10</w:t>
      </w:r>
      <w:r w:rsidRPr="00A6019F">
        <w:rPr>
          <w:rFonts w:ascii="Aptos" w:hAnsi="Aptos" w:cs="Aptos"/>
        </w:rPr>
        <w:t>–</w:t>
      </w:r>
      <w:r w:rsidRPr="00A6019F">
        <w:t xml:space="preserve">30 min. Most AVP clearance is due to degradation in the liver and kidneys. During pregnancy, the metabolic clearance of AVP is increased three- to fourfold due to placental production of an N-terminal peptidase (vasopressinase). Importantly, the synthetic vasopressin analogue desmopressin (DDAVP) is more resistant to N-terminal pep tidases, resulting in a longer half-life. THIRST Because AVP cannot reduce water loss below a certain minimum level obligated by urinary solute load and evaporation from skin and lungs, a mechanism for ensuring adequate water intake is essential for preventing dehydration. This vital function is performed by the thirst mechanism. Like AVP, thirst and fluid intake are regulated primarily by an osmostat that is localized in the anteromedial hypothalamus and detects very small changes in the plasma concentration of sodium and its anions. The thirst osmostat </w:t>
      </w:r>
      <w:r w:rsidRPr="00A6019F">
        <w:lastRenderedPageBreak/>
        <w:t xml:space="preserve">appears to be “set” about 3% higher than the AVP osmostat (Fig. 393-3). This relationship ensures that thirst, polydipsia, and dilution of body fluids do not occur until plasma osmolarity/sodium exceeds the defensive capacity of the antidiuretic mechanism. Defects in thirst result in hypodipsia/adipsia. The gas trointestinal tract also has a mechanism that detects fluid intake and inhibits thirst and AVP secretion before water is absorbed sufficiently to lower plasma osmolarity/sodium. However, the resultant inhibition of thirst and AVP is transient unless plasma osmolarity/sodium is reduced, and the role of this system in clinical disorders of water bal ance has not been determined. OXYTOCIN Oxytocin (OXT) is also a nonapeptide that differs from AVP at posi tions 3 and 8 (Fig. 393-1). However, it has relatively little antidiuretic effect and seems to act mainly on mammary ducts to facilitate milk letdown during nursing. It also may help initiate or facilitate labor by stimulating contraction of uterine smooth muscle, but it is not clear if this action is physiologic or necessary for normal delivery. In addition to its release from axonal terminals, OXT is dendritically released into DEFICIENCIES OF AVP SECRETION AND ACTION </w:t>
      </w:r>
      <w:r w:rsidRPr="00A6019F">
        <w:rPr>
          <w:rFonts w:ascii="Arial" w:hAnsi="Arial" w:cs="Arial"/>
        </w:rPr>
        <w:t>■</w:t>
      </w:r>
      <w:r w:rsidRPr="00A6019F">
        <w:t>DIABETES INSIPIDUS (AVP DEFICIENCY AND AVP RESISTANCE) Clinical Characteristics Deficiencies in AVP secretion or action result in the excretion of abnormally large volumes of dilute urine. The 24-h urine volume exceeds 40</w:t>
      </w:r>
      <w:r w:rsidRPr="00A6019F">
        <w:rPr>
          <w:rFonts w:ascii="Aptos" w:hAnsi="Aptos" w:cs="Aptos"/>
        </w:rPr>
        <w:t>–</w:t>
      </w:r>
      <w:r w:rsidRPr="00A6019F">
        <w:t xml:space="preserve">50 mL/kg body weight and conse quently leads to polydipsia. Signs and symptoms of dehydration (and biochemical hypernatremia) are uncommon unless thirst and/or water intake are also impaired. Etiology AVP deficiency and AVP resistance should be differenti ated from increased AVP metabolism in pregnancy and from primary polydipsia. Primary deficiency of AVP secretion was formerly called neurogenic, pituitary, cranial, or central diabetes insipidus but is now referred to as AVP deficiency. It can be caused by a variety of acquired, congenital, or genetic disorders but is often idiopathic (Table 393-1). The most common genetic form is transmitted in an autosomal domi nant mode and is caused by diverse mutations in the coding region of one allele of the AVP–neurophysin II (or AVP-NPII) gene. Renal insensitivity to the antidiuretic action of AVP leads to AVP resistance, which was formerly known as nephrogenic diabetes insipidus. It can be caused by a drug such as lithium, a disorder such as hypokalemia and hypercalcemia, or by a genetic mutation. In pregnancy, increased metabolism of AVP may occur due to AVP degradation by an N-terminal aminopeptidase (vasopressinase) pro duced in the placenta. This is referred to as gestational AVP deficiency because the signs and symptoms manifest during pregnancy and usu ally remit several weeks after delivery. These forms of AVP deficiency and AVP resistance should be dif ferentiated from excessive intake of fluids, which is commonly referred to as primary polydipsia. This disorder is common in patients with neu rodevelopmental or psychotic disorders, particularly chronic schizo phrenia. Outside the psychiatric setting, it is increasingly seen in the general population owing to the popularity of lifestyle programs and the belief that drinking large amounts of water is healthy and improves cognition (Table 393-1). 3017 Disorders of the Neurohypophysis CHAPTER 393 TABLE 393-1 Etiology of Polyuria–Polydipsia Syndromes BASIC DEFECT ACQUIRED CAUSES </w:t>
      </w:r>
      <w:r w:rsidRPr="00A6019F">
        <w:lastRenderedPageBreak/>
        <w:t xml:space="preserve">HEREDITARY CAUSES AVP Deficiency Deficiency in AVP synthesis or secretion • Trauma (surgery, deceleration injury) • Neoplasia (craniopharyngioma, meningioma, germinoma, metastases) • Vascular (cerebral or hypothalamic hemorrhage, infarction or ligation of anterior communicating artery aneurysm) • Granulomatous (histiocytosis, sarcoidosis) • Infectious (meningitis, encephalitis, tuberculosis) • Inflammatory or autoimmune (lymphocytic infundibuloneurohypophysitis, IgG4 neurohypophysitis) • Drug or toxin exposure • Osmoreceptor dysfunction (adipsic DI) • Others (hydrocephalus, ventricular or suprasellar cyst, trauma, and degenerative diseases) • Idiopathic • Autosomal dominant: AVP mutations • Autosomal recessive, type a and b: AVP mutations • Autosomal recessive, type c: WFS1 mutations • Autosomal recessive, type d: PCSK1 mutations • X-linked recessive: gene unknown AVP Resistance Reduced renal sensitivity to antidiuretic effect of physiologic AVP levels • Drug exposure (lithium, demeclocycline, cisplatin, etc.) • Hypercalcemia or hypokalemia • Infiltrating lesions (sarcoidosis, amyloidosis, multiple myeloma, etc.) • Vascular disorders (sickle cell anemia) • Mechanical (polycystic kidney disease and urethral obstruction) • X-linked: AVPR2 mutations • Autosomal recessive or dominant: AQP2 mutations  Primary Polydipsia Excessive fluid intake at a diminished set point  • Dipsogenica (idiopathic or similar lesions as with central DI) • Psychosis intermittent hyponatremia–polydipsia (PIP) syndrome • Compulsive water drinking • Health enthusiasts NA Gestational AVP Deficiency Increased enzymatic metabolism of circulating AVP hormone Pregnancy NA aDownward resetting of the thirst threshold. Abbreviations: AVP, arginine vasopressin; AVPR, AVP receptor; DI, diabetes insipidus; NA, not applicable; PCSK1, proprotein convertase subtilisin/kexin type 1; WFS1, Wolfram syndrome 1. Source: Reproduced with permission from M Christ-Crain et al: Diabetes insipidus. Nat Rev Dis Primers 5:54, 2019. Pathophysiology In AVP deficiency and resistance, the defect in urine concentration increases the rate of water excretion and causes a small (1–2%) decrease in body water and a commensurate increase in plasma osmolarity/sodium, which stimulates thirst and a compensa tory increase in water intake. The severity of the defect in antidiuretic function varies significantly from patient to patient. In some patients, AVP deficiency is nearly complete and cannot be overcome by even an intense stimulus such as nausea or severe dehydration. In others, AVP deficiency is incomplete, and a modest stimulus such as a few hours of fluid deprivation, smoking, or a vasovagal reaction is sufficient to concentrate the urine. However, even in patients with a partial defect, the maximum level of urine osmolarity produced by these stimuli is usually less than normal partly because the prior deficiency in basal AVP stimulation temporarily diminishes renal concentrating capacity. Nevertheless, the underlying cause of the AVP deficiency/resistance can be determined by analyzing the relationship of urine osmolar ity to plasma AVP/copeptin and of plasma AVP/copeptin to plasma osmolarity/sodium. The pathophysiology of primary polydipsia is the reverse of that in AVP deficiency or resistance. The increase in fluid intake reduces plasma osmolarity/sodium and leads to a physiologic decrease in AVP secretion. The resultant urinary dilution produces a </w:t>
      </w:r>
      <w:r w:rsidRPr="00A6019F">
        <w:lastRenderedPageBreak/>
        <w:t xml:space="preserve">compensa tory increase in urinary free-water excretion that usually offsets the increase in intake and stabilizes plasma osmolarity/sodium at a level below basal. Thus, hyponatremia is uncommon unless the polydipsia is very severe or the compensatory water diuresis is impaired (by another contributory factor that causes AVP release). In diagnostic tests, fluid deprivation or hypertonic saline infusion produces a normal rise in plasma AVP, but the resultant increase in urine concentration is usually subnormal because the capacity of the kidney to concentrate the urine is temporarily diminished by the prior lack of AVP stimulation. Thus, the maximum level of urine osmolarity achieved is often indistinguish able from that produced by fluid deprivation and/or administration of ADH in partial pituitary or partial nephrogenic diabetes insipidus. However, unlike AVP deficiency or resistance, the relationships of the rise in plasma AVP to the rise in plasma and urine osmolarity are both normal in primary polydipsia. Differential Diagnosis If symptoms of polyuria, nocturia, and/or persistent thirst are present in the absence of glucosuria, the possibility of AVP deficiency or AVP resistance should be evaluated by collecting a 24-h urine on unrestricted fluid intake. If the volume is &gt;40–50 mL/kg per day and/or &gt;3 L/d, further investigations are indicated. If sodium levels are below the normal reference range (40–50 mL/kg/24 h) Urine osmolality 147 mmol/L) Central or nephrogenic DI Baseline copeptin level Urine osmolality &gt;800 mosm/kg Mild primary polydipsia 9% increase Partial central DI Urine osmolality 50% increase Complete central DI Copeptin &gt;21.4 pmol/L Complete or partial nephrogenic DI 4.9 pmol/L (at plasma sodium &gt;150 mmol/L) Nephrogenic DI Primary polydipsia Stimulated copeptin 150 mmol/L) Complete or partial central DI FIGURE 393-4 Algorithm for differential diagnosis of polyuria polydipsia syndrome. If symptoms of polyuria, nocturia, and/or persistent thirst are present in the absence of glucosuria, the possibility of arginine vasopressin (AVP) deficiency or AVP resistance should be evaluated by collecting a 24-h urine on unrestricted fluid intake. If the volume is &gt;50 mL/kg per day with a concomitant urinary osmolality 21.4 pmol/L without prior water deprivation identifies AVP resistance. For the more difficult differential diagnosis of AVP deficiency and primary polydipsia, a copeptin level of &gt;4.9 pmol/L at a high sodium level (≥150 mmol/L) after hypertonic saline infusion has an overall diagnostic accuracy of 97% to diagnose AVP deficiency. DI, diabetes insipidus; GU, genitourinary. diagnostic accuracy of 70% and only 41% for patients with primary polydipsia. To overcome these limitations, direct measurement of AVP was proposed, but despite initial promising results, this method is not in routine clinical use, mainly because of technical limitations of the AVP assay. Copeptin is the C-terminal segment of the AVP prohormone and is an AVP surrogate that is very stable ex vivo (Fig. 393-1). Studies have shown that a high baseline copeptin level of &gt;21.4 pmol/L, without prior water deprivation, unequivocally identifies AVP resistance. For the more difficult differential diagnosis of AVP deficiency and primary polydipsia, a copeptin level of &gt;4.9 pmol/L at a high sodium level (≥150 mmol/L) after hypertonic saline infusion has an overall diagnostic accuracy of 96.5%. Importantly, this test requires close monitoring of sodium </w:t>
      </w:r>
      <w:r w:rsidRPr="00A6019F">
        <w:lastRenderedPageBreak/>
        <w:t xml:space="preserve">levels. Copeptin levels after arginine infusion have also shown promising results in differentiating AVP deficiency from primary poly dipsia, but with a lower diagnostic accuracy. Currently, copeptin assays are commercially available in Europe, Australia, India, and Mexico, and tests are pending in several other countries. Once AVP deficiency has been diagnosed, the underlying pathology must be identified by magnetic resonance imaging (MRI) of the sella and suprasellar regions. Also, assessment of the posterior pituitary and the pituitary stalk can be helpful in the differential diagnosis of AVP deficiency. The pituitary bright spot on MRI (a radiologic marker of neurosecretory vesicles containing AVP) is an area of hyperintensity seen in most healthy individuals, but may be lacking in patients with AVP deficiency. However, the absence of the pituitary bright spot is not sufficient to establish a diagnosis of AVP deficiency since it can be present in early stages of AVP deficiency or can be absent in elderly patients. Treatment The signs and symptoms of uncomplicated AVP defi ciency can be eliminated by treatment with DDAVP, a synthetic ana logue of AVP. DDAVP acts selectively at V2 receptors to increase urine concentration and decrease urine flow in a dose-dependent manner. It is also more resistant to degradation than is AVP and has a three- to fourfold longer duration of action. The dose of DDAVP impacts on the duration of action (i.e., the higher the dose, the greater the duration of action). DDAVP can be given by IV or SC injection, nasal inhalation, or orally by means of a tablet or melt. The doses required to treat AVP deficiency vary depending on the patient and the route of administra tion. Among adults, doses usually range from 1–2 μg qd or bid by injec tion, 10–20 μg bid or tid by nasal spray, or 100–400 μg bid or tid orally. The onset of antidiuresis is rapid, ranging from as little as 15 min after injection to 60 min after oral administration. Hyponatremia is the most common complication of desmopressin therapy, with mild depres sion of plasma sodium concentration (131–134 mmol/L) reported in about a quarter of patients with intact thirst. In 15% of patients, 3019 hyponatremia is more severe, with plasma sodium concentration of 2 (5-Deiodination) I HO I NH2 CH O CH2 I COOH HO I NH2 CH O CH2 I Triiodothyronine (T3) I Reverse T3 (rT3) COOH TSH. TRH is the major positive regulator of TSH synthesis and secretion. Peak TSH secretion occurs ~15 min after administration of exogenous TRH. Dopamine, gluco corticoids, and somatostatin suppress TSH but are not of major physiologic importance except when these agents are administered in pharmacologic doses. Reduced levels of thyroid hormone increase basal TSH production and enhance TRH-mediated stimulation of TSH. High thyroid hormone levels rapidly and directly suppress TSH gene expression and inhibit TRH stimulation of TSH secretion, indicating that thyroid hormones are the dominant regu lator of TSH production. Like other pituitary hormones, TSH is released in a pulsatile manner and exhibits a diurnal rhythm; its highest levels occur at night. However, these TSH excursions are modest in comparison to those of other pituitary hormones, in part, because TSH has a relatively long plasma half-life (50 min). Consequently, single measurements of TSH are adequate for assessing its circulating level. TSH is measured using immunoradio metric assays that </w:t>
      </w:r>
      <w:r w:rsidRPr="00A6019F">
        <w:lastRenderedPageBreak/>
        <w:t xml:space="preserve">are highly sensitive and specific. These assays readily distinguish between normal and suppressed TSH values; thus, TSH can be used for the diagnosis of primary hyper thyroidism (low TSH) or primary hypothyroidism (high TSH). 3,5,3'-Triiodothyronine 3,3',5'-Triiodothyronine FIGURE 394-1 Structures of thyroid hormones. Thyroxine (T4 ) contains four iodine atoms. Deiodination leads to production of the potent hormone triiodothyronine (T3 ) or the inactive hormone reverse T3 . C o u Thyroid gland development is orchestrated by the coordinated expression of several developmental transcription factors. Thyroid transcription factor genes TTF1, TTF2, NKX2-1, FOXE1, and paired homeobox-8 (PAX8) are expressed selectively, but not exclusively, in the thyroid gland. In combination, they dictate thyroid cell development and the induction of thyroid-specific proteins such as thyroglobulin (Tg), thyroid peroxidase (TPO), the sodium iodide symporter (Na+/I–, NIS), and the thyroid-stimulating hormone (TSH) receptor (TSH-R). Mutations in these developmental transcription factors or their downstream target genes are rare causes of thyroid agenesis or dyshormonogenesis, although the causes of most forms of congenital hypothyroidism remain unknown (see Chap. 395, Table 395-1). Because congenital hypothyroidism occurs in ~1 in 4000 newborns, neonatal screening is now performed in most industrialized countries. Transplacental passage of maternal thyroid hormone occurs before the fetal thyroid gland begins to function and provides significant hormone support to a fetus with congenital hypo thyroidism. Early thyroid hormone replacement in newborns with congenital hypothyroidism prevents potentially severe developmental abnormalities. p l THYROID HORMONE SYNTHESIS, METABOLISM, AND ACTION </w:t>
      </w:r>
      <w:r w:rsidRPr="00A6019F">
        <w:rPr>
          <w:rFonts w:ascii="Arial" w:hAnsi="Arial" w:cs="Arial"/>
        </w:rPr>
        <w:t>■</w:t>
      </w:r>
      <w:r w:rsidRPr="00A6019F">
        <w:t xml:space="preserve">THYROID HORMONE SYNTHESIS Thyroid hormones are derived from Tg, a large iodinated glycoprotein. After secretion into the thyroid follicle, Tg is iodinated on tyrosine CHAPTER 394 Thyroid Gland Physiology and Testing i The thyroid gland consists of numerous spherical follicles com posed of thyroid follicular cells that surround secreted colloid, a proteinaceous fluid containing large amounts of thyroglobulin, the protein precursor of thyroid hormones (Fig. 394-2). The thyroid fol licular cells are polarized—the basolateral surface is apposed to the bloodstream and an apical surface faces the follicular lumen. Increased demand for thyroid hormone is regulated by TSH, which binds to its receptor on the basolateral surface of the follicular cells. This binding leads to Tg reabsorption from the follicular lumen and proteolysis within the cytoplasm, yielding thyroid hormones for secretion into the bloodstream. REGULATION OF THE THYROID AXIS TSH, secreted by the thyrotrope cells of the anterior pituitary, plays a pivotal role in control of the thyroid axis and serves as the most use ful physiologic marker of thyroid hormone action. TSH is a 31-kDa hormone composed of α and β subunits; the α subunit is common to the other glycoprotein hormones (luteinizing hormone, follicle stimulating hormone, human chorionic gonadotropin [hCG]), whereas the TSH β subunit is unique to TSH. The extent and nature of carbo hydrate modification are modulated by thyrotropin-releasing hormone (TRH) and influence the biologic activity of the hormone. Hypothalamus n TRH + TSH + g Pituitary Thyroid T3 T4–– Basal TSH-R cAMP Tg Apical DIT </w:t>
      </w:r>
      <w:r w:rsidRPr="00A6019F">
        <w:lastRenderedPageBreak/>
        <w:t xml:space="preserve">TPO Tg-MIT NIS I I Follicular cell Tg + I Iodination Thyroid follicle T4 T3 Peripheral actions FIGURE 394-2 Regulation of thyroid hormone synthesis. Left. Thyroid hormones T4 and T3 feed back to inhibit hypothalamic production of thyrotropin-releasing The thyroid axis is a classic example of an endocrine feedback loop (Chap. 389). Hypothalamic TRH stimulates pituitary production of TSH, which, in turn, stimulates thyroid hormone synthesis and secre tion. Thyroid hormones act via negative feedback predominantly through thyroid hormone receptor β2 (TRβ2) to inhibit TRH and TSH production (Fig. 394-2). The “set point” in this axis is established by hormone (TRH) and pituitary production of thyroid-stimulating hormone (TSH). TSH stimulates thyroid gland production of T4 and T3 . Right. Thyroid follicles are formed by thyroid epithelial cells surrounding proteinaceous colloid, which contains thyroglobulin. Follicular cells, which are polarized, synthesize thyroglobulin and carry out thyroid hormone biosynthesis (see text for details). DIT, diiodotyrosine; MIT, monoiodotyrosine; NIS, sodium iodide symporter; Tg, thyroglobulin; TPO, thyroid peroxidase; TSH-R, thyroid-stimulating hormone receptor. 3022 residues that are subsequently coupled via an ether linkage. Reuptake of Tg into the thyroid follicular cell allows proteolysis and the release of newly synthesized T4 and T3 . Iodine Metabolism and Transport Iodide uptake is a critical PART 12 Endocrinology and Metabolism first step in thyroid hormone synthesis. Ingested iodine is bound to serum proteins, particularly albumin. Unbound iodine is excreted in the urine. The thyroid gland extracts iodine from the circulation in a highly efficient manner. For example, 10–25% of radioactive tracer (e.g., 123I) is taken up by the normal thyroid gland over 24 h in an iodine-replete state; this value can rise to 70–90% in Graves’ disease. Iodide uptake is mediated by NIS, which is expressed at the basolateral membrane of thyroid follicular cells. NIS is most highly expressed in the thyroid gland, but low levels are present in the salivary glands, lac tating breast, and placenta. The iodide transport mechanism is highly regulated, allowing adaptation to variations in dietary supply. Low iodine levels increase the amount of NIS and stimulate uptake, whereas high iodine levels suppress NIS expression and uptake. The selective expression of NIS in the thyroid allows isotopic scanning, treatment of hyperthyroidism, and ablation of thyroid cancer with radioisotopes of iodine, without significant effects on other organs. Mutation of the NIS gene is a rare cause of congenital hypothyroidism, underscoring its importance in thyroid hormone synthesis. Another iodine transporter, pendrin, is located on the apical surface of thyroid cells and mediates iodine efflux into the lumen. Mutation of the pendrin gene causes Pen dred syndrome, a disorder characterized by defective organification of iodine, goiter, and sensorineural deafness. Iodine deficiency is prevalent in many mountainous regions and in central Africa, central South America, and northern Asia (Fig. 394-3). Europe remains mildly iodine-deficient, and health surveys indicate that iodine intake has been falling in the United States and Australia. The World Health Organization (WHO) estimates that about 2 billion people are iodine-deficient, based on urinary excretion data. In areas of relative iodine deficiency, there is an increased prevalence of goi ter and, when deficiency is </w:t>
      </w:r>
      <w:r w:rsidRPr="00A6019F">
        <w:lastRenderedPageBreak/>
        <w:t xml:space="preserve">severe, hypothyroidism and cretinism. Cretinism is characterized by intellectual disability and growth retarda tion and occurs when children who live in iodine-deficient regions are not treated with iodine or thyroid hormone to restore normal thyroid hormone levels during early life. These children are often born to mothers with iodine deficiency, and it is likely that maternal thyroid hormone deficiency worsens the condition. The physiologic iodine requirement is higher in lactating women, and iodine turnover is high in infants. Concomitant selenium deficiency may also contribute to the neurologic manifestations of cretinism. Iodine supplementation of salt, bread, and other food substances has markedly reduced the preva lence of cretinism. Unfortunately, however, iodine deficiency remains a common cause of preventable intellectual disability, often because of societal resistance to food additives or the cost of supplementation. In Global scorecard of iodine nutrition in 2021 Iodine intake in the general population assessed by median urinary iodine concentration (mUIC) in school-age children (SAC)a Studies conducted in 2005–2020 Insufficient mUIC 100 μg/L in iodine-sufficient populations. Organification, Coupling, Storage, and Release After iodide enters the thyroid, it is trapped and transported to the apical mem brane of thyroid follicular cells, where it is oxidized in an organifica tion reaction that involves TPO and hydrogen peroxide produced by dual oxidase (DUOX) and DUOX maturation factor (DUOXA). The reactive iodine atom is added to specific tyrosyl residues within Tg, a large (660 kDa) dimeric protein that consists of 2769 amino acids. The iodotyrosines in Tg are then coupled via an ether linkage in a reaction that is also catalyzed by TPO. Either T4 or T3 can be produced by this reaction, depending on the number of iodine atoms present in the iodotyrosines. After coupling, Tg is taken back into the thyroid cell, where it is processed in lysosomes to release T4 and T3 . Uncoupled mono- and diiodotyrosines (MIT, DIT) can be deiodinated by the enzyme iodotyrosine deiodinase, thereby recycling any iodide that is not converted into thyroid hormones. Disorders of thyroid hormone synthesis are rare causes of congenital hypothyroidism (Chap. 395). The vast majority of these disorders are due to recessive mutations in TPO or Tg, but defects have also been identified in the TSH-R, NIS, pendrin, hydrogen peroxide generation, and iodotyrosine deiodinase, as well as genes involved in thyroid gland development. In the case of biosynthetic defects, the gland is incapable of synthesizing adequate amounts of hormone, leading to increased TSH and a large goiter. TSH Action TSH regulates thyroid gland function through the TSH-R, a seven-transmembrane G protein–coupled receptor (GPCR). The TSH-R is coupled to the α subunit of stimulatory G protein (GS α), which activates adenylyl cyclase, leading to increased production of cyclic adenosine monophosphate (cAMP). TSH also stimulates phos phatidylinositol turnover by activating phospholipase C. Recessive loss of-function TSH-R mutations cause thyroid hypoplasia and congenital hypothyroidism. Dominant gain-of-function mutations are rare causes of sporadic or familial hyperthyroidism that is characterized by goiter, thyroid cell hyperplasia, and autonomous function (Chap. 396). Most of these activating mutations occur in the transmembrane domain of the receptor. They mimic </w:t>
      </w:r>
      <w:r w:rsidRPr="00A6019F">
        <w:lastRenderedPageBreak/>
        <w:t xml:space="preserve">the conformational changes induced by TSH binding or the interactions of thyroid-stimulating immunoglobulins (TSIs) in Graves’ disease. Activating TSH-R mutations also occur as somatic events, leading to clonal selection and expansion of the affected thyroid follicular cell and autonomously functioning thyroid nodules. Other Factors That Influence Hormone Synthesis and Release Although TSH is the dominant hormonal regulator of thyroid gland growth and function, a variety of growth factors, most produced locally in the thyroid gland, also influence thyroid hormone synthesis. These include insulin-like growth factor 1 (IGF-1), epider mal growth factor, transforming growth factor β (TGF-β), endothelins, and various cytokines. The quantitative roles of these factors are not well understood, but they are important in selected disease states. In acromegaly, for example, increased levels of growth hormone and IGF-1 are associated with goiter and predisposition to multinodular goiter (MNG). Certain cytokines and interleukins (ILs) produced in association with autoimmune thyroid disease induce thyroid growth, whereas others lead to apoptosis. Iodine deficiency increases thyroid blood flow and upregulates the NIS, stimulating more efficient iodine uptake. Excess iodide transiently inhibits thyroid iodide organification, a phenomenon known as the Wolff-Chaikoff effect. In individuals with a normal thyroid, the gland escapes from this inhibitory effect and iodide organification resumes; the suppressive action of high iodide may persist, however, in patients with underlying autoimmune thyroid disease. THYROID FUNCTION IN PREGNANCY Five factors alter thyroid function in pregnancy: (1) the transient increase in hCG during the first trimester, which weakly stimulates the TSH-R; (2) the estrogen-induced rise in thyroxine-binding globulin (TBG) during the first trimester, which is sustained dur ing pregnancy; (3) alterations in the immune system, leading to the onset, exacerbation, or amelioration of an underlying autoimmune thyroid disease; (4) increased thyroid hormone metabolism by the placental type III deiodinase; and (5) increased urinary iodide excre tion, which can cause impaired thyroid hormone production in areas of marginal iodine sufficiency. Women with a precarious iodine intake ( T3 ), it carries ~80% of the bound hormones. Albumin has relatively low affinity for thyroid hormones but has a high plasma concentration (~3.5 g/dL), and it binds up to 10% of T4 and 30% of T3 . TTR carries ~10% of T4 but little T3 . When the effects of the various binding proteins are combined, ~99.98% of T4 and 99.7% of T3 are protein-bound. Because T3 is less 3024 TABLE 394-1 Characteristics of Circulating T4 and T3 HORMONE PROPERTY Serum concentrations Total hormone Fraction of total hormone in the unbound form Unbound (free) hormone Serum half-life PART 12 Fraction directly from the thyroid T4 8 μg/dL 0.02% 21 × 10–12M 7 d 100% Production rate, including peripheral conversion Intracellular hormone fraction Relative metabolic potency Receptor binding Endocrinology and Metabolism 90 μg/d ~20% 0.3 10–10M tightly bound than T4 , the fraction of unbound T3 is greater than unbound T4 , but there is less unbound T3 in the circulation because it is produced in smaller amounts and cleared more rapidly than T4 . The unbound or “free” concentrations of the hormones are ~2 × 10−11 M for T4 and ~6 × 10−12 M for T3 , which </w:t>
      </w:r>
      <w:r w:rsidRPr="00A6019F">
        <w:lastRenderedPageBreak/>
        <w:t xml:space="preserve">roughly correspond to the thyroid hormone receptor–binding constants for these hormones (see below). The unbound hormone is thought to be biologically available to tissues. The homeostatic mechanisms that regulate the thyroid axis are directed toward maintenance of normal concentrations of unbound hormones. Abnormalities of Thyroid Hormone–Binding Proteins A number of inherited and acquired abnormalities affect thyroid hor mone–binding proteins. X-linked TBG deficiency is associated with very low levels of total T4 and T3 . However, because unbound hormone levels are normal, patients are euthyroid and TSH levels are normal. It is important to recognize this disorder to avoid efforts to normal ize total T4 levels, because this leads to thyrotoxicosis and is futile because of rapid hormone clearance in the absence of TBG. TBG levels are elevated by estrogen, which increases sialylation and delays TBG clearance. Consequently, in women who are pregnant or taking estrogen-containing contraceptives, elevated TBG increases total T4 and T3 levels; however, unbound T4 and T3 levels are normal. These features are part of the explanation for why women with hypothyroid ism require increased amounts of L-thyroxine replacement as TBG levels are increased by pregnancy or estrogen treatment. Mutations in TBG, TTR, and albumin may increase the binding affinity for T4 and/ or T3 and cause disorders known as euthy roid hyperthyroxinemia or familial dys albuminemic hyperthyroxinemia (FDH) (Table 394-2). These disorders result in Deiodinases T4 may be thought of as a precursor for the more potent T3 . T4 is converted to T3 by the deiodinase enzymes (Fig. 394-1). T3 0.14 μg/dL 0.3% 6 × 10–12M 2 d 20% 32 μg/d ~70% 1 10–11M Type I deiodinase, which is located primarily in thyroid, liver, and kid neys, has a relatively low affinity for T4 . Type II deiodinase has a higher affinity for T4 and is found primarily in the pituitary gland, brain, brown fat, and thyroid gland. Expression of type II deiodinase allows it to regulate T3 concentrations locally, a property that may be important in the context of levothyroxine (T4 ) replacement. Type II deiodinase is also regulated by thyroid hormone; hypothyroidism induces the enzyme, resulting in enhanced T4 → T3 conversion in tissues such as brain and pituitary. T4 → T3 conversion is impaired by fasting, systemic illness or acute trauma, oral contrast agents, and a variety of medications (e.g., propylthiouracil, propranolol, amiodarone, gluco corticoids). Type III deiodinase inactivates T4 and T3 and is the most important source of reverse T3 (rT3 ), including in the sick euthyroid syndrome. This enzyme is expressed in the human placenta but is not active in healthy individuals. In the sick euthyroid syndrome, especially with hypoperfusion, the type III deiodinase is activated in muscle and liver. Massive hemangiomas and other tumors that express type III deiodinase are a rare cause of consumptive hypothyroidism. </w:t>
      </w:r>
      <w:r w:rsidRPr="00A6019F">
        <w:rPr>
          <w:rFonts w:ascii="Arial" w:hAnsi="Arial" w:cs="Arial"/>
        </w:rPr>
        <w:t>■</w:t>
      </w:r>
      <w:r w:rsidRPr="00A6019F">
        <w:t xml:space="preserve">THYROID HORMONE ACTION Thyroid Hormone Transport Circulating thyroid hormones enter cells by passive diffusion and via specific transporters such as the monocarboxylate 8 transporter (MCT8), MCT10, and organic anion transporting polypeptide 1C1. Mutations in the MCT8 gene have been identified in patients with X-linked psychomotor retardation and thyroid function abnormalities (low T4 , high T3 , and high TSH). After entering cells, thyroid hormones act primarily through </w:t>
      </w:r>
      <w:r w:rsidRPr="00A6019F">
        <w:lastRenderedPageBreak/>
        <w:t xml:space="preserve">nuclear recep tors, although they also have nongenomic actions through stimulating mitochondrial enzymatic responses and may act directly on blood ves sels and the heart through integrin receptors. Nuclear Thyroid Hormone Receptors Thyroid hormones bind with high affinity to nuclear TRs α and β. Both TRα and TRβ are expressed in most tissues, but their relative expression levels vary among organs; TRα is particularly abundant in brain, kidneys, gonads, muscle, and heart, whereas TRβ expression is relatively high in the pituitary and liver. Both receptors are variably spliced to form unique isoforms. The TRβ2 isoform, which has a unique amino terminus, is selectively expressed in the hypothalamus and pituitary, where it plays a role in feedback control of the thyroid axis (see above). The TRα2 TABLE 394-2 Conditions Associated with Euthyroid Hyperthyroxinemia DISORDER increased total T4 and/or T3 , but unbound hormone levels are normal. The familial nature of the disorders, and the fact that TSH levels are normal rather than sup pressed, should suggest this diagnosis. Unbound hormone levels (ideally mea sured by dialysis) are normal in FDH. The diagnosis can be confirmed by using tests that measure the affinities of radiolabeled hormone binding to specific transport proteins or by performing DNA sequence analyses of the abnormal transport protein genes. Certain medications, such as salicylates and salsalate, can displace thyroid hor mones from circulating binding proteins. Although these drugs transiently perturb the thyroid axis by increasing free thyroid hormone levels, TSH is suppressed until a new steady state is reached, thereby restor ing euthyroidism. Circulating factors asso ciated with acute illness may also displace thyroid hormone from binding proteins (Chap. 396). Familial dysalbuminemic hyperthyroxinemia (FDH) TBG    Familial excess Acquired excess Transthyretina    Excess Mutations Medications: propranolol, ipodate, iopanoic acid, amiodarone Resistance to thyroid hormone (RTH) CAUSE Albumin mutations, usually R218H Increased TBG production Medications (estrogen), pregnancy, cirrhosis, hepatitis Islet tumors TRANSMISSION CHARACTERISTICS AD XL Acquired Increased T4 Normal unbound T4 Rarely increased T3 Increased total T4 , T3 Normal unbound T4 , T3 Increased total T4 , T3 Normal unbound T4 , T3 Acquired Increased affinity for T4 or T3 AD Decreased T4 → T3 conversion Acquired Thyroid hormone receptor β mutations aAlso known as thyroxine-binding prealbumin (TBPA). AD Usually normal T4 , T3 Increased total T4 , T3 Normal unbound T4 , T3 Increased T4 Decreased T3 Normal or increased TSH Increased unbound T4 , T3 Normal or increased TSH Some patients clinically thyrotoxic Abbreviations: AD, autosomal dominant; TBG, thyroxine-binding globulin; TSH, thyroid-stimulating hormone; XL, X-linked. 3025 T3 T4 Cytoplasm Nucleus T3 CoR 1 2 T3 CoA RXR TR CoA 3 TRE Gene expression Gene 4 FIGURE 394-4 Mechanism of thyroid hormone receptor action. The thyroid hormone receptor (TR) and retinoid X receptor (RXR) form heterodimers that bind specifically to thyroid hormone response elements (TRE) in the promoter regions of target genes. In the absence of hormone, TR binds co-repressor (CoR) proteins that silence gene expression. The numbers refer to a series of ordered reactions that occur in response to thyroid hormone: (1) T4 or T3 enters the </w:t>
      </w:r>
      <w:r w:rsidRPr="00A6019F">
        <w:lastRenderedPageBreak/>
        <w:t xml:space="preserve">nucleus; (2) T3 binding dissociates CoR from TR; (3) co-activators (CoA) are recruited to the T3-bound receptor; and (4) gene expression is altered. isoform contains a unique carboxy terminus that precludes thyroid hormone binding. The TRs contain a central DNA-binding domain and a C-terminal ligand-binding domain. They bind to specific DNA sequences, termed thyroid response elements (TREs), in target genes (Fig. 394-4). The receptors bind as homodimers or, more commonly, as heterodimers with retinoic acid X receptors (RXRs) (Chap. 389). The activated receptor can either stimulate gene transcription (e.g., myosin heavy chain α) or inhibit transcription (e.g., TSH β-subunit gene), depending on the nature of the regulatory elements in the target gene. Thyroid hormones (T3 and T4 ) bind with similar affinities to TRα and TRβ. However, structural differences in the ligand-binding domains provide the potential for developing receptor-selective ago nists or antagonists, and these are under investigation. T3 is bound with 10–15 times greater affinity than T4 , which explains its increased potency. Although T4 is produced in excess of T3 , receptors are occu pied mainly by T3 , reflecting T4 → T3 conversion by peripheral tissues, T3 bioavailability in the plasma, and the greater affinity of receptors for T3 . After binding to TRs, thyroid hormone induces conformational changes in the receptors that modify its interactions with accessory transcription factors. Importantly, in the absence of thyroid hormone binding, the aporeceptors bind to co-repressor proteins that inhibit gene transcription. Hormone binding dissociates the co-repressors and allows the recruitment of co-activators that enhance transcription. The discovery of TR interactions with co-repressors explains the fact that TR silences gene expression in the absence of hormone binding. Consequently, hormone deficiency has a profound effect on gene expression because it causes gene repression as well as loss of hormone induced stimulation. This concept has been corroborated by the find ing that targeted deletion of the TR genes in mice has a less pronounced phenotypic effect than hormone deficiency. Thyroid Hormone Resistance Resistance to thyroid hormone (RTH) is an autosomal dominant disorder characterized by elevated thyroid hormone levels and inappropriately normal or elevated TSH. Individuals with RTH do not, in general, exhibit signs and symptoms that are typical of hypothyroidism because hormone resistance is par tial and is compensated by increased levels of thyroid hormone. The clinical features of RTH can include goiter, attention deficit disorder, mild reduction in IQ, delayed skeletal maturation, tachycardia, and impaired metabolic responses to thyroid hormone. Classical forms of RTH are caused by mutations in the TRβ gene. These mutations, located in restricted regions of the ligand-binding domain, cause loss of receptor function. However, because the mutant receptors retain the capacity to dimerize with RXRs, bind to DNA, and recruit co-repressor proteins, they function as antagonists of the remaining normal TRβ and TRα receptors. This property, referred to as “dominant negative” activity, explains the autosomal dominant mode of transmission. The diagnosis is suspected when unbound thy roid hormone levels are increased without suppression of TSH. Similar hormonal abnormalities are found in other affected family </w:t>
      </w:r>
      <w:r w:rsidRPr="00A6019F">
        <w:lastRenderedPageBreak/>
        <w:t xml:space="preserve">members, although the TRβ mutation arises de novo in ~20% of patients. DNA sequence analysis of the TRβ gene provides a definitive diagnosis. RTH must be distinguished from other causes of euthyroid hyperthyroxin emia (e.g., FDH) and inappropriate secretion of TSH by TSH-secreting pituitary adenomas (Chap. 392). In most patients, no treatment is indicated; the importance of making the diagnosis is to avoid inappro priate treatment of mistaken hyperthyroidism and to provide genetic counseling. A distinct form of RTH is caused by mutations in the TRα gene. Affected patients have many clinical features of congenital hypo thyroidism including growth retardation, skeletal dysplasia, severe constipation, and delayed neurocognitive development. In contrast to RTH caused by mutations in TRβ, thyroid function tests include normal TSH, low or normal T4 , and normal or elevated T3 levels. These distinct clinical and laboratory features underscore the different tissue distribution and functional roles of TRβ and TRα. Thyroxine treatment appears to alleviate some of the clinical manifestations of patients with RTH caused by TRα mutations. </w:t>
      </w:r>
      <w:r w:rsidRPr="00A6019F">
        <w:rPr>
          <w:rFonts w:ascii="Arial" w:hAnsi="Arial" w:cs="Arial"/>
        </w:rPr>
        <w:t>■</w:t>
      </w:r>
      <w:r w:rsidRPr="00A6019F">
        <w:t xml:space="preserve">PHYSICAL EXAMINATION In addition to the examination of the thyroid itself, the physical exami nation should include a search for signs of abnormal thyroid function and the extrathyroidal features of ophthalmopathy and dermopathy (Chap. 396). Examination of the neck begins by inspecting the seated patient from the front and side and noting any surgical scars, obvious masses, or distended veins. The thyroid can be palpated with both hands from behind or while facing the patient, using the thumbs to palpate each lobe. It is best to use a combination of these methods, especially when nodules are small. The patient’s neck should be slightly flexed to relax the neck muscles. After locating the cricoid cartilage, the isthmus, which is attached to the lower one-third of the thyroid lobes, can be identified and then followed laterally to locate either lobe (normally, the right lobe is slightly larger than the left). By asking the patient to swallow sips of water, thyroid consistency can be better appreciated as the gland moves beneath the examiner’s fingers. CHAPTER 394 Thyroid Gland Physiology and Testing Features to be noted include thyroid size, consistency, nodularity, and any tenderness or fixation. An estimate of thyroid size (normally 12–20 g) should be made, and a drawing is often the best way to record findings. Ultrasound imaging provides the most accurate measure ment of thyroid volume and nodularity and is useful for assessment of goiter prevalence in iodine-deficient regions. However, ultrasound is not indicated if the thyroid physical examination is normal. The size, location, and consistency of any nodules should also be defined. A bruit or thrill over the gland, located over the insertion of the supe rior and inferior thyroid arteries (supero- or inferolaterally), indicates increased vascularity, associated with turbulent rather than laminar blood flow, as occurs in hyperthyroidism. If the lower borders of the thyroid lobes are not clearly felt, a goiter may be retrosternal. Large retrosternal goiters can cause venous distention over the neck and difficulty breathing, especially when the arms are raised (Pemberton’s sign). With any central mass above the thyroid, the tongue should be extended, as thyroglossal cysts then move upward. The thyroid exami nation is not </w:t>
      </w:r>
      <w:r w:rsidRPr="00A6019F">
        <w:lastRenderedPageBreak/>
        <w:t xml:space="preserve">complete without assessment for lymphadenopathy in the supraclavicular and cervical regions of the neck. </w:t>
      </w:r>
      <w:r w:rsidRPr="00A6019F">
        <w:rPr>
          <w:rFonts w:ascii="Arial" w:hAnsi="Arial" w:cs="Arial"/>
        </w:rPr>
        <w:t>■</w:t>
      </w:r>
      <w:r w:rsidRPr="00A6019F">
        <w:t xml:space="preserve">LABORATORY EVALUATION Measurement of Thyroid Hormones The enhanced sensitivity and specificity of TSH assays have greatly improved laboratory assess ment of thyroid function. Because TSH levels change dynamically 3026 in response to alterations of T4 and T3 , a logical approach to thyroid pregnancy (due to hCG secretion), after treatment of hyperthyroid ism (because TSH can remain suppressed for several months), and in response to certain medications (e.g., high doses of glucocorticoids or dopamine). As above, biotin supplements, generally those containing more than 1000 ug, taken 3× upper limit of normal) in the last trimester of pregnancy. Serum Tg levels are increased in all types of thyrotoxicosis except thyrotoxicosis factitia caused by self-administration of thyroid hor mone. Tg levels are particularly increased in thyroiditis, reflecting thyroid tissue destruction and release of Tg. The main role for Tg mea surement, however, is in the follow-up of thyroid cancer patients. After total thyroidectomy and radioablation for patients with thyroid cancer, Tg levels should be 3 mm. Sonographic patterns that combine suspicious sonographic features are highly sug gestive of malignancy (e.g., hypoechoic solid nodules with irregular borders and punctate echogenic foci &gt;90% cancer risk), whereas other patterns correlate with a lower likelihood of cancer (isoechoic solid nodules, 5–10% cancer risk). Some patterns suggest benignity (e.g., spongiform nodules, defined as those with multiple small internal cys tic areas, or simple cysts, 10 mIU/L), which is referred to as clinical hypothyroidism or overt hypothyroidism. Prevalence The mean annual incidence rate of autoimmune hypo thyroidism is up to 4 per 1000 women and 1 per 1000 men. It is more common in certain populations, such as the Japanese, probably because of genetic factors and chronic exposure to a high-iodine diet. Hypothy roidism typically occurs between 30 and 50 years of age, and the preva lence of increases with age. The mean age at diagnosis is 60 years, and the prevalence of overt hypothyroidism increases with age. Subclinical hypothyroidism is found in 6–8% of women (10% over the age of 60) and 3% of men. The annual risk of developing clinical hypothyroidism is ~4% when subclinical hypothyroidism is associated with positive thyroid peroxidase (TPO) antibodies. 3029 Pathogenesis In Hashimoto’s thyroiditis, there is a marked lym phocytic infiltration of the thyroid with germinal center formation, atrophy of the thyroid follicles accompanied by oxyphil metaplasia, absence of colloid, and mild to moderate fibrosis. In atrophic thy roiditis, the fibrosis is much more extensive, lymphocyte infiltration is less pronounced, and thyroid follicles are almost completely absent. Atrophic thyroiditis usually represents the end stage of Hashimoto’s thyroiditis rather than a separate disorder, although a distinct form of marked fibrosis occurs in which the gland is infiltrated with IgG4 positive plasma cells. As with most autoimmune disorders, susceptibility to autoimmune hypothyroidism is determined by a combination of genetic and envi ronmental factors, and the risk of either autoimmune hypothyroidism or Graves’ disease is increased among siblings. HLA-DR polymor phisms are the best documented genetic risk factors for autoimmune hypothyroidism, </w:t>
      </w:r>
      <w:r w:rsidRPr="00A6019F">
        <w:lastRenderedPageBreak/>
        <w:t xml:space="preserve">especially HLA-DR3, DR4, and DR5 in Caucasians. A weak association also exists between polymorphisms in PTPN22 and CTLA-4, which have immunoregulatory functions, and autoimmune hypothyroidism. All these genetic associations are shared by other autoimmune diseases, which may explain the relationship between autoimmune hypothyroidism and other autoimmune diseases, espe cially type 1 diabetes mellitus, Addison’s disease, pernicious anemia, and vitiligo. The role of other contributory loci remains to be clarified. A gene on chromosome 21 may be responsible for the association between autoimmune hypothyroidism and Down’s syndrome. The female preponderance of thyroid autoimmunity is most likely due to sex steroid effects on the immune response, but an X chromosome related genetic factor is also possible and may account for the high frequency of autoimmune hypothyroidism in Turner’s syndrome. Envi ronmental susceptibility factors are poorly defined at present. A high iodine or low selenium intake and decreased exposure to microorgan isms in childhood increase the risk of autoimmune hypothyroidism. Smoking cessation transiently increases incidence, whereas alcohol intake seems protective. These factors may account for the increase in prevalence over the past two to three decades. The thyroid lymphocytic infiltrate in autoimmune hypothyroid ism is composed of activated T cells as well as B cells. Thyroid cell destruction is primarily mediated by the CD8+ cytotoxic T cells, but local production of cytokines, such as tumor necrosis factor (TNF), interleukin-1 (IL-1), and interferon γ (IFN-γ), derived from the inflammatory infiltrate may render thyroid cells more susceptible to apoptosis mediated by death receptors, such as Fas, and by oxidative stress. These cytokines also impair thyroid cell function directly and induce the expression of other proinflammatory molecules by the thyroid cells themselves, such as cytokines, human leukocyte antigen (HLA) class I and class II molecules, adhesion molecules, CD40, and nitric oxide. Administration of high concentrations of cytokines for therapeutic purposes (especially IFN-α) is associated with increased autoimmune thyroid disease, possibly through mechanisms similar to those in sporadic disease. Novel anticancer and immunomodulatory treatments, such as tyrosine kinase inhibitors, immune checkpoint inhibitors, and alemtuzumab, can also induce thyroiditis via their effects on T-cell regulation. Antibodies to TPO and thyroglobulin (Tg) are clinically useful mark ers of thyroid autoimmunity, but any pathogenic effect is restricted to a secondary role in amplifying an ongoing autoimmune response. TPO antibodies fix complement, and complement membrane-attack complexes are present in the thyroid in autoimmune hypothyroidism. However, transplacental passage of Tg or TPO antibodies has no effect on the fetal thyroid, which suggests that T cell–mediated injury is required to initiate autoimmune damage to the thyroid. Up to 20% of patients with autoimmune hypothyroidism have anti bodies against the TSH-R, which, in contrast to thyroid-stimulating immunoglobulin (TSI), do not stimulate the receptor but prevent the binding of TSH. These TSH-R-blocking antibodies, therefore, cause hypothyroidism and, especially in Asian patients, thyroid atrophy. Their transplacental passage may induce transient neonatal hypothy roidism. </w:t>
      </w:r>
      <w:r w:rsidRPr="00A6019F">
        <w:lastRenderedPageBreak/>
        <w:t xml:space="preserve">Rarely, patients have a mixture of TSI and TSH-R-blocking antibodies, and thyroid function can oscillate between hyperthyroidism and hypothyroidism as one or the other antibody becomes dominant. Predicting the course of disease in such individuals is difficult, and they require close monitoring of thyroid function. Bioassays can be used to document that TSH-R-blocking antibodies reduce the cyclic AMP–inducing effect of TSH on cultured TSH-R-expressing cells, but these assays are difficult to perform. Immunoassays for TSH receptor antibodies, which measure whether the patient’s serum contains an antibody that can displace either labeled TSH or a monoclonal TSH receptor antibody from the TSH receptor, do not distinguish between these types of functional antibodies, but a positive result in a patient with spontaneous hypothyroidism is strong evidence for the presence of blocking antibodies. The use of these assays does not generally alter clinical management, although it may be useful to confirm the cause of transient neonatal hypothyroidism. Clinical Manifestations The main clinical features of hypothy roidism are summarized in Table 395-3. The onset is usually insidious, and the patient may become aware of symptoms only when euthy roidism is restored. Patients with Hashimoto’s thyroiditis may present because of goiter rather than symptoms of hypothyroidism. The goiter may not be large, but it is usually irregular and firm in consistency. Rarely, uncomplicated Hashimoto’s thyroiditis is associated with pain. Patients with atrophic thyroiditis or the later stage of Hashimoto’s thyroiditis present with symptoms and signs of hypothyroidism. The skin is dry, and there is decreased sweating, thinning of the epider mis, and hyperkeratosis of the stratum corneum. Increased dermal glycosaminoglycan content traps water, giving rise to skin thickening without pitting (myxedema). Typical features include a puffy face with edematous eyelids and nonpitting pretibial edema (Fig. 395-1). There is pallor, often with a yellow tinge to the skin due to carotene accumula tion. Nail growth is retarded, and hair is dry, brittle, difficult to manage, and falls out easily. In addition to diffuse alopecia, there is thinning of the outer third of the eyebrows, although this is not a specific sign of hypothyroidism. CHAPTER 395 Hypothyroidism Other common features include constipation and weight gain (despite a poor appetite). In contrast to popular perception, the weight gain is usually modest and due mainly to fluid retention in the myxedematous tissues. Libido is decreased in both sexes, and there may be oligomenorrhea or amenorrhea in long-standing disease, but FIGURE 395-1 Facial appearance in hypothyroidism. Note puffy eyes and thickened skin. 3030 menorrhagia may occur at an early stage. Fertility is reduced, and the incidence of miscarriage is increased. Prolactin levels are often mod estly increased (Chap. 392) and may contribute to alterations in libido and fertility and cause galactorrhea. PART 12 Endocrinology and Metabolism Myocardial contractility and pulse rate are reduced, leading to a reduced stroke volume and bradycardia. Increased peripheral resis tance may be accompanied by hypertension, particularly diastolic. Blood flow is diverted from the skin, producing cool extremities. Peri cardial effusions occur in up to 30% of patients but rarely compromise cardiac function. Although alterations in myosin heavy </w:t>
      </w:r>
      <w:r w:rsidRPr="00A6019F">
        <w:lastRenderedPageBreak/>
        <w:t xml:space="preserve">chain isoform expression have been documented, cardiomyopathy is rare. Fluid may also accumulate in other serous cavities and in the middle ear, giving rise to conductive deafness; sensorineural deafness may also occur. Pulmonary function is generally normal, but dyspnea may be caused by pleural effusion, impaired respiratory muscle function, diminished ventilatory drive, or sleep apnea. Carpal tunnel and other entrapment syndromes are common, as is impairment of muscle function with stiffness, cramps, and pain. On examination, there may be slow relaxation of tendon reflexes and pseu domyotonia. Memory and concentration are impaired. Experimentally, positron emission tomography (PET) scans examining glucose metab olism in hypothyroid subjects show lower regional activity in the amyg dala, hippocampus, and perigenual anterior cingulate cortex, among other regions, and this activity corrects after thyroxine replacement. Rare neurologic problems include reversible cerebellar ataxia, demen tia, psychosis, and myxedema coma. Hashimoto’s encephalopathy has been defined as a steroid-responsive syndrome associated with TPO antibodies, myoclonus, and slow-wave activity on electroencephalog raphy, but the relationship with thyroid autoimmunity or hypothyroid ism is not established, and if a patient is euthyroid, levothyroxine (LT4) therapy has not been shown to be efficacious in treatment. The hoarse voice and occasionally clumsy speech of hypothyroidism reflect fluid accumulation in the vocal cords and tongue. The features described above are the consequence of thyroid hor mone deficiency. However, autoimmune hypothyroidism may be associated with signs or symptoms of other autoimmune diseases, particularly vitiligo, pernicious anemia, Addison’s disease (Schmidt’s syndrome), alopecia areata, and type 1 diabetes mellitus (T1DM). In the polygenic disorder autoimmune polyendocrine syndrome type 2, autoimmune thyroid disease is present in 70–75%, T1DM in 40–60%, and Addison’s disease in 40–50%. Less common associations include celiac disease, dermatitis herpetiformis, chronic active hepatitis, rheu matoid arthritis, systemic lupus erythematosus (SLE), myasthenia Elevated Measure unbound T4 Normal gravis, autoimmune hypoparathyroidism, primary hypogonadism, and Sjögren’s syndrome. Thyroid-associated ophthalmopathy usually occurs in Graves’ disease (Chap. 396), but in ~5% of patients, it is associated with autoimmune hypothyroidism. Autoimmune hypothyroidism is uncommon in children and usually presents with slow growth and delayed facial and dental maturation. The pituitary may be enlarged due to thyrotroph hyperplasia. Myopa thy, with muscle swelling, is more common in children than in adults. In most cases, puberty is delayed, but precocious puberty sometimes occurs. There may be intellectual impairment if the onset is before 3 years and the hormone deficiency is severe. Laboratory Evaluation A summary of the investigations used to determine the existence and cause of hypothyroidism is provided in Fig. 395-2. A normal TSH level excludes primary (but not secondary or central) hypothyroidism. If the TSH is elevated, a free or unbound T4 level (FT4 ) is needed to confirm the presence of clinical hypothyroid ism, but T4 is inferior to TSH when used as a screening test because it will not detect subclinical </w:t>
      </w:r>
      <w:r w:rsidRPr="00A6019F">
        <w:lastRenderedPageBreak/>
        <w:t xml:space="preserve">hypothyroidism. Circulating unbound T3 levels are normal in ~25% of patients, reflecting adaptive deiodinase responses to hypothyroidism. T3 measurements are, therefore, not indicated. Once clinical or subclinical hypothyroidism is confirmed, the etiol ogy is usually easily established by demonstrating the presence of TPO and Tg antibodies, which are present in &gt;95% of patients with autoim mune hypothyroidism. Other abnormal laboratory findings in hypo thyroidism may include increased creatine phosphokinase, elevated cholesterol and triglycerides, and anemia (usually normocytic or mac rocytic) depending upon the degree and duration of hypothyroidism. Except when accompanied by iron deficiency or B12 deficiency from concomitant pernicious anemia, the anemia and other abnormalities gradually resolve with thyroxine replacement. Differential Diagnosis An asymmetric goiter in Hashimoto’s thy roiditis may be confused with a multinodular goiter (MNG) or thyroid carcinoma, in which thyroid antibodies may also be present. Primary thyroid lymphoma (Chap. 397) is rare but strongly associated with pre existing autoimmune thyroiditis. Ultrasound can be used to show the presence of solitary or multiple nodules rather than the thyroid enlarge ment with heterogeneous echogenicity typical of Hashimoto’s thyroid itis. However, ultrasound imaging may also detect pseudonodules, hypoechoic areas likely representing areas of lymphocytic infiltrates, which need to be distinguished from true superimposed nodules as fine-needle aspirate is not warranted for these. Fine-needle aspiration Measure TSH Low Mild hypothyroidism TPOAb+ or symptomatic Consider T4 TPOAb–, no symptoms Normal Pituitary disease suspected? No Primary hypothyroidism TPOAb+ Autoimmune hypothyroidism TPOAb No further tests Rule out other causes of hypothyroidism Annual follow-up treatment T4 treatment Yes Measure unbound T4 Low Normal No further tests Rule out drug effects, sick euthyroid syndrome, then evaluate anterior pituitary function FIGURE 395-2 Evaluation of hypothyroidism. TPOAb+, thyroid peroxidase antibodies present; TPOAb–, thyroid peroxidase antibodies not present; TSH, thyroid-stimulating hormone. 3031 (FNA) biopsy should be performed for all true nodules meeting FNA criteria (Chap. 397). Other causes of hypothyroidism are discussed below and in Table 395-1 but rarely cause diagnostic confusion. </w:t>
      </w:r>
      <w:r w:rsidRPr="00A6019F">
        <w:rPr>
          <w:rFonts w:ascii="Arial" w:hAnsi="Arial" w:cs="Arial"/>
        </w:rPr>
        <w:t>■</w:t>
      </w:r>
      <w:r w:rsidRPr="00A6019F">
        <w:t xml:space="preserve">OTHER CAUSES OF HYPOTHYROIDISM Iatrogenic hypothyroidism is a common cause of hypothyroidism and can often be detected by screening before symptoms develop. In the first 3–4 months after radioiodine treatment for Graves’ disease, tran sient hypothyroidism may occur due to reversible radiation damage. Low-dose thyroxine treatment can be withdrawn if recovery occurs. Because TSH levels are suppressed by hyperthyroidism, unbound T4 levels are a better measure of thyroid function than TSH in the months following radioiodine treatment. Mild hypothyroidism after subtotal thyroidectomy or lobectomy may also resolve after several months, as the gland remnant is stimulated by increased TSH levels. Iodine deficiency is responsible for endemic goiter and cretinism but is an uncommon cause of adult hypothyroidism unless the iodine intake is very low or there are complicating factors, such as the con sumption of thiocyanates in cassava or selenium deficiency. </w:t>
      </w:r>
      <w:r w:rsidRPr="00A6019F">
        <w:lastRenderedPageBreak/>
        <w:t xml:space="preserve">Although hypothyroidism due to iodine deficiency can be treated with thyroxine, public health measures to improve iodine intake should be advocated to eliminate this problem. Iodized salt or bread or a single bolus of oral or intramuscular iodized oil have all been used successfully. Paradoxically, chronic iodine excess can also induce goiter and hypothyroidism. The intracellular events that account for this effect are unclear, but individuals with autoimmune thyroiditis are especially susceptible. Iodine excess is responsible for the hypothyroidism that occurs in patients treated with amiodarone (Chap. 396). Other drugs, particularly lithium, may also cause hypothyroidism. Transient hypo thyroidism may also be caused by thyroiditis (Chap. 396). Secondary or central hypothyroidism is usually diagnosed in the context of other anterior pituitary hormone deficiencies; isolated TSH deficiency is very rare (Chap. 391). TSH levels may be low, normal, or even slightly increased in secondary hypothyroidism; the latter is due to secretion of immunoactive but bioinactive forms of TSH. The diagnosis is confirmed by detecting a low unbound T4 level. The goal of treatment is to maintain free T4 levels in the upper half of the reference interval because TSH levels cannot be used to monitor therapy. TREATMENT Hypothyroidism CLINICAL HYPOTHYROIDISM If there is no residual thyroid function, the daily replacement dose of LT4 is usually 1.6 μg/kg body weight (typically 100–150 μg), ide ally taken at least 30 min before breakfast. In many patients, how ever, lower doses suffice until residual thyroid tissue is destroyed. In patients who develop hypothyroidism after the treatment of Graves’ disease, there is often underlying autonomous function, necessitat ing lower replacement doses (typically 75–125 μg/d). Adult patients under 60 years old without evidence of heart disease may be started on 50–100 μg of LT4 daily. The dose is adjusted on the basis of TSH levels, with the goal of treatment being a normal TSH, ideally in the lower half of the reference range. TSH responses are gradual and should be measured about 6–8 weeks after instituting treatment or after any subsequent change in LT4 dosage. The clinical effects of LT4 replacement are slow to appear. Patients may not experience full relief from symptoms until several months after normal TSH levels are restored. Adjustment of LT4 dosage is made in 12.5- or 25-μg increments if the TSH is high; decrements of the same magnitude should be made if the TSH is suppressed. Patients with a suppressed TSH of any cause, including LT4 overtreatment, have an increased risk of atrial fibrillation and reduced bone density. About 10–15% of patients may have persistent symptoms despite restoration of euthyroidism with LT4 for reasons that remain unclear. Although desiccated animal thyroid preparations (thyroid extract USP) are available, they are not recommended because the ratio of T3 to T4 is nonphysiologic. The use of LT4 combined with liothyronine (triiodothyronine, T3 ) has been investigated, but ben efit has not been confirmed in prospective studies. There is no place for liothyronine alone as long-term replacement, because the short half-life necessitates three or four daily doses and is associated with fluctuating T3 levels. Once full replacement is achieved and TSH levels are stable, fol low-up measurement of TSH is recommended at annual intervals. It is important to ensure ongoing adherence as patients do not feel any </w:t>
      </w:r>
      <w:r w:rsidRPr="00A6019F">
        <w:lastRenderedPageBreak/>
        <w:t xml:space="preserve">symptomatic difference after missing a few doses of LT4, and this sometimes leads to self-discontinuation. In patients of normal body weight who are taking ≥200 μg of LT4 daily, an elevated TSH level is often a sign of poor adherence to treatment. This is also the likely explanation for fluctuating TSH levels, despite a constant LT4 dosage. Such patients often have normal or high free T4 levels, despite an elevated TSH, because they remember to take medication for a few days before testing; this is sufficient to normalize T4 , but not TSH levels. It is impor tant to consider variable adherence because this pattern of thyroid function tests is otherwise suggestive of disorders associated with inappropriate TSH secretion (Chap. 394). Because T4 has a long half-life (7 days), patients who miss a dose can be advised to take two doses of the skipped tablets at once. Other causes of increased LT4 requirements must be excluded, particularly malabsorption (e.g., celiac disease, small-bowel surgery, atrophic or Helicobacter pylori–related gastritis), oral estrogen-containing medications or selective estrogen receptor modulator therapy, ingestion with a meal, and drugs that interfere with T4 absorption or metabolism such as bile acid sequestrants, ferrous sulfate, calcium supplements, sevelamer, sucralfate, proton pump inhibitors, lovastatin, aluminum hydroxide, rifampicin, amiodarone, carbamazepine, phenytoin, and tyrosine kinase inhibitors. SUBCLINICAL HYPOTHYROIDISM Subclinical hypothyroidism refers to biochemical evidence of thy roid hormone deficiency in patients who have few or no appar ent clinical features of hypothyroidism. There are no universally accepted recommendations for the management of subclinical hypothyroidism, but LT4 is recommended if the patient is a woman who wishes to conceive or is pregnant or when TSH levels are &gt;10 mIU/L. Most other patients can simply be monitored annually. A trial of treatment may be considered when young or middle-aged patients have symptoms of hypothyroidism or risk of heart disease. It is important to confirm that any elevation of TSH is sustained over a 3-month period before treatment is given. Treatment is administered by starting with a low dose of LT4 (25–50 μg/d) with the goal of normalizing TSH. SPECIAL TREATMENT CONSIDERATIONS Rarely, LT4 replacement is associated with pseudotumor cerebri in children. Presentation appears to be idiosyncratic and occurs months after treatment has begun. Because maternal hypothyroidism may both adversely affect fetal neural development and be associated with adverse gestational outcomes (miscarriage, preterm delivery), thyroid function should be monitored to preserve euthyroidism in women with a history or a high risk of hypothyroidism. Although epidemiologic studies have demonstrated the association of miscarriage and preterm delivery with the presence of thyroid autoantibodies detected either during or prior to gestation in euthyroid women, randomized controlled multicenter trials evaluating LT4 therapy prior to conception in this population have not demonstrated benefit. Because of the known increase in thyroid hormone requirements during preg nancy in hypothyroid women, LT4 therapy should be targeted to maintain a serum TSH in the normal range but 50 years of age. Treatment of the thyrotoxic state alone converts atrial fibrillation to normal sinus rhythm in up to 75% of patients without an underlying </w:t>
      </w:r>
      <w:r w:rsidRPr="00A6019F">
        <w:lastRenderedPageBreak/>
        <w:t xml:space="preserve">cardiac problem. The skin is usually warm and moist, and the patient may complain of sweating and heat intolerance, particularly during warm weather. Palmar erythema, onycholysis, and, less commonly, pruritus, urticaria, and diffuse hyperpigmentation may be evident. Hair texture may become fine, and diffuse alopecia occurs in up to 40% of patients, per sisting for months after restoration of euthyroidism. Gastrointestinal transit time is decreased, leading to increased stool frequency, often with diarrhea and occasionally mild steatorrhea. Women frequently experience oligomenorrhea or amenorrhea; in men, there may be impaired sexual function and, rarely, gynecomastia. The direct effect of thyroid hormones on bone resorption leads to osteopenia in long standing thyrotoxicosis; mild hypercalcemia occurs in up to 20% of patients, but hypercalciuria is more common. There is a small increase in fracture rate in patients with a previous history of thyrotoxicosis. In Graves’ disease, the thyroid is usually diffusely enlarged to two to three times its normal size. The consistency is firm, but not nodular. There may be a thrill or bruit, best detected at the inferolateral margins of the thyroid lobes, due to the increased vascularity of the gland and the hyperdynamic circulation. Lid retraction, causing a staring appearance, can occur in any form of thyrotoxicosis and is the result of sympathetic overactivity. However, Graves’ disease is associated with specific eye signs that comprise Graves’ ophthalmopathy (Fig. 396-1A). This condition is also called thyroid eye disease (TED) because it occurs in the absence 3034 PART 12 Endocrinology and Metabolism A B C FIGURE 396-1 Features of Graves’ disease. A. Ophthalmopathy in Graves’ disease; lid retraction, periorbital edema, conjunctival injection, and proptosis are marked. B. Thyroid dermopathy over the lateral aspects of the shins. C. Thyroid acropachy. of hyperthyroidism in 10% of patients. Most of these individuals have autoimmune hypothyroidism or thyroid antibodies. The onset of Graves’ ophthalmopathy occurs within the year before or after the diagnosis of thyrotoxicosis in 75% of patients but can sometimes precede or follow thyrotoxicosis by several years, accounting for some cases of euthyroid ophthalmopathy. About one-third of patients with Graves’ disease have clinical evi dence of ophthalmopathy. However, the enlarged extraocular muscles typical of the disease, and other subtle features, can be detected in most patients when investigated by ultrasound or computed tomography (CT) imaging of the orbits. Unilateral signs are found in up to 10% of ophthalmopathy patients. The earliest manifestations of ophthalmopa thy are usually a sensation of grittiness, eye discomfort, and excess tearing. About one-third of patients have proptosis, best detected by visualization of the sclera between the lower border of the iris and the lower eyelid, with the eyes in the primary position. Proptosis can be measured using an exophthalmometer. In severe cases, proptosis may cause corneal exposure and damage, especially if the lids fail to close during sleep. Periorbital edema, scleral injection, and chemosis are also frequent. In 5–10% of patients, the muscle swelling is so severe that diplopia results, typically, but not exclusively, when the patient looks up and laterally. The most serious manifestation is compression of the optic nerve at the apex of the orbit, leading to papilledema; peripheral field defects; and, if left </w:t>
      </w:r>
      <w:r w:rsidRPr="00A6019F">
        <w:lastRenderedPageBreak/>
        <w:t xml:space="preserve">untreated, permanent loss of vision. The “NO SPECS” scoring system to evaluate ophthalmopathy is an acronym derived from the following changes: 0 = No signs or symptoms 1 = Only signs (lid retraction or lag), no symptoms 2 = Soft tissue involvement (periorbital edema) 3 = Proptosis (&gt;22 mm) 4 = Extraocular muscle involvement (diplopia) 5 = Corneal involvement 6 = Sight loss Although useful as a mnemonic, the NO SPECS scheme is inad equate to describe the eye disease fully, and patients do not necessarily progress from one class to another; alternative scoring systems (e.g., the EUGOGO system developed by the European Group on Graves’ Orbitopathy) that assess disease activity are preferable for monitor ing and treatment purposes. When Graves’ eye disease is active and moderate to severe, evaluation and management with an ophthal mologist is indicated, and objective measurements are needed, such as lid-fissure width; corneal staining with fluorescein; evaluation of extraocular muscle function (e.g., Hess chart), intraocular pressure and visual fields, acuity, and color vision; and orbital imaging with CT or magnetic resonance imaging (MRI). Thyroid dermopathy occurs in 160 beats/min, advanced bone age, fetal goiter, and high levels of maternal TSI after 26 weeks’ gestation may herald this complication. Antithyroid drugs given to the mother can be used to treat the fetus and may be needed for 1–3 months after delivery, until the maternal antibodies 3037 disappear from the baby’s circulation. The postpartum period is a time of major risk for relapse of Graves’ disease. Breast-feeding is safe with low doses of antithyroid drugs. Graves’ disease in children is usually managed initially with methimazole or carbimazole (avoid propylthiouracil), often given as a course of the titration regi men for at least 3 years. Surgery or radioiodine may be indicated for severe or relapsing disease. Thyrotoxic crisis, or thyroid storm, is rare and presents as a life-threatening exacerbation of hyperthyroidism, accompanied by fever, delirium, seizures, coma, vomiting, diarrhea, and jaundice. The mortality rate due to cardiac failure, arrhythmia, or hyper thermia is high (4–17%) even with treatment. Thyrotoxic crisis is usually precipitated by acute illness (e.g., stroke, infection, trauma, diabetic ketoacidosis), surgery (especially on the thyroid), or radio iodine treatment of a patient with partially treated or untreated hyperthyroidism. Management requires intensive monitoring and supportive care, identification and treatment of the precipitating cause, and measures that reduce thyroid hormone synthesis. Large doses of propylthiouracil (500–1000 mg loading dose and 250 mg every 4 h) should be given orally or by nasogastric tube or per rec tum; the drug’s inhibitory action on T4 → T3 conversion makes it the antithyroid drug of choice. If not available, methimazole can be used in doses of 20 mg every 6 h. One hour after the first dose of propylthiouracil or methimazole, stable iodide (5 drops SSKI every 6 h) is given to block thyroid hormone synthesis via the Wolff Chaikoff effect (the delay allows the antithyroid drug to prevent the excess iodine from being incorporated into new hormone). Propranolol should also be given to reduce tachycardia and other adrenergic manifestations (60–80 mg PO every 4 h, or 2 mg IV every 4 h). Although other β-adrenergic blockers can be used, high doses of propranolol decrease T4 → T3 conversion, and the doses can be easily adjusted. </w:t>
      </w:r>
      <w:r w:rsidRPr="00A6019F">
        <w:lastRenderedPageBreak/>
        <w:t xml:space="preserve">Caution is needed to avoid acute negative inotropic effects, but controlling the heart rate is important, as some patients develop a form of high-output heart failure. Short-acting IV esmolol can be used to decrease heart rate while monitoring for signs of heart failure. Additional therapeutic measures include glucocorticoids (e.g., hydrocortisone 300 mg IV bolus, then 100 mg every 8 h), antibiotics if infection is present, cholestyramine to sequester thyroid hormones, cooling, oxygen, and IV fluids. Mild ophthalmopathy requires no active treatment, because there is usually spontaneous improvement. General measures include meticulous control of thyroid hormone levels, cessation of smoking, and an explanation of the natural history of ophthalmopathy. Dis comfort can be relieved with artificial tears (e.g., hypromellose 0.3% or carbomer 0.2% ophthalmic gel), paraffin-based eye ointment, and the use of dark glasses with side frames. Periorbital edema may respond to a more upright sleeping position or a diuretic. Corneal exposure during sleep can be avoided by using patches or taping the eyelids shut. Minor degrees of diplopia improve with prisms fitted to spectacles. Some authorities also advocate selenium 100 μg bid. Moderate-to-severe ophthalmopathy, in which the eye disease has sufficient impact on daily life to justify the risks of treatment, is usually treated with IV methylprednisolone (e.g., 500 mg of methylprednisolone once weekly for 6 weeks, then 250 mg once weekly for 6 weeks). This is preferable to oral glucocorticoids. A poor response at 6 weeks generally indicates the need for alternative treatment. Once the eye disease has stabilized, surgery may be indi cated for relief of diplopia and correction of appearance. External beam radiotherapy of the orbits has been used for many years, but the efficacy of this therapy remains unclear, and it is best reserved for those who are not responsive to glucocorticoid therapy. Tepro tumumab, a monoclonal antibody inhibitor of the IGF-1 receptor, improves proptosis, diplopia, clinical activity score, and quality of life and is recommended as first-line treatment in patients with active moderate-to-severe ophthalmopathy with significant pro ptosis or diplopia, but use may be limited by availability and cost. Relapse rates are similar to glucocorticoids (30%). Rituximab and tocilizumab are other monoclonal antibodies that have been used as second-line treatment after glucocorticoids. Sight-threatening ophthalmopathy due to optic nerve compression or corneal damage is an emergency that requires immediate high-dose IV glucocorti coids (e.g., methylprednisolone 500–1000 mg on alternate days). If there is a poor response after 2 weeks, surgical orbital decom pression should be considered by removing bone from the medial and inferior orbital wall, thereby allowing displacement of fat and swollen extraocular muscles. In addition to nerve decompression, proptosis recedes an average of 5 mm, but there may be residual or even worsened diplopia. Thyroid dermopathy does not usually require treatment, but it can cause cosmetic problems or interfere with the fit of shoes. Surgical removal is not indicated. If necessary, treatment consists of topical, high-potency glucocorticoid ointment under an occlusive dressing or compression dressing. Teprotumumab has been benefi cial in some cases. </w:t>
      </w:r>
      <w:r w:rsidRPr="00A6019F">
        <w:rPr>
          <w:rFonts w:ascii="Arial" w:hAnsi="Arial" w:cs="Arial"/>
        </w:rPr>
        <w:t>■</w:t>
      </w:r>
      <w:r w:rsidRPr="00A6019F">
        <w:t xml:space="preserve">OTHER CAUSES OF THYROTOXICOSIS Destructive thyroiditis (subacute or silent thyroiditis) typically </w:t>
      </w:r>
      <w:r w:rsidRPr="00A6019F">
        <w:lastRenderedPageBreak/>
        <w:t xml:space="preserve">presents with a short thyrotoxic phase due to the release of preformed thyroid hormones and catabolism of Tg (see “Subacute Thyroiditis,” below). True hyperthyroidism is absent, as demonstrated by a low radionuclide uptake. Circulating Tg levels are typically increased. Other causes of thyrotoxicosis with low or absent thyroid radionuclide uptake include thyrotoxicosis factitia, iodine excess, and, rarely, ectopic thyroid tissue, particularly teratomas of the ovary (struma ovarii) and functional metastatic follicular carcinoma. Whole-body radionuclide studies can demonstrate ectopic thyroid tissue, and thyrotoxicosis factitia can be distinguished from destructive thyroiditis by the clinical features and low levels of Tg. Amiodarone treatment is associated with thyrotoxico sis in up to 10% of patients, particularly in areas of low iodine intake (see below). TSH-secreting pituitary adenoma is a rare cause of thyrotoxicosis. It is characterized by the presence of an inappropriately normal or increased TSH level in a patient with hyperthyroidism, diffuse goiter, and elevated T4 and T3 levels (Chap. 392). Elevated levels of the α subunit of TSH, released by the TSH-secreting adenoma, support this diagnosis, which can be confirmed by demonstrating the pituitary tumor on MRI or CT scan. A combination of transsphenoidal surgery, sella irradiation, and octreotide may be required to normalize TSH, because many of these tumors are large and locally invasive at the time of diagnosis. Radioiodine or antithyroid drugs can be used to control thyrotoxicosis. Thyrotoxicosis caused by toxic MNG and hyperfunctioning solitary nodules is discussed below (Chap. 396). THYROIDITIS There are several classification systems to describe the clinical syn dromes of thyroiditis. One is based on the onset and duration of disease (Table 396-3); others are based on the absence or presence of pain. </w:t>
      </w:r>
      <w:r w:rsidRPr="00A6019F">
        <w:rPr>
          <w:rFonts w:ascii="Arial" w:hAnsi="Arial" w:cs="Arial"/>
        </w:rPr>
        <w:t>■</w:t>
      </w:r>
      <w:r w:rsidRPr="00A6019F">
        <w:t xml:space="preserve">ACUTE THYROIDITIS Acute thyroiditis is rare and due to suppurative infection of the thyroid. In children and young adults, the most common cause is the presence of a piriform sinus, a remnant of the fourth branchial pouch that con nects the oropharynx with the thyroid. Such sinuses are predominantly left-sided. A long-standing goiter and degeneration in a thyroid malig nancy are risk factors in the elderly. The patient presents with thyroid pain, often referred to the throat or ears, and a small, tender goiter that may be asymmetric. Fever, dysphagia, and erythema over the thyroid are common, as are systemic symptoms of a febrile illness and lymphadenopathy. The differential diagnosis of thyroid pain includes subacute or, rarely, chronic thyroiditis; hemorrhage into a cyst; malignancy includ ing lymphoma; and, rarely, amiodarone-induced thyroiditis or amyloi dosis. However, the abrupt presentation and clinical features of acute thyroiditis rarely cause confusion. The erythrocyte sedimentation rate (ESR) and white cell count are usually increased, but thyroid func tion is generally normal. Fine-needle aspiration (FNA) biopsy shows infiltration by polymorphonuclear leukocytes; culture of the sample CHAPTER 396 Hyperthyroidism and Other Causes of Thyrotoxicosis 3038 100 40 50 TABLE 396-3 Causes of Thyroiditis Acute Bacterial infection: especially Staphylococcus, Streptococcus, and Enterobacter Fungal infection: Aspergillus, Candida, Coccidioides, Histoplasma, and Pneumocystis Radiation thyroiditis after 131I treatment Amiodarone </w:t>
      </w:r>
      <w:r w:rsidRPr="00A6019F">
        <w:lastRenderedPageBreak/>
        <w:t xml:space="preserve">(may also be subacute or chronic) Subacute PART 12 Endocrinology and Metabolism Viral (or granulomatous) thyroiditis Silent thyroiditis (including postpartum thyroiditis) Mycobacterial infection Drug-induced (interferon, amiodarone, tyrosine kinase inhibitors, immune checkpoint inhibitors) Chronic Autoimmunity: focal thyroiditis, Hashimoto’s thyroiditis, atrophic thyroiditis Riedel’s thyroiditis Parasitic thyroiditis: echinococcosis, strongyloidiasis, cysticercosis Traumatic: after palpation can identify the organism. Caution is needed in immunocompromised patients as fungal, mycobacterial, or Pneumocystis thyroiditis can occur in this setting. Antibiotic treatment is guided initially by Gram stain and, subsequently, by cultures of the FNA biopsy. Surgery may be needed to drain an abscess, which can be localized by CT scan or ultrasound. Tracheal obstruction, septicemia, retropharyngeal abscess, mediastinitis, and jugular venous thrombosis may complicate acute thyroiditis but are uncommon with prompt use of antibiotics. </w:t>
      </w:r>
      <w:r w:rsidRPr="00A6019F">
        <w:rPr>
          <w:rFonts w:ascii="Arial" w:hAnsi="Arial" w:cs="Arial"/>
        </w:rPr>
        <w:t>■</w:t>
      </w:r>
      <w:r w:rsidRPr="00A6019F">
        <w:t xml:space="preserve">SUBACUTE THYROIDITIS This is also termed de Quervain’s thyroiditis, granulomatous thyroid itis, or viral thyroiditis. Many viruses have been implicated, including mumps, coxsackie, influenza, adenoviruses, and echoviruses. Subacute thyroiditis may also occur with the SARS-CoV-2 illness or after receiv ing the COVID vaccine. The diagnosis may be overlooked because the symptoms can mimic pharyngitis. Attempts to identify the causative virus in an individual patient are often unsuccessful and do not influ ence management. The peak incidence occurs at 30–50 years, and women are affected three times more frequently than men. Pathophysiology The thyroid shows a characteristic patchy inflammatory infiltrate with disruption of the thyroid follicles and multinucleated giant cells within some follicles. The follicular changes progress to granulomas accompanied by fibrosis. Finally, the thyroid returns to normal, usually several months after onset. During the ini tial phase of follicular destruction, there is release of Tg and thyroid hormones, leading to increased circulating T4 and T3 and suppres sion of TSH (Fig. 396-3). During this destructive phase, radioactive iodine uptake is low or undetectable. After several weeks, the thyroid is depleted of stored thyroid hormone and a phase of hypothyroid ism typically occurs, with low unbound T4 (and sometimes T3 ) and moderately increased TSH levels. Radioactive iodine uptake returns to normal or is even increased as a result of the rise in TSH. Finally, thy roid hormone and TSH levels return to normal as the disease subsides. Clinical Manifestations The patient usually presents with a pain ful and enlarged thyroid, sometimes accompanied by fever. There may be features of thyrotoxicosis or hypothyroidism, depending on the phase of the illness. Malaise and symptoms of an upper respiratory tract infec tion may precede the thyroid-related features by several weeks. In other patients, the onset is acute, severe, and without obvious antecedent. The patient typically complains of a sore throat, and examination reveals a small goiter that is exquisitely tender. Pain is often referred to the jaw or ear. Complete resolution is the usual outcome, but late-onset permanent hypothyroidism occurs in 15% of cases, particularly in those with coin cidental thyroid autoimmunity. A prolonged course over many months, with one or more relapses, occurs in a small </w:t>
      </w:r>
      <w:r w:rsidRPr="00A6019F">
        <w:lastRenderedPageBreak/>
        <w:t xml:space="preserve">percentage of patients. ESR 30 ESR (mm/h) UT4 (pmol/L) 50 20 10 5 TSH (mU/L) 0.5 UT4 TSH 0 0 0.01 0 Thyrotoxic 6 12 Time (weeks) Hypothyroid Clinical Phases 18 Recovery FIGURE 396-3 Clinical course of subacute thyroiditis. The release of thyroid hormones is initially associated with a thyrotoxic phase and suppressed thyroid stimulating hormone (TSH). A hypothyroid phase then ensues, with low T4 and TSH levels that are initially low but gradually increase. During the recovery phase, increased TSH levels combined with resolution of thyroid follicular injury lead to normalization of thyroid function, often several months after the beginning of the illness. ESR, erythrocyte sedimentation rate; UT4 , free or unbound T4 . Laboratory Evaluation As depicted in Fig. 396-3, thyroid func tion tests characteristically evolve through three distinct phases over about 6 months: (1) thyrotoxic phase, (2) hypothyroid phase, and (3) recovery phase. In the thyrotoxic phase, T4 and T3 levels are increased, reflecting their discharge from the damaged thyroid cells, and TSH is suppressed. The T4 /T3 ratio is lower than in Graves’ or thyroid auton omy, in which T3 is often disproportionately increased. The diagnosis is confirmed by a high ESR and low uptake of radioiodine (20 mIU/L during the recovery phase of SES. The exact mechanisms underlying the subnormal TSH seen in 10% of sick patients and the increased TSH seen in 5% remain unclear but may be mediated by cytokines including IL-12 and IL-18. However, if the serum TSH is undetectable (6 months after discontinuation of the drug. Amiodarone inhibits deiodinase activity, and its metabolites function as weak antagonists of thyroid hormone action. Amiodarone has the following effects on thy roid function: (1) acute, transient suppression of thyroid function; (2) inhibition of T4 to T3 conversion causing either euthyroid hyperthyrox inemia or increased dosage requirement in LT4-treated hypothyroid patients; (3) hypothyroidism in patients susceptible to the inhibitory effects of a high iodine load; and (4) thyrotoxicosis that may be caused by either a Jod-Basedow effect from the iodine load, in the setting of MNG or incipient Graves’ disease, or a thyroiditis-like condition due to a toxic effect on thyroid follicular cells. The initiation of amiodarone treatment is associated with a transient decrease of T4 levels, reflecting the inhibitory effect of iodine on T4 release. Soon thereafter, most individuals escape from iodide-dependent 3040 suppression of the thyroid (Wolff-Chaikoff effect), and the inhibitory effects on deiodinase activity and thyroid hormone receptor action become predominant. These events lead to the following pattern of thyroid function tests: increased T4 , decreased T3 , increased rT3 , and a transient TSH increase (up to 20 mIU/L). TSH levels normalize or are slightly suppressed within 1–3 months. PART 12 Endocrinology and Metabolism The incidence of hypothyroidism from amiodarone varies geo graphically, apparently correlating with iodine intake. Hypothyroidism occurs in up to 13% of amiodarone-treated patients in iodine-replete countries, such as the United States, but is less common (5% of the population. In nonendemic regions, sporadic goiter occurs, and the cause is usually unknown. Thyroid enlargement in teenagers is sometimes referred to as juvenile goiter. In general, goiter is more com mon in women than men, probably because of the greater prevalence of underlying </w:t>
      </w:r>
      <w:r w:rsidRPr="00A6019F">
        <w:lastRenderedPageBreak/>
        <w:t xml:space="preserve">autoimmune disease and the increased iodine demands associated with pregnancy. </w:t>
      </w:r>
      <w:r w:rsidRPr="00A6019F">
        <w:rPr>
          <w:rFonts w:ascii="Arial" w:hAnsi="Arial" w:cs="Arial"/>
        </w:rPr>
        <w:t>■</w:t>
      </w:r>
      <w:r w:rsidRPr="00A6019F">
        <w:t xml:space="preserve">NONTOXIC MULTINODULAR GOITER In iodine-deficient areas, thyroid enlargement reflects a compen satory effort to trap iodide and produce sufficient hormone under conditions in which hormone synthesis is relatively inefficient. Somewhat surprisingly, TSH levels are usually normal or only slightly increased, suggesting increased sensitivity to TSH or activa tion of other pathways that lead to thyroid growth. Iodide appears to have direct actions on thyroid vasculature and may indirectly affect growth through vasoactive substances such as endothelins and nitric oxide. Endemic goiter may also be caused by exposure to environmental goitrogens such as cassava root, which contains a thiocyanate; vegetables of the Cruciferae family (known as crucifer ous vegetables) (e.g., Brussels sprouts, cabbage, and cauliflower); and milk from regions where goitrogens are present in grass. Although relatively rare, inherited defects in thyroid hormone synthesis lead to a diffuse nontoxic goiter. Abnormalities at each step of hormone syn thesis, including iodide transport (sodium/iodide symporter [NIS]), thyroglobulin (Tg) synthesis, organification and coupling (thyroid peroxidase [TPO]), and the regeneration of iodide (dehalogenase), have been described. </w:t>
      </w:r>
      <w:r w:rsidRPr="00A6019F">
        <w:rPr>
          <w:rFonts w:ascii="Arial" w:hAnsi="Arial" w:cs="Arial"/>
        </w:rPr>
        <w:t>■</w:t>
      </w:r>
      <w:r w:rsidRPr="00A6019F">
        <w:t xml:space="preserve">CLINICAL MANIFESTATIONS AND DIAGNOSIS If thyroid function is preserved, most goiters are asymptomatic. Exami nation of a diffuse goiter reveals a symmetrically enlarged, nontender, generally soft gland without palpable nodules. Goiter is defined, some what arbitrarily, as a lateral lobe with a volume greater than the thumb of the individual being examined. On ultrasound, total thyroid volume exceeding 30 mL is considered abnormal. If the thyroid is markedly enlarged, it can cause tracheal or esophageal compression. These features are unusual, however, in the absence of nodular disease and fibrosis. Substernal goiter may obstruct the thoracic inlet. Pemberton’s sign refers to facial and neck congestion due to jugular venous obstruc tion when the arms are raised above the head, a maneuver that draws the thyroid into the thoracic inlet. Respiratory flow measurements and computed tomography (CT) or magnetic resonance imaging (MRI) should be used to evaluate substernal goiter in patients with obstructive signs or symptoms. Thyroid function tests should be performed in all patients with goiter to exclude thyrotoxicosis or hypothyroidism. It is not unusual, particularly in iodine deficiency, to find a low total T4 , with normal T3 and TSH, reflecting enhanced T4 → T3 conversion, as well as preferential T3 production. A low TSH with a normal free T3 and free T4 , particularly in older patients, suggests the possibility of thyroid autonomy or undiagnosed Graves’ disease, and is termed subclinical thyrotoxicosis. The benefit of treatment (typically with radioiodine) in subclinical thyrotoxicosis, versus follow-up and implementing treatment if free T3 or free T4 levels become abnormal, is unclear, but treatment is increasingly recommended in the elderly to reduce the risk of atrial fibrillation and bone loss. Low urinary iodine levels (50%) of small cystic spaces. Do not add further points for other categories. Mixed cystic and solid: Assign points for predominant solid component. Assign 2 points if composition cannot be determined because of calcification. Anechoic: Applies to cystic or almost completely cystic </w:t>
      </w:r>
      <w:r w:rsidRPr="00A6019F">
        <w:lastRenderedPageBreak/>
        <w:t xml:space="preserve">nodules. Hyperechoic/isoechoic/hypoechoic: Compared to adjacent parenchyma. Very hypoechoic: More hypoechoic than strap muscles. Assign 1 point if echogenicity cannot be determined. Taller-than-wide: Should be assessed on a transverse image with measurements parallel to sound beam for height and perpendicular to sound beam for width. This can usually be assessed by visual inspection. Lobulated: Protrusions into adjacent tissue. Irregular: Jagged, spiculated, or sharp angles. Extrathyroidal extension: Obvious invasion = malignancy. Assign 0 points if margin cannot be determined. Large comet-tail artifacts: V-shaped, &gt;1 mm, in cystic components. Macrocalcifications: Cause acoustic shadowing. Peripheral: Complete or incomplete along margin. Punctate echogenic foci: May have small comet-tail artifacts. Add Points From All Categories to Determine TI-RADS Level *Refer to discussion of papillary microcarcinomas for 5-9 mm TR5 nodules. SHAPE (Choose 1) Wider-than-tall 0 points Taller-than-wide 3 points MARGIN (Choose 1) Smooth 0 points Ill-defined 0 points Lobulated or 2 points irregular Extra-thyroidal 3 points extension ECHOGENIC FOCI (Choose All That Apply) None or large 0 points comet-tail artifacts Macrocalcifications 1 point Peripheral (rim) 2 points calcifications Punctate echogenic 3 points foci FIGURE 397-1 American College of Radiology (ACR) Thyroid Imaging Reporting and Data System (TI-RADS). TI-RADS is a five-tiered system categorizing the sonographic appearance of thyroid nodules based on increased risk for malignancy. For each level (TR1–5), there are recommendations for both fine-needle aspiration (FNA) minimum size cutoffs and follow-up. (Reproduced with permission from FN Tessler et al: ACR Thyroid Imaging, Reporting and Data System (TI-RADS): White Paper of the ACR TI-RADS Committee. J Am Coll Radiol 14:587, 2017.) is contraindicated in areas where large nodular goiters are more prevalent (e.g., some areas of Europe and Brazil) because it can decrease MNG volume and may selectively ablate regions of autonomy. Dosage of 131I depends on the size of the goiter and radioiodine uptake but is usually about 3.7 MBq (0.1 mCi) per gram of tissue, corrected for uptake (typical dose 370–1070 MBq [10–29 mCi]). Repeat treatment may be needed, and effective ness may be increased by concurrent administration of low-dose recombinant TSH (0.1 mg IM). It is possible to achieve a 40–50% reduction in goiter size in most patients. Earlier concerns about radiation-induced thyroid swelling and tracheal compression have diminished, as studies have shown this complication to be rare. When acute compression occurs, glucocorticoid treatment or surgery may be needed. Radiation-induced hypothyroidism is less common than after treatment for Graves’ disease. However, posttreatment autoimmune thyrotoxicosis may occur in up to 5% of patients treated for nontoxic MNG. Surgery remains highly effective but is not without risk, particularly in older patients with underlying cardiopulmonary disease. </w:t>
      </w:r>
      <w:r w:rsidRPr="00A6019F">
        <w:rPr>
          <w:rFonts w:ascii="Arial" w:hAnsi="Arial" w:cs="Arial"/>
        </w:rPr>
        <w:t>■</w:t>
      </w:r>
      <w:r w:rsidRPr="00A6019F">
        <w:t xml:space="preserve">TOXIC MULTINODULAR GOITER The pathogenesis of toxic MNG appears to be similar to that of nontoxic MNG; the major difference is the presence of functional autonomy in toxic MNG. The molecular basis for autonomy in toxic MNG remains unknown. As in nontoxic goiters, many nodules are polyclonal, whereas others are monoclonal and vary in their clonal origins. Genetic abnormalities known to confer functional autonomy, such as </w:t>
      </w:r>
      <w:r w:rsidRPr="00A6019F">
        <w:lastRenderedPageBreak/>
        <w:t xml:space="preserve">activating TSH-R or GS α mutations (see below), are not usually found in the autonomous regions of toxic MNG goiter. In addition to features of goiter, the clinical presentation of toxic MNG includes subclinical or mild overt hyperthyroidism. The patient is usually elderly and may present with atrial fibrillation or palpitations, tachycardia, nervousness, tremor, or weight loss. Recent exposure to iodine, from contrast dyes or other sources, may precipitate or exacer bate thyrotoxicosis. The TSH level is low. The free T4 level may be normal or minimally increased; T3 is often elevated to a greater degree than T4 . Thyroid scan shows heterogeneous uptake with multiple regions of increased and decreased uptake; 24-h uptake of radioiodine may not be increased but is usually in the upper normal range in the presence of the low TSH level. Prior to definitive treatment of the hyperthyroidism, ultrasound imaging should be performed to assess the presence of discrete nodules corresponding to areas of decreased uptake (“cold” nodules) (Fig. 397-3A). If present, fine-needle aspiration (FNA) may be indicated based on sonographic patterns and size cutoffs (see “Approach to the Patient with Thyroid Nodules”). The cytology results, if indeterminate or sus picious, may direct the therapy to surgery. TREATMENT Toxic Multinodular Goiter Antithyroid drugs normalize thyroid function and are particu larly useful in the elderly or ill patients with limited life span. 3043 In contrast to Graves’ disease, spontaneous remission does not occur, and low-dose antithyroid drug therapy is well tolerated for years. Radioiodine is generally the treatment of choice; it treats areas of autonomy as well as decreasing the mass of the goiter by ablating the functioning nodules. Sometimes, however, a degree of autonomy may persist, presumably because multiple autonomous regions may emerge after others are treated, and further radio iodine treatment may be necessary. Surgery provides definitive treatment of underlying thyrotoxicosis as well as goiter. Patients should be rendered euthyroid using an antithyroid drug before operation. </w:t>
      </w:r>
      <w:r w:rsidRPr="00A6019F">
        <w:rPr>
          <w:rFonts w:ascii="Arial" w:hAnsi="Arial" w:cs="Arial"/>
        </w:rPr>
        <w:t>■</w:t>
      </w:r>
      <w:r w:rsidRPr="00A6019F">
        <w:t xml:space="preserve">HYPERFUNCTIONING SOLITARY NODULE A solitary, autonomously functioning thyroid nodule is referred to as toxic adenoma. The pathogenesis of this disorder has been unraveled by demonstrating the functional effects of mutations that stimulate the TSH-R signaling pathway. Most patients with solitary hyperfunc tioning nodules have acquired somatic, activating mutations in the TSH-R (Fig. 397-4). These mutations, located primarily in the recep tor transmembrane domain, induce constitutive receptor coupling to A GS α, increasing cyclic adenosine monophosphate (AMP) levels and leading to enhanced thyroid follicular cell proliferation and func tion. Less commonly, somatic mutations are identified in GS α. These mutations, which are similar to those seen in McCune-Albright syndrome (Chap. 424) or in a subset of somatotrope adenomas (Chap. 392), impair guanosine triphosphate (GTP) hydrolysis, caus ing constitutive activation of the cyclic AMP signaling pathway. In most series, activating mutations in either the TSH-R or the GS α subunit genes are identified in &gt;90% of patients with solitary hyper functioning nodules. Thyrotoxicosis is usually mild and is generally only detected when a nodule is &gt;3 cm. The disorder is suggested by a subnormal TSH level; the presence of the thyroid nodule, often large enough to be </w:t>
      </w:r>
      <w:r w:rsidRPr="00A6019F">
        <w:lastRenderedPageBreak/>
        <w:t xml:space="preserve">palpable; and the absence of clinical features suggestive of Graves’ disease or other causes of thyrotoxicosis. A thyroid scan provides a definitive diagnostic test, demonstrating focal uptake in the hyperfunctioning nodule and diminished uptake in the remainder of the gland, as activity of the normal thyroid is suppressed. CHAPTER 397 Thyroid Nodular Disease and Thyroid Cancer B FIGURE 397-2 Sonographic patterns of thyroid nodules. A. High suspicion ultrasound pattern for thyroid malignancy ACR TI-RADS TR5 (hypoechoic solid nodule with irregular borders and punctate echogenic foci). B. Very low suspicion ultrasound pattern for thyroid malignancy ACR TI-RADS TR1 (spongiform nodule with microcystic areas comprising &gt;50% of nodule volume). ACR TI-RADS, American College of Radiology Thyroid Imaging Reporting and Data System. TREATMENT Hyperfunctioning Solitary Nodule Radioiodine ablation is usually the treatment of choice. Because normal thyroid function is suppressed, 131I is concentrated in the Panel A Panel B FIGURE 397-3 Scintigraphic scans of thyroid nodules. I123 scan (anterior view) of right lower pole nonfunctioning “cold” nodule (A) in a euthyroid patient and left hyperfunctioning “hot” nodule (B) causing thyrotoxicosis with suppression of I123 uptake in the extranodular thyroid. (Courtesy of Dan Pryma.) 3044 TABLE 397-1 WHO Classification of Thyroid Neoplasms Developmental abnormalities Extracellular domain TSH-R PART 12 Endocrinology and Metabolism Transmembrane domains 4 7 Activating mutations Cell growth, differentiation Hormone synthesis FIGURE 397-4 Activating mutations of the thyroid-stimulating hormone receptor (TSH-R). Mutations (*) that activate TSH-R reside mainly in transmembrane 5 and intracellular loop 3, although mutations have occurred in a variety of different locations. The effect of these mutations is to induce conformational changes that mimic TSH binding, thereby leading to coupling to stimulatory G protein (GSα ) and activation of adenylate cyclase (AC), an enzyme that generates cyclic AMP. hyperfunctioning nodule with minimal uptake and damage to normal thyroid tissue. Relatively large radioiodine doses (e.g., 370 1110 MBq [10–29.9 mCi] 131I) have been shown to correct thyrotox icosis in ~75% of patients within 3 months. Hypothyroidism occurs in 50% of the nodule volume, with the concept that this microcystic sonographic pattern recapitulates the histology of macrofollicles containing colloid (Fig. 397-2B). However, the majority of solid nodules (whether hypo-, iso-, or hyperechoic) are also benign. FNA, usually performed with ultrasound guidance, is the diagnostic procedure of choice to evaluate thyroid nodules (see the “Approach to the Patient with Thyroid Nodules” section). Pure thyroid cysts, 15 cases per 100,000 individuals in the United States. However, disease-specific mortality has only minimally increased. The increased incidence is predominantly attributable to small T1 papillary cancer tumors (65 years). Thyroid cancer is twice as common in women as men, but male gender is associated with a worse prognosis. Additional important risk factors include a history of child hood (before age 18) head or neck irradiation, evidence for local tumor fixation or gross metastatic involvement of lymph nodes, and the pres ence of distant metastases (Table 397-2). Several unique features of thyroid cancer facilitate its management: (1) </w:t>
      </w:r>
      <w:r w:rsidRPr="00A6019F">
        <w:lastRenderedPageBreak/>
        <w:t xml:space="preserve">thyroid nodules are amenable to biopsy by FNA; (2) iodine radioisotopes can be used to diagnose (123I and 131I) and potentially treat (131I) differen tiated thyroid cancer, reflecting the unique uptake of this anion by the thyroid gland; and (3) serum markers allow the detection of residual or recurrent disease, including the use of Tg levels for PTC FTC and onco cytic carcinoma and calcitonin for medullary thyroid cancer (MTC). </w:t>
      </w:r>
      <w:r w:rsidRPr="00A6019F">
        <w:rPr>
          <w:rFonts w:ascii="Arial" w:hAnsi="Arial" w:cs="Arial"/>
        </w:rPr>
        <w:t>■</w:t>
      </w:r>
      <w:r w:rsidRPr="00A6019F">
        <w:t xml:space="preserve">CLASSIFICATION Thyroid neoplasms can arise in each of the cell types that populate the gland, including thyroid follicular cells, calcitonin-producing C cells, TABLE 397-2 Risk Factors for Thyroid Carcinoma in Patients with Thyroid Nodule from History and Physical Examination History of head and neck irradiation before the age of 18, including mantle radiation for Hodgkin’s disease and brain radiation for childhood leukemia or other cranial malignancies Exposure to ionizing radiation from fallout in childhood or adolescence Age 65 years Rapidly enlarging neck mass Male gender 18FDG or Ga-68 Dotatate PET avidity  Family history of papillary thyroid cancer in two or more first-degree relatives, MEN 2, or other genetic syndromes associated with thyroid malignancy (e.g., Cowden’s syndrome, familial adenomatous polyposis, Carney complex, PTEN [phosphatase and tensin homolog] hamartoma tumor) Vocal cord paralysis, hoarse voice Nodule fixed to adjacent structures Lateral cervical lymphadenopathy (ipsilateral to the nodule) Abbreviations: FDG, fluorodeoxyglucose; MEN, multiple endocrine neoplasia; PET, positron emission tomography. lymphocytes, and stromal and vascular elements, as well as metastases from other sites (Table 397-1). The American Joint Committee on Cancer (AJCC) staging system using the tumor, node, metastasis (TNM) classi fication is most commonly used. This system classifies different types of thyroid cancers (papillary, follicular, poorly differentiated, oncocytic cell, or anaplastic) based upon: 1) tumor size and extrathyroidal invasion; 2) regional lymph node metastases; and 3) distant metastases.1 </w:t>
      </w:r>
      <w:r w:rsidRPr="00A6019F">
        <w:rPr>
          <w:rFonts w:ascii="Arial" w:hAnsi="Arial" w:cs="Arial"/>
        </w:rPr>
        <w:t>■</w:t>
      </w:r>
      <w:r w:rsidRPr="00A6019F">
        <w:t xml:space="preserve">PATHOGENESIS AND GENETIC BASIS Radiation Early studies of the pathogenesis of thyroid cancer focused on the role of external radiation, which predisposes to chromosomal breaks, leading to genetic rearrangements and loss of tumor-suppressor genes. External radiation of the mediastinum, face, head, and neck region was administered in the past to treat an array of conditions, including acne and enlargement of the thymus, tonsils, and adenoids. Radiation exposure increases the risk of benign and malig nant thyroid nodules, is associated with multicentric cancers, and shifts the incidence of thyroid cancer to an earlier age group. Radiation from nuclear fallout also increases the risk of thyroid cancer through absorp tion of radioactive iodine isotopes. Children seem more predisposed to the effects of radiation than adults. TSH and Growth Factors Many differentiated thyroid cancers express TSH receptors and, therefore, remain responsive to TSH. Higher serum TSH levels, even within normal range, are associated with increased thyroid cancer risk in patients with thyroid nodules. These observations provide the rationale for T4 suppression of TSH in patients with thyroid cancer. Residual expression of TSH receptors also allows TSH-stimulated uptake of 131I therapy (see below). Oncogenes and Tumor-Suppressor Genes Thyroid cancers are monoclonal in </w:t>
      </w:r>
      <w:r w:rsidRPr="00A6019F">
        <w:lastRenderedPageBreak/>
        <w:t xml:space="preserve">origin, consistent with the idea that they originate as a consequence of mutations that confer a growth advantage, or resistance to cell death, to a single progenitor cell. In addition to increased rates of proliferation, some thyroid cancers exhibit impaired apoptosis and features that enhance invasion, angiogenesis, and metastasis. Thyroid neoplasms have been analyzed for a variety of genetic alterations, but without clear evidence of an ordered acquisition of somatic mutations as they progress from the benign to the malignant state. On the other hand, certain mutations, such as RET/PTC and PAX8-PPARγ1 rear rangements, are relatively specific for thyroid neoplasia. CHAPTER 397 Thyroid Nodular Disease and Thyroid Cancer As described above, activating mutations of the TSH-R and the GS α subunit are associated with autonomously functioning nodules. Muta tions in the enhancer of zeste homolog 1 (EZH1), which plays a role in chromatin remodeling, are also seen in about a quarter of autonomous nodules. Although these mutations induce thyroid cell growth, this type of nodule is almost always benign, likely because they drive dif ferentiation pathways. Activation of the RET-RAS-BRAF signaling pathway is seen in up to 70% of PTCs, although the types of mutations are heterogeneous. A variety of rearrangements involving the RET gene on chromosome 10 bring this receptor tyrosine kinase under the control of other promot ers, leading to receptor overexpression. RET rearrangements occur in 15% of PTCs in different series and were observed with increased fre quency in tumors developing after the Chernobyl radiation accident. Rearrangements in PTC have also occurred for another tyrosine kinase gene, TRK1, which is located on chromosome 1. BRAF V600E muta tions are a common genetic alteration, occurring in up to 60% of PTC. These mutations activate the kinase, which stimulates the mitogen activated protein kinase (MAPK) cascade. RAS mutations, which also stimulate the MAPK cascade, are found in ~15% of thyroid neoplasms (NRAS &gt; HRAS &gt; KRAS), including both PTC follicular variant and FTC. Of note, simultaneous RET, BRAF, and RAS mutations rarely occur in the same tumor, suggesting that activation of the MAPK 1RM Tuttle et al: Updated American Joint Committee on Cancer/Tumor-Node Metastasis Staging System for Differentiated and Anaplastic Thyroid Cancer (Eighth Edition): What changed and why? Thyroid 27:751, 2017. 3046 Disease-specific survival probability 1.0 cascade is critical for tumor development, independent of the step that initiates the cascade. Activation of the phosphatidylinositol 3-kinase (PI3K) pathway, often by deletion of the PTEN phosphatase gene, also occurs in both differentiated thyroid cancers. PART 12 Endocrinology and Metabolism BRAF and RAS mutations also occur in FTCs. In addition, a rear rangement of the thyroid developmental transcription factor PAX8 with the nuclear receptor PPARγ is identified in a significant fraction of FTCs, usually independent of RAS pathway mutations. Overall, ~70% of follicular cancers have mutations or genetic rearrangements. Loss of heterozygosity of 3p or 11q, consistent with deletions of tumor-suppressor genes, is also common in FTCs. Upregulation and downregulation of various microRNAs also influence gene expression patterns in both differentiated and dedifferentiated thyroid cancers. Oncocytic tumors, </w:t>
      </w:r>
      <w:r w:rsidRPr="00A6019F">
        <w:lastRenderedPageBreak/>
        <w:t xml:space="preserve">which contain large numbers of mitochondria, are characterized by mutations in mitochondrial genes, primarily encoding enzymes in the electron transport chain. They also exhibit chromosomal copy number alterations and near haploidization. Most of the mutations seen in differentiated thyroid cancers have also been detected in ATCs. TERT promoter mutations occur in 95% stages I or II) and have an excellent prognosis, with survival curves similar to expected survival (Fig. 397-5). Mortality is markedly increased in stage IV disease, especially in the presence of distant metastases (stage IVB), but this group comprises only about 1% of patients. The treatment of PTC is described below. Follicular The incidence of FTC varies widely in different parts of the world; it is more common in iodine-deficient regions. Currently, FTC accounts for only about 5% of all thyroid cancers diagnosed in the United States. FTC is difficult to diagnose by FNA because the dis tinction between benign and malignant follicular neoplasms requires histology because the nuclear features of follicular adenomas and car cinomas do not differ. Rather, follicular carcinoma is diagnosed by the presence of capsular and/or vascular invasion. Follicular carcinomas with only capsular invasion have a very low risk of metastasis, and lobectomy alone suffices. Angioinvasive FTC is more aggressive and may metastasize to bone, lung, and the central nervous system. Mor tality rates associated with angioinvasive FTC are less favorable than for PTC, in part because a larger proportion of patients present with stage IV disease. Poor prognostic features include distant metastases, age &gt;55 years, primary tumor size &gt;4 cm, and the presence of marked vascular invasion. TREATMENT Surgery for Well-Differentiated Thyroid Cancer All well-differentiated thyroid cancers &gt;1–1.5 cm (T1b or larger) should be surgically excised. Active surveillance is an option for small (up to 1.5 cm) intrathyroidal micropapillary thyroid cancers without cervical lymph node metastases, extrathyroidal extension, or location near the posterior thyroid capsule (near the recurrent laryngeal nerve). In addition to removing the primary lesion, surgery allows accurate histologic diagnosis and staging. Because there is no compelling evidence that bilateral thyroid surgery improves survival, the initial surgical procedure may be either a unilateral (lobectomy) or bilateral (near-total thyroidectomy) pro cedure for patients with intrathyroidal cancers &gt;1 cm and 4 cm. In addition, for patients found to have a high-risk tumor after lobectomy based upon aggressive pathology features (e.g., vascular invasion or a less differentiated subtype), completion surgery should be performed to allow for effective radioiodine administration. Surgical complica tion rates are acceptably low if the surgeon is highly experienced in the procedure. Preoperative sonography should be performed in all patients to assess the central and lateral cervical lymph node compartments for suspicious adenopathy, which if present, should undergo FNA and be removed, as indicated, at surgery. TSH SUPPRESSION THERAPY Because most tumors are still TSH-responsive, LT4 suppression of TSH has been mainstay of thyroid cancer treatment. The degree of TSH suppression should be individualized based on a patient’s risk of recurrence. It should be adjusted over time as surveillance blood tests and imaging confirm absence of disease or, alternatively, </w:t>
      </w:r>
      <w:r w:rsidRPr="00A6019F">
        <w:lastRenderedPageBreak/>
        <w:t xml:space="preserve">indicate pos sible residual/recurrent cancer. For patients at low risk of recurrence, TSH should be maintained in the lower normal limit (0.5–2.0 mIU/L). For patients either at intermediate or high risk of recurrence, TSH levels should be kept to 0.1–0.5 mIU/L and 2 cm but 25 mIU/L at the time of 131I therapy. A typical strategy is to treat the patient for several weeks postoperatively with liothyronine (25 μg qd or bid), followed by thyroid hormone withdrawal for 2 weeks. Alternatively, recombinant human TSH (rhTSH) is administered as two daily consecutive injections (0.9 mg) with administration of 131I 24 h after the second injection. The patient can continue to take LT4 and remains euthyroid. Both approaches have equal success in achieving remnant ablation. A pretreatment scanning dose of 131I (usually 111 MBq [3 mCi]) or 123I (74 MBq [2 mCi]) can reveal the amount of residual tis sue and provides guidance about the dose needed to accomplish ablation. However, because of concerns about radioactive “stun ning” that impairs subsequent treatment, there is a trend to avoid pretreatment scanning with 131I and use either 123I or proceed directly to ablation, unless there is suspicion that the amount of residual tissue will alter therapy or that there is distant metastatic disease. In the United States, outpatient doses of up to 6475 MBq (175 mCi) can be given at most centers. The administered dose depends on the indication for therapy, with lower doses of 1100 MBq (30 mCi) given for remnant ablation but higher doses of up to 5500 MBq (150 mCi) reserved for use as adjuvant therapy when residual disease is suspected or present. Whole-body scanning (WBS) following radioiodine treatment is used to confirm the 131I uptake in the remnant and to identify possible metastatic disease. Surveillance Testing Serum thyroglobulin (Tg) is a sensitive marker of residual/recurrent thyroid cancer after ablation of the residual postsurgical thyroid tissue. Current Tg assays have func tional sensitivities as low as 0.1 ng/mL, as opposed to older assays with functional sensitivities of 1–2 ng/mL, reducing the number of patients with truly undetectable serum Tg levels. Because the vast majority of PTC recurrences are in cervical lymph nodes, a neck ultrasound should be performed about 6 months after thyroid abla tion; ultrasound has been shown to be more sensitive than WBS in this scenario. In low-risk patients who have no clinical evidence of residual disease after ablation, negative cervical sonography, and a basal Tg 1 cm in diameter, but the ability to feel a nodule is influenced by its location within the gland (superficial vs deeply embedded), the anatomy of the patient’s neck, and the experience of the examiner. More sensitive methods of detection, such as CT, thyroid ultrasound, and pathologic studies, reveal thyroid nodules in up to 50% of glands in individuals aged &gt;50 years. The presence of these thyroid incidentalomas has led to much debate about how to detect nodules and which nodules to investigate further. An approach to the evaluation of thyroid nodules detected by either palpation or imaging is outlined in Fig. 397-6. Most patients with thyroid nodules have normal thyroid function tests. None theless, thyroid function should be assessed by measuring a TSH level, which may be suppressed by one or more autonomously functioning nodules. If the TSH is suppressed, a radionuclide scan is indicated to determine if the identified nodule is </w:t>
      </w:r>
      <w:r w:rsidRPr="00A6019F">
        <w:lastRenderedPageBreak/>
        <w:t xml:space="preserve">“hot,” as lesions with increased uptake are almost never malignant and FNA is unnecessary (Fig. 397-3B). Otherwise, the next step in evaluation is performance of a thyroid ultrasound for three reasons: (1) For nodules detected on physical examination, ultrasound will confirm if the palpable nodule is indeed a nodule. About 15% of “palpable” nodules are not confirmed on imaging, and therefore no further evaluation is required. (2) Ultrasound will assess if there are addi tional nonpalpable nodules for which FNA may be recommended based on imaging features and size. (3) Ultrasound will characterize the imaging pattern of the nodule, which, combined with the nod ule’s size, facilitates decision-making about FNA. There are several validated risk stratification systems (RSS) for sonographic imaging of thyroid nodules (American College of Radiology [ACR] Thyroid Imaging Reporting and Data System [TI-RADS], American Thy roid Association, European Thyroid Association [EU-TIRADS], among others). These demonstrate consistent risk estimates for thyroid cancer based on certain sonographic patterns. All provide size cutoff recommendations for nodule FNA based on sonographic patterns, with lower size cutoffs for nodules with more suspicious ultrasound patterns, but the specific size cutoff criteria differ among the RSS. Not surprisingly, the RSSs with lower size cutoffs have higher sensitivity and lower specificity for thyroid cancer diagnosis than those with higher cutoffs. Nevertheless, all have been shown to reduce unnecessary FNAs by at least 45%, in part due to the recom mendation not to perform FNA for spongiform nodules. ACR TI RADS is currently the most widely used RSS in the United States, and nodules are classified from TR1 to TR5 (Fig. 397-1). For example, a spongiform nodule (TR1, Fig. 397-2B) has a 95%. The evaluation of a thyroid nodule is stressful for most patients. They are concerned about the possibility of thyroid cancer, whether verbalized or not. It is constructive, therefore, to review the diag nostic approach and to reassure patients when no malignancy is found. When a suspicious lesion or thyroid cancer is identified, the generally favorable prognosis and available treatment options can be reassuring. </w:t>
      </w:r>
      <w:r w:rsidRPr="00A6019F">
        <w:rPr>
          <w:rFonts w:ascii="Arial" w:hAnsi="Arial" w:cs="Arial"/>
        </w:rPr>
        <w:t>■</w:t>
      </w:r>
      <w:r w:rsidRPr="00A6019F">
        <w:t xml:space="preserve">FURTHER READING Ali SZ et al: The 2023 Bethesda system for reporting thyroid cytopa thology. Thyroid 33:1039, 2023. Baloch ZW et al: Overview of the 2022 WHO classification of thyroid neoplasms. Endocr Pathol 33:27, 2022. Davies L, Hoang J: Thyroid cancer in the USA: Current trends and outstanding questions. Lancet Diab Endocrinol 9:11, 2021. Dunn LA et al: Vemurafenib redifferentiation of BRAF mutant, RAI-refractory thyroid cancers. J Clin Endocrinol Metab 104:1417, 2019. Durante C et al: The diagnosis and management of thyroid nodules: A review. JAMA 319:914, 2018. Fagin JA, Nikirov YE: Progress in thyroid cancer genomics: A 40-year journey. Thyroid 33:1271, 2023. Haugen BR et al: 2015 American Thyroid Association management guidelines for adult patients with thyroid nodules and differentiated thyroid cancer. Thyroid 26:1, 2016. Tessler FN et al: ACR Thyroid Imaging Reporting and Data System (TI-RADS): White paper of the ACR TI-RADS committee. J Am Coll Radiol 14:587, 2017. Tuttle RM et al: Updated American Joint Committee and Cancer/ Tumor-Node-Metastasis Staging System for differentiated and ana plastic thyroid cancer (eighth edition): What changed and why? Thyroid 27:751, </w:t>
      </w:r>
      <w:r w:rsidRPr="00A6019F">
        <w:lastRenderedPageBreak/>
        <w:t xml:space="preserve">2017. 398 Disorders of the Adrenal Cortex Wiebke Arlt, Alessandro Prete The adrenal cortex produces three classes of corticosteroid hormones: glucocorticoids (e.g., cortisol), mineralocorticoids (e.g., aldosterone), and adrenal androgen precursors (e.g., dehydroepiandrosterone [DHEA]) (Fig. 398-1). Glucocorticoids and mineralocorticoids act through specific nuclear receptors, regulating aspects of the physi ologic stress response as well as blood pressure and electrolyte homeo stasis. Adrenal androgen precursors are converted in the gonads and peripheral target cells to sex steroids that act via nuclear androgen and estrogen receptors. Disorders of the adrenal cortex are characterized by deficiency or excess of one or several of the three major corticosteroid classes. Hormone deficiency can be caused by inherited glandular or enzy matic disorders or by destruction of the pituitary or adrenal gland </w:t>
      </w:r>
      <w:r w:rsidRPr="00A6019F">
        <w:rPr>
          <w:rFonts w:ascii="Arial" w:hAnsi="Arial" w:cs="Arial"/>
        </w:rPr>
        <w:t>■</w:t>
      </w:r>
      <w:r w:rsidRPr="00A6019F">
        <w:t>ADRENAL ANATOMY AND DEVELOPMENT The normal adrenal glands weigh 6</w:t>
      </w:r>
      <w:r w:rsidRPr="00A6019F">
        <w:rPr>
          <w:rFonts w:ascii="Aptos" w:hAnsi="Aptos" w:cs="Aptos"/>
        </w:rPr>
        <w:t>–</w:t>
      </w:r>
      <w:r w:rsidRPr="00A6019F">
        <w:t xml:space="preserve">11 g each. They are located above the kidneys and have their own blood supply. Arterial blood flows initially to the subcapsular region and then meanders from the outer cortical zona glomerulosa through the intermediate zona fasciculata to the inner zona reticularis and eventually to the adrenal medulla. The right adrenal (or suprarenal) vein drains directly into the vena cava, while the left adrenal vein drains into the left renal vein. During early embryonic development, the adrenals originate from the urogenital ridge and then separate from gonads and kidneys at about the sixth week of gestation. Concordant with the time of sexual differentiation (seventh to ninth week of gestation, Chap. 402), the adrenal cortex starts to produce cortisol and the adrenal sex steroid precursor DHEA. The orphan nuclear receptors SF1 (steroidogenic factor 1; encoded by the gene NR5A1) and DAX1 (dosage-sensitive sex reversal gene 1; encoded by the gene NR0B1), among others, play a cru cial role during this period of development, as they regulate a multitude of adrenal genes involved in steroidogenesis. </w:t>
      </w:r>
      <w:r w:rsidRPr="00A6019F">
        <w:rPr>
          <w:rFonts w:ascii="Arial" w:hAnsi="Arial" w:cs="Arial"/>
        </w:rPr>
        <w:t>■</w:t>
      </w:r>
      <w:r w:rsidRPr="00A6019F">
        <w:t xml:space="preserve">REGULATORY CONTROL OF STEROIDOGENESIS Production of glucocorticoids and adrenal androgens is under the control of the hypothalamic-pituitary-adrenal (HPA) axis, whereas mineralocorticoids are regulated by the renin-angiotensin-aldosterone (RAA) system. Glucocorticoid synthesis is under inhibitory feedback control by the hypothalamus and the pituitary (Fig. 398-2). Hypothalamic release of corticotropin-releasing hormone (CRH) occurs in response to endogenous or exogenous stress. CRH stimulates the cleavage of the 241–amino acid polypeptide proopiomelanocortin (POMC) by pituitary-specific prohormone convertase 1 (PC1), yielding the 39–amino acid peptide ACTH. ACTH is released by the corticotrope cells of the anterior pituitary and acts as the pivotal regulator of adrenal cortisol synthesis, with additional short-term effects on mineralocor ticoid and adrenal androgen synthesis. The release of CRH, and sub sequently ACTH, occurs in a pulsatile fashion that follows a circadian rhythm under the control of the hypothalamus, specifically its supra chiasmatic nucleus (SCN), with additional regulation by a complex network of cell-specific clock genes. The circadian release of ACTH is mostly regulated by the CRH, but arginine-vasopressin (AVP) also exerts a secretagogue role. Reflecting the pattern of ACTH secretion, adrenal cortisol secretion exhibits a distinct circadian </w:t>
      </w:r>
      <w:r w:rsidRPr="00A6019F">
        <w:lastRenderedPageBreak/>
        <w:t xml:space="preserve">rhythm, starting to rise in the early morning hours prior to awakening, with peak levels in the morning and low levels in the evening (Fig. 398-3). Diagnostic tests assessing the HPA axis make use of the fact that it is regulated by negative feedback. Glucocorticoid excess is diagnosed by employing a dexamethasone suppression test. Dexamethasone, a potent synthetic glucocorticoid, suppresses CRH/ACTH by binding hypothalamic-pituitary glucocorticoid receptors (GRs) and, therefore, results in downregulation of endogenous cortisol synthesis. Various versions of the dexamethasone suppression test are described in detail in Chap. 392. If cortisol production is autonomous (e.g., adrenal nod ule), ACTH is already suppressed, and dexamethasone has little addi tional effect. If cortisol production is driven by an ACTH-producing pituitary adenoma, dexamethasone suppression is ineffective at lower doses but usually induces suppression at higher doses. If cortisol production is driven by an ectopic source of ACTH, the tumors are usually resistant to dexamethasone suppression. Thus, the dexametha sone suppression test is useful to establish the diagnosis of Cushing’s syndrome and assist with the differential diagnosis of cortisol excess. 3051 Disorders of the Adrenal Cortex CHAPTER 398 CH3 HO H3C H3C H3C H3C H H H OH OH H HO H3C H3C H HO H3C CH3 H3C O H H H HO H3C H3C H O CH3 O O H3C H3C H H H CH3 O O H3C H3C H H H O O O H3C H3C H H H CH3 O OH O H3C H3C H H H OH O OH O H3C H3C H H H O OH OH O H3C HO H3C H H HO O HO H3C H H H O OH HO O CHO H3C H H H O OH HO H OH O O OH O H3C H3C H H H OH O H H H H H3C H3C H O H H O CH3 CH3 H OH H H O H3C H3C H OH H H H Pregnenolone Cholesterol Glucocorticoids Mineralocorticoids Mineralocorticoid precursors Glucocorticoid precursors Progesterone HSD17B HSD17B SRD5A HSD11B1 HSD11B2 17-hydroxy pregnenolone 17-hydroxy progesterone (17OHP) 11 Deoxycortisol Cortisol Andro stenedione Testosterone 5-Dihydrotestosterone Deoxycortico sterone Cortico sterone 18OH-Cortico sterone Aldosterone Cortisone DHEA DHEAS CYP11A1 ADX HSD3B2 HSD3B2 HSD3B2 CYP21A2 POR CYP17A1 POR CYP17A1 POR CYP17A1 POR SULT2A1 PAPSS2 CYP17A1 POR CYP11B2 ADX CYP11B1 ADX CYP11B2 ADX CYP11B1 ADX H6PDH CYP21A2 POR CYP11B2 ADX CH3 CH3 O H H H O S O O O Adrenal androgen precursors Androgens 11-hydroxy androstenedione 11-keto androstenedione 11-keto testosterone AKR1C3 HSD17B2/4 AKR1C3 HSD17B2/4 HSD11B1 HSD11B2 H6PDH CYP11B1 ADX O H O H H HO O H O H H O O H OH H H O FIGURE 398-1 Adrenal steroidogenesis. ADX, adrenodoxin; AKR1C3, aldo-keto reductase 1C3; CYP11A1, side chain cleavage enzyme; CYP11B1, 11β-hydroxylase; CYP11B2, aldosterone synthase; CYP17A1, 17α-hydroxylase/17,20 lyase; CYP21A2, 21-hydroxylase; DHEA, dehydroepiandrosterone; DHEAS, dehydroepiandrosterone sulfate; H6PDH, hexose-6-phosphate dehydrogenase; HSD11B1, 11β-hydroxysteroid dehydrogenase type 1; HSD11B2, 11β-hydroxysteroid dehydrogenase type 2; HSD17B, 17β-hydroxysteroid dehydrogenase; HSD3B2, 3β-hydroxysteroid dehydrogenase type 2; PAPSS2, PAPS synthase type 2; POR, P450 oxidoreductase; SRD5A, 5α-reductase; SULT2A1, DHEA sulfotransferase. Conversely, to assess glucocorticoid deficiency, ACTH stimulation of cortisol production is used. The </w:t>
      </w:r>
      <w:r w:rsidRPr="00A6019F">
        <w:lastRenderedPageBreak/>
        <w:t xml:space="preserve">ACTH peptide contains 39 amino acids, but the first 24 are sufficient to elicit a physiologic response. The standard ACTH stimulation test involves the administration of cosyn tropin (ACTH 1-24), 250 μg IM or IV, and collection of blood samples at 0, 30, and optionally 60 min for cortisol. A normal response is defined as a cortisol level &gt;15–20 μg/dL (&gt;400–550 nmol/L) 30–60 min after cosyn tropin stimulation, with the precise cutoff dependent on the assay used. A low-dose (1 μg cosyntropin IV) version of this test has been advo cated; however, it has no superior diagnostic value and is more cumber some to carry out due to the lack of commercially available preparations of 1 μg cosyntropin. Alternatively, an insulin tolerance test (ITT) can be used to assess adrenal function. It involves injection of insulin to induce hypoglycemia, which represents a strong stress signal that triggers hypothalamic CRH release and activation of the entire HPA axis. The ITT involves administration of regular insulin 0.1 U/kg IV (dose should be lower if hypopituitarism is likely) and collection of blood samples at 0, 30, 60, and 120 min for glucose, cortisol, and growth hormone (GH), if also assessing the GH axis. Oral or IV glucose is administered after the patient has achieved symptomatic hypoglycemia (usually plasma glu cose 20 μg/dL and GH &gt;5.1 μg/L, again with assay-specific cutoff variability. The ITT requires careful clinical monitoring and sequential measurements of glucose. It is contraindicated in patients with coronary disease, cerebro vascular disease, or seizure disorders, which has made the cosyntropin test the commonly accepted first-line test. The overnight metyrapone test is alternatively used in some centers: metyrapone—a drug blocking the conversion of 11-deoxycortisol to cortisol by 11β-hydroxylase (see treatment of Cushing’s syndrome)—is administered orally at midnight (2500 mg or 30 mg/kg). In healthy individuals, the decrease in corti sol stimulates CRH and ACTH production, resulting in an increase in 11-deoxycortisol. A normal response consists of an early morning serum 11-deoxycortisol concentration &gt;287 nmol/L (10 µg/dL). The use of home-waking salivary cortisone as a measure of adrenal cortisol reserve looks highly promising and represents a potential alternative noninvasive test that can be undertaken at home. 3052 Circadian rhythm Stressors (physical, emotional, including fever, hypoglycemia, hypotension) Neurotransmitters PART 12 Endocrinology and Metabolism Hypothalamus CRH Anterior pituitary ACTH + + Circulating cortisol Adrenal cortex FIGURE 398-2 Regulation of the hypothalamic-pituitary-adrenal (HPA) axis. ACTH, adrenocorticotropic hormone; CRH, corticotropin-releasing hormone. Mineralocorticoid production is controlled by the RAA regulatory cycle, which is initiated by the release of the enzyme renin from the juxtaglomerular cells in the kidney, resulting in cleavage of hepatic angiotensinogen to angiotensin I (Fig. 398-4). The angiotensin-converting enzyme (ACE) cleaves angiotensin I to angiotensin II, which binds and activates the angiotensin II receptor type 1 (AT1 receptor [AT1R]), resulting in increased adrenal aldosterone production and vasocon striction. Aldosterone enhances renal sodium retention and potassium excretion resulting in volume expansion and increased renal perfusion, which in turn regulates renin release. Because mineralocorticoid synthesis is primarily under the control of the RAA system, </w:t>
      </w:r>
      <w:r w:rsidRPr="00A6019F">
        <w:lastRenderedPageBreak/>
        <w:t xml:space="preserve">hypothalamic pituitary damage does not significantly impact the capacity of the adrenal to synthesize aldosterone. Similar to the HPA axis, the assessment of the RAA system can be used for diagnostic purposes. If mineralocorticoid excess is present, there is a counterregulatory downregulation of plasma renin (see below for testing). Conversely, in min eralocorticoid deficiency, plasma renin is mark edly increased. Physiologically, oral or IV sodium loading results in suppression of aldosterone, a response that is attenuated or absent in patients with autonomous mineralocorticoid excess. 600 500 Cortisol (nmol/L) 400 300 200 MC2R-accessory protein MRAP, and the complex is transported to the adrenocortical cell membrane, where it binds to ACTH (Fig. 398-5). ACTH stimulation generates cyclic AMP (cAMP), which upregulates the protein kinase A (PKA) signaling pathway. Inactive PKA is a tetra mer of two regulatory and two catalytic subunits that is dissociated by cAMP into a dimer of two regulatory subunits bound to cAMP and two free and active catalytic subunits. PKA activation impacts steroidogen esis in three distinct ways: (1) increases the import of cholesterol esters; (2) increases the activity of hormone-sensitive lipase, which cleaves cholesterol esters to cholesterol for import into the mitochondrion; and (3) increases the availability and phosphorylation of CREB (cAMP response element binding), a transcription factor that enhances tran scription of CYP11A1 and other enzymes required for glucocorticoid synthesis. Adrenal steroidogenesis occurs in a zone-specific fashion, with mineralocorticoid synthesis occurring in the outer zona glomerulosa, glucocorticoid synthesis in the zona fasciculata, and adrenal androgen biosynthesis in the inner zona reticularis serving as precursors for both classic and 11-oxygenated androgens (Fig. 398-1). All steroidogenic pathways require cholesterol import into the mitochondrion, a process initiated by the action of the steroidogenic acute regulatory (StAR) pro tein, which shuttles cholesterol from the outer to the inner mitochon drial membrane. The majority of steroidogenic enzymes are cytochrome P450 (CYP) enzymes, which are either located in the mitochondrion (side chain cleavage enzyme, CYP11A1; 11β-hydroxylase, CYP11B1; aldosterone synthase, CYP11B2) or in the endoplasmic reticulum mem brane (17α-hydroxylase, CYP17A1; 21-hydroxylase, CYP21A2; aroma tase, CYP19A1). These enzymes require electron donation via specific redox cofactor enzymes, P450 oxidoreductase (POR), and adrenodoxin/ adrenodoxin reductase (ADX/ADR) for the microsomal and mitochon drial CYP enzymes, respectively. In addition, the short-chain dehy drogenase 3β-hydroxysteroid dehydrogenase type 2 (3β-HSD2), also termed Δ4, Δ5 isomerase, plays a major role in adrenal steroidogenesis. The cholesterol side chain cleavage enzyme CYP11A1 gener ates pregnenolone. Glucocorticoid synthesis requires conversion of pregnenolone to progesterone by 3β-HSD2, followed by conversion to 17-hydroxyprogesterone (17OHP) by CYP17A1, further hydroxyl ation at carbon 21 by CYP21A2, and eventually, 11β-hydroxylation by CYP11B1 to generate active cortisol (Fig. 398-1). Mineralocor ticoid synthesis also requires progesterone, which is first converted to deoxycorticosterone (DOC) by CYP21A2 and then converted via corticosterone and 18-hydroxycorticosterone to aldosterone in three </w:t>
      </w:r>
      <w:r w:rsidRPr="00A6019F">
        <w:lastRenderedPageBreak/>
        <w:t xml:space="preserve">steps catalyzed by CYP11B2. For adrenal androgen synthesis, pregnen olone undergoes conversion by CYP17A1, which uniquely catalyzes two enzymatic reactions. Via its 17α-hydroxylase activity, CYP17A1 Acrophase: 0830 h Nadir: 0015 h 100 0 </w:t>
      </w:r>
      <w:r w:rsidRPr="00A6019F">
        <w:rPr>
          <w:rFonts w:ascii="Arial" w:hAnsi="Arial" w:cs="Arial"/>
        </w:rPr>
        <w:t>■</w:t>
      </w:r>
      <w:r w:rsidRPr="00A6019F">
        <w:t xml:space="preserve">STEROID HORMONE BIOSYNTHESIS, METABOLISM, AND ACTION ACTH stimulation is required for the initiation of steroidogenesis. The ACTH receptor MC2R (melanocortin 2 receptor) interacts with the MESOR: 5.25 </w:t>
      </w:r>
      <w:r w:rsidRPr="00A6019F">
        <w:rPr>
          <w:rFonts w:ascii="Aptos" w:hAnsi="Aptos" w:cs="Aptos"/>
        </w:rPr>
        <w:t>µ</w:t>
      </w:r>
      <w:r w:rsidRPr="00A6019F">
        <w:t xml:space="preserve">g/dL (145 nmol/L) 22 23 24 1 2 3 4 5 6 7 8 9 10 11 12 13 14 15 16 17 18 19 20 21 Clock time FIGURE 398-3 Physiologic cortisol circadian rhythm. Circulating cortisol concentrations (geometrical mean ± standard deviation values and fitted cosinor) drop under the rhythm-adjusted mean (MESOR) in the early evening hours, with nadir levels around midnight and a rise in the early morning hours; peak levels are observed ~8:30 a.m. (acrophase). (Reproduced with permission from M Debono et al: Modified-release hydrocortisone to provide circadian cortisol profiles. J Clin Endocrinol Metab 94:1548, 2009.) 3053 Circulating blood volume Renal sodium retention (and potassium excretion) Adrenal Vasoconstriction Aldosterone release Activation of Angiotensin II receptor type 1 (AT1 receptor) Angiotensinogen Renal perfusion pressure Kidney Juxtaglomerular cells Angiotensin II FIGURE 398-4 Regulation of the renin-angiotensin-aldosterone (RAA) system. Angiotensin I Angiotensin converting enzyme (ACE) converts pregnenolone to 17-hydroxypregnenolone, followed by gen eration of the universal sex steroid precursor DHEA via CYP17A1 17,20 lyase activity. The majority of DHEA is secreted by the adrenal in the form of its sulfate ester, DHEAS, generated by DHEA sulfotrans ferase (SULT2A1). DHEA is converted to androstenedione, which can be activated to testosterone or channeled into the 11-oxygenated androgen pathway by 11β-hydroxylation (CYP11B1). Following its release from the adrenal, cortisol circulates in the bloodstream mainly bound to cortisol-binding globulin (CBG) and, Renin release to a lesser extent, to albumin, with only a minor fraction circulating as free, unbound hormone. Free cortisol is thought to enter cells directly, not requiring active transport. In addition, in a multitude of peripheral target tissues of glucocorticoid action, including adipose, liver, muscle, and brain, cortisol is generated from inactive cortisone within the cell by the enzyme 11β-hydroxysteroid dehydrogenase type 1 (11β-HSD1) (Fig. 398-6). Thereby, 11β-HSD1 functions as a tissue-specific prere ceptor regulator of glucocorticoid action. For the conversion of inactive cortisone to active cortisol, 11β-HSD1 requires nicotinamide adenine Adrenal cortex cell Cell membrane ACTH ACTH γ ATP Adenylate cyclase cAMP R C R C Cytosol Protein kinase A β Gsα C N C N MRAP C N N R R N MC2R C cAMP C C CREB C N C Endoplasmic reticulum P CREB Cholesterol ester Scavenger receptor B1 Cholesterol ester HSL SOAT1 Cholesterol TSPO StAR Translocator protein Mitochondrion Nucleus CRE Transcription of CYP11A1 and other steroidogenic enzymes CYP11A1 Pregnenolone FIGURE 398-5 ACTH effects on adrenal steroidogenesis. ACTH, adrenocorticotropic hormone; CREB, cAMP response element–binding protein; HSL, hormone-sensitive lipase; MRAP, MC2R-accessory protein; protein kinase A catalytic subunit (C; PRKACA), PKA regulatory subunit (R; PRKAR1A); </w:t>
      </w:r>
      <w:r w:rsidRPr="00A6019F">
        <w:lastRenderedPageBreak/>
        <w:t xml:space="preserve">SOAT1, sterol O-acyltransferase 1; StAR, steroidogenic acute regulatory (protein); TSPO, translocator protein. CHAPTER 398 Disorders of the Adrenal Cortex 3054 Glucocorticoid target cell Cytosol Cortisone PART 12 11β-HSD1 Cortisol Endoplasmic reticulum NADPH NADP+ G6P Endocrinology and Metabolism GR Nucleus AP-1 H6PDH GR GR or HSP GR GRGR GRE Coactivator complex Nucleus 6PGL No transcription GR transrepression Transcription GR transactivation FIGURE 398-6 Prereceptor activation of cortisol and glucocorticoid receptor (GR) action. AP-1, activator protein-1; G6P, glucose-6-phosphate; GREs, glucocorticoid response elements; HSPs, heat shock proteins; NADPH, nicotinamide adenine dinucleotide phosphate (reduced form); 6PGL, 6-phosphogluconate. dinucleotide phosphate (NADPH [reduced form]), which is provided by the enzyme hexose-6-phosphate dehydrogenase (H6PDH). Like the catalytic domain of 11β-HSD1, H6PDH is located in the lumen of the endoplasmic reticulum and converts glucose-6-phosphate (G6P) to 6-phosphogluconate (6PGL), thereby regenerating NADP+ to NADPH, which drives the activation of cortisol from cortisone by 11β-HSD1. In the cytosol of target cells, cortisol binds and activates the GR, which results in dissociation of heat shock proteins (HSPs) from the receptor and subsequent dimerization (Fig. 398-6). Cortisol-bound GR dimers translocate to the nucleus and activate glucocorticoid response elements (GREs) in the DNA sequence, thereby enhancing transcrip tion of glucocorticoid-regulated genes (GR transactivation). However, cortisol-bound GR can also form heterodimers with transcription factors such as AP-1 or nuclear factor-κB (NF-κB), resulting in transre pression of proinflammatory genes, a mechanism of major importance for the anti-inflammatory action of glucocorticoids. It is important to note that corticosterone also exerts glucocorticoid activity, albeit much weaker than cortisol itself. However, in rodents, corticosterone is the major glucocorticoid, and in patients with 17-hydroxylase deficiency, lack of cortisol can be compensated for by higher concentrations of corticosterone that accumulates as a consequence of the enzymatic block. Cortisol is inactivated to cortisone by the microsomal enzyme 11β-hydroxysteroid dehydrogenase type 2 (11β-HSD2) (Fig. 398-7), mainly in the kidney, but also in the colon, salivary glands, and other mineralocorticoid target tissues. Cortisol and aldosterone bind the mineralocorticoid receptor (MR) with equal affinity; however, cortisol circulates in the bloodstream at about a 1000-fold higher concentra tion. Thus, only rapid inactivation of cortisol to cortisone by 11β-HSD2 prevents MR activation by excess cortisol, thereby acting as a tissue specific modulator of the MR pathway. In addition to cortisol and aldo sterone, DOC (Fig. 398-1) also exerts mineralocorticoid activity. DOC accumulation due to 11β-hydroxylase deficiency or due to tumor related excess production can result in mineralocorticoid excess. Aldosterone synthesis in the adrenal zona glomerulosa cells is driven by the enzyme aldosterone synthase (CYP11B2). The bind ing of angiotensin II to the AT1 receptor causes glomerulosa cell membrane depolarization by increasing intracellular sodium through inhibition of sodium-potassium (Na+/K+) ATPase enzymes as well as potassium channels. This drives an increase in intracellular calcium by opening voltage-dependent </w:t>
      </w:r>
      <w:r w:rsidRPr="00A6019F">
        <w:lastRenderedPageBreak/>
        <w:t xml:space="preserve">calcium channels or inhibition of calcium (Ca2+) ATPase enzymes. Consequently, the calcium signaling pathway is triggered, resulting in upregulation of CYP11B2 transcrip tion (Fig. 398-8). Analogous to cortisol action via the GR, aldosterone (or cortisol) binding to the MR in the kidney tubule cell dissociates the HSP-receptor complex, allowing homodimerization of the MR and translocation of the hormone-bound MR dimer to the nucleus (Fig. 398-7). The activated MR enhances transcription of the epithelial sodium channel (ENaC) and serum glucocorticoid-inducible kinase 1 (SGK-1). In the cytosol, interaction of ENaC with Nedd4 prevents cell surface expression of ENaC. However, SGK-1 phosphorylates serine residues within the Nedd4 protein, reduces the interaction between Nedd4 and ENaC, and consequently, enhances the trafficking of ENaC to the cell surface, where it mediates sodium retention at the expense of potassium extrusion through the renal outer medullary potassium channel (ROMK) channel. </w:t>
      </w:r>
      <w:r w:rsidRPr="00A6019F">
        <w:rPr>
          <w:rFonts w:ascii="Arial" w:hAnsi="Arial" w:cs="Arial"/>
        </w:rPr>
        <w:t>■</w:t>
      </w:r>
      <w:r w:rsidRPr="00A6019F">
        <w:t>CUSHING</w:t>
      </w:r>
      <w:r w:rsidRPr="00A6019F">
        <w:rPr>
          <w:rFonts w:ascii="Aptos" w:hAnsi="Aptos" w:cs="Aptos"/>
        </w:rPr>
        <w:t>’</w:t>
      </w:r>
      <w:r w:rsidRPr="00A6019F">
        <w:t xml:space="preserve">S SYNDROME (See also Chap. 392) Cushing’s syndrome reflects a constellation of clinical features that result from chronic exposure to excess glucocorti coids of any etiology. The disorder can be ACTH-dependent (e.g., pitu itary corticotrope adenoma, ectopic secretion of ACTH by nonpituitary tumor) or ACTH-independent (e.g., adrenocortical adenoma, adreno cortical carcinoma [ACC], nodular adrenal hyperplasia), as well as iatro genic (e.g., administration of exogenous glucocorticoids to treat various inflammatory conditions). The term Cushing’s disease refers specifically to Cushing’s syndrome caused by a pituitary corticotrope adenoma. Epidemiology Iatrogenic (or exogenous) Cushing’s syndrome is by far the most common etiology, considering that around 1% of the population uses chronic glucocorticoid treatments for their anti inflammatory and immunosuppressive properties. On the contrary, endogenous Cushing’s syndrome is generally considered a rare disease; it occurs with an incidence of 1.8–3.2 per million population per year. However, it is debated whether mild cortisol excess may be more prevalent among patients with features of Cushing’s such as centripetal obesity, type 2 diabetes, and osteoporotic vertebral fractures, recogniz ing that these are relatively nonspecific and common in the population. Etiology In the overwhelming majority of patients with endog enous Cushing’s syndrome, the underlying cause is an ACTH-producing pituitary neuroendocrine tumor, i.e., a corticotrope adenoma (Table 398-1), as initially described by Harvey Cushing in 1912. Cush ing’s disease more frequently affects women, with the exception of pre pubertal cases, where it is more common in boys. By contrast, ectopic 3055 Kidney distal convoluted tubule cell Blood (basal site) Aldosterone Cortisol Cortisone 11β_HSD2 NADH Cytosol MR NAD+ MR MR MR Lumen (apical site) K+ HSP MR K+ SGK-1 MR ER Lumen MR HRE MR ATP K+ Na+ Nucleus Transcription of ENaC and Nedd4 SGK-1 Nedd4 ROMK ROMK ENaC Na+ ENaC Na+ FIGURE 398-7 Prereceptor inactivation of cortisol and mineralocorticoid receptor action. ENaC, epithelial sodium channel; HRE, hormone response element; Na+/K+ ATPase, sodium-potassium adenosine triphosphatase; NADH, nicotinamide adenine dinucleotide; ROMK, renal outer medullary potassium channel; SGK-1, serum glucocorticoid-inducible kinase-1. </w:t>
      </w:r>
      <w:r w:rsidRPr="00A6019F">
        <w:lastRenderedPageBreak/>
        <w:t xml:space="preserve">ENaC ACTH syndrome is more frequently identified in men. Only 10% of patients with Cushing’s syndrome have a primary, adrenal cause of their disease (i.e., autonomous cortisol excess independent of ACTH), and most of these patients are women. In at least 90% of patients with Cushing’s disease, ACTH excess is caused by a corticotrope pituitary microadenoma, often only a few millimeters in diameter. Pituitary macroadenomas (i.e., tumors &gt;1 cm Adrenal zona glomerulosa cell Na+, K+ ATPase Na+, Ca2+ exchanger Ca2+ channel in size) are found in only 5–10% of patients and may have invasive features and affect the optic chiasm and the cavernous sinuses. Pitu itary corticotrope adenomas usually occur sporadically but very rarely can be found in the context of multiple endocrine neoplasia type 1 (MEN 1) (Chap. 400), MEN 4, familial isolated pituitary adenomas, Carney complex, DICER 1 syndrome, and Lynch syndrome. Pituitary adenomas causative of Cushing’s disease frequently harbor activating somatic variants in the USP8 gene, encod Ca2+ ATPase AT1R Ang II Na+ Ca2+ K+ channel Na+ K+ Depolarization Ca2+ K+ Nucleus Ca2+ CYP11B2 Aldosterone FIGURE 398-8 Regulation of adrenal aldosterone synthesis. Ang II, angiotensin II; AT1R, angiotensin II receptor type 1; CYP11B2, aldosterone synthase. ing the deubiquitinating enzyme ubiquitin specific protease 8, which lead to constitutive activation of epidermal growth factor (EGF) signaling and consequent upregulated expression of the ACTH precursor POMC. USP8 mutations are found in 11–62% of corticotrope adenomas and more frequently in adults and women with Cushing’s disease. Less frequently, somatic variants of the glu cocorticoid receptor gene (NR3C1), BRAF, USP48, and TP53 are observed in the tumor tissue of USP8 wild-type Cushing’s disease cases. Ectopic ACTH production is predomi nantly caused by occult carcinoid tumors, most frequently in the lung, but also in the thymus or pancreas. Because of their small size, these tumors are often difficult to locate. Advanced small-cell lung cancer can cause ectopic ACTH production. In rare cases, ectopic CRH and/or ACTH pro duction has been found to originate from medullary thyroid carcinoma or pheochro mocytoma, the latter co-secreting catechol amines and ACTH. The majority of patients with endogenous ACTH-independent cortisol excess harbor a cortisol-producing adrenal adenoma, and CHAPTER 398 Disorders of the Adrenal Cortex ENaC 3056 TABLE 398-1 Causes of Endogenous Cushing’s Syndrome FEMALE:MALE RATIO ACTH-Dependent Cushing’s Syndrome  Cushing’s disease (= ACTH-producing pituitary adenoma) PART 12 Endocrinology and Metabolism Ectopic ACTH syndrome (due to ACTH secretion by bronchial or pancreatic carcinoid tumors, small cell lung cancer, medullary thyroid carcinoma, pheochromocytoma, and others) ACTH-Independent Cushing’s Syndrome Adrenocortical adenoma  Adrenocortical carcinoma  Rare causes: macronodular adrenal hyperplasia; primary pigmented nodular adrenal disease (micro- and/or macronodular); McCune-Albright syndrome Abbreviation: ACTH, adrenocorticotropic hormone. 4:1 1:1 4:1 activating somatic mutations in the PKA catalytic subunit PRKACA have been identified as the cause of disease in 40% of these tumors. Somatic inactivating defects of PRKAR1A, encoding one of the regula tory subunits of PKA, and </w:t>
      </w:r>
      <w:r w:rsidRPr="00A6019F">
        <w:lastRenderedPageBreak/>
        <w:t xml:space="preserve">GNAS, encoding the stimulatory G protein alpha subunit 1 GNAS-1 (guanine nucleotide-binding protein alpha stimulating activity polypeptide 1), have been observed less frequently in unilateral cortisol-producing adenomas. ACCs may also cause ACTH-independent cortisol excess and are often large, with excess production of several corticosteroid classes. A rare but notable cause of adrenal cortisol excess is primary bilat eral macronodular adrenal hyperplasia (PBMAH) with low circulat ing ACTH but with evidence for autocrine stimulation of cortisol production via intra-adrenal ACTH production. These hyperplastic nodules are often also characterized by aberrant expression of G pro tein–coupled receptors not usually found in the adrenal, including receptors for luteinizing hormone, vasopressin, serotonin, interleukin 1, catecholamines, or gastric inhibitory peptide (GIP), the cause of food-dependent Cushing’s. Activation of these receptors results in upregulation of PKA signaling, as physiologically occurs with ACTH, with a subsequent increase in cortisol production. A combination of germline and somatic mutations in the tumor-suppressor gene ARMC5 have been identified as a prevalent cause of Cushing’s due to bilateral macronodular adrenal hyperplasia; these patients often pres ent with biochemical evidence of Cushing’s but lack specific clinical signs, which develop slowly over decades and accelerate cardiovascu lar risk. Constitutively activating PRKACA mutations and inactivat ing KDM1A variants (lysine-specific histone demethylase 1A) can also be a rare cause of bilateral macronodular adrenal hyperplasia, the latter associated with GIP-dependent Cushing’s syndrome. Bilateral macronodular adrenal hyperplasia with cortisol excess has also been described in other familial syndromes: MEN 1, hereditary leiomyo matosis and renal cell cancer (FH gene), and familial adenomatous polyposis (APC gene). Germline mutations in PRKAR1A are found in patients with pri mary pigmented nodular adrenal disease (PPNAD) as part of Carney’s complex, an autosomal dominant multiple neoplasia condition associ ated with cardiac and cutaneous myxomas, hyperlentiginosis, Sertoli cell tumors, ovarian tumors, breast tumors, thyroid nodules, Schwannomas, and PPNAD. PPNAD can present as micronodular or macronodular hyperplasia, or both. Phosphodiesterases can influence intracellular cAMP and can thereby impact PKA activation. Mutations in PDE11A and PDE8B have been identified in patients with bilateral adrenal hyper plasia and Cushing’s, with and without evidence of PPNAD. Another rare cause of ACTH-independent Cushing’s is McCune Albright syndrome, also associated with polyostotic fibrous dys plasia, unilateral café-au-lait spots, and precocious puberty. McCune-Albright syndrome is caused by GNAS activating mutations (Table 398-1; Chap. 424). TABLE 398-2 Signs and Symptoms of Cushing’s Syndrome % 90 75 15 10 5–10 1 1 cm), purplish striae (Fig. 398-9), and signs of proximal myopathy, which becomes most obvious when trying to stand up from a chair without the use of hands or when climbing stairs. Clinical manifestations of Cushing’s do not differ substantially among the different causes of Cushing’s. In ectopic ACTH syndrome, hyperpigmentation of the knuckles, scars, or skin areas exposed to increased friction can be observed (Fig. 398-9) </w:t>
      </w:r>
      <w:r w:rsidRPr="00A6019F">
        <w:lastRenderedPageBreak/>
        <w:t xml:space="preserve">and is caused by stimulatory effects of excess ACTH and other POMC cleavage products on melanocyte pigment production. Furthermore, patients with ectopic ACTH syndrome, and some with ACC as the cause of Cushing’s, may have a more rapid onset and progression of clinical signs and symptoms, namely edema, hypokalemia, and hypertension. Patients with Cushing’s syndrome can be acutely endangered by deep vein thrombosis, with subsequent pulmonary embolism, due to a hypercoagulable state associated with cortisol excess. The majority of patients also experience psychiatric symptoms, mostly in the form of anxiety or depression, but acute paranoid or depressive psychosis may occur. Even after cure, long-term health may be affected by persistently impaired health-related quality of life and increased risk of cardiovas cular disease and osteoporosis with vertebral fractures, depending on the duration and degree of exposure to significant cortisol excess. 3057 A C B D FIGURE 398-9 Clinical features of Cushing’s syndrome. A. Note central obesity and broad, purple stretch marks (B. close-up). C. Note thin and brittle skin in an elderly patient with Cushing’s syndrome. D. Hyperpigmentation of the knuckles in a patient with ectopic adrenocorticotropic hormone (ACTH) excess. Diagnosis The most important first step in the management of patients with suspected Cushing’s syndrome is to establish the correct diagnosis. Most mistakes in clinical management, leading to unneces sary imaging or surgery, are made because the diagnostic protocol is not followed (Fig. 398-10). This protocol requires establishing the diagnosis of Cushing’s beyond doubt prior to employing any tests used for the differential diagnosis of the condition. In principle, after exclud ing exogenous glucocorticoid use as the cause of clinical signs and symptoms, suspected cases should be tested if there are multiple and progressive features of Cushing’s, particularly features with a poten tially higher discriminatory value. Exclusion of cortisol excess is also indicated in patients with incidentally discovered adrenal masses. A diagnosis of Cushing’s can be considered as established if the results of several tests are consistently suggestive of Cushing’s. These tests may include increased 24-h urinary free cortisol excretion in three separate collections, failure to appropriately suppress morning serum cortisol after overnight exposure to dexamethasone, and evidence of loss of diurnal cortisol secretion with high levels of serum or salivary cortisol at midnight, the time of the physiologically lowest secretion (Fig. 398-10). Factors potentially affecting the outcome of these diagnostic tests have to be excluded such as incomplete 24-h urine collection or rapid inactiva tion of dexamethasone due to concurrent intake of CYP3A4-inducing drugs (e.g., antiepileptics, rifampicin). Concurrent intake of oral con traceptives that raise CBG and thus total cortisol can cause failure to suppress after dexamethasone. If in doubt, testing should be repeated after 4–6 weeks off oral estrogens. Patients with pseudo-Cushing states, e.g., alcohol-related nonneoplastic hypercortisolism or associated with major depression or morbid obesity, as well as those with cyclic Cushing’s syndrome, may require further testing to safely confirm or exclude the diagnosis of Cushing’s. In addition, the biochemical assays employed can affect the test results, with specificity </w:t>
      </w:r>
      <w:r w:rsidRPr="00A6019F">
        <w:lastRenderedPageBreak/>
        <w:t>representing a common problem with antibody-based assays for the measurement of urinary free cortisol. These assays have been greatly improved by the introduction of highly specific tandem mass spectrometry. Differential Diagnosis The evaluation of patients with confirmed Cushing’s should be carried out by an endocrinologist and begins with the differential diagnosis of ACTH-dependent and ACTH independent cortisol excess (Fig. 398-10). Generally, plasma ACTH levels are suppressed in cases of autonomous adrenal cortisol excess, consequent to enhanced negative feedback to the hypothalamus and pituitary. By contrast, patients with ACTH-dependent Cushing’s have normal or increased plasma ACTH, with very high levels being found in some patients with ectopic ACTH syndrome. Importantly, imaging should only be used after it is established whether the cortisol excess is ACTH-dependent or ACTH-independent because nodules in the pitu itary or the adrenal are a common finding in the general population. In patients with confirmed ACTH-independent excess, adrenal imaging is indicated (Fig. 398-11), preferably using an unenhanced computed tomography (CT) scan. This allows assessment of adrenal morphol ogy and also the determination of tumor density, i.e., the attenuation value measured in Hounsfield units (HUs), which helps to distinguish between benign and malignant adrenal lesions (note, this only applies to unenhanced CT; postcontrast CT does not convey this information). For ACTH-dependent cortisol excess (Chap. 392), a magnetic resonance image (MRI) of the pituitary is the investigation of choice, but it may not show an abnormality in up to 40% of cases because of small tumors below the sensitivity of detection. Characteristically, pituitary corticotrope adenomas fail to enhance following gadolinium administration on T1-weighted MRI images. In all cases of confirmed ACTH-dependent Cushing’s, further tests are required for the dif ferential diagnosis of pituitary Cushing’s disease and ectopic ACTH syndrome. These tests exploit the fact that most pituitary corticotrope adenomas still display regulatory features, including residual ACTH suppression by high-dose glucocorticoids and responsiveness to CRH or desmopressin, a synthetic analog of vasopressin. In contrast, ectopic sources of ACTH are typically resistant to dexamethasone suppression and unresponsive to CRH or desmopressin (Fig. 398-10). However, it should be noted that a small minority of ectopic ACTH-producing CHAPTER 398 Disorders of the Adrenal Cortex 3058 Clinical suspicion of Cushing’s (Central adiposity, proximal myopathy, striae, amenorrhea, hirsutism, impaired glucose tolerance, diastolic hypertension, and osteoporosis) Exclude iatrogenic Cushing’s due to exogenous glucocorticoids (any form) PART 12 Endocrinology and Metabolism Screening/confirmation of diagnosis • 24-h urinary free cortisol excretion increased above normal (≥2x) • Dexamethasone overnight test (Plasma cortisol &gt;50 nmol/L at 8–9 am after 1 mg dexamethasone at 11 pm) • Midnight salivary cortisol (≥2x) If further confirmation needed/desired: • Low dose DEX test (Plasma cortisol &gt;50 nmol/L after 0.5 mg DEX q6h for 2 days) Positive Negative Differential diagnosis 1: Plasma ACTH ACTH normal or high &gt;15 pg/mL ACTH-dependent Cushing’s Differential diagnosis 2 • MRI pituitary • CRH test (ACTH increase &gt;40% at 15–30 min + cortisol increase &gt;20% at 45–</w:t>
      </w:r>
      <w:r w:rsidRPr="00A6019F">
        <w:lastRenderedPageBreak/>
        <w:t xml:space="preserve">60 min after CRH 100 µg IV) • High dose DEX test (Cortisol suppression &gt;50% after q6h 2 mg DEX for 2 days or a single dose of 8 mg overnight) • Desmopressin test (ACTH increase &gt;33% + &gt;18% cortisol increase after 10 µg IV of desmopressin) Positive test results + pituitary lesion &gt;6–9 mm at MRI Equivocal results Cushing’s disease Negaitive test results Inferior petrosal sinus sampling Ectopic ACTH production Bilateral micronodular or macronodular adrenal hyperplasia ACTH suppressed to 2 at baseline, &gt;3 at 2–5 min after CRH 100 µg IV) Neg. Locate and remove ectopic ACTH source Neg. FIGURE 398-10 Management of the patient with suspected Cushing’s syndrome. ACTH, adrenocorticotropic hormone; CRH, corticotropin-releasing hormone; CT, computed tomography; DEX, dexamethasone; MRI, magnetic resonance imaging. tumors exhibit dynamic responses similar to pituitary corticotrope tumors. If the tests show discordant results or if there is any other reason for doubt, the differential diagnosis can be further clarified by performing bilateral inferior petrosal sinus sampling (IPSS) with con current blood sampling for ACTH in the right and left inferior petrosal sinus and a peripheral vein. An increased central/peripheral plasma ACTH ratio &gt;2 at baseline and &gt;3 at 2–5 min after CRH injection is indicative of Cushing’s disease (Fig. 398-10), with very high sensitivity and specificity. Of note, the results of the IPSS cannot be reliably used for lateralization (i.e., prediction of the location of the tumor within the pituitary) because there is broad interindividual variability in the venous drainage of the pituitary region. Importantly, no cortisol lowering agents should be used prior to IPSS. If the differential diagnostic testing indicates ectopic ACTH syndrome, then further imaging should include high-resolution, fine-cut CT scanning of the chest and abdomen for scrutiny of the lung, thymus, and pancreas. If no lesions are identified, an MRI of the chest can be considered because carcinoid tumors usually show high signal intensity on T2-weighted images. Furthermore, octreotide scintigraphy and 68Ga DOTATATE positron emission tomography (PET)/CT can be helpful in some cases because ecto pic ACTH-producing tumors often express somatostatin recep tors. Depending on the suspected cause, patients with ectopic ACTH syndrome should also undergo blood sampling for fasting gut hormones, chromogranin A, calcitonin, and biochemical exclusion of pheochromocytoma. 3059 CHAPTER 398 A C B D FIGURE 398-11 Adrenal imaging in Cushing’s syndrome. A. Adrenal computed tomography (CT) showing normal bilateral adrenal morphology (arrows). B. CT scan depicting a right adrenocortical adenoma (arrow) causing Cushing’s syndrome. C. Magnetic resonance imaging (MRI) showing bilateral adrenal hyperplasia due to excess adrenocorticotropic hormone stimulation in Cushing’s disease. D. MRI showing bilateral macronodular hyperplasia causing Cushing’s syndrome. TREATMENT Cushing’s Syndrome Overt Cushing’s is associated with a poor prognosis if left untreated. In ACTH-independent disease, treatment consists of surgical removal of the adrenal tumor or nodular hyperplasia. For benign tumors, a minimally invasive laparoscopic approach can be used, whereas for those suspected of malignancy, an open approach is preferred. In Cushing’s disease, the treatment of choice is selective removal of the pituitary corticotrope tumor, usually via </w:t>
      </w:r>
      <w:r w:rsidRPr="00A6019F">
        <w:lastRenderedPageBreak/>
        <w:t xml:space="preserve">an endo scopic transsphenoidal approach. This results in an initial cure rate of 60–80% when performed by a highly experienced surgeon, although remission rates are much lower (12–70%) in patients presenting with larger or invasive tumors. Even after initial remis sion following surgery, long-term follow-up is important because late relapse occurs in a significant number of patients. If pituitary disease persists after surgery or recurs after initial remission, there are several options including second surgery, fractionated radiotherapy, stereotactic radiosurgery, pharmacologic therapy, and bilateral adrenalectomy. These options need to be applied in a highly individualized fashion. In some patients with very severe, overt Cushing’s (e.g., dif ficult-to-control hypokalemic hypertension, acute psychosis, or life-threatening infections), it may be necessary to introduce medi cal therapy to rapidly control the cortisol excess during the period leading up to surgery, which also can help to alleviate hypercoagula bility and, thus, operative risk. Similarly, patients with metastasized, glucocorticoid-producing carcinomas may require long-term anti glucocorticoid drug treatment. In the case of ectopic ACTH syn drome, in which the tumor cannot be located, one must carefully weigh whether drug treatment or bilateral adrenalectomy is the most appropriate choice, with the latter facilitating immediate cure but requiring life-long corticosteroid replacement. In this instance, it is paramount to ensure regular imaging follow-up for identifica tion of the ectopic ACTH source. Oral agents with established efficacy in Cushing’s syndrome are osilodrostat, metyrapone, ketoconazole, levoketoconazole, and mifepristone. Osilodrostat and metyrapone inhibit cortisol synthe sis at the level of 11β-hydroxylase (Fig. 398-1). The antimycotic drug ketoconazole, and its stereoisomer levoketoconazole, inhibit the early steps of steroidogenesis. Mifepristone is a GR blocker, hence mitigating the effects of cortisol excess on target tissues. Typical starting doses are 1–2 mg bid for osilodrostat (maximum daily dose, 60 mg), 500 mg tid for metyrapone (maximum daily dose, 6 g), 200 mg tid for ketoconazole (maximum daily dose, 1200 mg), 150 mg bid for levoketoconazole (maximum daily dose, 1200 mg), and 300 mg for mifepristone (maximum daily dose, 1200 mg). Mito tane, a derivative of the insecticide o,p’DDD, is an adrenolytic agent that is also effective for reducing cortisol. Because of its side effect profile, it is most commonly used in the context of ACC, but low-dose treatment (500–1000 mg/d) has also been used in benign Cushing’s. In severe cases of cortisol excess, etomidate, an agent that potently blocks 11β-hydroxylase and aldosterone synthase, can be used to rapidly lower cortisol. It is administered by continu ous IV infusion in low, nonanesthetic doses. For Cushing’s disease, the subcutaneous or intramuscular administration of pasireotide, a somatostatin receptor agonist, represents another therapeutic option, if surgical cure cannot be achieved. The dopamine agonist cabergoline is also used off-label to treat certain patients with Cushing’s disease, especially those with mild cortisol excess and/or residual tumor due to the potential for tumor shrinkage. Disorders of the Adrenal Cortex 3060 PART 12 Endocrinology and Metabolism TABLE 398-3 Causes of Primary Mineralocorticoid Excess CAUSES OF PRIMARY MINERALOCORTICOID EXCESS MECHANISM % Sporadic </w:t>
      </w:r>
      <w:r w:rsidRPr="00A6019F">
        <w:lastRenderedPageBreak/>
        <w:t xml:space="preserve">Primary Aldosteronism 94–99 Adrenal (Conn’s) adenoma Autonomous aldosterone excess can be caused by somatic (intratumor) mutations in the potassium channel GIRK4 (encoded by KCNJ5; identified as cause of disease in 40–70% of aldosterone-producing adenomas and associated with overproduction of hybrid steroids). Further causes include somatic mutations affecting the α-subunit of the Na+/K+-ATPase (encoded by ATP1A1), the plasma membrane calcium-transporting ATPase 3 (encoded by ATP2B3), the voltage-gated calcium channel CaV1.3 and CaV3.2 (encoded by CACNA1D and CACNA1H, respectively), and the ClC-2 chloride channel (encoded by CLCN2). All mutations result in the upregulation of CYP11B2 and hence aldosterone synthesis. Rarely, somatic mutations affecting β-catenin (encoded by CTNNB1) have been observed alone or in combination with CACNA1D mutations and are presumed to promote an increase in the number of aldosterone-producing cells. 30–40 Bilateral adrenal hyperplasia Bilateral autonomous aldosterone excess due to aldosterone-producing diffuse hyperplasia and/or multiple aldosterone producing micronodules. CACNA1D somatic mutations have been described in 58% of aldosterone-producing micronodules of patients with bilateral aldosterone excess who underwent unilateral adrenalectomy as a nonstandard treatment. 60–70 Familial Primary Aldosteronism 1–6 Type 1 (also known as glucocorticoid-remediable hyperaldosteronism or dexamethasone-suppressible hyperaldosteronism) Autosomal dominant. Crossover between the CYP11B1 and CYP11B2 genes results in ACTH-driven aldosterone production. Characterized by severe hypertension in childhood or young adults (often 750 pmol/L per ng/mL per hour, with a concurrently high normal or increased aldosterone (Fig. 398-12). However, lower ARR cutoffs are routinely used in clinical practice since it is increasingly recognized that milder forms of primary aldosteronism may otherwise be missed. Another consideration is that if one relies on the ARR only, the likelihood of a false-positive ARR becomes greater when renin lev els are very low. The characteristics of the biochemical assays are also important. Some labs measure plasma renin activity, whereas others measure plasma renin concentrations. Antibody-based assays for the measurement of serum aldosterone lack the reliability of tandem mass spectrometry assays, but these are not yet ubiquitously available. Diagnostic confirmation of mineralocorticoid excess in a patient with a positive ARR screening result should be undertaken by an endo crinologist as the tests lack optimized validation. The most straightfor ward is the saline infusion test, which involves the IV administration of 2 L of physiologic saline over a 4-h period. Failure of aldosterone to suppress 3 BP drugs, drug-resistant) or • Hypokalemia (spontaneous or diuretic-induced) or • Adrenal mass or • Family history of early-onset hypertension or cerebrovascular events at 750 pmol/L: ng/mL/h) (consider repeat off interfering medications for 2–4 weeks if results are equivocal) Negative Confirmation of diagnosis E.g., saline infusion test (2 L physiologic saline over 4 h IV), oral sodium loading, fludrocortisone suppression Negative Unenhanced CT scan of the adrenals Unilateral mass Age 35 years Is the patient fit for/agrees to surgery? Yes Positive Unilateral </w:t>
      </w:r>
      <w:r w:rsidRPr="00A6019F">
        <w:lastRenderedPageBreak/>
        <w:t xml:space="preserve">adrenalectomy Adrenal vein sampling Negative Medical treatment (MR antagonists, amiloride) Normal adrenals, micronodularity, or bilateral masses*/ hyperplasia* No Consider glucocorticoid remediable aldosteronism and other familial forms of primary aldosteronism Rare: Both renin and aldosterone suppressed 24-h urinary steroid profile (GC/MS) Diagnostic for • Apparent mineralocorticoid excess (HSD11B2 def.) • CAH (CYP11B1 or CYP17A1 def.) • Adrenal tumor-related desoxycorticosterone excess If negative, consider • Liddle’s syndrome (ENaC mutations) (responsive to amiloride trial) FIGURE 398-12 Management of patients with suspected mineralocorticoid excess. Perform adrenal tumor workup (see Fig. 398-13). BP, blood pressure; CAH, congenital adrenal hyperplasia; CT, computed tomography; ENaC, epithelial sodium channel; GC/MS, gas chromatography/mass spectrometry; MR, mineralocorticoid receptor; PRA, plasma renin activity. TABLE 398-4 Effects of Medications and Other Conditions on the Aldosterone-Renin Ratio (ARR) EFFECT ON THE ARR Possible false-negative results (due to increase of renin and/or aldosterone) Possible false-positive results (due to reduction of renin and/or aldosterone) Negligible effect ANTIHYPERTENSIVE DRUGS MR antagonists; diuretics; DHP calcium antagonists; ACE inhibitors; AT1R blockers; aliskirena β-Blockers; clonidine; α-methyldopa; aliskirena OTHER MEDICATIONS SGLT2 inhibitors; SSRIs OTHER CONDITIONS Hypokalemia; dietary salt restriction; malignant hypertension; renovascular hypertension; pregnancy NSAIDs; estrogen-containing oral contraceptives Non-DHP-calcium antagonists; α1 adrenergic receptor antagonists; hydralazine / Impaired renal function with hyperkalemia; luteal phase of the menstrual cycle in premenopausal women / aThe direct renin inhibitor aliskiren can cause false-negative results if the direct renin concentration is measured, as it causes a reduction of plasma renin activity. Abbreviations: ACE, angiotensin-converting enzyme; AT1R, angiotensin II receptor type 1; DHP, dihydropyridine; MR, mineralocorticoid receptor; NSAID, nonsteroidal anti inflammatory drug; SGLT2, sodium-glucose cotransporter 2; SSRI, selective serotonin reuptake inhibitor. 3063 surgical candidates with either no obvious lesion on CT or evidence of a unilateral lesion but with age &gt;35 years because the latter patients have a higher likelihood of harboring a coincidental, endocrine-inactive adrenal adenoma (Fig. 398-12). AVS is used to compare aldosterone levels in the inferior vena cava and between the right and left adrenal veins. AVS requires concurrent measurement of cortisol to document the correct placement of the catheter in the adrenal veins and should demonstrate a cortisol gradient &gt;2–3 in baseline conditions between the vena cava and each adrenal vein. Lateralization is confirmed by an aldosterone/cortisol ratio that is at least twofold higher on one side than the other in baseline conditions. AVS is a complex procedure that requires a highly skilled interventional radiologist. Even then, the right adrenal vein can be difficult to cannulate correctly, which, if not achieved, invalidates the procedure. There is also no agreement as to whether the two adrenal veins should be cannulated simultaneously or successively and whether ACTH stimulation enhances the diagnostic value of AVS. Recently, PET-CT with a labeled form of metomidate, a methyl analogue of etomidate </w:t>
      </w:r>
      <w:r w:rsidRPr="00A6019F">
        <w:lastRenderedPageBreak/>
        <w:t xml:space="preserve">that binds to both CYP11B1 and CYP11B2, has been validated as a noninvasive alternative to AVS. [11C] metomidate PET-CT with dexamethasone pretreatment to suppress CYP11B1 activity can differentiate unilateral from bilateral forms of primary aldosteronism and has similar performance to AVS in predict ing biochemical and clinical success following adrenalectomy. Patients 1 cm require a diagnostic evaluation. Two key questions need to be addressed: (1) Does the tumor autonomously secrete hormones that could have a detrimental effect on health? (2) Is the adrenal mass benign or malignant? Hormone secretion by an adrenal mass occurs along a continuum, with a gradual increase in clinical manifestations in parallel with hormone levels. Exclusion of catecholamine excess from a pheochro mocytoma arising from the adrenal medulla is a mandatory part of the diagnostic workup of lipid-poor masses (Fig. 398-13). In case of hypertension, primary aldosteronism should be ruled out. Over production of adrenal androgen precursors, DHEA and its sulfate, is rare and most frequently seen in the context of ACC, as are increased levels of steroid precursors such as 17OHP. Cortisol excess is the most observed hormonal abnormality in adrenal masses, ranging from rare clinically overt Cushing’s syndrome to much more prevalent MACS (early-morning cortisol &gt;50 nmol/L [1.8 μg/dL] after overnight admin istration of dexamethasone 1 mg in the absence of clinical features of Cushing’s). Patients with MACS may exhibit one or more components of the metabolic syndrome (e.g., obesity, type 2 diabetes, hypertension, CHAPTER 398 Disorders of the Adrenal Cortex 3064 Adrenal mass Review imaging and assess hormone excess in parallel Assess for malignancy: Unenhanced CT imaging (tumor diameter and attenuation value) PART 12 Endocrinology and Metabolism Any size mass with HU 40 mm mass with HU &gt;201 &gt;40 mm mass with HU 10–20 or 201 Interval imaging2 after 6–12 months Multidisciplinary team discussion Urine steroid metabolomics (if available) Negative FDG-PET/CT2 Negative Interval imaging2 after 3–6 months Negative No further imaging Positive Positive Assess for hormone excess Assess clinically for manifestations of adrenal hormone excess and carry out biochemical testing: • 1 mg-DST (all patients) • If clinical suspicion of Cushing’s: 24-hour UFC; salivary cortisol • If HU &gt;10: plasma (or urinary) metanephrines • If hypertension: paired plasma renin &amp; aldosterone; serum potassium • If ACC suspected (size ≥4 cm with HU &gt;20 or heterogeneous density): serum 17OHP, DHEAS, A4; in women also testosterone and in men and postmenopausal women estradiol • If bilateral masses: serum 17OHP (DD congenital adrenal hyperplasia) • If clinical suspicion of bilateral adrenal metastases: paired early morning ACTH and cortisol (to rule out adrenal insufficiency) Positive Surgery3,4 Clinically overt hormone excess: multidisciplinary team discussion Consider proceeding swiftly to surgery3,4,5 1 Homogeneous mass &gt;40 mm diameter with HU &gt;20 on unenhanced CT or heterogeneous mass on unenhanced CT (which prevents HU measurement). 2 Interval imaging usually by unenhanced CT (or MRI); in selected cases, FDG-PET/CT may also be considered. 3 If ACC is suspected, surgery should be preceded by staging for ACC including CT chest, abdomen, and pelvis. 4 If a non-adrenal pathology is suspected, a </w:t>
      </w:r>
      <w:r w:rsidRPr="00A6019F">
        <w:lastRenderedPageBreak/>
        <w:t xml:space="preserve">biopsy may be considered after phaeochromocytoma has been excluded. 5 Cases of Cushing’s syndrome have to be confirmed as ACTH-independent by measurement of plasma ACTH. No evidence of hormone excess Mild autonomous cortisol secretion (MACS): abnormal 1 mg-DST + absent clinical features of Cushing’s Assess comorbidities potentially attributable to cortisol excess (hypertension; type 2 diabetes; dyslipidemia; osteoporosis) Individualized treatment decision: adrenalectomy vs. long-term monitoring for development of comorbidities No further biochemical workup FIGURE 398-13 Management of the patient with an incidentally discovered adrenal mass. This pathway is primarily designed for adrenal incidentalomas; in adrenal nodules identified by screening or staging for an extra-adrenal primary malignancy, the likelihood of a metastasis needs to be considered when arranging further imaging or a biopsy. ACC, adrenocortical carcinoma; ACTH, adrenocorticotropic hormone; CT, computed tomography; DD, differential diagnosis; DHEAS, dehydroepiandrosterone sulfate; 1 mg-DST, 1 mg dexamethasone overnight suppression test; FDG-PET, fluorodeoxyglucose positron emission tomography; HU, Hounsfield Units; 17-OHP, 17-hydroxyprogesterone; MACS, mild autonomous cortisol excess secretion; MRI, magnetic resonance imaging; UFC, urinary free cortisol. dyslipidemia), osteoporosis, increased risk of cardiovascular events, frailty, and impaired quality of life, and have increased mortality risk. There is an ongoing debate about the optimal treatment for these patients, which includes adrenalectomy or conservative management with long-term monitoring and treatment of comorbidities potentially attributable to the cortisol excess. For the differentiation of benign from malignant adrenal masses, imaging is relatively sensitive, although specificity is suboptimal. Unenhanced CT is the procedure of choice for imaging the adrenal glands (Fig. 398-11). A diagnosis of ACC, pheochromocytoma, and benign adrenal myelolipoma becomes more likely with increasing diameter of the adrenal mass. However, size alone is of poor predictive value, with only 80% specificity for the differentiation of benign from malignant masses when using a 4-cm cutoff. Metastases are rare but are found with similar frequency in adrenal masses of all sizes. The tumor attenuation value on unenhanced CT is of high diagnostic value, as many adrenocortical adenomas are lipid rich and thus present with low attenuation values (i.e., densities of 20 HU on precontrast scans). Generally, benign lesions are rounded and homogenous, whereas most malignant lesions appear lobulated and inhomogeneous. Pheochromocytoma and adrenomyelolipoma may also exhibit lobulated and inhomogeneous features. MRI also allows for the visualization of the adrenal glands with somewhat lower resolution than CT. However, because it does not involve exposure to ionizing radiation, it is preferred in children, young adults, and during pregnancy. MRI has a valuable role in the character ization of indeterminate adrenal lesions using chemical shift analysis, with malignant tumors rarely showing loss of signal on opposed-phase MRI; however, this may also be observed in a proportion of benign 3065 adrenocortical adenomas, and chemical shift analysis results usually are similar to those obtained by measuring tumor attenuation on unen </w:t>
      </w:r>
      <w:r w:rsidRPr="00A6019F">
        <w:lastRenderedPageBreak/>
        <w:t xml:space="preserve">hanced CT. The evidence base for the utility of fluorodeoxyglucose (FDG)-PET was initially scarce but is now expanding, with recent data indicating that a lack of FDG uptake reliably indicates a benign adre nocortical mass; however, care has to be taken in patients with a history of extra-adrenal cancer as adrenal metastases arising from those some times do not take up FDG, i.e., as typically seen in renal cell carcinoma. Adrenocortical carcinoma is invariably FDG avid; however, specificity is poor, with many benign adrenal adenomas also taking up FDG. Fine-needle aspiration (FNA) or CT-guided biopsy of an adrenal mass is very rarely indicated. FNA of a pheochromocytoma can cause a life-threatening hypertensive crisis. FNA of an ACC violates the tumor capsule and can cause needle track metastasis. FNA should only be considered in a patient with a history of nonadrenal malignancy and a newly detected adrenal mass, after careful exclusion of pheochromocy toma, and if the outcome will influence therapeutic management. It is important to recognize that in 25% of patients with a previous history of nonadrenal malignancy, a newly detected mass on CT is not a metas tasis. While FNA can diagnose extra-adrenal malignancies, it has very limited ability to differentiate between benign and malignant adreno cortical lesions and hence should not be used for the diagnosis of ACC. Adrenal masses associated with confirmed hormone excess or sus pected malignancy are usually treated surgically (Fig. 398-13) or, if adrenalectomy is not feasible or desired, with medication. Preoperative exclusion of glucocorticoid excess is particularly important for the pre diction of postoperative suppression of the contralateral adrenal gland, which requires glucocorticoid replacement peri- and postoperatively. Adrenal masses of any size with normal endocrine biochemistry at diagnosis and an attenuation value of 20 HU attenuation as well as in masses &gt;4 cm and 10–20 HU, the likelihood of malignancy is still very low (4 cm with an attenuation &gt;20 HU, and these masses require swift attention (Fig. 398-13), with a 50% risk of underlying malignancy. The risk of adrenocortical carcinoma is higher in young patients (4 cm and &gt;20 HU), surgery and/or biopsy are feasible options; however, the latter will still result in unnecessary surgery for many benign tumors. A recently introduced diagnostic test, urine steroid metabolomics, has a twofold higher positive predictive value than imaging in detecting adrenocorti cal carcinoma, based on a distinct “malignant steroid fingerprint” with accumulating precursor steroid metabolites in 24-h urine. </w:t>
      </w:r>
      <w:r w:rsidRPr="00A6019F">
        <w:rPr>
          <w:rFonts w:ascii="Arial" w:hAnsi="Arial" w:cs="Arial"/>
        </w:rPr>
        <w:t>■</w:t>
      </w:r>
      <w:r w:rsidRPr="00A6019F">
        <w:t>ADRENOCORTICAL CARCINOMA ACC is a rare malignancy with an annual incidence of 1</w:t>
      </w:r>
      <w:r w:rsidRPr="00A6019F">
        <w:rPr>
          <w:rFonts w:ascii="Aptos" w:hAnsi="Aptos" w:cs="Aptos"/>
        </w:rPr>
        <w:t>–</w:t>
      </w:r>
      <w:r w:rsidRPr="00A6019F">
        <w:t xml:space="preserve">2 per mil lion population. ACC is generally considered a highly malignant tumor; however, it presents with broad interindividual variability with regard to biologic characteristics and clinical behavior. Somatic mutations in the tumor-suppressor gene TP53 are found in 25% of apparently sporadic ACC. Germline TP53 mutations are the cause of the Li-Fraumeni syndrome associated with multiple solid organ can cers including ACC and are found in 25% of pediatric ACC cases; the TP53 mutation R337H is found in almost all pediatric ACC in Brazil. Other genetic changes identified in ACC include germline mutations of genes affecting DNA mismatch repair (Lynch syndrome), PRKAR1A (Carney complex), MEN1, APC (familial adenomatous </w:t>
      </w:r>
      <w:r w:rsidRPr="00A6019F">
        <w:lastRenderedPageBreak/>
        <w:t xml:space="preserve">polyposis), and somatic alterations in the Wnt/β-catenin pathway and in the insulin like growth factor 2 (IGF2) cluster. IGF2 overexpression is found in 90% of ACCs. Patients with large adrenal tumors suspicious of malignancy should be managed by a multidisciplinary specialist team, including an endocrinologist, an oncologist, a surgeon, a radiologist, and a histo pathologist. FNA is not indicated in suspected ACC: first, cytology TABLE 398-6 Classification System for Staging of Adrenocortical Carcinoma ENSAT STAGE TNM STAGE I II III T1,N0,M0 T2,N0,M0 T1–T2,N1,M0 T3–T4,N0–N1,M0 TNM DEFINITIONS T1, tumor ≤5 cm N0, no positive lymph node M0, no distant metastases T2, tumor &gt;5 cm N0, no positive lymph node M0, no distant metastases N1, positive lymph node(s) M0, no distant metastases T3, tumor infiltration into surrounding tissue T4, tumor invasion into adjacent organs or venous tumor thrombus in vena cava or renal vein IV T1–T4,N0–N1,M1 M1, presence of distant metastases Abbreviations: ENSAT, European Network for the Study of Adrenal Tumors; TNM, tumor, node, metastasis. and also histopathology of a core biopsy cannot differentiate between benign and malignant primary adrenal masses; second, FNA violates the tumor capsule and may even cause needle canal metastasis. Even when the entire tumor specimen is available, the histopathologic dif ferentiation between benign and malignant adrenocortical lesions is a diagnostic challenge. The most common histopathologic classification is the Weiss score, taking into account high nuclear grade; mitotic rate (&gt;5/high-power field [HPF]); atypical mitosis; 20 mg/L). Mitotane is usually started at 500 mg tid, with stepwise increases to a maximum dose of 2000 mg tid in days (high-dose saturation) or weeks (low-dose saturation) as tolerated. Once therapeutic range plasma mitotane levels are achieved, the dose can be tapered to maintenance doses mostly ranging from 1000 to 1500 mg tid. Mitotane treatment results in disruption of cortisol synthesis and thus requires glucocor ticoid replacement; glucocorticoid replacement dose should be at least double of that usually used in adrenal insufficiency (i.e., 40–60 mg daily in two to three divided doses) because mitotane induces hepatic CYP3A4 activity, resulting in rapid inactivation of glucocorticoids. Mitotane also increases circulating CBG, thereby decreasing the avail able free cortisol fraction. Single metastases can be addressed surgically or with radiofrequency ablation as appropriate. If the tumor recurs or progresses during mitotane treatment, cytotoxic chemotherapy should be considered; the established first-line chemotherapy regimen is the combination of cisplatin, etoposide, and doxorubicin plus continuing mitotane. Painful bone metastasis responds to irradiation. Overall survival in ACC is still poor, with 5-year survival rates of 30–40% and a median survival of 15 months in metastatic ACC. </w:t>
      </w:r>
      <w:r w:rsidRPr="00A6019F">
        <w:rPr>
          <w:rFonts w:ascii="Arial" w:hAnsi="Arial" w:cs="Arial"/>
        </w:rPr>
        <w:t>■</w:t>
      </w:r>
      <w:r w:rsidRPr="00A6019F">
        <w:t xml:space="preserve">ADRENAL INSUFFICIENCY Epidemiology The prevalence of well-documented, permanent adrenal insufficiency is 5 in 10,000 in the general population. Hypotha lamic-pituitary origin of the disease is most frequent, with a prevalence of 3 in 10,000, whereas primary adrenal insufficiency has a prevalence of 2 in 10,000. Approximately one-half of the latter cases are acquired, mostly caused by autoimmune destruction of the adrenal glands; the other one-half are genetic, most commonly caused by distinct </w:t>
      </w:r>
      <w:r w:rsidRPr="00A6019F">
        <w:lastRenderedPageBreak/>
        <w:t xml:space="preserve">enzymatic blocks in adrenal steroidogenesis affecting glucocorticoid synthesis (i.e., CAH). Adrenal insufficiency arising from suppression of the HPA axis consequent to exogenous glucocorticoid treatment is much more com mon, occurring in 0.5–2% of the population in developed countries. Etiology Primary adrenal insufficiency is most commonly caused by autoimmune adrenalitis. Isolated autoimmune adrenalitis accounts for 30–40%, whereas 60–70% develop adrenal insufficiency as part of autoimmune polyglandular syndromes (APSs) (Chap. 400) (Table 398-7). APS1, also termed APECED (autoimmune polyendo crinopathy-candidiasis-ectodermal dystrophy), is the underlying cause in 10% of patients affected by APS. APS1 is transmitted in an autoso mal recessive manner and is caused by mutations in the autoimmune regulator gene AIRE. Associated autoimmune conditions overlap with those seen in APS2 but may also include total alopecia, primary hypo parathyroidism, and, in rare cases, lymphoma. APS1 patients invariably develop chronic mucocutaneous candidiasis, usually manifested in childhood and preceding adrenal insufficiency by years or decades. The much more prevalent APS2 is of polygenic inheritance, with confirmed associations with the HLA-DR3 gene region in the major histocompat ibility complex and distinct gene regions involved in immune regula tion (CTLA-4, PTPN22, CLEC16A). Coincident autoimmune disease most frequently includes thyroid autoimmune disease, vitiligo, and pre mature ovarian failure. Less commonly, additional features may include type 1 diabetes and pernicious anemia caused by vitamin B12 deficiency. X-linked adrenoleukodystrophy has an incidence of 1:20,000 males and is caused by mutations in the X-ALD gene encoding the peroxi somal membrane transporter protein ABCD1; its disruption results in the accumulation of very-long-chain (&gt;24 carbon atoms) fatty acids. Approximately 50% of cases manifest in early childhood with rapidly progressive white matter disease (cerebral adrenoleukodystrophy); 35% present during adolescence or in early adulthood with neurologic features indicative of myelin and peripheral nervous system involve ment (adrenomyeloneuropathy [AMN]). In the remaining 15%, adre nal insufficiency is the sole manifestation of disease. Of note, distinct mutations manifest with variable penetrance and phenotypes within affected families. Rarer causes of adrenal insufficiency involve the destruction of the adrenal glands as a consequence of infection, hemorrhage, or infiltra tion (Table 398-7); tuberculous adrenalitis is still a frequent cause of disease in developing countries. Adrenal metastases rarely cause adre nal insufficiency, and this occurs only with bilateral, bulky metastases. Inborn causes of primary adrenal insufficiency other than CAH are rare, causing 1 year. GI-AI has also been reported in approximately half of patients receiving intra-articular steroid injections, but evidence in this population is very limited. The use of multiple glucocorticoid formulations at the same time and the concomitant administration of strong cytochrome P450 3A4 inhibitors, which include several antibiotics, antifungals, and the protease inhibitor ritonavir, are among the factors dramatically increasing the risk of developing GI-AI. Ritonavir is the most reported offending medication, used as </w:t>
      </w:r>
      <w:r w:rsidRPr="00A6019F">
        <w:lastRenderedPageBreak/>
        <w:t xml:space="preserve">part of antiviral combinations to treat HIV infection, hepatitis C infection, and COVID-19. Other drugs that can increase the risk are opioids, which can also blunt the HPA axis response. Clinicians who prescribe glucocorticoids should educate patients about the different aspects of glucocorticoid therapy, including the risk of GI-AI. If glucocorticoids are no longer required for the control of the underlying disease and the treatment duration is 300 nmol/L (or 10 µg/dL) are in keeping with HPA axis recovery. For indeterminate values, cosyntropin stimulation may be considered. Several clinicians do not routinely measure cortisol levels in patients tapering glucocorticoids; in such cases, patients must be educated and closely monitored for clinical manifestations of adrenal insufficiency, and biochemical testing should be swiftly arranged if there are any clinical concerns. Patients with established GI-AI must be treated as any other patient with secondary adrenal insufficiency. Other than daily glucocorticoid TABLE 398-10 Variants of Congenital Adrenal Hyperplasia VARIANT GENE replacement, patients should receive stress dose coverage when they are exposed to stress to avoid acute adrenal insufficiency. Mineralocor ticoid therapy is not required due to preserved aldosterone production. </w:t>
      </w:r>
      <w:r w:rsidRPr="00A6019F">
        <w:rPr>
          <w:rFonts w:ascii="Arial" w:hAnsi="Arial" w:cs="Arial"/>
        </w:rPr>
        <w:t>■</w:t>
      </w:r>
      <w:r w:rsidRPr="00A6019F">
        <w:t xml:space="preserve">CONGENITAL ADRENAL HYPERPLASIA (See also Chap. 402) CAH is caused by mutations in genes encoding steroidogenic enzymes involved in glucocorticoid synthesis (CYP21A2, CYP17A1, HSD3B2, CYP11B1) or in the cofactor enzyme P450 oxido reductase that serves as an electron donor to CYP21A2 and CYP17A1 (Fig. 398-1). Invariably, patients affected by CAH exhibit glucocorti coid deficiency. Depending on the exact step of enzymatic block, they may also have excess production of mineralocorticoids or deficient production of sex steroids (Table 398-10). The diagnosis of CAH is readily established by measurement of the steroids accumulating before the distinct enzymatic block, either in serum or in urine, preferably by the use of mass spectrometry–based assays (Table 398-10). Mutations in CYP21A2 are the most prevalent cause of CAH, responsible for 90–95% of cases. 21-Hydroxylase deficiency disrupts glucocorticoid and mineralocorticoid synthesis (Fig. 398-1), result ing in diminished negative feedback via the HPA axis. This leads to increased pituitary ACTH release, which drives increased synthesis of adrenal androgen precursors and subsequent androgen excess. The degree of impairment of glucocorticoid and mineralocorticoid secre tion depends on the severity of mutations. Major loss-of-function mutations result in combined glucocorticoid and mineralocorticoid deficiency (classic CAH, neonatal presentation), whereas less severe mutations affect glucocorticoid synthesis only (simple virilizing CAH, neonatal or early childhood presentation). The mildest mutations result in the least severe clinical phenotype, nonclassic CAH, usually presenting during adolescence and early adulthood and with preserved glucocorticoid production. CHAPTER 398 Disorders of the Adrenal Cortex Androgen excess is present in all patients and manifests with broad phenotypic variability, ranging from severe virilization of the external genitalia in neonatal girls (e.g., 46,XX disordered sex development [DSD]) to hirsutism and oligomenorrhea resembling a polycystic ovary syndrome phenotype in young women with nonclassic CAH. In coun </w:t>
      </w:r>
      <w:r w:rsidRPr="00A6019F">
        <w:lastRenderedPageBreak/>
        <w:t xml:space="preserve">tries without neonatal screening for CAH, boys with classic CAH usu ally present with life-threatening adrenal crisis in the first few weeks of life (salt-wasting crisis); a simple-virilizing genotype manifests with precocious pseudo-puberty and advanced bone age in early childhood, whereas men with nonclassic CAH are usually detected only through family screening. Glucocorticoid treatment is more complex than for other causes of primary adrenal insufficiency as it not only needed to replace miss ing glucocorticoids but also to control the increased ACTH drive and subsequent androgen excess. Current treatment is hampered by the lack of glucocorticoid preparations that mimic the diurnal cortisol secretion profile, resulting in a prolonged period of ACTH stimulation and subsequent androgen production during the early morning hours. In childhood, optimization of growth and pubertal development are important goals of glucocorticoid treatment, in addition to prevention of adrenal crisis and treatment of 46,XX DSD. In adults, the focus shifts IMPACT ON STEROID SYNTHESIS 21-Hydroxylase deficiency (21OHD) 11β-Hydroxylase deficiency (11OHD) 17α-Hydroxylase deficiency (17OHD) 3β-Hydroxysteroid dehydrogenase deficiency (3bHSDD) CYP21A2 CYP11B1 CYP17A1 HSD3B2 P450 oxidoreductase deficiency (PORD) POR Glucocorticoid deficiency, mineralocorticoid deficiency, adrenal androgen excess Glucocorticoid deficiency, mineralocorticoid excess, adrenal androgen excess (Glucocorticoid deficiency), mineralocorticoid excess, androgen deficiency DIAGNOSTIC MARKER STEROIDS IN SERUM (AND URINE) 17-Hydroxyprogesterone, 21-deoxycortisol (pregnanetriol, 17-hydroxypregnanolone, pregnanetriolone) 11-deoxycortisol, 11-deoxycorticosterone (tetrahydro-11 deoxycortisol, tetrahydro-11-deoxycorticosterone) 11-Deoxycorticosterone, corticosterone, pregnenolone, progesterone (tetrahydro-11-deoxycorticosterone, tetrahydrocorticosterone, pregnenediol, pregnanediol) Glucocorticoid deficiency, (mineralocorticoid deficiency), adrenal androgen excess (females and males), gonadal androgen deficiency (males) Glucocorticoid deficiency, (mineralocorticoid excess), prenatal androgen excess and postnatal androgen deficiency, skeletal malformations 17-Hydroxypregnanolone (pregnanetriol) Pregnenolone, progesterone, 17-hydroxyprogesterone (pregnanediol, pregnanetriol) 3072 PART 12 Endocrinology and Metabolism A B D C FIGURE 398-17 Imaging in congenital adrenal hyperplasia (CAH). Adrenal computed tomography scans showing homogenous bilateral hyperplasia in a young patient with classic CAH (A) and macronodular bilateral hyperplasia (B) in a middle-aged patient with classic CAH with longstanding poor disease control. Magnetic resonance imaging scan with T1-weighted (C) and T2-weighted (D) images showing bilateral testicular adrenal rest tumors (arrows) in a young patient with salt-wasting CAH. (Used with permission from N. Reisch.) to preserving fertility and preventing side effects of glucocorticoid overtreatment, namely, the metabolic syndrome and osteoporosis. Fertility can be compromised in women due to oligomenorrhea/amen orrhea with chronic anovulation as a consequence of androgen excess. Men may develop testicular adrenal rest tissue (TART) (Fig. 398-17) consisting of hyperplastic cells with shared adrenal and gonadal char acteristics </w:t>
      </w:r>
      <w:r w:rsidRPr="00A6019F">
        <w:lastRenderedPageBreak/>
        <w:t xml:space="preserve">located in the rete testis, which should not be confused with testicular tumors. TART can compromise sperm production and induce testicular fibrosis that may be irreversible. TREATMENT Congenital Adrenal Hyperplasia Hydrocortisone is a good treatment option for the prevention of adrenal crisis, but longer acting prednisolone may be needed to control androgen excess. In children, hydrocortisone is given in divided doses at 1–1.5 times the normal cortisol production rate (~10–13 mg/m2 per day). In adults, if hydrocortisone does not suf fice, intermediate-acting glucocorticoids (e.g., prednisone) may be given, using the lowest dose necessary to suppress excess androgen production. For achieving fertility, dexamethasone treatment may be required but should only be given for the shortest possible time period to limit adverse metabolic side effects. The recent intro duction of modified and delayed-release hydrocortisone, which mimics the endogenous physiologic cortisol release pattern, is promising, providing effective control of steroid precursor excess while the daily hydrocortisone dose is lower than required for immediate-release hydrocortisone. An oral corticotropin-releasing factor antagonist, Crinecerfont, has shown efficacy to reduce gluco corticoid replacement doses needed to suppress adrenal androgens. Biochemical monitoring should include androstenedione and features of disease control. Stress-dose glucocorticoids should be given at double or triple the daily dose for surgery, acute illness, or severe trauma. Poorly controlled CAH can result in adrenocorti cal hyperplasia, which gave the disease its name, and may present as macronodular hyperplasia subsequent to long-standing ACTH excess (Fig. 398-17). The nodular areas can develop autonomous adrenal androgen production and may be unresponsive to glu cocorticoid treatment. The prevalence of adrenomyelolipomas is increased in CAH; these are benign but can require surgical inter vention due to lack of self-limiting growth. Mineralocorticoid requirements change during life and are higher in children, explained by relative mineralocorticoid resistance that diminishes with ongoing maturation of the kidney. Children with CAH usually receive mineralocorticoid and salt replacement. How ever, young adults with CAH should undergo reassessment of their mineralocorticoid reserve. Plasma renin should be regularly moni tored and kept within the upper half of the normal reference range. </w:t>
      </w:r>
      <w:r w:rsidRPr="00A6019F">
        <w:rPr>
          <w:rFonts w:ascii="Arial" w:hAnsi="Arial" w:cs="Arial"/>
        </w:rPr>
        <w:t>■</w:t>
      </w:r>
      <w:r w:rsidRPr="00A6019F">
        <w:t xml:space="preserve">FURTHER READING Bancos I et al: Urine steroid metabolomics for the differential diagno sis of adrenal incidentalomas in the EURINE-ACT study: A prospec tive test validation study. Lancet Diabetes Endocrinol 8:773, 2020. Beuschlein F et al: European Society of Endocrinology and Endo crine Society Joint Clinical Guideline: Diagnosis and therapy of glucocorticoid-induced adrenal insufficiency. Eur J Endocrinol 109:1657, 2024. Claahsen-Van Der Grinten HL et al: Congenital adrenal hyperplasia: Current insights in pathophysiology, diagnostics and management. Endocr Rev 43:91, 2022. testosterone, aiming for the normal sex-specific reference range. 17OHP is a useful marker of overtreatment, indicated by 17OHP levels within the normal range of healthy controls. Glucocorticoid overtreatment may suppress the hypothalamic-pituitary-gonadal axis. Thus, treatment needs to be carefully titrated against clinical Debono M et al: Home waking salivary cortisone to </w:t>
      </w:r>
      <w:r w:rsidRPr="00A6019F">
        <w:lastRenderedPageBreak/>
        <w:t xml:space="preserve">screen for adrenal insufficiency. NEJM Evid 2:EVIDoa2200182, 2023. Fassnacht M et al: European Society of Endocrinology clinical prac tice guidelines on the management of adrenal incidentalomas, in collaboration with the European Network for the Study of Adrenal Tumors. Eur J Endocrinol 189:G1, 2023. 3073 Fleseriu M et al: Consensus on diagnosis and management of Cushing’s disease: A guideline update. Lancet Diabetes Endocrinol 9:847, 2021. Hahner S et al: Adrenal insufficiency. Nat Rev Dis Primers 7:19, 2021. Merke DP et al: Modified-release hydrocortisone in congenital adre nal hyperplasia. J Clin Endocrinol Metab 106:e2063, 2021. Prete A et al: Prevention of adrenal crisis: Cortisol responses to major stress compared to stress dose hydrocortisone delivery. J Clin Endo crinol Metab 105:2262, 2020. Prete A et al: Cardiometabolic disease burden and steroid excretion in benign adrenal tumors: A cross-sectional multicenter study. Ann Intern Med 175:325, 2022. Wu X et al: [11C]metomidate PET-CT versus adrenal vein sampling for diagnosing surgically curable primary aldosteronism: a prospective, within-patient trial. Nat Med 29:190, 2023. 399 Pheochromocytoma Frederic Castinetti, Hartmut P. H. Neumann Pheochromocytomas and paragangliomas (PPGLs) are catecholamine producing tumors derived from the sympathetic or parasympathetic nervous system. These tumors may arise sporadically or be inherited as features of multiple endocrine neoplasia type 2 (MEN 2), von Hippel–Lindau (VHL) disease, or several other pheochromocy toma-associated syndromes. The diagnosis of pheochromocytomas identifies a potentially correctable cause of hypertension, and their removal can prevent hypertensive crises that can be lethal. The clini cal presentation is variable, ranging from an adrenal incidentaloma to a hypertensive crisis with associated cerebrovascular or cardiac complications. Given the wide range of clinical signs, diagnosis may be delayed for years. </w:t>
      </w:r>
      <w:r w:rsidRPr="00A6019F">
        <w:rPr>
          <w:rFonts w:ascii="Arial" w:hAnsi="Arial" w:cs="Arial"/>
        </w:rPr>
        <w:t>■</w:t>
      </w:r>
      <w:r w:rsidRPr="00A6019F">
        <w:t xml:space="preserve">EPIDEMIOLOGY The incidence of PPGL ranges from 0.04 to 0.95 cases per 100,000 per year, with a gradual increase over time probably due to genetic familial screening, changes in imaging modalities, and more frequent diagnosis as an incidentaloma. About ~0.1% of hypertensive patients harbor a pheochromocytoma. The mean age at diagnosis is ~40 years, although the tumors can be detected from early childhood, particularly when genetically determined, until late in life. The classic “rule of tens” for pheochromocytomas states that ~10% are bilateral, 10% are extra adrenal, and 10% are metastatic. </w:t>
      </w:r>
      <w:r w:rsidRPr="00A6019F">
        <w:rPr>
          <w:rFonts w:ascii="Arial" w:hAnsi="Arial" w:cs="Arial"/>
        </w:rPr>
        <w:t>■</w:t>
      </w:r>
      <w:r w:rsidRPr="00A6019F">
        <w:t xml:space="preserve">ETIOLOGY AND PATHOGENESIS PPGLs are well-vascularized tumors that arise from cells derived from the sympathetic (e.g., adrenal medulla or sympathetic trunk) or para sympathetic (e.g., carotid body, glomus tympanicum, glomus jugulare, glomus vagale) paraganglia (Fig. 399-1). The name pheochromocytoma reflects the formerly used black-colored staining caused by chromaffin oxidation of catecholamines. The World Health Organization (WHO) applies the term pheochromocytoma to adrenal tumors (usually secret ing) and the term paraganglioma to tumors at all other sites including head and neck, thoracic, extra-adrenal retroperitoneal, and pelvic sites. The etiology of sporadic PPGLs is unknown. However, 25–33% of patients have an inherited condition, including germline mutations in the </w:t>
      </w:r>
      <w:r w:rsidRPr="00A6019F">
        <w:lastRenderedPageBreak/>
        <w:t xml:space="preserve">classically recognized RET (rearranged during transfection), VHL, NF1 (neurofibromatosis type 1), SDHB, SDHC, and SDHD (subunits of SDH) genes or in the more recently recognized SDHA, SDHAF2, TMEM127 (transmembrane protein 127), MAX (myc-associated factor X), FH (fumarate hydratase), PDH1, PDH2 (pyruvate dehydro genase), HIF1α and HIF2α (hypoxia-inducible factor), MDH2 (malate dehydrogenase), KIF1Bβ (kinesin family member), IDH1, (isocitrate dehydrogenase 1), SLC25A11 (oxoglutarate/malate), H-RAS (trans forming protein p21), and DNMTA3 (DNA methyltransferase 3 alpha) genes. Biallelic gene inactivation, a characteristic of tumor-suppressor genes, has been demonstrated for the VHL, NF1, SDHx, TMEM127, MAX, FH, PDH1, PDH2, MDH2, and KIF1Bβ genes. In contrast, RET is a protooncogene, and mutations activate receptor tyrosine kinase activity. Succinate dehydrogenase (SDH) is an enzyme of the Krebs cycle and the mitochondrial respiratory chain. The VHL protein is a component of a ubiquitin E3 ligase. VHL mutations reduce protein degradation, resulting in upregulation of components involved in cell cycle progression, glucose metabolism, and oxygen sensing. CHAPTER 399 Pheochromocytoma In addition to germline mutations, somatic mutations have been observed in &gt;20 genes, broadly grouped into three different clusters of pathogenetically relevant genes: cluster 1, the pseudohypoxia group comprising mainly the genes SDHx (subunits of SDH), FH, VHL, and HIF2A; cluster 2, the kinase signaling group (RET, NF1, TMEM127, MAX, HRAS, KIF1Bβ, PDH); and cluster 3, the Wnt signaling group (CSDE1, MAML3). Vagus n. Jugular ganglion Nodose ganglion Jugular v. Sup. laryngeal a. Int. laryngeal a. Recurrent laryngeal n. Aortico pulmonary p. Coronary p. A Adrenal pheochromocytoma B Extra-adrenal pheochromocytoma C Head and neck paraganglioma Tympanic n. Jugular p. Intravagal p. Glossopharyngeal n. Intercarotid p. Sup. laryngeal p. Inf. laryngeal p. Subclavian p. Pulmonary p. Descending aorta FIGURE 399-1 The paraganglial system and topographic sites (in red) of pheochromocytomas and paragangliomas. (Parts A and B reproduced with permission from WM Manger, RW Gifford: Clinical and experimental pheochromocytoma. Cambridge: Blackwell Science; 1996.) 3074 TABLE 399-1 Clinical Features Associated with Pheochromocytoma, Listed by Frequency of Occurrence PART 12 Endocrinology and Metabolism 1. Headaches 2. Profuse sweating 3. Palpitations and tachycardia 4. Hypertension, sustained or paroxysmal 5. Anxiety and panic attacks 6. Pallor 7. Nausea 8. Abdominal pain 9. Weakness </w:t>
      </w:r>
      <w:r w:rsidRPr="00A6019F">
        <w:rPr>
          <w:rFonts w:ascii="Arial" w:hAnsi="Arial" w:cs="Arial"/>
        </w:rPr>
        <w:t>■</w:t>
      </w:r>
      <w:r w:rsidRPr="00A6019F">
        <w:t xml:space="preserve">CLINICAL FEATURES 10. Weight loss 11. Paradoxical response to antihypertensive drugs 12. Polyuria and polydipsia 13. Constipation 14. Orthostatic hypotension 15. Dilated cardiomyopathy 16. Erythrocytosis 17. Elevated blood sugar 18. Hypercalcemia Its clinical presentation is so variable that pheochromocytoma has been termed </w:t>
      </w:r>
      <w:r w:rsidRPr="00A6019F">
        <w:rPr>
          <w:rFonts w:ascii="Aptos" w:hAnsi="Aptos" w:cs="Aptos"/>
        </w:rPr>
        <w:t>“</w:t>
      </w:r>
      <w:r w:rsidRPr="00A6019F">
        <w:t>the great masquerader</w:t>
      </w:r>
      <w:r w:rsidRPr="00A6019F">
        <w:rPr>
          <w:rFonts w:ascii="Aptos" w:hAnsi="Aptos" w:cs="Aptos"/>
        </w:rPr>
        <w:t>”</w:t>
      </w:r>
      <w:r w:rsidRPr="00A6019F">
        <w:t xml:space="preserve"> (Table 399-1). Among the presenting manifestations, episodes of palpitation, headache, and profuse sweating are typical, and these manifestations constitute a classic triad that is seen in roughly a third of patients with pheochromocytoma. The pres ence of all three manifestations in association with hypertension makes pheochromocytoma a likely diagnosis. However, a pheochromocytoma can be asymptomatic for years or can be </w:t>
      </w:r>
      <w:r w:rsidRPr="00A6019F">
        <w:lastRenderedPageBreak/>
        <w:t xml:space="preserve">identified through imaging screening in a patient presenting with a hereditary syndrome. Some tumors grow to a considerable size before patients note symptoms. The dominant sign is hypertension. Classically, patients have episodic hypertension, but sustained hypertension is also common. Catecholamine crises can lead to heart failure, pulmonary edema, arrhythmias, and intracranial hemorrhage. During episodes of hor mone release, which can occur at widely divergent intervals, patients are anxious and pale, and they experience tachycardia and palpita tions. These paroxysms generally last 95%. metanephrines are the most sensitive and are less susceptible to false positive elevations from stress, including venipuncture. Although the incidence of false-positive test results has been reduced by the introduction of newer assays, physiologic stress responses and medications that increase catecholamine levels still can confound testing. Because the tumors are relatively rare, borderline elevations are likely to represent false-positive results. In this circumstance, it is important to exclude dietary or drug-related factors (withdrawal of levodopa or use of sympathomimetics, diuretics, tricyclic antidepres sants, alpha and beta blockers) that might cause false-positive results and then to repeat testing. Diagnostic Imaging A variety of methods have been used to local ize PPGLs (Table 399-2, Figs. 399-2, 399-3, and 399-4). Computed tomography (CT) and magnetic resonance imaging (MRI) are similar in sensitivity and should be performed with contrast. T2-weighted MRI with gadolinium contrast is optimal for detecting pheochromocytomas and is somewhat better than CT for imaging extra-adrenal PPGLs. About 5% of adrenal incidentalomas, which usually are detected by CT or MRI, prove to be pheochromocytomas upon endocrinologic evaluation, but the presence of pheochromocytomas is unlikely if unenhanced CT reveals an attenuation of 95%). These agents are par ticularly useful in the documentation of hereditary syndromes but also in metastatic pheochromocytoma, because uptake is exhibited also in paragangliomas and metastases. Pathology PPGLs are found at the classical sites of the adrenal medulla (Fig. 399-2) and paraganglia (Fig. 399-3). Histologically, the tumors often show a characteristic “Zellballen” pattern, consisting of nests of neuroendocrine chief cells with peripheral glial-like susten tacular cells. However, a broad spectrum of architectural and cytologic features can be seen. Immunohistochemistry is positive for chromo granin and synaptophysin in the chief cells and S-100 in the susten tacular cells (Fig. 399-5A–D). Increasingly, staining with antibodies against the proteins encoded by susceptibility genes for hereditary pheochromocytomas, such as SDHB, is used to histologically demon strate defects of these proteins, thereby making germline mutations more likely (Fig. 399-5E and F). 3075 A B FIGURE 399-2 Typical pheochromocytoma (adrenal unilateral). A. Magnetic resonance imaging. B. 18F-DOPA positron emission tomography (PET). Tumor marked by arrows. (Part A was provided courtesy of Dr. Tobias Krauss, Freiburg. Part B was provided courtesy of Dr. Juri Ruf, Freiburg.) Differential Diagnosis When the possibility of a pheochromocy toma is being entertained, other disorders to consider include essential hypertension, anxiety attacks, use of cocaine or amphetamines, mastocy </w:t>
      </w:r>
      <w:r w:rsidRPr="00A6019F">
        <w:lastRenderedPageBreak/>
        <w:t xml:space="preserve">tosis or carcinoid syndrome (usually without hypertension), intracranial lesions, clonidine withdrawal, autonomic epilepsy, and factitious crises (usually from use of sympathomimetic amines). When an asymptomatic adrenal mass is identified, likely diagnoses other than pheochromocy toma include a nonfunctioning adrenal adenoma, an aldosteronoma, and a cortisol-producing adenoma (Cushing’s syndrome). the normal adrenal cortex in order to prevent Addison’s disease, particularly in hereditary disorders in which bilateral pheochro mocytomas are most likely. Preoperative preparation of the patient has to be considered, and blood pressure should be consistently 5 cm, high pheochromocytoma of the adrenal gland scaled score (PASS) and grading system for adrenal pheochromocy toma and paraganglioma (GAPP) score, and SDHB-positive status have been considered as markers of risk of recurrence, but they remain controversial. Thus, the term malignant pheochromocytoma has been replaced by metastatic pheochromocytoma as suggested by the WHO and is restricted to tumors with lymph node or distant metastases, the latter most commonly found by nuclear medicine imaging in lungs, bone, or liver locations, suggesting a vascular pathway of spread (Fig. 399-4B). Because hereditary syndromes are associated with multifocal tumor sites, these features should be anticipated in patients with germ line mutations, especially of SDHB, SDHD, VHL, and RET. However, distant metastases also occur in these syndromes, especially in carriers of SDHB mutations. Treatment of metastatic pheochromocytoma or paraganglioma is challenging. Options include tumor mass reduction, alpha blockers for symptoms, chemotherapy including tyrosine kinase inhibitors, nuclear medicine radiotherapy, and stereotactic radiation. Nuclear medicine therapy is the treatment of choice for scintigraphically documented metastases, preferably with 131I-MIBG in 100–300 mCi doses over 3–6 cycles, or somatostatin receptor ligands, e.g., DOTATOC labeled with yttrium-90 or lutetium-177. Averbuch’s chemotherapy protocol includes dacarbazine (600 mg/m2 on days 1 and 2), cyclophospha mide (750 mg/m2 on day 1), and vincristine (1.4 mg/m2 on day 1), all repeated every 21 days for 3–6 cycles. Palliation (stable disease to shrinkage) is achieved in about one-half of patients. Due to increasing insights in the genetics of pheochromocytoma and their molecular pathways, new targeted chemotherapeutic options such as sunitinib and temozolomide are under investigation. The prognosis of metastatic pheochromocytoma or paraganglioma is variable, with 5-year survival rates of 30–60%. </w:t>
      </w:r>
      <w:r w:rsidRPr="00A6019F">
        <w:rPr>
          <w:rFonts w:ascii="Arial" w:hAnsi="Arial" w:cs="Arial"/>
        </w:rPr>
        <w:t>■</w:t>
      </w:r>
      <w:r w:rsidRPr="00A6019F">
        <w:t xml:space="preserve">PHEOCHROMOCYTOMA IN PREGNANCY Pheochromocytomas occasionally are diagnosed in pregnancy and can be very challenging to manage. The pathogenesis of adrenergic crises during pregnancy in previously asymptomatic women might be linked to human chorionic gonadotropin (hCG)-induced stimulation of epinephrine production by pheochromocytoma, as some of these express luteinizing hormone/chorionic gonadotropin (LHCG) recep tors. Endoscopic removal, preferably in the fourth to sixth month of gestation, is possible and can be followed by uneventful childbirth. Regular screening in families with inherited pheochromocytomas pro vides an opportunity to identify and remove such tumors in women of reproductive age. </w:t>
      </w:r>
      <w:r w:rsidRPr="00A6019F">
        <w:rPr>
          <w:rFonts w:ascii="Arial" w:hAnsi="Arial" w:cs="Arial"/>
        </w:rPr>
        <w:lastRenderedPageBreak/>
        <w:t>■</w:t>
      </w:r>
      <w:r w:rsidRPr="00A6019F">
        <w:t xml:space="preserve">PHEOCHROMOCYTOMA-ASSOCIATED SYNDROMES About 25–33% of patients with a PPGL have an inherited syndrome. At diagnosis, patients with inherited syndromes are a mean of ~15 years younger than patients with sporadic tumors. The best-known pheochromocytoma-associated syndrome is the autosomal dominant disorder MEN 2 (Chap. 400). Both types of MEN 2 (2A and 2B) are caused by mutations in RET, which encodes a tyrosine kinase. The locations of RET mutations correlate with the age of disease onset, the aggressiveness, and the type of MEN 2 (Chap. 400). MEN 2A is characterized by medullary thyroid carci noma (MTC), pheochromocytoma, and hyperparathyroidism. MEN 2B also includes MTC (more aggressive than in MEN 2A), pheochro mocytoma, and multiple mucosal neuromas, marfanoid habitus, and other developmental disorders, although it typically lacks hyperpara thyroidism. MTC is found in virtually all patients with MEN 2, but pheochromocytoma occurs in only ~50% of these patients. Nearly all pheochromocytomas in MEN 2 are benign and located in the adrenals, often bilaterally. Pheochromocytoma may be symptomatic before the diagnosis of MTC is made. Prophylactic thyroidectomy is being per formed in many carriers of RET mutations, and the recommended age to perform thyroidectomy usually depends on the mutation and/or the level of calcitonin; pheochromocytomas should be excluded before any surgery in these patients. CHAPTER 399 Pheochromocytoma VHL is an autosomal dominant disorder that predisposes to retinal and cerebellar hemangioblastomas, which also occur in the brainstem and spinal cord (Fig. 399-6). Other important features of VHL are clear cell renal carcinomas, pancreatic neuroendocrine tumors, endo lymphatic sac tumors of the inner ear, cystadenomas of the epididymis and broad ligament, and multiple pancreatic or renal cysts. Although the VHL gene can be inactivated by all types of mutations, patients with pheochromocytoma predominantly have missense mutations. About 20–30% of patients with VHL have pheochromocytomas, but in some families, the incidence can reach 90%. The recognition of pheo chromocytoma as a VHL-associated feature provides an opportunity to diagnose retinal, central nervous system, renal, and pancreatic tumors at a stage when effective treatment may still be possible. NF1 was the first described pheochromocytoma-associated syn drome. The NF1 gene functions as a tumor suppressor by regulating the Ras signaling cascade. Classic features of neurofibromatosis include multiple neurofibromas, café au lait spots, axillary freckling of the skin, and Lisch nodules of the iris. Pheochromocytomas occur in only ~1% of these patients and are located predominantly in the adrenals. Meta static pheochromocytoma is not uncommon in NF1. The paraganglioma syndromes (PGLs) have been classified by genetic analyses of families with head and neck paragangliomas. The susceptibility genes encode subunits of the enzyme SDH, a component in the Krebs cycle and the mitochondrial electron transport chain. SDH is formed by four subunits (A–D). Mutations of SDHA (PGL5), SDHB (PGL4), SDHC (PGL3), SDHD (PGL1), and SDHAF2 (PGL2) predispose to the PGLs. The transmission of the disease in carriers of 3078 PART 12 Endocrinology and Metabolism A C B D F E G H </w:t>
      </w:r>
      <w:r w:rsidRPr="00A6019F">
        <w:lastRenderedPageBreak/>
        <w:t xml:space="preserve">FIGURE 399-6 von Hippel–Lindau disease. Tumors and cysts marked by arrows. A. Retinal angioma (arrows with a pair of feeding vessels). All subsequent panels show findings on magnetic resonance imaging. B–D. Hemangioblastomas of the cerebellum (large cyst and a solid mural tumor) (B) in brainstem (in part cystic) (C) and spinal cord (thoracic) (D). E. Bilateral renal clear cell carcinomas with two tumors on each side F. Multiple pancreatic cysts. G. Microcystic serous pancreatic cystadenoma (with multiple tiny spaces). H. Two pancreatic islet cell tumors. (Part A was provided courtesy of Dr. Dieter Schmidt. Part B was provided courtesy of Dr. Christian Taschner, Freiburg. Part C was provided courtesy of Dr. Sven Glaesker, Brussels. Part D was used with permission from Dr. Jan-Helge Klingler, Freiburg. Part E was provided courtesy of Dr. Cordula Jilg, Freiburg. Parts F–H were provided courtesy of Dr. Tobias Krauss, Freiburg.) SDHA, SDHB, and SDHC germline mutations is autosomal dominant. In contrast, in virtually all SDHD and SDHAF2 families, only the prog eny of affected fathers develops tumors if they inherit the mutation. PGL1 is most common, followed by PGL4; PGL2, PGL3, and PGL5 are rare. Adrenal, extra-adrenal abdominal, and thoracic pheochro mocytomas, which are components of PGL1, PGL4, and PGL5, are rare in PGL3 and absent in PGL2 (Fig. 399-4A). About one-third of patients with PGL4 develop metastases, which is the highest rate in pheochromocytoma-associated syndromes. However, the penetrance of the disease is usually low, raising questions about the optimal way to monitor asymptomatic carriers on a long-term basis. Other syndromes with metastatic pheochromocytomas are mainly VHL, NF1, and PGL1. Other familial pheochromocytoma has been attributed to heredi tary, mainly adrenal tumors in patients with germline mutations in the genes TMEM127 and MAX. Transmission is also autosomal domi nant, and mutations of MAX, like those of SDHD, cause tumors only if inherited from the father. Pituitary neuroendocrine tumors have been described as an association with SDHx (pituitary adenoma and pheochromocytoma/paraganglioma 3PA syndrome) as well as MAX mutations (MEN 5), but they seem to occur very rarely. </w:t>
      </w:r>
      <w:r w:rsidRPr="00A6019F">
        <w:rPr>
          <w:rFonts w:ascii="Arial" w:hAnsi="Arial" w:cs="Arial"/>
        </w:rPr>
        <w:t>■</w:t>
      </w:r>
      <w:r w:rsidRPr="00A6019F">
        <w:t xml:space="preserve">GENETIC SCREENING OF PATIENTS WITH PHEOCHROMOCYTOMA OR PARAGANGLIOMA Universal germline panel testing is now the gold standard to char acterize the genetic factors involved in PPGL. It usually identifies a genetic etiology in up to 30% of the cases. This rate can be even higher in patients with early age of onset, extra-adrenal location, multiple tumors, metastatic tumors, or family history of PPGL. Effective pre ventive medicine for pheochromocytoma and pheochromocytoma associated diseases requires management according to identified germline mutations in susceptibility genes (Table 399-3). Because of the relatively high prevalence of familial syndromes among patients who present with pheochromocytoma or paraganglioma, it is useful to identify germline mutations even in patients without a known family history. Despite the use of a universal germline panel testing performed for all patients with a PPGL, a first step remains to search for clinical features of inherited syndromes and to obtain an in-depth, multigen erational family history. Each of these syndromes exhibits autosomal dominant transmission with variable </w:t>
      </w:r>
      <w:r w:rsidRPr="00A6019F">
        <w:lastRenderedPageBreak/>
        <w:t xml:space="preserve">penetrance, but a proband with a mother affected by paraganglial tumors is not predisposed to PLG1 and PGL2 (SDHD and SDHAF2 mutation carrier). Cutaneous neurofi bromas, café au lait spots, and axillary freckling suggest neurofibroma tosis. Germline mutations in NF1 have nearly never been reported in patients with sporadic pheochromocytomas. Thus, NF1 testing is not needed in the absence of other clinical features of neurofibromatosis. A personal or family history of MTC or an elevation of serum calcitonin strongly suggests MEN 2 and should prompt testing for RET muta tions. A history of visual impairment or tumors of the cerebellum, brainstem, spinal cord, or the kidney suggests the possibility of VHL. A personal and/or family history of head and neck paraganglioma suggests PGL1 or PGL4. Of note, sequencing protocols may not detect large deletions of one or more exons. 3079 Multiple Endocrine Neoplasia Syndromes CHAPTER 400 TABLE 399-3 Patterns of Occurrence in Inherited Pheochromocytoma and Paraganglioma–Associated Syndromes MUTATED GENE ADRENAL TUMORS HEAD AND NECK TUMORS EXTRA-ADRENAL RETROPERITONEAL OR PELVIC TUMORS THORACIC TUMORS MULTIPLE TUMORS BILATERAL ADRENAL TUMORS METASTATIC TUMORS FAMILY HISTORY IN PROBANDS FOR COMPONENTS OF THE GIVEN SYNDROME MAX +++++ 10 years after initial management; this rate is higher in genetically determined PPGL. Defining the clinical outcome of a PPGL remains difficult, and machine learning models including several fac tors might be helpful in the future to personalize the follow-up of these patients. The recent American Joint Committee on Cancer tumor node-metastasis classification could help select patients at risk of recur rence. The pathogenesis of PPGL remains imperfectly understood, and as for other endocrine tumors, microenvironment and immune cells might influence PPGL aggressiveness or metastatic behavior; they could also constitute some new therapeutic targets in the future. </w:t>
      </w:r>
      <w:r w:rsidRPr="00A6019F">
        <w:rPr>
          <w:rFonts w:ascii="Arial" w:hAnsi="Arial" w:cs="Arial"/>
        </w:rPr>
        <w:t>■</w:t>
      </w:r>
      <w:r w:rsidRPr="00A6019F">
        <w:t xml:space="preserve">FURTHER READING Al Subhi AR et al: Systematic review: Incidence of pheochromocy toma and paraganglioma over 70 years. J Endocr Soc 6:bvac105, 2022. Amar L et al: International consensus on initial screening and follow up of asymptomatic SDHx mutation carriers. Nat Rev Endocrinol 17:435, 2021. Bancos I et al: Maternal and fetal outcomes in pheochromocytoma and pregnancy: A multi-center retrospective cohort study and sys tematic review of literature. Lancet Diabetes Endocrinol 2021; 9:13. Calsina B et al: Genomic and immune landscape of metastatic pheo chromocytoma and paraganglioma. Nat Commun 14:1122, 2023. Castinetti F et al: Controversies about the systematic preoperative pharmacological treatment before pheochromocytoma or paragan glioma surgery. Eur J Endocrinol 186:D17, 2022. Horton C et al: Universal germline panel testing for individuals with pheochromocytoma and paraganglioma produces high diagnostic yield. J Clin Endocrinol Metab 107:e1917, 2022. Lenders JW et al: Genetics, diagnosis, management and future direc tions of research of phaeochromocytoma and paraganglioma: A posi tion statement and consensus of the Working Group on Endocrine Hypertension of the European Society of Hypertension. J Hypertens 38:1443, 2020. Lopez AG et al: Expression of LHCGR in pheochromocytomas unveils an endocrine mechanism </w:t>
      </w:r>
      <w:r w:rsidRPr="00A6019F">
        <w:lastRenderedPageBreak/>
        <w:t xml:space="preserve">connecting pregnancy and epi nephrine overproduction. Hypertension 79:1006, 2022. Neumann HPH et al: Comparison of pheochromocytoma-specific morbidity and mortality among adults with bilateral pheochromocy tomas undergoing total adrenalectomy vs cortical-sparing adrenalec tomy. JAMA Netw Open 2:e198898, 2019. Pamporaki C et al: Prediction of metastatic pheochromocytoma and paraganglioma: A machine learning modelling study using data from a cross-sectional cohort. Lancet Digit Health 5:e551, 2023. Taïeb D et al: European Association of Nuclear Medicine Practice Guideline/Society of Nuclear Medicine and Molecular Imaging Procedure Standard 2019 for radionuclide imaging of phaeochromo cytoma and paraganglioma. Eur J Nucl Med Mol Imaging 46:2112, 2019. Taïeb D et al: Clinical consensus guideline on the management of phaeochromocytoma and paraganglioma in patients harbouring germline SDHD pathogenic variants. Lancet Diabetes Endocrinol 11:345, 2023. Multiple Endocrine Neoplasia Syndromes Rajesh V. Thakker 400 Multiple endocrine neoplasia (MEN) is characterized by a predilection for tumors involving two or more endocrine glands. Five major forms of MEN are recognized and referred to as MEN types 1–5 (MEN 1–5) (Table 400-1). Each type of MEN is inherited as an autosomal domi nant syndrome or may occur sporadically, that is, without a family history. However, this distinction between familial and sporadic forms is often difficult because family members with the disease may have died before symptoms developed. In addition to MEN 1–5, at least six other syndromes are associated with multiple endocrine and other organ neoplasias (MEONs) (Table 400-2). These MEONs include the hyperparathyroidism-jaw tumor (HPT-JT) syndrome, Carney com plex, von Hippel–Lindau disease (Chap. 399), neurofibromatosis 3080 PART 12 Endocrinology and Metabolism TABLE 400-1 Multiple Endocrine Neoplasia (MEN) Syndromes TYPE (CHROMOSOMAL LOCATION) TUMORS (ESTIMATED PENETRANCE) GENE AND MOST FREQUENTLY MUTATED CODONS MEN 1 (11q13) Parathyroid adenoma (90%) Enteropancreatic tumor (30–70%) • Gastrinoma (&gt;50%) • Insulinoma (10–30%) • Nonfunctioning and PPoma (20–55%) • Glucagonoma (33%) • Angiofibromas (85%) • Collagenomas (70%) • Meningiomas (8%) MEN1 83/84, 4-bp del (≈4%) 119, 3-bp del (≈3%) 209-211, 4-bp del (≈8%) 418, 3-bp del (≈4%) 514-516, del or ins (≈7%) Intron 4 ss (≈10%) MEN 2 (10 cen-10q11.2) MEN 2A     MTC (90%) Pheochromocytoma (&gt;50%) Parathyroid adenoma (10–25%)   RET 634, e.g., Cys → Arg (~85%) MTC only MTC (100%) RET 618, missense (&gt;50%) MEN 2B (also known as MEN 3) MTC (&gt;90%) Pheochromocytoma (&gt;50%) Associated abnormalities (40–50%) • Mucosal neuromas • Marfanoid habitus • Medullated corneal nerve fibers • Megacolon RET 918, Met → Thr (&gt;95%) MEN 4 (12p13)         MEN5 (14q23.3) Parathyroid adenomaa Pituitary adenomaa Reproductive organ tumorsa (e.g., testicular cancer, neuroendocrine cervical carcinoma) ?Adrenal + renal tumorsa Pheochromocytomaa Pituitary adenomaa Parathyroid adenomas?a Neural crest tumors (e.g., ganglioneuroma, neuroblastoma) (other tumors? – renal cell carcinoma, renal oncocytoma, pancreatic NETs, chondrosarcoma)  CDKN1B; no common mutations identified to date     MAX; no common mutations identified to date aInsufficient numbers reported to provide </w:t>
      </w:r>
      <w:r w:rsidRPr="00A6019F">
        <w:lastRenderedPageBreak/>
        <w:t xml:space="preserve">prevalence information. Note: Autosomal dominant inheritance of the MEN syndromes has been established. Abbreviations: del, deletion; ins, insertion; MTC, medullary thyroid cancer; NET, neuroendocrine tumor; PPoma, pancreatic polypeptide–secreting tumor; VIPoma, vasoactive intestinal polypeptide–secreting tumor. Source: Adapted with permission from Thakker RV. Multiple endocrine neoplasia syndromes of the twentieth century. J Clin Endocrinol Metab 83:2617, 1998. TABLE 400-2 Multiple Endocrine and Other Organ Neoplasia (MEON) Syndromes DISEASEa GENE PRODUCT CHROMOSOMAL LOCATION Hyperparathyroidism-jaw tumor (HPT-JT) Parafibromin 1q31.2 Carney complex   CNC1 PRAKAR1A 17q24.2 CNC2 ?b 2p16 von Hippel–Lindau disease (VHL) pVHL (elongin) 3p25 Neurofibromatosis type 1 (NF1) Neurofibromin 17q11.2 Cowden’s syndrome (CWS)   CWS1 PTEN 10q23.31 CWS2 SDHB 1p36.13 CWS3 SDHD 11q23.1 CWS4 KLLN 10q23.31 CWS5 PIK3CA 3q26.32 CWS6 AKT1 14q32.33 CWS7 SEC23B 20p11.23 McCune-Albright syndrome (MAS) Gs α 20q13.32 aThe inheritance for these disorders is autosomal dominant, except MAS, which is due to mosaicism that results from the postzygotic somatic cell mutation of the GNAS1 gene, encoding Gs α. b?, unknown. type 1 (Chap. 95), Cowden’s syndrome (CWS), and McCune-Albright syndrome (MAS) (Chap. 424); all of these are inherited as autoso mal dominant disorders, except for MAS, which is caused by mosaic expression of a postzygotic somatic cell mutation (Table 400-2). A diagnosis of a MEN or MEON syndrome may be established in an individual by one of three criteria: (1) clinical features (two or more of the associated tumors [or lesions] in an individual); (2) familial pattern (one of the associated tumors [or lesions] in a first degree relative of a patient with a clinical diagnosis of the syndrome); and (3) genetic analysis (a germline mutation in the associated gene in an individual, who may be clinically affected or asymptomatic). Mutational analysis in MEN and MEON syndromes is helpful in clinical practice to (1) confirm the clinical diagnosis; (2) identify family members who harbor the mutation and require screening for relevant tumor detection and early/appropriate treatment; and (3) identify the ~50% of family members who do not harbor the germline mutation and can, therefore, be alleviated of the anxiety of developing associated tumors. This latter aspect also helps to reduce health care costs by reducing the need for unnecessary biochemical and radio logic investigations. </w:t>
      </w:r>
      <w:r w:rsidRPr="00A6019F">
        <w:rPr>
          <w:rFonts w:ascii="Arial" w:hAnsi="Arial" w:cs="Arial"/>
        </w:rPr>
        <w:t>■</w:t>
      </w:r>
      <w:r w:rsidRPr="00A6019F">
        <w:t xml:space="preserve">MULTIPLE ENDOCRINE NEOPLASIA TYPE 1 Clinical Manifestations MEN type 1 (MEN 1), which is also referred to as Wermer’s syndrome, is characterized by the triad of tumors involving the parathyroids, pancreatic islets, and anterior pituitary. In addition, adrenal cortical tumors, carcinoid tumors usually of the fore gut, meningiomas, facial angiofibromas, collagenomas, and lipomas may also occur in some patients with MEN 1. Combinations of the affected glands and their pathologic features (e.g., hyperplastic adenomas of the parathyroid glands) may differ in members of the same family and even between identical twins. In addition, a nonfamilial (e.g., sporadic) form occurs in 8–14% of patients with MEN 1, and molecular genetic studies have confirmed the occurrence of de novo mutations of the MEN1 gene in ~10% of patients with MEN 1. The </w:t>
      </w:r>
      <w:r w:rsidRPr="00A6019F">
        <w:lastRenderedPageBreak/>
        <w:t xml:space="preserve">prevalence of MEN 1 is ~0.25% based on randomly chosen postmortem studies but is 1–18% among patients with primary hyperparathyroidism, 16–38% among patients with pancreatic islet tumors, and 1 cm identified on imaging MRI or CT (annually with pancreatic imaging) Thymic and bronchial carcinoid 15 None CT or MRI (every 1–2 years) Abbreviations: CT, computed tomography; EUS, endoscopic ultrasound; IGF-I, insulin-like growth factor I; MRI, magnetic resonance imaging; NET, neuroendocrine tumor; PTH, parathyroid hormone. Source: Data from PJ Newey, RV Thakker: Role of multiple endocrine neoplasia type 1 mutational analysis in clinical practice. Endocr Pract 17, 2011 and RV Thakker: Multiple endocrine neoplasia type 1 (MEN1). Translational Endocrinology and Metabolism, Vol 2. Chevy Chase, MD: The Endocrine Society; 2011. mortality in patients with MEN 1, with a 50% probability of death by the age of 50 years. The cause of death is usually a malignant tumor, often from a pancreatic neuroendocrine tumor (NET) or foregut carcinoid. In addition, the treatment outcomes of patients with MEN 1–associated tumors are not as successful as those in patients with non–MEN 1 tumors. This is because MEN 1–associated tumors, with the exception of pituitary NETs, are usually multiple, making it difficult to achieve a successful surgical cure. Occult metastatic disease is also more prevalent in MEN 1, and the tumors may be larger, more aggressive, and resistant to treatment. Parathyroid Tumors (See also Chap. 422) Primary hyper parathyroidism occurs in ~90% of patients and is the most common feature of MEN 1. Patients may have asymptomatic hypercalcemia or vague symptoms associated with hypercalcemia (e.g., polyuria, poly dipsia, constipation, malaise, or dyspepsia). Nephrolithiasis and osteitis fibrosa cystica (less commonly) may also occur. Biochemical investiga tions reveal hypercalcemia, usually in association with elevated circu lating parathyroid hormone (PTH) (Table 400-3). The hypercalcemia is usually mild, and severe hypercalcemia or parathyroid cancer is a rare occurrence. Additional differences in the primary hyperparathy roidism of patients with MEN 1, as opposed to those without MEN 1, include an earlier age at onset (20–25 vs 55 years) and an equal male to-female ratio (1:1 vs 1:3). Preoperative imaging (e.g., neck ultrasound with 99mTc-sestamibi parathyroid scintigraphy) is of limited benefit because all parathyroid glands may be affected, and neck exploration may be required irrespective of preoperative localization studies. TREATMENT Parathyroid Tumors Surgical removal of the abnormally overactive parathyroids in patients with MEN 1 is the definitive treatment, and most special ist centers recommend performing a subtotal (e.g., removal of 3.5 glands) parathyroidectomy. Minimally invasive parathyroidec tomy is not recommended because all four parathyroid glands are usually affected with multiple adenomas or hyperplasia. Surgical experience should be taken into account given the variability in pathology in MEN 1. Calcimimetics (e.g., cinacalcet), which act via the calcium-sensing receptor, have been used to treat primary hyperparathyroidism in some patients when surgery is unsuccessful or contraindicated. Pancreatic Tumors (See also Chap. 89) The incidence of pancreatic islet cell tumors, which are NETs, in patients with MEN 1 ranges from 30 to 80% in different series. Most of these tumors </w:t>
      </w:r>
      <w:r w:rsidRPr="00A6019F">
        <w:lastRenderedPageBreak/>
        <w:t xml:space="preserve">(Table 400-1) produce excessive amounts of hormone (e.g., gastrin, insulin, glucagon, vasoactive intestinal polypeptide [VIP]) and are associated with distinct clinical syndromes, although some are nonfunctioning or nonsecretory. These pancreatic islet cell tumors have an earlier age at onset in patients with MEN 1 than in patients without MEN 1. Gastrinoma Gastrin-secreting tumors (gastrinomas) are associated with marked gastric acid production and recurrent peptic ulcerations, a combination referred to as Zollinger-Ellison syndrome. Gastrinomas occur more often in patients with MEN 1 who are aged &gt;30 years. Recurrent severe multiple peptic ulcers, which may perforate, and cachexia are major contributors to the high mortality. Patients with Zollinger-Ellison syndrome may also suffer from diarrhea and steat orrhea. The diagnosis is established by demonstration of an elevated fasting serum gastrin concentration in association with increased basal gastric acid secretion (Table 400-3). However, the diagnosis of Zollinger-Ellison syndrome may be difficult in hypercalcemic MEN 1 patients because hypercalcemia can also cause hypergastrinemia. Ultrasonography, endoscopic ultrasonography, computed tomography (CT), nuclear magnetic resonance imaging (MRI), selective abdominal angiography, venous sampling, and somatostatin receptor scintigraphy (SRS) are helpful in localizing the tumor prior to surgery. Gastrinomas represent &gt;50% of all pancreatic NETs in patients with MEN 1, and ~20% of patients with gastrinomas will be found to have MEN 1. Gas trinomas, which may also occur in the duodenal mucosa, are the major cause of morbidity and mortality in patients with MEN 1. TREATMENT Gastrinoma Medical treatment of patients with MEN 1 and Zollinger-Ellison syndrome is directed toward reducing basal acid output to 4 cm develop hepatic metastases, and 50–70% of patients with tumors 2–3 cm in size have lymph node metastases. Survival in MEN 1 patients with gastrinomas 2–2.5 cm has been recommended, because the disease-related survival in these patients is improved following surgery. In addition, duodenal gastrinomas, which occur more frequently in patients with MEN 1, have been treated successfully with surgery. However, 3082 streptozotocin and 5-fluorouracil has been successful in some patients, and hepatic artery embolization has been used to treat metastatic disease. Vasoactive Intestinal Peptide (VIP) Tumors (VIPomas) PART 12 Endocrinology and Metabolism Insulinoma Medical treatment, which consists of frequent carbohydrate meals and diazoxide or octreotide, is not always successful, and surgery is the optimal treatment. Surgical treatment, which ranges from enucleation of a single tumor to a distal pancreatectomy or partial pancreatectomy, has been curative in many patients. Chemotherapy (streptozotocin, 5-fluorouracil, and doxorubicin), PRRT (e.g., with 177Lu-DOTATATE), or hepatic artery embolization has been used for metastatic disease. Glucagonoma These glucagon-secreting pancreatic NETs occur in 40 years. Insulinomas may be the first manifestation of MEN 1 in 10% of patients, and ~4% of patients with insulinomas will have MEN 1. TREATMENT VIPomas Surgical management of VIPomas, which are mostly located in the tail of the pancreas, can be curative. However, in patients with unresectable tumor, SSAs, such as octreotide and lanreotide, may be effective. </w:t>
      </w:r>
      <w:r w:rsidRPr="00A6019F">
        <w:lastRenderedPageBreak/>
        <w:t xml:space="preserve">Streptozotocin with 5-fluorouracil may be ben eficial, along with hepatic artery embolization for the treatment of metastases. Pancreatic Polypeptide-Secreting Tumors (PPomas) and Nonfunctioning Pancreatic NETs PPomas are found in a large number of patients with MEN 1. No pathologic sequelae of excessive polypeptide (PP) secretion are apparent, and the clinical significance of PP is unknown. Many PPomas may have been unrecognized or clas sified as nonfunctioning pancreatic NETs, which likely represent the most common enteropancreatic NET associated with MEN 1 (Fig. 400-1). The absence of both a clinical syndrome and specific biochemical abnormalities may result in a delayed diagnosis of nonfunctioning pancreatic NETs, which are associated with a worse prognosis than other functioning tumors, including insulinoma and gastrinoma. The optimum screening method and its timing interval for nonfunctioning pancreatic NETs remain to be established. At present, endoscopic ultra sound likely represents the most sensitive method of detecting small pancreatic tumors, but SRS is the most reliable method for detecting metastatic disease (Table 400-3). FIGURE 400-1 Pancreatic nonfunctioning neuroendocrine tumor (NET) in a 32-year-old patient with multiple endocrine neoplasia type 1 (MEN 1). An abdominal magnetic resonance imaging (MRI) scan revealed a low-intensity &gt;3.0 cm (anteroposterior maximal diameter) tumor within the body of pancreas. There was no evidence of invasion of adjacent structures or metastases. The tumor is indicated by white dashed circle. TREATMENT PPomas and Nonfunctioning Pancreatic NETs The management of nonfunctioning pancreatic NETs in the asymp tomatic patient is controversial. One recommendation is to under take surgery irrespective of tumor size after biochemical assessment is complete. Alternatively, other experts recommend surgery based on tumor size, using either &gt;1 cm or &gt;2 cm at different centers. Pan creatoduodenal surgery is successful in removing the tumors in 80% of patients, but &gt;40% of patients develop complications, including diabetes mellitus, frequent steatorrhea, early and late dumping syn dromes, and other gastrointestinal symptoms. However, ~50–60% of patients treated surgically survive &gt;5 years. When considering these recommendations, it is important to consider that occult met astatic disease (e.g., tumors not detected by imaging investigations) is likely to be present in a substantial proportion of these patients at the time of presentation. Inhibitors of tyrosine kinase receptors (TKRs) and of the mammalian target of rapamycin (mTOR) signal ing pathway have been reported to be effective in treating pancre atic NET metastases and in doubling the progression-free survival time. Additional treatments for metastatic disease include PRRT using 177Lu-DOTATATE, chemotherapy, radiofrequency ablation, transarterial chemoembolization, and SIRT. Other Pancreatic NETs NETs secreting growth hormone–releasing hormone (GHRH), GHRHomas, have been reported rarely in patients with MEN 1. It is estimated that ~33% of patients with GHRHomas have other MEN 1–related tumors. GHRHomas may be diagnosed by demonstrating elevated serum concentrations of growth hormone and GHRH. More than 50% of GHRHomas occur in the lung, 30% occur in the pancreas, and 10% are found in the small intestine. Somatostati nomas secrete somatostatin, a </w:t>
      </w:r>
      <w:r w:rsidRPr="00A6019F">
        <w:lastRenderedPageBreak/>
        <w:t xml:space="preserve">peptide that inhibits the secretion of a variety of hormones, resulting in hyperglycemia, cholelithiasis, low acid output, steatorrhea, diarrhea, abdominal pain, anemia, and weight loss. Although 7% of pancreatic NETs secrete somatostatin, the clinical fea tures of somatostatinoma syndrome are unusual in patients with MEN 1. Pituitary Tumors (See also Chap. 392) Pituitary tumors occur in 15–50% of patients with MEN 1 (Table 400-1), and ~75% of these are microadenomas (1 cm diameter). There are no specific histologic parameters that differentiate between MEN 1 and non–MEN 1 pituitary tumors. Approximately 60% of MEN 1–associated pituitary tumors secrete pro lactin, 40 years. Fewer than 3% of patients with anterior pituitary tumors will have MEN 1. Clinical manifestations are similar to those in patients with sporadic pituitary tumors without MEN 1 and depend on the hormone secreted and the size of the pitu itary tumor. Thus, patients may have symptoms of hyperprolactinemia (e.g., amenorrhea, infertility, and galactorrhea in women, or impotence and infertility in men) or have features of acromegaly or Cushing’s disease. In addition, enlarging pituitary tumors may compress adjacent structures such as the optic chiasm or normal pituitary tissue, causing visual disturbances and/or hypopituitarism. In asymptomatic patients with MEN 1, periodic biochemical monitoring of serum prolactin and insulin-like growth factor 1 (IGF-1) levels, as well as MRI of the pitu itary, can lead to early identification of pituitary tumors (Table 400-3). In patients with abnormal results, hypothalamic-pituitary testing should characterize the nature of the pituitary lesion and its effects on the secretion of other pituitary hormones. TREATMENT 3083 Pituitary Tumors Treatment of pituitary tumors in patients with MEN 1 consists of therapies similar to those used in patients without MEN 1 and includes appropriate medical therapy (e.g., bromocriptine or caber goline for prolactinoma; or octreotide or lanreotide for somatotrope tumors) or selective transsphenoidal adenomectomy, if feasible, with radiotherapy reserved for residual unresectable tumor tissue. Associated Tumors Patients with MEN 1 may also develop carci noid tumors, adrenal cortical tumors, facial angiofibromas, collageno mas, thyroid tumors, and lipomatous tumors. Carcinoid Tumors (See also Chap. 89) Carcinoid tumors occur in &gt;3% of patients with MEN 1 (Table 400-1). The carcinoid tumor may be located in the bronchi, gastrointestinal tract, pancreas, or thymus. At the time of diagnosis, most patients are asymptomatic and do not have clinical features of the carcinoid syndrome. Impor tantly, no hormonal or biochemical abnormality (e.g., plasma chro mogranin A) is consistently observed in individuals with thymic or bronchial carcinoid tumors. Thus, screening for these tumors is depen dent on radiologic imaging. The optimum method for screening has not been established. Low-dose CT and MRI are sensitive for detecting thymic and bronchial tumors (Table 400-3), although repeated CT scanning raises concern about exposure to repeated doses of ionizing radiation. Octreotide scintigraphy may also reveal some thymic and bronchial carcinoids, although there is insufficient evidence to recom mend its routine use. Gastric carcinoids, of which the type II gastric enterochromaffin-like (ECL) cell carcinoids (ECLomas) are associated with MEN 1 and Zollinger-Ellison syndrome, may </w:t>
      </w:r>
      <w:r w:rsidRPr="00A6019F">
        <w:lastRenderedPageBreak/>
        <w:t xml:space="preserve">be detected inci dentally at the time of gastric endoscopy for dyspeptic symptoms in MEN 1 patients. These tumors, which may be found in &gt;10% of MEN 1 patients, are usually multiple and sized 1 cm. Adrenocortical carcinoma occurs in ~1% of MEN 1 patients but increases to &gt;10% for adrenal tumors &gt;1 cm. TREATMENT PART 12 Adrenocortical Tumors Endocrinology and Metabolism Consensus has not been reached about the management of MEN 1–associated nonfunctioning adrenal tumors, because the majority are benign. However, the risk of malignancy increases with size, particularly for tumors with a diameter &gt;4 cm. Indications for surgery for adrenal tumors include size &gt;4 cm in diameter, atypical or suspicious radiologic features (e.g., increased Hounsfield unit on unenhanced CT scan) and size of 1–4 cm in diameter, or significant measurable growth over a 6-month period. The treatment of func tioning (e.g., hormone-secreting) adrenal tumors is similar to that for tumors occurring in non–MEN 1 patients. Meningioma Central nervous system (CNS) tumors, including ependymomas, schwannomas, and meningiomas, have been reported in MEN 1 patients (Table 400-1). Meningiomas are found in 15 years. The majority of meningiomas are not associated with symptoms, and 60% do not enlarge. The treatment of MEN 1–associated meningiomas is similar to that in non–MEN 1 patients. Lipomas Subcutaneous lipomas occur in &gt;33% of patients with MEN 1 (Table 400-1) and are frequently multiple. In addition, visceral, pleural, or retroperitoneal lipomas may occur in patients with MEN 1. Management is conservative. However, when surgically removed for cosmetic reasons, they typically do not recur. Facial Angiofibromas and Collagenomas The occurrence of multiple facial angiofibromas in patients with MEN 1 may range from &gt;20 to &gt;90%, and occurrence of collagenomas may range from 0 to &gt;70% (Table 400-1). These cutaneous findings may allow presymp tomatic diagnosis of MEN 1 in the relatives of a patient with MEN 1. Treatment for these cutaneous lesions is usually not required. Thyroid Tumors Thyroid tumors, including adenomas, colloid goiters, and carcinomas, have been reported to occur in &gt;25% of patients with MEN 1. However, the prevalence of thyroid disorders in the general population is high, and it has been suggested that the association of thyroid abnormalities in patients with MEN 1 may be incidental. The treatment of thyroid tumors in MEN 1 patients is simi lar to that for non–MEN 1 patients. Genetics and Screening The MEN1 gene is located on chromo some 11q13 and consists of 10 exons, which encode a 610–amino acid protein, menin, that regulates transcription, genome stability, cell division, and proliferation. The pathophysiology of MEN 1 follows the Knudson two-hit hypothesis with a tumor-suppressor role for menin. Inheritance of a germline MEN1 mutation predisposes an individual to developing a tumor that arises following a somatic mutation, which may be a point mutation or more commonly a deletion, leading to loss of heterozygosity (LOH) in the tumor DNA. The germline mutations of the MEN1 gene are scattered throughout the entire 1830-bp coding region and splice sites, and there is no apparent correlation between the location of MEN1 mutations and clinical manifestations of the disor der, in contrast with the situation in patients with MEN 2 (Table 400-1). More than 10% of MEN1 </w:t>
      </w:r>
      <w:r w:rsidRPr="00A6019F">
        <w:lastRenderedPageBreak/>
        <w:t xml:space="preserve">germline mutations arise de novo and may be transmitted to subsequent generations. Some families with MEN 1 mutations develop parathyroid tumors as the sole endocrinopathy, and this condition is referred to as familial isolated hyperparathyroid ism (FIHP). However, between 5 and 25% of patients with MEN 1 do not harbor germline mutations or deletions of the MEN1 gene. Such patients with MEN 1–associated tumors but without MEN1 mutations may represent phenocopies or have mutations involving other genes. Other genes associated with MEN 1–like features include CDKN1B, which encodes p27kip1; mutations result in MEN4 (see below) (Table 400-1). Mutations in CDC73, which encodes parafibromin, result in the HPT-JT syndrome; mutations in the calcium-sensing receptor gene (CaSR) result in familial benign hypocalciuric hypercalcemia (FBHH); mutations in MAX, which encodes Myc-associated factor X, result in MEN5, and mutations in the aryl hydrocarbon receptor interacting protein gene (AIP), a tumor suppressor located on chromosome 11q13, are associated with familial isolated pituitary adenomas (FIPA). Genetic testing to determine the MEN1 mutation status in symptomatic family members within a MEN 1 kindred, as well as in all index cases (e.g., patients) with two or more endocrine tumors, is advisable. If a MEN1 mutation is not identified in the index case with two or more endocrine tumors, clinical and genetic tests for other disorders such as HPT-JT syn drome, FBHH, FIPA, MEN 2, or MEN 4 should be considered because these patients may represent phenocopies for MEN 1. The current guidelines recommend that MEN1 mutational analysis should be undertaken in (1) an index case with two or more MEN 1 associated endocrine tumors (e.g., parathyroid, pancreatic, or pituitary tumors); (2) asymptomatic first-degree relatives of a known MEN1 mutation carrier; and (3) first-degree relatives of a MEN1 mutation carrier with symptoms, signs, or biochemical or radiologic evidence for one or more MEN 1–associated tumors. In addition, MEN1 mutational analysis should be considered in patients with suspicious or atypical MEN 1. This would include individuals with parathyroid adenomas before the age of 30 years or multigland parathyroid disease; individuals with gastrinoma or multiple pancreatic NETs at any age; or individuals who have two or more MEN 1–associated tumors that are not part of the classical triad of parathyroid, pancreatic islet, and anterior pituitary tumors (e.g., parathyroid tumor plus adrenal tumor). Family members, including asymptomatic individuals who have been identified to harbor a MEN1 mutation, will require biochemical and radiologic screening (Table 400-3). In contrast, relatives who do not harbor the MEN1 muta tion have a risk of developing MEN 1–associated endocrine tumors that is similar to that of the general population; thus, relatives without the MEN1 mutation do not require repeated screening. Mutational analysis in asymptomatic individuals should be under taken at the earliest opportunity and, if possible, in the first decade of life because tumors have developed in some children by the age of 5 years. Appropriate biochemical and radiologic investigations (Table 400-3) aimed at detecting the development of tumors should then be under taken in affected individuals. Mutant gene carriers should undergo biochemical screening at least once per annum and also </w:t>
      </w:r>
      <w:r w:rsidRPr="00A6019F">
        <w:lastRenderedPageBreak/>
        <w:t xml:space="preserve">have baseline pituitary and abdominal imaging (e.g., MRI or CT), which should then be repeated at 1- to 3-year intervals (Table 400-3). Screening should commence after 5 years of age and should continue for life because the disease may develop as late as the eighth decade. The screening history and physical examination elicit the symptoms and signs of hypercalcemia; nephrolithiasis; peptic ulcer disease; neuroglycopenia; hypopituitarism; galactorrhea and amenorrhea in women; acromegaly; Cushing’s disease; and visual field loss and the presence of subcutane ous lipomas, angiofibromas, and collagenomas. Biochemical screening should include measurements of serum calcium, PTH, gastrointestinal hormones (e.g., gastrin, insulin with a fasting glucose, glucagon, VIP, PP), chromogranin A, prolactin, and IGF-1 in all individuals. More specific endocrine function tests should be undertaken in individuals who have symptoms or signs suggestive of a specific clinical syndrome. Biochemical screening for the development of MEN 1 tumors in asymptomatic members of families with MEN 1 is of great importance to reduce morbidity and mortality from the associated tumors. </w:t>
      </w:r>
      <w:r w:rsidRPr="00A6019F">
        <w:rPr>
          <w:rFonts w:ascii="Arial" w:hAnsi="Arial" w:cs="Arial"/>
        </w:rPr>
        <w:t>■</w:t>
      </w:r>
      <w:r w:rsidRPr="00A6019F">
        <w:t xml:space="preserve">MULTIPLE ENDOCRINE NEOPLASIA TYPE 2 AND TYPE 3 Clinical Manifestations MEN type 2 (MEN 2), which is also called Sipple’s syndrome, is characterized by the association of medullary 3085 Multiple Endocrine Neoplasia Syndromes CHAPTER 400 thyroid carcinoma (MTC), pheochromocytomas, and parathyroid tumors (Table 400-1). Three clinical variants of MEN 2 are recognized: MEN 2A, MEN 2B, and MTC only. MEN 2A, which is often referred to as MEN 2, is the most common variant. In MEN 2A, MTC is associated with pheochromocytomas in 50% of patients (may be bilateral) and with parathyroid tumors in 20% of patients. MEN 2A may rarely occur in association with Hirschsprung’s disease, caused by the absence of autonomic ganglion cells in the terminal hindgut, resulting in colonic dilatation, severe constipation, and obstruction. MEN 2A may also be associated with cutaneous lichen amyloidosis, which is a pruritic lichenoid lesion that is usually located on the upper back. MEN 2B, which is also referred to as MEN 3, represents 5% of all cases of MEN 2 and is characterized by the occurrence of MTC and pheochromocy toma in association with a Marfanoid habitus; mucosal neuromas of the lips, tongue, and eyelids; medullated corneal fibers; and intestinal autonomic ganglion dysfunction leading to multiple diverticulae and megacolon. Parathyroid tumors do not usually occur in MEN 2B. MTC only (FMTC) is a variant in which MTC is the sole manifestation of the syndrome. However, the distinction between FMTC and MEN 2A is difficult and should only be considered if there are at least four family members aged &gt;50 years who are affected by MTC but not pheochro mocytomas or primary hyperparathyroidism. All of the MEN 2 vari ants are due to mutations of the rearranged during transfection (RET) protooncogene, which encodes a TKR. Moreover, there is a correlation between the locations of RET mutations and MEN 2 variants. Thus, ~95% of MEN 2A patients have mutations involving the cysteine-rich extracellular domain, with mutations of codon 634 accounting for ~85% of MEN 2A mutations; FMTC patients also have mutations of the cysteine-rich extracellular domain, with most mutations occurring in codon 618. In </w:t>
      </w:r>
      <w:r w:rsidRPr="00A6019F">
        <w:lastRenderedPageBreak/>
        <w:t xml:space="preserve">contrast, ~95% of MEN 2B/MEN 3 patients have mutations of codon 918 of the intracellular tyrosine kinase domain (Table 400-1 and Table 400-4). Medullary Thyroid Carcinoma MTC is the most common feature of MEN 2A and MEN 2B and occurs in almost all affected individuals. MTC represents 5–10% of all thyroid gland carcinomas, and 20% of MTC patients have a family history of the disorder. The use of RET mutational analysis to identify family members at risk for hereditary forms of MTC has altered the presentation of MTC from that of symptomatic tumors to a preclinical disease for which prophylactic thyroidectomy (Table 400-4) is undertaken to improve the prognosis and ideally result in cure. However, in patients who do not have a known family history of MEN 2A, FMTC, or MEN 2B, and therefore have not had RET mutational analysis, MTC may present as a palpable mass in the neck, which may be asymptomatic or associated with symptoms of pressure or dysphagia in &gt;15% of patients. Diar rhea occurs in 30% of patients and is associated either with elevated circulating concentrations of calcitonin or tumor-related secretion of serotonin and prostaglandins. Some patients may also experience flushing. In addition, ectopic ACTH production by MTC may cause Cushing’s syndrome. The diagnosis of MTC relies on the demonstra tion of hypercalcitoninemia (&gt;90 pg/mL in the basal state); stimula tion tests using IV pentagastrin (0.5 mg/kg) and or calcium infusion (2 mg/kg) are rarely used now, reflecting improvements in the assay for calcitonin. Neck ultrasonography with fine-needle aspiration of the nodules can confirm the diagnosis. Radionucleotide thyroid scans may reveal MTC tumors as “cold” nodules. Radiography may reveal dense irregular calcification within the involved portions of the thyroid gland and in lymph nodes involved with metastases. Positron emis sion tomography (PET) may help to identify the MTC and metastases (Fig. 400-2). Metastases of MTC usually occur to the cervical lymph nodes in the early stages and to the mediastinal nodes, lung, liver, trachea, adrenal, esophagus, and bone in later stages. Elevations in serum calcitonin concentrations are often the first sign of recurrence or persistent disease, and the serum calcitonin doubling time is useful for determining prognosis. MTC can have an aggressive clinical course, with early metastases and death in ~10% of patients. A family history of aggressive MTC or MEN 2B may be elicited. TREATMENT Medullary Thyroid Carcinoma Individuals with RET mutations who do not have clinical mani festations of MTC should be offered prophylactic surgery between the ages of 1 cm in size or there is evidence of nodal metastasis in the central neck. Surgery is the only curative therapy for MTC. The 10-year survival in patients with metastatic MTC is ~20%. For inoperable MTC or metastatic disease, TKR inhibitors (e.g., vandetanib, cabozantinib, selpercatinib) have improved the progression-free survival times. Among these, selpercatinib is more selective for the RET kinase and is most effective. PRRT with 177Lu-DOTATATE has been reported to be beneficial for metastatic MTCs that were found by SRS to express somatostatin receptors. Other types of chemotherapy are of limited efficacy, but radiotherapy may help to palliate local disease. TABLE 400-4 Recommendations for Tests and Surgery in MEN 2 and MEN 3a RET MUTATION, EXON (EX) LOCATION, AND CODON INVOLVED </w:t>
      </w:r>
      <w:r w:rsidRPr="00A6019F">
        <w:lastRenderedPageBreak/>
        <w:t xml:space="preserve">RISKb RECOMMENDED AGE (YEARS) FOR TEST/INTERVENTION RET MUTATIONAL ANALYSIS FIRST SERUM CALCITONIN AND NECK ULTRASOUND PROPHYLACTIC THYROIDECTOMY SCREENING FOR PHEOCHROMOCYTOMA SCREENING FOR PHPT Ex8 (533)c; Ex10 (609, 611, 618, 620)c; Ex11 (630, 631, 666)c; Ex13 (768, 790)c; Ex14 (804)c; Ex15 (891)c; EX16 (912)c + 50% of patients with MEN 2A and MEN 2B and are a major cause of morbidity and mortal ity. Patients may have symptoms and signs of catecholamine secretion (e.g., headaches, palpitations, sweating, poorly controlled hyperten sion), or they may be asymptomatic with detection through biochemi cal screening based on a history of familial MEN 2A, MEN 2B, or MTC. Pheochromocytomas in patients with MEN 2A and MEN 2B differ significantly in distribution when compared with patients with out MEN 2A and MEN 2B. Extra-adrenal pheochromocytomas, which occur in 10% of patients without MEN 2A and MEN 2B, are observed rarely in patients with MEN 2A and MEN 2B. Malignant pheochromo cytomas are much less common in patients with MEN 2A and MEN 2B. The biochemical and radiologic investigation of pheochromocy toma in patients with MEN 2A and MEN 2B is similar to that in non MEN 2 patients and includes the measurement of plasma (obtained from supine patients) and urinary free fractionated metanephrines (e.g., normetanephrine and metanephrines measured separately), CT or MRI scanning, radionuclide scanning with meta-iodo-(123I or 131I) benzyl guanidine (MIBG), and PET using (18F)-fluorodopamine or (18F)-fluoro-2-dexoxy-D-glucose (Fig. 400-2). TREATMENT Pheochromocytoma Surgical removal of pheochromocytoma, using α and β adreno receptor blockade before and during the operation, is the rec ommended treatment. Other antihypertensive agents, including calcium channel blockers, are sometimes required for adequate blood pressure control. Endoscopic adrenal-sparing surgery, which decreases postoperative morbidity, hospital stay, and expense, as opposed to open surgery, has become the method of choice. Parathyroid Tumors (See also Chap. 422) Parathyroid tumors occur in 10–25% of patients with MEN 2A. However, &gt;50% of these patients do not have hypercalcemia. The presence of abnormally enlarged parathyroids, which are unusually hyperplastic, is often seen in the normocalcemic patient undergoing thyroidectomy for MTC. The biochemical investigation and treatment of hypercalcemic patients with MEN 2A is similar to that of patients with MEN 1. FDG avid adrenal pheochromocytoma Genetics and Screening To date, ~50 different RET muta tions have been reported, and these are located in exons 5, 8, 10, 11, 13, 14, 15, and 16. RET germline mutations are detected in &gt;95% of MEN 2A, FMTC, and MEN 2B families, with Cys634Arg being most common in MEN 2A, Cys618Arg being most common in FMTC, and Met918Thr being most common in MEN 2B (Tables 400-1 and 400-4). Between 5 and 10% of patients with MTC or MEN 2A associated tumors have de novo RET germline mutations, and ~50% of patients with MEN 2B have de novo RET germline mutations. These de novo RET germline mutations always occur on the paternal allele. Approximately 5% of patients with sporadic pheochromocytoma have a germline RET mutation, but such germline RET mutations do not appear to be associated with </w:t>
      </w:r>
      <w:r w:rsidRPr="00A6019F">
        <w:lastRenderedPageBreak/>
        <w:t xml:space="preserve">sporadic primary hyperparathyroidism. Thus, RET mutational analysis should be performed in (1) all patients with MTC who have a family history of tumors associated with MEN 2, FMTC, or MEN 3, such that the diagnosis can be confirmed and genetic testing offered to asymptomatic relatives; (2) all patients with MTC and pheochromocytoma without a known family history of MEN 2 or MEN 3; (3) all patients with MTC, but without a family history of MEN 2, FMTC, or MEN 3, because these patients may have a de novo germline RET mutations; (4) all patients with bilateral pheochromocy toma; and (5) patients with unilateral pheochromocytoma, particularly if this occurs with increased calcitonin levels. Screening for MEN 2/MEN 3–associated tumors in patients with RET germline mutations should be undertaken annually and include serum calcitonin measurements, a neck ultrasound for MTC, plasma (or 24-h urinary) fractionated metanephrines for pheochromocytoma, and albumin-corrected serum calcium or ionized calcium with PTH for primary hyperparathyroidism. In patients with MEN 2–associated RET mutations, screening for MTC should begin by 1–5 years, for pheochromocytoma by 11–16 years, and for primary hyperparathy roidism by 11–16 years of age (Table 400-4). </w:t>
      </w:r>
      <w:r w:rsidRPr="00A6019F">
        <w:rPr>
          <w:rFonts w:ascii="Arial" w:hAnsi="Arial" w:cs="Arial"/>
        </w:rPr>
        <w:t>■</w:t>
      </w:r>
      <w:r w:rsidRPr="00A6019F">
        <w:t>MULTIPLE ENDOCRINE NEOPLASIA TYPE 4 Clinical Manifestations Patients with MEN 1</w:t>
      </w:r>
      <w:r w:rsidRPr="00A6019F">
        <w:rPr>
          <w:rFonts w:ascii="Aptos" w:hAnsi="Aptos" w:cs="Aptos"/>
        </w:rPr>
        <w:t>–</w:t>
      </w:r>
      <w:r w:rsidRPr="00A6019F">
        <w:t>associated tumors, such as parathyroid adenomas, pituitary adenomas, and pancreatic NETs, occurring in association with gonadal, adrenal, renal, and thy roid tumors have been reported to have mutations of the gene encod ing the 196</w:t>
      </w:r>
      <w:r w:rsidRPr="00A6019F">
        <w:rPr>
          <w:rFonts w:ascii="Aptos" w:hAnsi="Aptos" w:cs="Aptos"/>
        </w:rPr>
        <w:t>–</w:t>
      </w:r>
      <w:r w:rsidRPr="00A6019F">
        <w:t xml:space="preserve">amino acid cyclin-dependent kinase inhibitor (CK1) p27 kip1 (CDKN1B). Such families with MEN 1–associated tumors and CDKN1B mutations are designated to have MEN 4 (Table 400-1). The investigations and treatments for the MEN 4–associated tumors are similar to those for MEN 1 and non–MEN 1 tumors. Genetics and Screening To date, 50 MEN patients (from 350 kb of genomic DNA (Table 400-2). Mutations in NF1 are of diverse types and are scattered throughout the exons. The NF1 gene product is the protein neurofibromin, which has homologies to the p120GAP (GTPase activating protein) and acts on p21ras by converting the active GTP bound form to its inactive GDP form. Mutations of NF1 impair this downregulation of the p21ras signaling pathways, which in turn results in abnormal cell proliferation. Screening for the develop ment of pheochromocytomas and carcinoid tumors is as described earlier for MEN 2 and MEN 1, respectively (Tables 400-3 and 400-4). </w:t>
      </w:r>
      <w:r w:rsidRPr="00A6019F">
        <w:rPr>
          <w:rFonts w:ascii="Arial" w:hAnsi="Arial" w:cs="Arial"/>
        </w:rPr>
        <w:t>■</w:t>
      </w:r>
      <w:r w:rsidRPr="00A6019F">
        <w:t xml:space="preserve">CARNEY COMPLEX Clinical Manifestations Carney complex (CNC) is an autosomal dominant disorder characterized by spotty skin pigmentation (usually of the face, labia, and conjunctiva), myxomas (usually of the eyelids and heart, but also the tongue, palate, breast, and skin), psammoma tous melanotic schwannomas (usually of the sympathetic nerve chain and upper gastrointestinal tract), and endocrine tumors that involve the adrenals, Sertoli cells, somatotropes, thyroid, and ovary. Cushing’s syndrome, the result of primary pigmented nodular adrenal disease (PPNAD), is the most common endocrine manifestation of CNC and may occur in one-third of patients. Patients with CNC and Cushing’s syndrome often have an atypical appearance by being thin (as opposed to having truncal obesity). In addition, they may have short stature, muscle and skin </w:t>
      </w:r>
      <w:r w:rsidRPr="00A6019F">
        <w:lastRenderedPageBreak/>
        <w:t xml:space="preserve">wasting, and osteoporosis. These patients often have levels of urinary free cortisol that are normal or increased only margin ally. Cortisol production may fluctuate periodically with days or weeks of hypercortisolism; this pattern is referred to as “periodic Cushing’s syndrome.” Patients with Cushing’s syndrome usually have loss of the circadian rhythm of cortisol production. Acromegaly, the result of a somatotrope tumor, affects ~10% of patients with CNC. Testicular tumors may also occur in one-third of patients with CNC. These may either be large-cell calcifying Sertoli cell tumors, adrenocortical rests, or Leydig cell tumors. The Sertoli cell tumors occasionally may be estrogen-secreting and lead to precocious puberty or gynecomastia. Some patients with CNC have been reported to develop thyroid fol licular tumors, ovarian cysts, or breast duct adenomas. Genetics and Screening CNC type 1 (CNC1) is due to mutations of the protein kinase A (PKA) regulatory subunit 1 α (R1α) (PRAKAR1A), a tumor suppressor, whose gene is located on chromosome 17q.24.2 (Table 400-2). The gene causing CNC type 2 (CNC2) is located on chromosome 2p16 and has not yet been identi fied. It is interesting to note, however, that some tumors do not show LOH of 2p16 but instead show genomic instability, suggesting that this CNC gene may not be a tumor suppressor. Screening and treatment of these endocrine tumors are similar to those described earlier for patients with MEN 1 and MEN 2 (Tables 400-3 and 400-4). </w:t>
      </w:r>
      <w:r w:rsidRPr="00A6019F">
        <w:rPr>
          <w:rFonts w:ascii="Arial" w:hAnsi="Arial" w:cs="Arial"/>
        </w:rPr>
        <w:t>■</w:t>
      </w:r>
      <w:r w:rsidRPr="00A6019F">
        <w:t>COWDEN</w:t>
      </w:r>
      <w:r w:rsidRPr="00A6019F">
        <w:rPr>
          <w:rFonts w:ascii="Aptos" w:hAnsi="Aptos" w:cs="Aptos"/>
        </w:rPr>
        <w:t>’</w:t>
      </w:r>
      <w:r w:rsidRPr="00A6019F">
        <w:t xml:space="preserve">S SYNDROME Clinical Manifestations Multiple hamartomatous lesions, espe cially of the skin, mucous membranes (e.g., buccal, intestinal, colonic), breast, and thyroid, are characteristic of Cowden’s syndrome (CWS), which is an autosomal dominant disorder. Thyroid abnormalities occur in two-thirds of patients with CWS, and these usually consist of multinodular goiters or benign adenomas, although 75% of patients and consist of either fibrocystic disease or adenocar cinomas. The investigation and treatment for CWS tumors are similar to those undertaken for non-CWS patients. Genetics and Screening CWS is genetically heterogenous, and seven types (CWS1–7) are recognized (Table 400-2). CWS1 is due to mutations of the phosphate and tensin homologue deleted on chromosome 10 (PTEN) gene, located on chromosome 10q23.31. CWS2 is caused by mutations of the succinate dehydrogenase subunit B (SDHB) gene, located on chromosome 1p36.13; and CWS3 is caused by mutations of the SDHD gene, located on chromosome 11q13.1. SDHB and SDHD mutations are also associated with pheochromocy toma. CWS4 is caused by hypermethylation of the Killin (KLLN) gene, the promoter of which shares the same transcription site as PTEN on chromosome 10q23.31. CWS5 is caused by mutations of the phospha tidylinositol 3-kinase catalytic alpha (PIK3CA) gene on chromosome 3q26.32. CWS6 is caused by mutations of the V-Akt murine thymoma viral oncogene homolog 1 (AKT1) gene on chromosome 14q32.33, and CWS7 is caused by mutations of the saccharomyces cerevisiae homol ogy of B (SEC23B) gene on chromosome 20p11.23. Screening for thy roid abnormalities entails neck ultrasonography and fine-needle aspiration with analysis of cell cytology. </w:t>
      </w:r>
      <w:r w:rsidRPr="00A6019F">
        <w:rPr>
          <w:rFonts w:ascii="Arial" w:hAnsi="Arial" w:cs="Arial"/>
        </w:rPr>
        <w:t>■</w:t>
      </w:r>
      <w:r w:rsidRPr="00A6019F">
        <w:t xml:space="preserve"> MCCUNE-ALBRIGHT SYNDROME (SEE ALSO CHAP. 424) Clinical Manifestations McCune-Albright syndrome (MAS) is characterized by the triad </w:t>
      </w:r>
      <w:r w:rsidRPr="00A6019F">
        <w:lastRenderedPageBreak/>
        <w:t>of polyostotic fibrous dysplasia, which may be associated with hypophosphatemic rickets; caf</w:t>
      </w:r>
      <w:r w:rsidRPr="00A6019F">
        <w:rPr>
          <w:rFonts w:ascii="Aptos" w:hAnsi="Aptos" w:cs="Aptos"/>
        </w:rPr>
        <w:t>é</w:t>
      </w:r>
      <w:r w:rsidRPr="00A6019F">
        <w:t xml:space="preserve"> au lait skin pigmentation; and peripheral precocious puberty. Other endocrine abnormalities include thyrotoxicosis, which may be associated with a multinodular goiter, somatotrope tumors, and Cushing’s syndrome (due to adrenal tumors). Investigation and treatment for each endocri nopathy are similar to those used in patients without MAS. Genetics and Screening MAS is a disorder of mosaicism that results from postzygotic somatic cell mutations of the G protein α-stimulating subunit (Gs α), encoded by the GNAS1 gene, located on chromosome 20q13.32 (Table 400-2). The Gs α mutations, which include Arg201Cys, Arg201His, Glu227Arg, or Glu227His, are activating and are found only in cells of the abnormal tissues. Screening for hyper function of relevant endocrine glands and development of hypophospha temia, which may be associated with elevated serum fibroblast growth factor 23 (FGF23) concentrations, is undertaken in MAS patients. Acknowledgment The author is grateful to the National Institute of Health Research (NIHR) Oxford Biomedical Research Centre Programme for support and to Mrs. Tracey Walker for typing the manuscript. </w:t>
      </w:r>
      <w:r w:rsidRPr="00A6019F">
        <w:rPr>
          <w:rFonts w:ascii="Arial" w:hAnsi="Arial" w:cs="Arial"/>
        </w:rPr>
        <w:t>■</w:t>
      </w:r>
      <w:r w:rsidRPr="00A6019F">
        <w:t xml:space="preserve">FURTHER READING Binderup MLM et al: von Hippel-Lindau disease: Updated guideline for diagnosis and surveillance. Eur J Med Genet 65:104538, 2022. Bouys L, Bertherat J: Management of endocrine disease: Carney complex: Clinical and genetic update 20 years after the identification of the CNC1 (PRKAR1A) gene. Eur J Endocrinol 184:R99, 2021. Brandi ML et al: Multiple endocrine neoplasia type 1: Latest insights. Endocr Rev 42:133, 2021. Legius E et al: Revised diagnostic criteria for neurofibromatosis type 1 and Legius syndrome: An international consensus recommendation. Genet Med 23:1506, 2021. Hadoux J et al: Phase 3 trial of selpercatinib in advanced RET-mutant medullary thyroid cancer. N Engl J Med 389:1851, 2023. Minisola S et al: Epidemiology, pathophysiology, and genetics of pri mary hyperparathyroidism. J Bone Miner Res 37:2315, 2022. Ruggeri RM et al: Multiple endocrine neoplasia type 4 (MEN4): A thorough update on the latest and least known MEN syndrome. Endocrine 82:480, 2023. Seabrook AJ et al: Multiple endocrine tumors associated with germ line MAX mutations: Multiple endocrine neoplasia type 5? J Clin Endocrinol Metab 106:1163, 2021. Thakker RV et al: Clinical practice guidelines for multiple endocrine neoplasia type 1 (MEN1). J Clin Endocrinol Metab 97:2990, 2012. 3089 Autoimmune Polyendocrine Syndromes CHAPTER 401 Autoimmune Polyendocrine Syndromes Peter A. Gottlieb, Aaron W. Michels 401 Polyglandular deficiency syndromes have been given many differ ent names, reflecting the wide spectrum of disorders that have been associated with these syndromes and the heterogeneity of their clinical presentations. The name used in this chapter for this group of disorders is autoimmune polyendocrine syndrome (APS). In general, these disor ders are divided into two major categories, APS type 1 (APS-1) and APS type 2 (APS-2). Some groups have further subdivided APS-2 into APS type 3 (APS-3) and APS type 4 (APS-4) depending on the type of autoimmunity involved. For the most part, this additional classification does not clarify our understanding of disease pathogenesis or preven tion of complications in individual patients. Importantly, there </w:t>
      </w:r>
      <w:r w:rsidRPr="00A6019F">
        <w:lastRenderedPageBreak/>
        <w:t xml:space="preserve">are many nonendocrine disease associations included in these syndromes, suggesting that although the underlying autoimmune disorder predomi nantly involves endocrine targets, it does not exclude other tissues. The disease associations found in APS-1 and APS-2 are summarized in Table 401-1. Understanding these syndromes and their disease manifestations can lead to early diagnosis and treatment of additional disorders in patients and their family members. TABLE 401-1 Disease Associations with Autoimmune Polyendocrine Syndromes AUTOIMMUNE POLYENDOCRINE SYNDROME TYPE 1 AUTOIMMUNE POLYENDOCRINE SYNDROME TYPE 2 OTHER AUTOIMMUNE POLYENDOCRINE DISORDERS Endocrine Endocrine IPEX (immune dysfunction polyendocrinopathy X-linked) Addison’s disease Addison’s disease Thymic tumors Hypoparathyroidism Type 1 diabetes Anti-insulin receptor antibodies Hypogonadism Graves’ disease or autoimmune thyroiditis POEMS syndrome Graves’ disease or autoimmune thyroiditis Hypogonadism Insulin autoimmune syndrome (Hirata’s syndrome) Type 1 diabetes Adult combined pituitary hormone deficiency (CPHD) with anti-Pit1 autoantibodies   Kearns-Sayre syndrome   DIDMOAD syndrome Nonendocrine Nonendocrine Congenital rubella associated with thyroiditis and/or diabetes Mucocutaneous candidiasis Celiac disease, dermatitis herpetiformis   Chronic active hepatitis Pernicious anemia  Pernicious anemia Vitiligo  Vitiligo Alopecia  Asplenism Myasthenia gravis  Ectodermal dysplasia IgA deficiency  Alopecia Parkinson’s disease  Malabsorption syndromes Idiopathic thrombocytopenia   IgA deficiency   Abbreviations: DIDMOAD, diabetes insipidus, diabetes mellitus, progressive bilateral optic atrophy, and sensorineural deafness; POEMS, polyneuropathy, organomegaly, endocrinopathy, M-protein, and skin changes. Note: Italics denote less common disorders. </w:t>
      </w:r>
      <w:r w:rsidRPr="00A6019F">
        <w:rPr>
          <w:rFonts w:ascii="Arial" w:hAnsi="Arial" w:cs="Arial"/>
        </w:rPr>
        <w:t>■</w:t>
      </w:r>
      <w:r w:rsidRPr="00A6019F">
        <w:t>APS-1 APS-1 (Online Mendelian Inheritance in Man [OMIM] 240300) has also been called autoimmune polyendocrinopathy</w:t>
      </w:r>
      <w:r w:rsidRPr="00A6019F">
        <w:rPr>
          <w:rFonts w:ascii="Aptos" w:hAnsi="Aptos" w:cs="Aptos"/>
        </w:rPr>
        <w:t>–</w:t>
      </w:r>
      <w:r w:rsidRPr="00A6019F">
        <w:t>candidiasis</w:t>
      </w:r>
      <w:r w:rsidRPr="00A6019F">
        <w:rPr>
          <w:rFonts w:ascii="Aptos" w:hAnsi="Aptos" w:cs="Aptos"/>
        </w:rPr>
        <w:t>–</w:t>
      </w:r>
      <w:r w:rsidRPr="00A6019F">
        <w:t>ectodermal dystrophy (APECED). Mucocutaneous candidiasis, hypoparathyroid ism, and Addison</w:t>
      </w:r>
      <w:r w:rsidRPr="00A6019F">
        <w:rPr>
          <w:rFonts w:ascii="Aptos" w:hAnsi="Aptos" w:cs="Aptos"/>
        </w:rPr>
        <w:t>’</w:t>
      </w:r>
      <w:r w:rsidRPr="00A6019F">
        <w:t xml:space="preserve">s disease form the three major components of this disorder. However, as summarized in Table 401-1, many other organ systems can be involved over time. APS-1 is rare, with 100 mutations have been described in this gene, and there is a higher frequency within certain ethnic groups includ ing Iranian Jews, Sardinians, Finns, Norwegians, and Irish. Recently, several autosomal dominant mutations have been identified and are localized primarily in the PHD1 domain of the AIRE gene, rather than the CARD region, where the autosomal recessive mutations have been found. Individuals with this nonclassical form of APS-1 may have a later onset of symptoms and less aggressive disease, without the full spectrum of autoimmune components being expressed. Clinical Manifestations Classical APS-1 develops very early in life, often in infancy (Table 401-2). Chronic mucocutaneous candi diasis without signs of systemic disease is often the first manifesta tion. It affects the mouth and nails more frequently than the skin and esophagus. Chronic oral candidiasis can result in atrophic disease with areas suggestive of leukoplakia, which can pose a risk for future carcinoma. The etiology is associated with anticytokine autoantibodies (anti-interleukin </w:t>
      </w:r>
      <w:r w:rsidRPr="00A6019F">
        <w:lastRenderedPageBreak/>
        <w:t xml:space="preserve">[IL] 17A, IL-17F, and IL-22) related to T helper (TH ) 17 T cells and depressed production of these cytokines by peripheral blood mononuclear cells. Hypoparathyroidism usually develops next, followed by adrenal insufficiency. The time from development of one component of the disorder to the next can be many years, and the order of disease appearance is variable. Chronic candidiasis is nearly always present and is not very respon sive to treatment. Hypoparathyroidism is found in &gt;85% of cases, and Addison’s disease is found in nearly 80%. Gonadal failure appears to affect women more than men (70 vs 25%, respectively), and hypo plasia of the dental enamel also occurs frequently (77% of patients). TABLE 401-2 Comparison of APS-1 and APS-2 APS-1 APS-2 Early onset: infancy Later onset Siblings often affected and at risk Multigenerational Equivalent sex distribution Females &gt; males affected Monogenic: AIRE gene, chromosome 21, autosomal recessive Polygenic: HLA, MICA, PTNP22, CTLA4 Not HLA associated for entire syndrome, some specific component risk DR3/DR4 associated; other HLA class III gene associations noted Autoantibodies to type 1 interferons and IL-17 and IL-22 No autoantibodies to cytokines Autoantibodies to specific target organs Autoantibodies to specific target organs Asplenism No defined immunodeficiency Mucocutaneous candidiasis Association with other nonendocrine immunologic disorders like myasthenia gravis and idiopathic thrombocytopenic purpura Abbreviations: APS, autoimmune polyendocrine syndrome; HLA, human leukocyte antigen; IL, interleukin. 3090 PART 12 Endocrinology and Metabolism TABLE 401-3 Clinical Features and Recommended Follow-Up for APS-1 and APS-2 COMPONENT DISEASE RECOMMENDED EVALUATION APS-1 Addison’s disease Sodium, potassium, ACTH, cortisol, 21- and 17-hydroxylase autoantibodies Diarrhea History Ectodermal dysplasia Physical examination Hypoparathyroidism Serum calcium, phosphate, PTH Hepatitis Liver function tests Hypothyroidism/Graves’ disease TSH; thyroid peroxidase and/or thyroglobulin autoantibodies and anti-TSH receptor Ab Male hypogonadism FSH/LH, testosterone Malabsorption Physical examination, anti-IL-17 and anti-IL-22 autoantibodies Mucocutaneous candidiasis Physical examination, mucosal swab, stool samples Obstipation History Ovarian failure FSH/LH, estradiol Pernicious anemia CBC, vitamin B12 levels Splenic atrophy Blood smear for Howell-Jolly bodies; platelet count; ultrasound if positive Type 1 diabetes Glucose, hemoglobin A1c , diabetes-associated autoantibodies (insulin, GAD65, IA-2, ZnT8) APS-2 Addison’s disease 21-Hydroxylase autoantibodies, ACTH stimulation testing if positive Alopecia Physical examination Autoimmune hyper- or hypothyroidism TSH; thyroid peroxidase and/or thyroglobulin autoantibodies, anti-TSH receptor Ab Celiac disease Transglutaminase autoantibodies; small intestine biopsy if positive Cerebellar ataxia Dictated by signs and symptoms of disease Chronic inflammatory demyelinating polyneuropathy Dictated by signs and symptoms of disease Hypophysitis Dictated by signs and symptoms of disease, anti-Pit1 autoantibody Idiopathic heart block Dictated by signs and symptoms of disease IgA deficiency IgA level Myasthenia gravis Dictated by signs and symptoms of disease, antiacetylcholinesterase Ab Myocarditis Dictated by signs and symptoms of disease </w:t>
      </w:r>
      <w:r w:rsidRPr="00A6019F">
        <w:lastRenderedPageBreak/>
        <w:t xml:space="preserve">Pernicious anemia Anti–parietal cell autoantibodies  CBC, vitamin B12 levels if positive Serositis Dictated by signs and symptoms of disease Stiff man syndrome Dictated by signs and symptoms of disease Vitiligo Physical examination, NALP-1 polymorphism Abbreviations: Ab, antibody; ACTH, adrenocorticotropic hormone; APS, autoimmune polyendocrine syndrome; CBC, complete blood count; FSH, follicle-stimulating hormone; IL, interleukin; LH, luteinizing hormone; PTH, parathyroid hormone; TSH, thyroid-stimulating hormone. Other endocrine disorders that occur less frequently include type 1 diabetes (23%) and autoimmune thyroid disease (18%). Nonendocrine manifestations that present less frequently include alopecia (40%), vitiligo (26%), intestinal malabsorption (18%), pernicious anemia (31%), chronic active hepatitis (17%), and nail dystrophy. An unusual and debilitating manifestation of the disorder is the development of refractory diarrhea/obstipation that may be related to autoantibody mediated destruction of enterochromaffin or enterochromaffin-like cells. The incidence rates for many of these disorders peak in the first or second decade of life, but the individual disease components con tinue to emerge over time. Therefore, prevalence rates may be higher than originally reported. Diagnosis The diagnosis of APS-1 is usually made clinically when two of the three major component disorders are found in an indi vidual patient. Siblings of individuals with APS-1 should be considered affected even if only one component disorder has been detected due to the known inheritance of the syndrome. Genetic analysis of the AIRE gene should be undertaken to identify mutations. Detection of anti–interferon α and anti–interferon ω antibodies can identify nearly 100% of cases with APS-1. The autoantibody arises independent of the type of AIRE gene mutation and is not found in other autoimmune disorders. Diagnosis of each underlying disorder should be done based on their typical clinical presentations (Table 401-3). Mucocutaneous candidiasis may present throughout the gastrointestinal tract, and it may be detected in the oral mucosa or from stool samples. Evaluation by a gastroenterologist to examine the esophagus for candidiasis or secondary stricture may be merited based on symptoms. Other gas trointestinal manifestations of APS-1, including malabsorption and obstipation, may also bring these young patients to the attention of gastroenterologists for first evaluation. Specific physical examination findings of hyperpigmentation, vitiligo, alopecia, tetany, and signs of hyper- or hypothyroidism should be considered as signs of develop ment of component disorders. The development of disease-specific autoantibody assays can help confirm disease and also detect risk for future disease. For example, where possible, detection of anticytokine antibodies to IL-17 and IL-22 would confirm the diagnosis of mucocutaneous candidiasis due to APS-1. The presence of anti-21-hydroxylase antibody or anti 17-hydroxylase antibody (which may be found more commonly in adrenal insufficiency associated with APS-1) would confirm the pres ence or risk for Addison’s disease. Other autoantibodies found in type 1 diabetes (e.g., anti-GAD65), pernicious anemia, and other component conditions should be screened for on a regular basis (6- to 12-month intervals depending on the age of the subject). Laboratory </w:t>
      </w:r>
      <w:r w:rsidRPr="00A6019F">
        <w:lastRenderedPageBreak/>
        <w:t xml:space="preserve">tests, including a complete metabolic panel, phospho rous and magnesium, thyroid-stimulating hormone (TSH), adreno corticotropic hormone (ACTH; morning), hemoglobin A1c , plasma vitamin B12 level, and complete blood count with peripheral smear looking for Howell-Jolly bodies (asplenism), should also be performed at these time points. Detection of abnormal physical findings or test results should prompt subsequent examinations of the relevant organ system (e.g., presence of Howell-Jolly bodies indicates need for ultra sound of spleen). TREATMENT APS-1 Therapy of individual disease components is carried out as outlined in other relevant chapters. Replacement of deficient hormones (e.g., adrenal, pancreas, ovaries/testes) will treat most of the endo crinopathies noted. Several unique issues merit special emphasis. Adrenal insufficiency can be masked by primary hypothyroidism by prolonging the half-life of cortisol. The caveat therefore is that replacement therapy with thyroid hormone can precipitate an adrenal crisis in an undiagnosed individual. Hence, all patients with hypothyroidism and the possibility of APS should be screened for adrenal insufficiency to allow treatment with glucocorticoids prior to the initiation of thyroid hormone replacement. Treatment of mucocutaneous candidiasis with ketoconazole in an individual with subclinical adrenal insufficiency may also precipitate adrenal crisis. Furthermore, mucocutaneous candidiasis may be difficult to eradicate entirely. Severe cases of disease involvement may require systemic immunomodulatory therapy, but this is not commonly needed. </w:t>
      </w:r>
      <w:r w:rsidRPr="00A6019F">
        <w:rPr>
          <w:rFonts w:ascii="Arial" w:hAnsi="Arial" w:cs="Arial"/>
        </w:rPr>
        <w:t>■</w:t>
      </w:r>
      <w:r w:rsidRPr="00A6019F">
        <w:t>APS-2 APS-2 (OMIM 269200) is more common than APS-1, with a preva lence of 1</w:t>
      </w:r>
      <w:r w:rsidRPr="00A6019F">
        <w:rPr>
          <w:rFonts w:ascii="Aptos" w:hAnsi="Aptos" w:cs="Aptos"/>
        </w:rPr>
        <w:t>–</w:t>
      </w:r>
      <w:r w:rsidRPr="00A6019F">
        <w:t>2 in 100,000. It has a gender bias and occurs more often in 3091 Autoimmune Polyendocrine Syndromes CHAPTER 401 female patients, with a ratio of at least 3:1 compared to male patients. In contrast to APS-1, APS-2 often has its onset in adulthood, with a peak incidence between 20 and 60 years of age. It shows a familial, multigenerational heritage (Table 401-2). The presence of two or more of the following endocrine deficiencies in the same patient defines the presence of APS-2: primary adrenal insufficiency (Addison’s dis ease; 50–70%), Graves’ disease or autoimmune thyroiditis (15–69%), type 1 diabetes mellitus (T1D; 40–50%), and primary hypogonadism. Frequently associated autoimmune conditions include celiac disease (3–15%), myasthenia gravis, vitiligo, alopecia, serositis, and pernicious anemia. These conditions occur with increased frequency in affected patients but are also found in their family members (Table 401-3). Genetic Considerations The overwhelming risk factor for APS-2 has been localized to the genes in the human lymphocyte antigen (HLA) complex on chromosome 6. Primary adrenal insufficiency in APS-2, but not APS-1, is strongly associated with both HLA-DR3 and HLA-DR4. Other class I and class II genes and alleles, such as HLA-B8, HLA-DQ2 and HLA-DQ8, and HLA-DR subtypes such as DRB1</w:t>
      </w:r>
      <w:r w:rsidRPr="00A6019F">
        <w:rPr>
          <w:rFonts w:ascii="Cambria Math" w:hAnsi="Cambria Math" w:cs="Cambria Math"/>
        </w:rPr>
        <w:t>∗</w:t>
      </w:r>
      <w:r w:rsidRPr="00A6019F">
        <w:t xml:space="preserve">04:04, appear to contribute to organ-specific disease susceptibility (Table 401-4). HLA-B8- and HLA-DR3-associated ill nesses include selective IgA deficiency, juvenile dermatomyositis, der matitis herpetiformis, alopecia, scleroderma, autoimmune thrombocytopenia purpura, hypophysitis, metaphyseal osteopenia, and serositis. Several other immune genes have been proposed to be associated with Addison’s </w:t>
      </w:r>
      <w:r w:rsidRPr="00A6019F">
        <w:lastRenderedPageBreak/>
        <w:t xml:space="preserve">disease and therefore with APS-2 (Table 401-3). The “5.1” allele of a major histocompatibility complex (MHC) gene is an atypical class I HLA molecule MIC-A. The MIC-A5.1 allele has a very strong association with Addison’s disease that is not accounted for by linkage disequilibrium with DR3 or DR4. Its role is complicated because certain HLA class I genes can offset this effect. PTPN22 codes for a polymorphism in a protein tyrosine phosphatase, which acts on intracellular signaling pathways in both T and B lymphocytes. It has been implicated in T1D, Addison’s disease, and other autoimmune con ditions. CTLA4 is a receptor on the T-cell surface that modulates the activation state of the cell as part of the signal 2 pathway (i.e., binding to CD80/86 on antigen presenting cells). Polymorphisms of this gene TABLE 401-4 APS-2 and Other Polyendocrine Disorder Associations DISEASE HLA ASSOCIATION INITIATING FACTOR MECHANISM AUTOANTIGEN Graves’ disease DR3 Iodine Anti-CD52 Antibody TSH receptor Myasthenia gravis DR3, DR7 Thymoma Penicillamine Antibody Acetylcholine receptor Anti-insulin receptor ? SLE or other autoimmune disease Antibody Insulin receptor Hypoparathyroidism ? ? Antibody Cell surface inhibitor Insulin autoimmune syndrome DR4, DRB1*0406 Methimazole Sulfhydryl-containing drugs Antibody Insulin Celiac disease DQ2/DQ8 Gluten diet T cell Transglutaminase Type 1 diabetes DR3/DR4 DQ2/DQ8 ? Congenital rubella T cell Insulin, GAD65, IA-2, ZnT8, IGRP Addison’s disease DR3/DR4 DRB1*0404 Unknown T cell 21-Hydroxylase P450-5cc Thyroiditis DR3/DQB1*0201 DQA1*0301 Iodine Interferon α T cell Thyroglobulin Thyroid peroxidase Pernicious anemia ? ? T cell Intrinsic factor H+/K+ ATPase Vitiligo ? Melanoma Antigen Immunization ? Melanocyte Chromosome dysgenesis–trisomy 21 and Turner’s syndrome DQA1*0301 ? ? Thyroid, islet, transglutaminase Hypophysitis ? Pit-1, TDRD6 ? Pituitary, Pit-1 Abbreviations: APS, autoimmune polyendocrine syndrome; SLE, systemic lupus erythematosus; TSH, thyroid-stimulating hormone. appear to cause downregulation of the cell surface expression of the receptor, leading to decreased T-cell activation and proliferation. This appears to contribute to Addison’s disease and potentially other com ponents of APS-2. Allelic variants of the IL-2Rα are linked to develop ment of T1D and autoimmune thyroid disease and could contribute to the phenotype of APS-2 in certain individuals. Diagnosis When one of the component disorders is present, a second associated disorder occurs more commonly than in the general population (Table 401-3). There is controversy as to which tests to use and how often to screen individuals for disease. A strong family history of autoimmunity should raise suspicion in an individual with an initial component diagnosis. The development of a rarer form of autoimmu nity, such as Addison’s disease, should prompt more extensive screen ing for other linked disorders, as ~50% of Addison’s disease patients develop another autoimmune disease during their lifetime. Circulating autoantibodies, as previously discussed, can precede the development of clinical disease by many years but would allow the clinician to follow the patient and identify the disease onset at its earliest time point (Tables 401-3 and 401-4). For each of the endocrine components of the disorder, appropriate </w:t>
      </w:r>
      <w:r w:rsidRPr="00A6019F">
        <w:lastRenderedPageBreak/>
        <w:t xml:space="preserve">autoantibody assays are listed and, if positive, should prompt physiologic testing to diagnose clinical or subclinical disease. For Addison’s disease, antibodies to 21-hydroxylase antibodies are highly diagnostic for risk of adrenal insufficiency. However, individuals may take many years to develop overt symptoms of hypoadrenalism. Screening of 21-hydroxylase antibody–positive patients can be performed measuring morning ACTH and cortisol on a yearly basis. Rising ACTH values over time or low morning cortisol in association with signs or symptoms of adrenal insufficiency should prompt testing via the cosyntropin stimulation test (Chap. 398). T1D can be screened for by measuring autoantibodies directed against insulin, GAD65, IA-2, and ZnT8. Risk for progression to disease is based on the number of antibodies (≥2 islet autoantibodies with nor mal glucose tolerance is now defined as stage 1 of T1D as the lifetime risk for developing clinical symptoms is nearly 100%) and metabolic factors (impaired oral glucose tolerance test). Many efforts are ongo ing and underway to screen relatives of T1D patients and those in the general population for islet autoantibodies to identify individuals with 3092 PART 12 Endocrinology and Metabolism APS-2 With the exception of Graves’ disease, the management of each endocrine component of APS-2 involves hormone replacement and is covered in detail in the chapters on adrenal (Chap. 398), thyroid (Chap. 394), gonadal (Chaps. 403 and 404), and para thyroid diseases (Chap. 422). As noted for APS-1, adrenal insuf ficiency can be masked by primary hypothyroidism and should be considered and treated as discussed above. In patients with T1D, decreasing insulin requirements or hypoglycemia, without obvious secondary causes, may indicate the emergence of adrenal insuf ficiency. Hypocalcemia in APS-2 patients is more likely due to malabsorption, potentially from undiagnosed celiac disease, than hypoparathyroidism. Immunotherapy for autoimmune endocrine disease has been reserved for T1D, for the most part, reflecting the lifetime burden of the disease for the individual patient and society. Although several immunotherapies (e.g., modified anti-CD3, rituximab, abatacept, alefacept, low-dose antithymocyte globulin, TNF-α inhibitors, and JAK inhibitors) can prolong the honeymoon phase of T1D, none has achieved long-term success. Notably, the anti CD3 monoclonal antibody (teplizumab) does delay the onset of clinical diabetes by an average of 3 years when administered to individuals with stage 2 T1D (e.g., those with autoantibodies and impaired glucose tolerance) and is now approved for clinical use in the United States. Active basic and clinical research using novel therapies and combinations may change the treatment landscape of this disease and other autoimmune conditions that share similar pathways. </w:t>
      </w:r>
      <w:r w:rsidRPr="00A6019F">
        <w:rPr>
          <w:rFonts w:ascii="Arial" w:hAnsi="Arial" w:cs="Arial"/>
        </w:rPr>
        <w:t>■</w:t>
      </w:r>
      <w:r w:rsidRPr="00A6019F">
        <w:t>IMMUNE CHECKPOINT INHIBITOR</w:t>
      </w:r>
      <w:r w:rsidRPr="00A6019F">
        <w:rPr>
          <w:rFonts w:ascii="Aptos" w:hAnsi="Aptos" w:cs="Aptos"/>
        </w:rPr>
        <w:t>–</w:t>
      </w:r>
      <w:r w:rsidRPr="00A6019F">
        <w:t xml:space="preserve">INDUCED ENDOCRINE AUTOIMMUNITY Therapies that block immune checkpoints, such as programmed cell death protein 1 (PD-1), its ligand (PD-L1), or CTLA-4, are beneficial immunotherapies for many advanced-stage cancers. These immune checkpoint inhibitors (ICIs) block negative immune regulation, thereby allowing for an immune response directed against tumor cells. However, immune-related adverse events also occur, especially autoimmunity directed toward self-tissues. ICI-induced T1D, thy roid disease, </w:t>
      </w:r>
      <w:r w:rsidRPr="00A6019F">
        <w:lastRenderedPageBreak/>
        <w:t xml:space="preserve">hypophysitis, and adrenal insufficiency have all been reported with these therapies and in combination. Hypothyroidism occurs in ~10% and T1D in 1–2% of those receiving monoclonal antibodies directed against PD-1 or PD-L1, and hypophysitis and adrenal insufficiency occur in 100,000 units of insulin to be given daily with only partial control of hyperglycemia. Patients can also have severe hypoglycemia due to partial activation of the insulin receptor by the antibody. The course of the disease is variable, and several patients have had spontaneous remissions. A therapeutic approach that targets B lymphocytes, including rituximab, cyclophos phamide, and pulse steroids, has been validated in follow-on case reports to induce remission of the disease. </w:t>
      </w:r>
      <w:r w:rsidRPr="00A6019F">
        <w:rPr>
          <w:rFonts w:ascii="Arial" w:hAnsi="Arial" w:cs="Arial"/>
        </w:rPr>
        <w:t>■</w:t>
      </w:r>
      <w:r w:rsidRPr="00A6019F">
        <w:t>INSULIN AUTOIMMUNE SYNDROME (HIRATA</w:t>
      </w:r>
      <w:r w:rsidRPr="00A6019F">
        <w:rPr>
          <w:rFonts w:ascii="Aptos" w:hAnsi="Aptos" w:cs="Aptos"/>
        </w:rPr>
        <w:t>’</w:t>
      </w:r>
      <w:r w:rsidRPr="00A6019F">
        <w:t>S SYNDROME) The insulin autoimmune syndrome, associated with Graves</w:t>
      </w:r>
      <w:r w:rsidRPr="00A6019F">
        <w:rPr>
          <w:rFonts w:ascii="Aptos" w:hAnsi="Aptos" w:cs="Aptos"/>
        </w:rPr>
        <w:t>’</w:t>
      </w:r>
      <w:r w:rsidRPr="00A6019F">
        <w:t xml:space="preserve"> disease and methimazole therapy (or other sulfhydryl-containing medica tions), is of particular interest due to a remarkably strong association with a specific HLA haplotype. Such patients with elevated titers of anti-insulin antibodies frequently present with hypoglycemia. In Japan, the disease is restricted to HLA-DR4-positive individu als with DRB1</w:t>
      </w:r>
      <w:r w:rsidRPr="00A6019F">
        <w:rPr>
          <w:rFonts w:ascii="Cambria Math" w:hAnsi="Cambria Math" w:cs="Cambria Math"/>
        </w:rPr>
        <w:t>∗</w:t>
      </w:r>
      <w:r w:rsidRPr="00A6019F">
        <w:t>04:06, while Caucasian patients predominantly have DRB1</w:t>
      </w:r>
      <w:r w:rsidRPr="00A6019F">
        <w:rPr>
          <w:rFonts w:ascii="Cambria Math" w:hAnsi="Cambria Math" w:cs="Cambria Math"/>
        </w:rPr>
        <w:t>∗</w:t>
      </w:r>
      <w:r w:rsidRPr="00A6019F">
        <w:t>04:03 (which is related to DRB1</w:t>
      </w:r>
      <w:r w:rsidRPr="00A6019F">
        <w:rPr>
          <w:rFonts w:ascii="Cambria Math" w:hAnsi="Cambria Math" w:cs="Cambria Math"/>
        </w:rPr>
        <w:t>∗</w:t>
      </w:r>
      <w:r w:rsidRPr="00A6019F">
        <w:t>04:06). In Hirata</w:t>
      </w:r>
      <w:r w:rsidRPr="00A6019F">
        <w:rPr>
          <w:rFonts w:ascii="Aptos" w:hAnsi="Aptos" w:cs="Aptos"/>
        </w:rPr>
        <w:t>’</w:t>
      </w:r>
      <w:r w:rsidRPr="00A6019F">
        <w:t xml:space="preserve">s syndrome, the anti-insulin antibodies are often polyclonal. Discontinuation of the medication generally leads to resolution of the syndrome over time. There are very rare cases of insulin autoimmune syndrome not associated with sulfhydryl-containing medications that result in pro found, life-threatening hypoglycemia. Treatment involves treating the underlying condition that causes anti-insulin antibodies, such as a B lymphocyte lymphoma (tend to have monoclonal insulin antibodies) or systemic lupus erythematosus. As hypoglycemia is profound when elevated titers of high-affinity insulin antibodies bind secreted insulin and then release it into circulation, treatment that begins with high dose glucocorticoids and rituximab to target B lymphocytes has been shown to be effective. </w:t>
      </w:r>
      <w:r w:rsidRPr="00A6019F">
        <w:rPr>
          <w:rFonts w:ascii="Arial" w:hAnsi="Arial" w:cs="Arial"/>
        </w:rPr>
        <w:t>■</w:t>
      </w:r>
      <w:r w:rsidRPr="00A6019F">
        <w:t xml:space="preserve">POEMS SYNDROME POEMS (polyneuropathy, organomegaly, endocrinopathy, M-protein, and skin changes; also known as Crow-Fukase syndrome; OMIM 192240) patients usually present with a progressive sensorimotor polyneuropathy, diabetes mellitus (50%), primary gonadal failure (70%), and a plasma cell dyscrasia with sclerotic bony lesions. Asso ciated findings can be hepatosplenomegaly, lymphadenopathy, and hyperpigmentation. Patients often present in the fifth to sixth decade of life and have a median survival after diagnosis of 3% of boys at birth. Orchidopexy should be considered if the testis has not descended by 6–9 months of age. Bilateral cryptorchidism occurs less frequently and should raise suspicion of gonadotropin deficiency or DSD. Syndromic associations and intrauterine growth retardation also occur relatively frequently in association with impaired testicular function or target tissue responsiveness, but the underlying etiology of many of these conditions is unknown except in specific syndromes (e.g., MIRAGE [myelodys plasia, infection, restriction of growth, adrenal hypoplasia, genital phenotypes, and enteropathy], IMAGe [intrauter ine growth restriction, metaphyseal dysplasia, adrenal hypoplasia congenita, and genitourinary abnormalities]). </w:t>
      </w:r>
      <w:r w:rsidRPr="00A6019F">
        <w:rPr>
          <w:rFonts w:ascii="Arial" w:hAnsi="Arial" w:cs="Arial"/>
        </w:rPr>
        <w:t>■</w:t>
      </w:r>
      <w:r w:rsidRPr="00A6019F">
        <w:t xml:space="preserve">46,XX DSD Androgenization </w:t>
      </w:r>
      <w:r w:rsidRPr="00A6019F">
        <w:lastRenderedPageBreak/>
        <w:t>(virilization) of the 46,XX fetus occurs when the gonad (ovary) contains androgen-secreting testicular tissue or after increased androgen exposure, which is usually adrenal in origin (Table 402-1). 46,XX Testicular DSD Testicular tissue can develop in 46,XX tes ticular DSD (46,XX males) most often following translocation of SRY. This may be diagnosed with karyotype/phenotype discordance or later in life during evaluation for hypogonadism or infertility. Individuals with this condition develop testes with normal testosterone produc tion, leading to external male phenotype in utero, and produce AMH/ MIS to regress müllerian structures. They have azoospermia due to lack of the AZF region of the Y chromosome. Progressive testicular regression and hypogonadism are common. Gender identity is typi cally male. Partial AIS (Reifenstein’s syndrome) results from androgen recep tor mutations that maintain residual function. Patients often present in infancy with penoscrotal hypospadias and undescended testes and with gynecomastia at the time of puberty. Gender identity can be vari able. At puberty, testes produce testosterone with variable phenotypic development. For those who identify as male, high-dose testosterone has been given to support development if puberty does not progress, 46,XX OTDSD Ovotestes (or testes) can also develop in individu als with a 46,XX karyotype following upregulation of SOX9 or SOX3 or defects in RSPO1, NR2F2, WT1, or SF1/NR5A1 (Table 402-5). OTDSD is discussed above under “Differences of Chromosomal Sex.” Increased Androgen Exposure •</w:t>
      </w:r>
      <w:r w:rsidRPr="00A6019F">
        <w:t> </w:t>
      </w:r>
      <w:r w:rsidRPr="00A6019F">
        <w:t xml:space="preserve">21-HYDROXYLASE DEFICIENCY (CONGENITAL ADRENAL HYPERPLASIA) The classic form of 21-hydroxylase deficiency (21-OHD) is the most common cause of CAH (Chap. 398), and it is the most common cause of androgeniza tion in chromosomal 46,XX children (incidence around 1 in 15,000 3101 Sex Development CHAPTER 402 TABLE 402-5 Selected Genetic Causes of 46,XX Differences of Sex Development (DSDs) GENE INHERITANCE GONAD UTERUS EXTERNAL GENITALIA ASSOCIATED FEATURES Testicular/Ovotesticular DSD SRY Translocation Testis or ovotestis–Male or ambiguous  SF1/NR5A1 (codon 92) AD Testis or ovotestis +/–Male or ambiguous  Other causes of testicular/ovotesticular DSD include: COUP-TF2/NR2F2 (congenital heart disease), RSPO1 (palmar plantar hyperkeratosis, squamous cell skin carcinoma), WNT4 (SERKAL syndrome), WT1 (in zinc finger 4), dysregulation/duplication of SOX3 (Xq27) and SOX9 (dup17q24) Increased Androgen Synthesis HSD3B2 AR Ovary + Clitoromegaly CAH, primary adrenal insufficiency, mild androgenization due to ↑ DHEA CYP21A2 AR Ovary + Ambiguous CAH, phenotypic spectrum from severe salt-losing forms associated with adrenal insufficiency to simple virilizing forms with compensated adrenal function, ↑ 17-hydroxyprogesterone POR AR Ovary + Ambiguous or female Mixed features of 21-hydroxylase deficiency and 17α-hydroxylase/17,20-lyase deficiency, sometimes associated with Antley-Bixler craniosynostosis CYP11B1 AR Ovary + Ambiguous CAH, hypertension due to ↑ 11-deoxycorticosterone CYP19 AR Ovary + Ambiguous Maternal virilization during pregnancy, absent breast development at puberty Abbreviations: ACTH, adrenocorticotropin; AD, autosomal dominant; AR, autosomal recessive; CAH, congenital adrenal hyperplasia; COUP-TF2, chicken ovalbumin upstream promoter </w:t>
      </w:r>
      <w:r w:rsidRPr="00A6019F">
        <w:lastRenderedPageBreak/>
        <w:t xml:space="preserve">transcription factor 2; CYP11B1, 11β-hydroxylase; CYP19, aromatase; CYP21A2, 21-hydroxylase; DHEA, dehydroepiandrosterone; HSD3B2, 3β-hydroxysteroid dehydrogenase type 2; POR, P450 oxidoreductase; RSPO1, R-spondin 1; SERKAL, sex reversion, kidneys, adrenal and lung dysgenesis; SF1, steroidogenic factor 1; SOX3, SRY-related HMG-box gene 3; SOX9, SRY-related HMG-box gene 9; SRY, sex-related gene on the Y chromosome; WT1, Wilms’ tumor–related gene 1. live births) (Table 402-5). Affected individuals are homozygous or compound heterozygous for severely disruptive sequence variants in the gene (CYP21A2) encoding the enzyme 21-hydroxylase. Impaired 21-hydroxylase activity prevents adrenal glucocorticoid and mineralo corticoid synthesis, thus shunting steroid precursors into the androgen synthesis pathway (Fig. 402-4). Increased androgen synthesis in utero causes androgenization of the 46,XX fetus in the first trimester. Atypi cal genitalia are usually seen at birth, with varying degrees of clitoral enlargement and labial fusion. A salt-wasting crisis usually manifests between 5 and 21 days of life and is a potentially life-threatening event that requires urgent fluid resuscitation and steroid treatment. Thus, a diagnosis of 21-OHD should be considered in any baby with atypical genitalia with bilateral nonpalpable gonads. Males (46,XY) with 21-OHD have no genital abnormalities at birth but are equally susceptible to adrenal insuf ficiency and salt-losing crises. Excess androgen production can cause gonadotropin-independent precocious puberty in males with 21-OHD. Nonclassic 21-OHD is discussed in Chap. 398. TREATMENT Congenital Adrenal Hyperplasia Acute salt-wasting crises require fluid resuscitation, IV hydro cortisone, and correction of hypoglycemia. Once the patient is stabilized, glucocorticoids must be given to correct the cortisol insufficiency and suppress adrenocorticotropic hormone (ACTH) stimulation, thereby preventing further virilization, rapid skeletal maturation, and the development of polycystic ovaries. Mineralo corticoid replacement may be needed. Salt supplements may be required in early life. In childhood, treatment is also titrated care fully to prevent impairment of linear growth. In the future, different forms of glucocorticoid replacement and multimodal therapies may improve treatment options. See Chap. 398 for detailed discussion of hormone replacement. Individuals with 46,XX CAH due to classic 21-OHD historically often underwent genitoplasty in infancy, but if and when these procedures should be performed is debated. Concerns have arisen about the importance of assent/consent by the individual for genital surgery, potential long-term side effects related to sexual function and ability to achieve orgasm, and the increased incidence of non female gender identity. Surgical options include vaginoplasty and clitoroplasty. When vaginoplasty is performed in infancy, surgical revision or vaginal dilation may still be needed in adolescence or adulthood and, if deferred, may be necessary for menstrual flow or intercourse. Current clinical practice guidelines can vary in different countries, including supporting parents to defer sur gery or for individuals to have no surgery. Women with 21-OHD frequently develop polycystic ovaries and have subfertility. The latter occurs due to multiple factors including anatomic barriers, hormone imbalances, </w:t>
      </w:r>
      <w:r w:rsidRPr="00A6019F">
        <w:lastRenderedPageBreak/>
        <w:t xml:space="preserve">and psychological effects of the condition. Preconception genetic counseling is recommended. Due to con cerns about fetal neurologic development, prenatal treatment with dexamethasone to prevent androgenization of a fetus is currently not recommended unless in a study protocol that allows long-term follow-up of all children treated. The treatment of other forms of CAH (including in 46,XY indi viduals) includes mineralocorticoid and glucocorticoid replace ment for salt-losing conditions (e.g., StAR, CYP11A1, HSD3B2), suppression of ACTH drive with glucocorticoids in disorders asso ciated with hypertension (e.g., CYP11B1), and appropriate sex hor mone replacement in adolescence and adulthood, when necessary. OTHER CAUSES Increased androgen synthesis can also occur in CAH due to defects in POR, 11β-hydroxylase (CYP11B1), and 3β-hydroxysteroid dehydrogenase type 2 (HSD3B2) and with mutations in the genes encoding aromatase (CYP19A1). Increased androgen exposure in utero can occur with maternal virilizing tumors, luteomas, and ingestion of androgenic compounds. </w:t>
      </w:r>
      <w:r w:rsidRPr="00A6019F">
        <w:rPr>
          <w:rFonts w:ascii="Arial" w:hAnsi="Arial" w:cs="Arial"/>
        </w:rPr>
        <w:t>■</w:t>
      </w:r>
      <w:r w:rsidRPr="00A6019F">
        <w:t>OTHER DISORDERS AFFECTING 46,XX FEMALES Congenital absence of the vagina occurs in association with m</w:t>
      </w:r>
      <w:r w:rsidRPr="00A6019F">
        <w:rPr>
          <w:rFonts w:ascii="Aptos" w:hAnsi="Aptos" w:cs="Aptos"/>
        </w:rPr>
        <w:t>ü</w:t>
      </w:r>
      <w:r w:rsidRPr="00A6019F">
        <w:t xml:space="preserve">llerian agenesis or hypoplasia as part of the Mayer-Rokitansky-Kuster-Hauser (MRKH) syndrome. This diagnosis should be considered in otherwise phenotypic females with primary amenorrhea. Associated features include renal (agenesis) and cervical spinal abnormalities. </w:t>
      </w:r>
      <w:r w:rsidRPr="00A6019F">
        <w:rPr>
          <w:rFonts w:ascii="Arial" w:hAnsi="Arial" w:cs="Arial"/>
        </w:rPr>
        <w:t>■</w:t>
      </w:r>
      <w:r w:rsidRPr="00A6019F">
        <w:t xml:space="preserve">LONG-TERM FOLLOW-UP Whether a DSD is diagnosed during childhood or adulthood, many individuals will require ongoing care. Medical care may include hor mone replacement, optimization of bone health, screening related to other associated clinical features, and care for infertility or sterility. There is increasing attention to fertility preservation and investiga tional gonadal tissue cryopreservation in the pediatric and young adult population, which may allow for increased fertility potential in adulthood. More frequently, individuals retain gonadal tissue at 3102 increased risk for germ cell cancer, requiring monitoring and potential gonadectomy. Long-term urogynecologic follow-up may be needed. Psychosocial and psychosexual evaluation and management are also important, particularly to address the reported increased rates of men tal health symptoms and poorer quality of life sometimes related to social relationships. </w:t>
      </w:r>
      <w:r w:rsidRPr="00A6019F">
        <w:rPr>
          <w:rFonts w:ascii="Arial" w:hAnsi="Arial" w:cs="Arial"/>
        </w:rPr>
        <w:t>■</w:t>
      </w:r>
      <w:r w:rsidRPr="00A6019F">
        <w:t xml:space="preserve">GLOBAL CONSIDERATIONS PART 12 Endocrinology and Metabolism The approach to an individual with atypical genitalia or another DSD requires cultural sensitivity, as the concepts of sex and gender vary widely around the world. Rare genetic DSDs can occur more frequently in specific populations (e.g., 5α-reductase type 2 in the Dominican Republic). Different forms of CAH also show ancestral and geographic variability. In many countries, appropriate biochemical or genetic tests may not be readily available, and access to appropriate forms of treat ment and support may be limited. </w:t>
      </w:r>
      <w:r w:rsidRPr="00A6019F">
        <w:rPr>
          <w:rFonts w:ascii="Arial" w:hAnsi="Arial" w:cs="Arial"/>
        </w:rPr>
        <w:t>■</w:t>
      </w:r>
      <w:r w:rsidRPr="00A6019F">
        <w:t xml:space="preserve">FURTHER READING Ahmed SF et al: Turner HE. Society for Endocrinology UK Guidance on the initial evaluation of a suspected difference or disorder of sex development (Revised 2021). Clin Endocrinol (Oxf) 95:818, 2021. Claahsen-van der Grinten HL et al: Congenital adrenal hyperplasia current insights in pathophysiology, diagnostics and management. Endocr Rev 43:91, 2022. Cools M et al: Caring for individuals with a </w:t>
      </w:r>
      <w:r w:rsidRPr="00A6019F">
        <w:lastRenderedPageBreak/>
        <w:t xml:space="preserve">difference of sex develop ment (DSD): A consensus statement. Nat Rev Endocrinol 14:415, 2018. Gravholt CH et al: The changing face of Turner syndrome. Endocr Rev 12:44, 2023. Gravholt CH et al: Clinical practice guidelines for the care of girls and women with Turner syndrome. Eur J Endocrinol 190:G53, 2024. Mongan NP et al: Androgen insensitivity syndrome. Best Pract Res Clin Endocrinol Metab 29:569, 2015. Morin J et al: Gonadal malignancy in patients with differences of sex development. Transl Androl Urol 9:2408, 2020. Zitzmann M et al: European Academy of Andrology guidelines on Klinefelter syndrome: Endorsing organization: European Society of Endocrinology. Andrology 9:145, 2021. 403 Disorders of the Testes and Male Reproductive System Shalender Bhasin, J. Larry Jameson The male reproductive system regulates sex differentiation, androgen ization, and the hormonal changes that accompany puberty, ultimately leading to spermatogenesis and fertility. Under the control of the pitu itary hormones—luteinizing hormone (LH) and follicle-stimulating hormone (FSH)—the Leydig cells of the testes produce testosterone and germ cells are nurtured by Sertoli cells to divide, differentiate, and mature into sperm. During embryonic development, testosterone and dihydrotestosterone (DHT) induce the wolffian duct and virilization of the external genitalia. During puberty, testosterone promotes somatic growth and the development of secondary sex characteristics. In the adult, testosterone is necessary for spermatogenesis, libido and normal sexual function, and maintenance of muscle and bone mass. This chap ter focuses on the physiology of the testes and disorders associated with decreased androgen production, which may be caused by gonadotropin deficiency or by primary testis dysfunction. Infertility occurs in ~5% of men and is increasingly amenable to treatment by hormone replace ment or by using sperm transfer techniques. For further discussion of sexual dysfunction, disorders of the prostate, and testicular cancer, see Chaps. 409, 92, and 93, respectively. DEVELOPMENT AND STRUCTURE OF THE TESTIS The fetal testis develops from a single bipotential progenitor cell population in the undifferentiated gonad after expression of a genetic cascade that is initiated by the gene encoding SRY (sex-related gene on the Y chromosome) (Chap. 402). SRY, whose expression is regulated by histone modification and DNA methylation, induces differentiation of Sertoli cells, which surround germ cells and, together with peritubular myoid cells, form testis cords that will later develop into seminifer ous tubules. Sertoli cells direct the differentiation of fetal germ cells into spermatogenic precursors. Fetal Leydig cells and endothelial cells migrate into the gonad from the adjacent mesonephros but may also arise from interstitial cells that reside between testis cords. Fetal Leydig cells atrophy after birth and do not contribute to the origin of adult Leydig cells, which originate from undifferentiated progenitor cells that appear in the testis after birth and acquire full steroidogenic function during puberty. Testosterone produced by the fetal Leydig cells sup ports the growth and differentiation of Wolffian duct structures that develop into the epididymis, vas deferens, and seminal vesicles. Testos terone is also converted to DHT (see below), which induces formation of the prostate and the external male </w:t>
      </w:r>
      <w:r w:rsidRPr="00A6019F">
        <w:lastRenderedPageBreak/>
        <w:t xml:space="preserve">genitalia, including the penis, urethra, and scrotum. The development of the germ cells is dependent on normally functioning Sertoli and Leydig cells and cannot occur without them; in contrast, the somatic cells can develop and function without the germ cells. Testicular descent through the inguinal canal is controlled in part by Leydig cell production of insulin-like factor 3 (INSL3), which along with testosterone, acts through their cognate receptors—relaxin/insulin-like family peptide receptor 2 (RXFP2) and androgen receptor (AR)—to guide the inguinoscrotal descent of the testes. Sertoli cells produce Müllerian inhibiting substance (MIS), which causes regression of the Müllerian structures, including the fal lopian tube, uterus, and upper segment of the vagina. NORMAL MALE PUBERTAL DEVELOPMENT Puberty commonly refers to the maturation of the reproductive axis, initiation of gametogenesis, rhythmic sex hormone secretion, and the development of secondary sex characteristics. In addition to reproduc tive hormones, it requires a coordinated response of multiple hormonal systems including metabolic signals (e.g., leptin), as well as the adrenal and growth hormone (GH, IGF-1) axes (Fig. 403-1). The development of secondary sex characteristics is initiated by adrenarche, which usu ally occurs between 6 and 8 years of age when the adrenal gland begins to produce greater amounts of androgens from the zona reticularis, the principal site of dehydroepiandrosterone (DHEA) production. The sex maturation process is accelerated by the activation of the hypo thalamic-pituitary axis and the production of gonadotropin-releasing hormone (GnRH). The GnRH pulse generator in the infundibular Height velocity Testicular volume (mL) 4–6 Genitalia 10–12 15–25 2 3 4 5 Pubic hair 2 3 4 5 Tanner stages 8 9 10 11 12 13 14 15 16 17 Age (years) FIGURE 403-1 Pubertal events in males. Sexual maturity ratings for genitalia and pubic hair and divided into five stages. GnRH nucleus is active during fetal life and early infancy but is restrained until the early stages of puberty by a neuroendocrine brake imposed by the inhibitory actions of glutamate and γ-aminobutyric acid (GABA) in the mediobasal hypothalamus and neuropeptide Y. Kis speptin 1 (kiss1), neurokinin B, dynorophin (KNDy) neurons in the arcuate nucleus and possibly other kiss1 neurons in the anteroventral periventricular nucleus (AVPV), and neurons producing neuropep tide Y (NPY), agouti-related protein (AgRP), pro-opiomelanocortin (POMC), and cocaine and amphetamine-regulated transcript (CART) play an important role in the control of puberty. The Kisspeptin path way plays a critical role in puberty. Individuals with mutations of G protein-coupled kisspeptin receptor fail to enter puberty. Infusion of the Kiss1 is sufficient to induce premature puberty in nonhuman primates. Kisspeptin signaling plays an important role in mediating the feedback action of sex steroids on gonadotropin secretion and in regulating the tempo of sexual maturation at puberty. The metabolic control of puberty is mediated via the action of leptin secreted by adipocytes, and by neurons expressing NPY and AgRP, and by POMC and CART expressing neurons that transmit the energy sensing signals communicated by leptin to the Kiss1 neurons. MKRN3, an imprinted gene encoding makorin ring finger protein 3, serves as an upstream inhibitor of GnRH secretion and plays an important role in directing the onset of puberty. Leptin plays a </w:t>
      </w:r>
      <w:r w:rsidRPr="00A6019F">
        <w:lastRenderedPageBreak/>
        <w:t xml:space="preserve">permissive role in the resurgence of GnRH secretion at the onset of puberty, as leptin-deficient individuals also fail to enter puberty (Chap. 413). The adipocyte hormone leptin, the gut hormone ghrelin, neuropeptide Y, AgRP, CART, and kiss 1 integrate the signals originating in energy stores and metabolic tissues and control the onset of puberty through regulation of GnRH secre tion. Energy deficit and excess and metabolic stress are associated with disturbed reproductive maturation and timing of puberty. The early stages of puberty are characterized by nocturnal surges of LH and FSH. Growth of the testes is usually the first clinical sign of puberty, reflecting an increase in seminiferous tubule volume. Increasing levels of testosterone deepen the voice and stimulate muscle growth. Conversion of testosterone to DHT leads to growth of the external genitalia and pubic hair. DHT also stimulates prostate and facial hair growth and initiates recession of the temporal hairline. The growth spurt occurs at a testicular volume of ~10–12 mL. GH increases early in puberty and is stimulated in part by the rise in gonadal ste roids. GH increases the level of insulin-like growth factor 1 (IGF-1), which enhances linear bone growth. The prolonged pubertal exposure to gonadal steroids (mainly estradiol) ultimately induces epiphyseal closure and limits further bone growth. REGULATION OF TESTICULAR FUNCTION </w:t>
      </w:r>
      <w:r w:rsidRPr="00A6019F">
        <w:rPr>
          <w:rFonts w:ascii="Arial" w:hAnsi="Arial" w:cs="Arial"/>
        </w:rPr>
        <w:t>■</w:t>
      </w:r>
      <w:r w:rsidRPr="00A6019F">
        <w:t>REGULATION OF THE HYPOTHALAMIC PITUITARY-TESTIS AXIS IN ADULT MAN Pulsatile secretion of GnRH in the hypothalamus is regulated by kis speptin, neurokinin B (NKB), and dynorphin (DYN) (Fig. 403-2) that are co-expressed within the KNDy neurons in the arcuate nucleus and are important regulators of mammalian reproduction. Kisspeptin binds to the kisspeptin (GPR54) receptors in the cell bodies of the GnRH neurons as well as in the GnRH nerve terminals in the median eminence to induce pulsatile GnRH secretion into the portal blood. As a component of this autocrine/paracrine loop, NKB released by the KNDy neurons activates NK3R to stimulate kisspeptin release. KNDy neurons also produce dynorphin A, which inhibits basal as well as NKB-stimulated kisspeptin release through the mediation of K-type opioid receptor. Exogenous opioids suppress LH and FSH and inhibit LH pulsatility likely by mimicking the effects of DYN, an endogenous opioid peptide that acts primarily through the κ-opioid receptor (KOR). The negative feedback effects of testosterone, estradiol, and progesterone are mediated through KNDy neurons in the preoptic area by inhibition of kisspeptin release. Mutations in the genes encoding NKB, tachykinin 3 (TAC3), or its receptor (TACR3) are associated with hypogonadotrophic hypogonadism. Hypothalamic GnRH regulates the production of the pituitary gonadotropins LH and FSH (Fig. 403-2). GnRH is released in discrete 3103 Arcuate nucleus NK3R Preoptic area Kiss KNDY neurons KOR Dyn NKB Dyn GnRH neuron GPR54 Negative feedback by sex steroids Pulsatile GnRH secretion Anterior pituitary Testosterone Inhibin B E2 DHT + Median eminence Pulsatile LH, FSH secretion Seminiferous tubules Vas deferens Tunica albuginea LH FSH Epididymis + + Sertoli cell (Inhibin B) Spermatid Spermatogonium Interstitial Leydig cells (testosterone) FIGURE 403-2 Hypothalamic-pituitary-gonadotropin axis, structure of testis, seminiferous tubule. DHT, dihydrotestosterone; Dyn, dynorphin A; E2 , 17β-estradiol; FSH, follicle-</w:t>
      </w:r>
      <w:r w:rsidRPr="00A6019F">
        <w:lastRenderedPageBreak/>
        <w:t xml:space="preserve">stimulation hormone; GnRH, gonadotropin-releasing hormone; KISSR, G protein–coupled receptor 54 for kisspeptin; Kiss, kisspeptin; KNDY, kisspeptin, neurokinin B, dynorphin neurons; KOR, K-type opioid receptor; LH, luteinizing hormone; NKB, neurokinin B; NK3R, neurokinin 3 receptor. pulses approximately every 2 h, resulting in corresponding pulses of LH and FSH. These dynamic hormone pulses account in part for the wide variations in LH and testosterone, even within the same individual. LH acts primarily on the Leydig cell to stimulate testosterone synthesis. The regulatory control of androgen synthesis is modulated by dynamic integration of the feedforward elements exerted on the testis by LH CHAPTER 403 Disorders of the Testes and Male Reproductive System Kiss 3104 PART 12 Endocrinology and Metabolism and FSH and the feedback exerted by testosterone and estrogen on both the hypothalamus and the pituitary. FSH acts on the Sertoli cell to regulate spermatogenesis and the production of inhibin B, which acts to selectively suppress pituitary FSH. Despite these somewhat distinct Leydig and Sertoli cell–regulated pathways, testis function is integrated at several levels: GnRH regulates both gonadotropins; spermatogenesis requires high levels of testosterone; and numerous paracrine interac tions between Leydig, Sertoli, and germ cells are necessary for normal testis function. </w:t>
      </w:r>
      <w:r w:rsidRPr="00A6019F">
        <w:rPr>
          <w:rFonts w:ascii="Arial" w:hAnsi="Arial" w:cs="Arial"/>
        </w:rPr>
        <w:t>■</w:t>
      </w:r>
      <w:r w:rsidRPr="00A6019F">
        <w:t>THE LEYDIG CELL: ANDROGEN SYNTHESIS LH binds to its transmembrane G protein</w:t>
      </w:r>
      <w:r w:rsidRPr="00A6019F">
        <w:rPr>
          <w:rFonts w:ascii="Aptos" w:hAnsi="Aptos" w:cs="Aptos"/>
        </w:rPr>
        <w:t>–</w:t>
      </w:r>
      <w:r w:rsidRPr="00A6019F">
        <w:t xml:space="preserve">coupled receptor to activate the adenylyl cyclase/cyclic AMP/protein kinase A pathway. Stimula tion of the LH receptor induces steroid acute regulatory (StAR) pro tein, along with several steroidogenic enzymes involved in androgen synthesis. LH receptor mutations cause Leydig cell hypoplasia or agenesis, underscoring the importance of this pathway for Leydig cell development and function. The rate-limiting process in testosterone synthesis is the transport of intracellular cholesterol to the inner mitochondrial membrane by a protein complex that contains the ste roidogenic acute regulatory (StAR) protein and a translocator protein (TSPO), previously called peripheral benzodiazepine receptor protein. Mutations of the StAR protein are associated with congenital lipoid adrenal hyperplasia, a rare form of congenital adrenal hyperplasia (CAH) characterized by very low adrenal and gonadal steroids. The major enzymatic steps involved in testosterone synthesis are sum marized in Fig. 403-3. After cholesterol transport into the mitochon drion, the formation of pregnenolone, catalyzed by CYP11A1 (side chain cleavage enzyme) and auxiliary electron transferring proteins, is a limiting enzymatic step. The 17α-hydroxylase and the 17,20-lyase 17 18 19 16 15 14 13 12 11 10B C D 9 2 1 3 OH 4 5 6 7 8 A Cholesterol Pregnenolone Progesterone 17α-hydroxylase CYP17A1 17α-hydroxylase 17β-hydroxysteroid dehydrogenase 3 17β-HSD 3 17 hydroxy allopregnanolone CYP17A1 CYP17A1 AKRIC2/4 17 hydroxydihydroprogesterone allopregnenolone 3β-hydroxy steroid dehydrogenase 2 3β HSD 1 Steroid 5α-reductase type 1 SRD5AI Steroid 5α-reductase type 2 SRD5A2 17-hydroxyprogesterone 17 hydroxypregnenolone Androsterone 17β hydroxy steroid dehydrogenase 3 17β-hydroxy steroid dehydrogenase 3 HSD17B3 AKRICI-4 HSD17B3 HSD17B6 AKRIC2 Androstanedione δ4 Androstenedione CYP17 Cholesterol side chain cleavage enzyme </w:t>
      </w:r>
      <w:r w:rsidRPr="00A6019F">
        <w:lastRenderedPageBreak/>
        <w:t xml:space="preserve">CYP11A1 StAR CYP19 CYP17A1 CYB5 DHEA Androstenediol Testosterone Aromatase Estradiol Androstanediol OH O OH O H OH OH HSD17B6 17β-hydroxysteroid dehydrogenase 6 5α-dihydrotestosterone Alternate Backdoor Pathway Classical Pathway 17β hydroxy steroid dehy drogenase 6 FIGURE 403-3 The biochemical pathway in the conversion of 27-carbon sterol cholesterol to androgens and estrogens. 3105 reactions are catalyzed by a single enzyme, CYP17A1; posttranslational modification (phosphorylation) of this enzyme and the presence of specific enzyme cofactors, such as cytochrome B, confer 17,20-lyase activity selectively in the testis and zona reticularis of the adrenal gland. Although CYP17A1 is able to catalyze the conversion of pro gesterone to 17α-hydroxyprogesterone, most of δ4-androstenedione in humans is derived from the conversion of 17α-hydroxypregnenolone to DHEA in the δ5 pathway and further conversion of DHEA to δ4-androstenedione. Abiraterone is a dual inhibitor of 17α-hydroxylase and 17,20-lyase activities, which play an important role in androgen synthesis in castration-resistant prostate cancers. Testosterone can be converted to the more potent DHT by a family of steroid 5α-reductase enzymes, and it is aromatized to estradiol by CYP19 (aromatase). At least two isoforms of steroid 5α-reductase, SRD5A1 and SRD5A2, have been described; most known patients with 5α-reductase defi ciency have had mutations in SRD5A2, the predominant form in the prostate and the skin. Finasteride predominantly inhibits SRD5A2, whereas dutasteride is a dual inhibitor of both SRD5A1 and SRD5A2. DHT can also be derived through the backdoor pathway in which 17α-hydroxyprogesterone is converted to androsterone and eventually to DHT. Recent reports of mutations in the AKR1C2/4 genes in under virilized 46,XY individuals suggest that the backdoor pathway for DHT formation, which was originally described in the tammar wallaby, is active in the human fetal testis. The placental progesterone serves as a substrate for the synthesis of androsterone via the backdoor pathway, which is then converted to DHT in the genital tubercle. Testosterone Transport and Metabolism In males, 95% of circulating testosterone is derived from testicular production (3–10 mg/d). Direct secretion of testosterone by the adrenal and the peripheral conversion of androstenedione to testosterone collectively account for another 0.5 mg/d of testosterone. Only a small amount of DHT (70 μg/d) is secreted directly by the testis; most circulating DHT is derived from peripheral conversion of testosterone. Most of the daily production of estradiol (~45 μg/d) in men is derived from aromatase mediated peripheral conversion of testosterone and androstenedione. Circulating testosterone is bound predominantly to sex hormone binding globulin (SHBG) and albumin (Fig. 403-4) and, to a lesser extent, to cortisol-binding globulin (CBG) and orosomucoid (also known as α1 acid glycoprotein). SHBG binds testosterone with much Cortisol-binding globulin Free or unbound (1–4%) Steroid 5α-reductase (6–8%) 5α-Dihydrotestosterone (DHT) • Masculinization of external genitalia • Prostate growth • Hair growth Albumin (33–34%) Bioavailable SHBG (44–66%) Orosomucoid Testosterone (3–10 mg/d) Excretion Aromatase (0.3%) Testosterone • Wolffian duct • Muscle mass Estradiol • Bone resorption • Epiphyseal closure • Bone formation • Spermatogenesis • Erythropoiesis • </w:t>
      </w:r>
      <w:r w:rsidRPr="00A6019F">
        <w:lastRenderedPageBreak/>
        <w:t xml:space="preserve">Hypothalamic/ pituitary feedback • Fat mass • Some vascular and behavioral effects • Libido FIGURE 403-4 Androgen metabolism and actions. SHBG, sex hormone–binding globulin. greater affinity than albumin, CBG, and orosomucoid. The binding proteins regulate the transport and bioavailability of testosterone. SHBG circulates as a dimer, and testosterone’s binding to SHBG involves intermonomeric allostery such that neither the conformation nor the binding affinity of the two monomers is equivalent. Similarly, estradiol binding to SHBG involves bidirectional, intermonomeric allostery that changes the distribution of both monomers among various energy and conformational states. Intermonomeric allostery offers a mechanism to extend the binding range of SHBG and regulate hormone bioavailability as sex hormone concentrations vary widely during life. Albumin contains multiple, allosterically coupled binding sites for testosterone. Testosterone shares these binding sites on albu min with free fatty acids. Commonly used drugs such as ibuprofen and some antibiotics can displace testosterone from albumin under various physiologic states or disease conditions, affecting its bioavailability. SHBG concentrations are decreased by androgens, obesity, diabetes mellitus, hypothyroidism, nephrotic syndrome, and genetic factors. Conversely, polymorphisms in the SHBG gene, estrogen administra tion, hyperthyroidism, chronic inflammatory illnesses, infections such as HIV or hepatitis B and C, aging, and the use of some anticonvulsants are associated with high SHBG concentrations. Testosterone is metabolized predominantly in the liver, although some degradation occurs in peripheral tissues, particularly the prostate and the skin. In the liver, testosterone is converted by a series of enzy matic steps that involve 5α and 5β-reductases, 3α- and 3β-hydroxysteroid dehydrogenases, and 17β-hydroxysteroid dehydrogenase into andros terone, etiocholanolone, DHT, and 3α-androstanediol. These com pounds undergo glucuronidation or sulfation before being excreted by the kidneys. Polymorphisms of these enzymes are associated with altered testosterone metabolism and circulating testosterone levels. Mechanism of Androgen Action Testosterone exerts its bio logic effects by either binding to androgen receptor (AR) directly or after its conversion to its metabolites, DHT, and 11-ketotestosterone. 11-Ketotestosterone and 11-ketoandrostenedione are 11-oxygenated steroids and potent androgens that are produced in the testes, adrenals, and some peripheral tissues by the action of CYP11B1 and CYP11B2. DHT is converted in some tissues by 3β-hydroxysteroid dehydroge nase to 5α-androstane-3β,17β-diol, which is a high-affinity ligand and agonist of estrogen receptor β. 5α-DHT can also be converted by 3α-hydroxysteroid dehydrogenase in some cell types to 5α-androstane CHAPTER 403 Disorders of the Testes and Male Reproductive System 3α,17β-diol, a modulator of GABAA receptors. Testosterone also is aromatized by CYP19 to 17β estradiol, a ligand for estrogen recep tor, that can be further converted in tissues to catechol estrogens by addition of hydroxyl groups at C2 and C4 that are inhibitors of the catecholamine methyltransferase and affect angiogenesis and cell pro liferation (Fig. 403-5). 16-Hydroestradiol levels have been associated with breast cancer risk in women. The actions of testosterone on the </w:t>
      </w:r>
      <w:r w:rsidRPr="00A6019F">
        <w:lastRenderedPageBreak/>
        <w:t xml:space="preserve">Wolffian structures, skeletal muscle, erythropoiesis, and bone in men do not require its obligatory conversion to DHT. However, the conver sion of testosterone to DHT is necessary for the masculinization of the urogenital sinus and genital tubercle but is not obligatory for mediat ing its effects on the muscle, bone, or hematopoiesis. Aromatization of testosterone to estradiol mediates additional effects of testosterone on bone resorption, epiphyseal closure, sexual desire, vascular endothe lium, and fat. The AR is structurally related to the nuclear receptors for estrogen, glucocorticoids, and progesterone (Chap. 389). The AR, a 919–amino acid protein with a molecular mass of ~110 kDa, is encoded by a gene on the long arm of the X chromosome. A polymorphic region in the amino terminus of the receptor, which contains a variable number of glutamine and glycine repeats, modifies the transcriptional activity of the recep tor. The ligand binding to the AR induces conformational changes that dissociates it from heat shock protein and allows the recruitment and assembly of tissue-specific cofactors and causes it to translocate into the nucleus, where it binds to specific androgen response elements in the DNA or other transcription factors already bound to DNA. Thus, the AR is a ligand-activated transcription factor that regulates the expres sion of androgen-dependent genes in a tissue-specific manner. Some 3106 OH O Androgen receptor PART 12 Endocrinology and Metabolism OH O H 5α DHT O Testosterone O H OH 11-ketotestosterone OH OH H 5α-androstane,3α,17β-diol OH OH 17β-estradiol OH OH ERα 16 hydroxyestradiol ERβ OH OH OH OH H 5α-androstanediol,3β,17β-diol GABAA receptor ERβ receptor OH OH OH 2-hydroxyestradiol Catechol estrogens OH OH 4 hydroxyestradiol FIGURE 403-5 Testosterone as an androgen and precursor of other steroids with diverse actions. DHT, dihydrotestosterone; ERα, estrogen receptor α; Eαβ, estrogen receptor β. androgen effects, such as those on the smooth muscle, may be mediated by nongenomic AR signal transduction pathways. The nongenomic actions of testosterone involve direct activation of kinase signaling cascades such as the Src tyrosine kinase that activates the epidermal growth factor receptor and induces the downstream mitogen-activated protein kinase cascade (RAF, MEK, and ERK), resulting in increased transcription of the cyclic AMP response element binding protein transcription factor-regulated genes. Some effects of testosterone on cell proliferation and autophagy require the mediation of GPRC6A. Tes tosterone and DHT improve penile blood flow and erections by rapid nongenomic endothelial-dependent (increased nitric oxide production) and endothelium-independent inhibition of l-type calcium channels and/or activation of potassium channels in the vascular smooth muscle. </w:t>
      </w:r>
      <w:r w:rsidRPr="00A6019F">
        <w:rPr>
          <w:rFonts w:ascii="Arial" w:hAnsi="Arial" w:cs="Arial"/>
        </w:rPr>
        <w:t>■</w:t>
      </w:r>
      <w:r w:rsidRPr="00A6019F">
        <w:t xml:space="preserve">THE SEMINIFEROUS TUBULES: SPERMATOGENESIS The seminiferous tubules are convoluted, closed loops that empty into the rete testis, a network of progressively larger efferent ducts that ultimately form the epididymis (Fig. 403-2). The seminiferous tubules total ~600 m in length and compose about two-thirds of testis volume. The walls of the tubules are formed by polarized Sertoli cells that are apposed to peritubular myoid cells. Tight junctions between Sertoli cells create the blood-testis barrier. Germ cells compose the majority of the seminiferous epithelium (~60%) and are intimately </w:t>
      </w:r>
      <w:r w:rsidRPr="00A6019F">
        <w:lastRenderedPageBreak/>
        <w:t xml:space="preserve">embedded within the cytoplasmic extensions of the Sertoli cells, which function as “nurse cells.” Germ cells progress through characteristic stages of mitotic and meiotic divisions. A pool of type A spermatogonia serve as stem cells capable of self-renewal. Primary spermatocytes are derived from type B spermatogonia and undergo meiosis before progressing to spermatids that undergo spermiogenesis (a differentiation process involving chromatin condensation, acquisition of an acrosome, elonga tion of cytoplasm, and formation of a tail) and are released from Sertoli cells as mature spermatozoa. The complete differentiation process into mature sperm requires 74 days. Peristaltic-type action by peritubular myoid cells transports sperm into the efferent ducts. The spermatozoa spend an additional 21 days in the epididymis, where they undergo further maturation and capacitation. The normal adult testes produce &gt;100 million sperm per day. Naturally occurring mutations in FSHβ or in the FSH receptor confirm an important, but not essential, role for this pathway in sper matogenesis. Females with mutations in FSHβ or the FSH receptor are hypogonadal and infertile because ovarian follicles do not mature; males with these mutations exhibit variable degrees of reduced sper matogenesis, presumably because of impaired Sertoli cell function. Because Sertoli cells produce inhibin B, an inhibitor of FSH, semi niferous tubule damage (e.g., by radiation) causes a selective increase of FSH. Testosterone reaches very high concentrations locally in the testis and is essential for spermatogenesis. The cooperative actions of FSH and testosterone are important in the progression of meiosis and spermiation. In the prepubertal testis, testosterone alone is insufficient for completion of spermatogenesis; however, in men with postpuber tal onset of gonadotropin deficiency, human chorionic gonadotropin (hCG) or recombinant LH can reinitiate spermatogenesis without FSH. FSH and testosterone regulate germ cell survival via the intrinsic and extrinsic apoptotic mechanisms. FSH may also play an important role in supporting spermatogonia. Gonadotropin-regulated testicular RNA helicase (GRTH/DDX25), a testis-specific gonadotropin/androgen-reg ulated RNA helicase, is present in germ cells and Leydig cells and may be an important factor in the paracrine regulation of germ cell devel opment. Several cytokines and growth factors are also involved in the regulation of spermatogenesis by paracrine and autocrine mechanisms. The human Y chromosome contains two pseudoautosomal regions that are located at the two tips of Y chromosome and can recombine with homologous regions of the X chromosome (Fig. 403-6). The genes 3107 Pseudoautosomal region 1 Short arm Yp Long arm Yq Male Specific Region of y (MSY) Euchromatic region of short arm AZFc AZFb AZFa b1/b3 G1/G3 Centromere Euchromatic region of long arm Heterochromatic region of long arm Pseudoautosomal region 2 FIGURE 403-6 Structure of the Y chromosome relevant for spermatogenesis. in the pseudoautosomal regions are involved in cell signaling, tran scriptional regulation, and mitochondrial function. Mutations of genes in pseudoautosomal region 1 are associated with mental disorders and short stature. The euchromatic part of the Y chromosome that does not recombine with the X chromosome is referred to as the male specific region of the Y chromosome </w:t>
      </w:r>
      <w:r w:rsidRPr="00A6019F">
        <w:lastRenderedPageBreak/>
        <w:t xml:space="preserve">(MSY) and contains X-transposed sequences that have 99% homology with the X chromosome, single copy genes or pseudogene homologues of X-linked genes, and ampli conic sequences that are organized in large palindromes. The MSY contains nine families of Y-specific multicopy genes; many of these Y-specific genes are testis-specific and necessary for spermatogenesis. Nonallelic homologous recombination between highly homologous repeated sequences in the MSY region renders the Y chromosome susceptible to microdeletions. Microdeletions in four major nonover lapping subregions of the Y chromosome—AZFa, AZFb, AZFbc, and AZFc—which contain many spermatogenic genes, are associated with oligospermia or azoospermia. Microdeletions involving the AZFc region are the most common Y microdeletions in infertile men. Several partial deletions of the AZFc region have been described including the gr/gr deletion, which is associated with infertility among Caucasian men in Europe and the Western Pacific region, whereas the b2/b3 deletion is associated with male infertility in African and Dravidian men. Approxi mately 6 to 15% of infertile men with nonobstructive azoospermia or severe oligozoospermia harbor a Y microdeletion. Complete deletions of the AZFa and AZFb subregions are typically associated with Sertoli cells only and azoospermia and a poor prognosis for sperm retrieval. In contrast, AZFc subregion microdeletions are typically associated with oligozoospermia and higher success rates for sperm retrieval. TREATMENT Male Factor Infertility Treatment options for male factor infertility have expanded greatly in recent years. Secondary hypogonadism is highly amenable to treatment with pulsatile GnRH or gonadotropins (see below). Assisted reproductive technologies, such as in vitro fertilization (IVF) and intracytoplasmic sperm injection (ICSI), have provided new opportunities for patients with primary testicular failure and disorders of sperm transport. Choice of initial treatment options depends on sperm concentration and motility. Expectant manage ment should be attempted initially in men with mild male factor infertility (sperm count of 15–20 × 106/mL and normal motility). Treatment of moderate male factor infertility (10–15 × 106/mL and 20–40% motility) should begin with intrauterine insemina tion alone or in combination with treatment of the female partner with clomiphene or gonadotropins, but it may require IVF with or without ICSI. For men with a severe defect (sperm count of 2 cm greater than height and suggest that androgen deficiency occurred before epiphyseal fusion. Hair growth in the face, axilla, chest, and pubic regions is androgen-dependent; however, changes may not be noticeable unless androgen deficiency is severe and prolonged. Ethnicity also influences the intensity of hair growth (Chap. 406). Testicular volume is measured by using a Prader orchidometer. Testes range from 3.5 to 5.5 cm in length, which cor responds to a volume of 12–25 mL. Advanced age does not influence testicular size, although the consistency becomes less firm. Because of its possible role in infertility, the presence of varicocele should be sought by palpation while the patient is standing; it is more common on the left side. Patients with Klinefelter syndrome have markedly reduced testicu lar volumes (1–2 mL). In congenital hypogonadotropic hypogonadism, testicular volumes provide a good </w:t>
      </w:r>
      <w:r w:rsidRPr="00A6019F">
        <w:lastRenderedPageBreak/>
        <w:t xml:space="preserve">index of the degree of gonadotropin deficiency and the likelihood of response to gonadotropin therapy. CHAPTER 403 Disorders of the Testes and Male Reproductive System </w:t>
      </w:r>
      <w:r w:rsidRPr="00A6019F">
        <w:rPr>
          <w:rFonts w:ascii="Arial" w:hAnsi="Arial" w:cs="Arial"/>
        </w:rPr>
        <w:t>■</w:t>
      </w:r>
      <w:r w:rsidRPr="00A6019F">
        <w:t xml:space="preserve">GONADOTROPIN AND INHIBIN MEASUREMENTS LH and FSH are measured using two-site immunoradiometric, immu nofluorometric, or chemiluminescent assays, which have very low cross reactivity with other pituitary glycoprotein hormones and hCG and have sufficient sensitivity to measure the low levels present in patients with hypogonadotropic hypogonadism. In men with a low testosterone level, an LH level can distinguish primary (high LH) versus secondary (low or inappropriately normal LH) hypogonadism. An elevated LH level indicates a primary defect at the testicular level, whereas a low or inappropriately normal LH level suggests a defect at the hypothalamic pituitary level. LH pulses occur about every 1–3 h in normal men. Thus, gonadotropin levels fluctuate, and samples should be pooled or repeated when results are equivocal. FSH is less pulsatile than LH because it has a longer half-life. Selective increase in FSH suggests damage to the semi niferous tubules. Inhibin B, a Sertoli cell product that suppresses FSH, is reduced with seminiferous tubule damage. Inhibin B is a dimer with α-βB subunits and is measured by two-site immunoassays. GnRH Stimulation Testing The GnRH test is performed by measuring LH and FSH concentrations at baseline and at 30 and 60 min after intravenous administration of 100 μg of GnRH. A mini mally acceptable response is a twofold LH increase and a 50% FSH increase. In the prepubertal period or with severe GnRH deficiency, the gonadotrope may not respond to a single bolus of GnRH; in these patients, GnRH responsiveness may be restored by chronic, pulsatile GnRH administration. With the availability of sensitive and specific LH assays, GnRH stimulation testing is used rarely. </w:t>
      </w:r>
      <w:r w:rsidRPr="00A6019F">
        <w:rPr>
          <w:rFonts w:ascii="Arial" w:hAnsi="Arial" w:cs="Arial"/>
        </w:rPr>
        <w:t>■</w:t>
      </w:r>
      <w:r w:rsidRPr="00A6019F">
        <w:t xml:space="preserve">TESTOSTERONE ASSAYS Total Testosterone Total testosterone includes both unbound and protein-bound testosterone and is measured by radioimmunoas says, immunometric assays, or liquid chromatography tandem mass 3108 PART 12 Endocrinology and Metabolism before concluding that the results are abnormal. Analysis should be performed within an hour of collection. Using semen samples from &gt;4500 men in 14 countries, whose partners had a time to pregnancy of 150 ng/dL indicates the presence of testicular tissue. No response may indicate an absence of testicular tissue or marked impairment of Leydig cell function. Measurement of Anti-Mullerian hormone, a Sertoli cell product, is also used to detect the presence of testes in prepubertal boys with cryptorchidism. </w:t>
      </w:r>
      <w:r w:rsidRPr="00A6019F">
        <w:rPr>
          <w:rFonts w:ascii="Arial" w:hAnsi="Arial" w:cs="Arial"/>
        </w:rPr>
        <w:t>■</w:t>
      </w:r>
      <w:r w:rsidRPr="00A6019F">
        <w:t xml:space="preserve">SEMEN ANALYSIS Semen analysis is the most important step in the evaluation of male infertility. Samples are collected by masturbation following absti nence for 2–3 days. Semen volumes and sperm concentrations vary considerably among fertile men, and several samples may be needed Testicular biopsy is useful in some patients with oligospermia or azoospermia as an aid in diagnosis and in assessing the feasibility of treatment. Fine-needle aspiration biopsy is performed under local anesthesia to aspirate tissue for histology. Alternatively, open biopsies can be performed under local or general anesthesia when more tissue is required. A normal biopsy in an azoospermic man with a normal FSH level suggests obstruction of the vas deferens, which may be </w:t>
      </w:r>
      <w:r w:rsidRPr="00A6019F">
        <w:lastRenderedPageBreak/>
        <w:t xml:space="preserve">correct able surgically. Biopsies are also used to harvest sperm for ICSI and to classify disorders such as hypospermatogenesis (all stages present but in reduced numbers), germ cell arrest (usually at primary spermatocyte stage), and Sertoli cell–only syndrome (absent germ cells) or hyaliniza tion (sclerosis with absent cellular elements). Testing for Y Chromosome Microdeletions Testing for Y chro mosome microdeletions is indicated in infertile men with nonobstruc tive azoospermia or severe oligozoospermia (sperm density 4 mL) before 9 years of age associated with acceleration of linear growth and bone age. Earlier onset of puberty is associated with increased risk of breast and endometrial cancer, cardiovascular disease, hypertension, type 2 diabetes, hair pigmentation, and shorter life span. Isosexual precocity refers to premature sexual development consis tent with phenotypic sex and includes features such as the develop ment of facial hair and phallic growth. Isosexual precocity is divided into gonadotropin-dependent and gonadotropin-independent causes of androgen excess (Table 403-1). Heterosexual precocity refers to the premature development of estrogenic features in boys, such as breast development. 3109 Disorders of the Testes and Male Reproductive System CHAPTER 403 Gonadotropin-Dependent Precocious Puberty This disor der, also called central precocious puberty (CPP), is less common in boys than in girls. It is caused by premature activation of the GnRH pulse generator, sometimes because of central nervous system (CNS) lesions such as hypothalamic hamartomas, but it is often idiopathic. CPP is characterized by gonadotropin levels that are inappropri ately elevated for age and LH and FSH responses to GnRH typical of those seen in postpubertal boys or adults. Magnetic resonance imaging (MRI) should be performed to exclude a mass, structural defect, infection, or inflammatory process. Mutations in MKRN3, an imprinted gene encoding makorin ring finger protein 3, that serves as an upstream inhibitor of GnRH secretion and is expressed only from the paternally inherited allele, have been associated with CPP. Loss of-function mutations in MKRN3 remove the brake that restrains pulsatile GnRH secretion, resulting in precocious puberty. Additional activating mutations in kisspeptin and kisspeptin receptor and loss-of function mutations in delta-like homolog (DLK1) have been identified in patients with CPP. Gonadotropin-Independent Precocious Puberty In boys with gonadotropin-independent precocious puberty, circulating andro gens are increased but gonadotropins are low. This group of disorders includes hCG-secreting tumors; CAH; sex steroid–producing tumors of the testis, adrenal, and ovary; accidental or deliberate exogenous sex steroid administration; hypothyroidism; and activating mutations of the LH receptor or Gs α subunit. Familial Male-Limited Precocious Puberty Also called testotoxicosis, familial male-limited precocious puberty is an autosomal dominant disorder caused by activating mutations in the LH receptor, leading to constitutive stimulation of the cyclic AMP pathway and testosterone production. Clinical features include premature andro genization in boys, linear growth acceleration in early childhood, and advanced bone age followed by premature epiphyseal fusion. Testos terone is elevated, and LH is suppressed. Treatment options include inhibitors of </w:t>
      </w:r>
      <w:r w:rsidRPr="00A6019F">
        <w:lastRenderedPageBreak/>
        <w:t xml:space="preserve">testosterone synthesis (e.g., ketoconazole, abiraterone, medroxyprogesterone acetate), AR antagonists (e.g., flutamide and bicalutamide), and aromatase inhibitors (e.g., anastrozole). MCCUNE-ALBRIGHT SYNDROME This is a sporadic disorder caused by somatic (postzygotic) activating mutations in the Gs α subunit that links G protein–coupled receptors to intracellular signaling pathways (Chap. 424). The mutations impair the guanosine triphosphatase activity of the Gs α protein, leading to ligand-independent signaling of the Gs-coupled receptor, constitutive activation of adenylyl cyclase, and stimulation of testosterone production. In addition to sexual precoc ity, affected individuals may have autonomy in the adrenals, pituitary, and thyroid glands. Café au lait spots are characteristic skin lesions that reflect the onset of the somatic mutations in melanocytes during embryonic development. Constitutive Gs α activation in the postnatal multipotent skeletal stem cells leads to the formation of immature woven bone and replacement of the bone marrow with fibrotic stroma (polyostotic fibrous dysplasia). Treatment is similar to that in patients with activating LH receptor mutations. Bisphosphonates have been used to treat bone lesions. CONGENITAL ADRENAL HYPERPLASIA Boys with CAH who are not well controlled with glucocorticoid suppression of adrenocorticotropic hormone (ACTH) can develop premature virilization because of exces sive androgen production by the adrenal gland (Chaps. 398 and 402). LH is low, and the testes are small. Some children with CAH, who are poorly controlled with glucocorticoid treatment, may develop gonadotropin-dependent precocious puberty with early maturation of the hypothalamic-pituitary-gonadal axis, elevated gonadotropins, and testicular growth. Similar development of gonadotropin-dependent precocious puberty has been reported in children with androgen secreting tumors or other conditions associated with androgen excess, likely due to androgen-induced skeletal maturation. Adrenal rests may develop within the testis of poorly controlled patients with CAH because of chronic ACTH stimulation; adrenal rests do not require surgical removal and regress with effective glucocorticoid therapy. Heterosexual Sexual Precocity Breast enlargement in prepuber tal boys can result from familial aromatase excess, estrogen-producing tumors in the adrenal gland, Sertoli cell tumors in the testis, marijuana smoking, or exogenous estrogens or androgens. Occasionally, germ cell tumors that secrete hCG can be associated with breast enlargement due to excessive stimulation of estrogen production (see “Gynecomastia,” below). APPROACH TO THE PATIENT Precocious Puberty After verification of precocious development, serum testosterone, LH, and FSH levels should be measured to determine whether gonadotropins are increased in relation to chronologic age (gonad otropin-dependent) or whether sex steroid secretion is occur ring independent of LH and FSH (gonadotropin-independent). In children with gonadotropin-dependent precocious puberty, CNS lesions should be excluded by history, neurologic examination, and MRI scan of the head. If an organic cause is not found, one is left with the diagnosis of idiopathic central precocious puberty. Patients with high testosterone but suppressed LH concentrations have gonadotropin-independent precocious puberty; in these </w:t>
      </w:r>
      <w:r w:rsidRPr="00A6019F">
        <w:lastRenderedPageBreak/>
        <w:t xml:space="preserve">patients, TABLE 403-1 Causes of Precocious or Delayed Puberty in Boys I. Precocious puberty A. Gonadotropin-dependent 1. Idiopathic 2. CNS tumors such as hypothalamic hamartoma, optic glioma, arachnoid cysts, astrocytoma, ependymoma, or tunerous sclerosis 3. Inflammatory and infectious lesions 4. Mutations in genes that regulate GnRH secretion, such as kisspeptin (KISS1), kisspeptin receptor (KISS1R), and makorin ring finger protein 3 (MKRN3) B. Gonadotropin-independent 1. Congenital adrenal hyperplasia 2. hCG-secreting tumor 3. McCune-Albright syndrome 4. Activating LH receptor mutations (familial male-limited precocious puberty) 5. Exogenous androgens 6. Androgen producing tumors of the adrenal or the testis II. Delayed puberty A. Constitutional delay of growth and puberty B. Systemic disorders 1. Chronic disease 2. Malnutrition 3. Eating disorders C. CNS tumors and their treatment (radiotherapy and surgery) D. Hypothalamic-pituitary causes of pubertal failure (low gonadotropins) 1. Congenital disorders associated with GnRH or gonadotropin deficiency (Table 403-2) 2. Acquired disorders a. Pituitary tumors b. Hyperprolactinemia c. Infiltrative disorders, such as hemochromatosis E. Gonadal causes of pubertal failure (elevated gonadotropins) 1. Klinefelter syndrome 2. Bilateral undescended testes 3. Orchitis 4. Chemotherapy or radiotherapy 5. Anorchia F. Androgen insensitivity Abbreviations: CNS, central nervous system; GnRH, gonadotropin-releasing hormone; hCG, human chronic gonadotropin; LH, luteinizing hormone. 3110 PART 12 Endocrinology and Metabolism DHEA sulfate (DHEAS) and 17α-hydroxyprogesterone should be measured. High levels of testosterone and 17α-hydroxyprogesterone suggest the possibility of CAH due to 21α-hydroxylase or 11β-hydroxylase deficiency. If testosterone and DHEAS are ele vated, adrenal tumors should be excluded by obtaining a computed tomography (CT) scan of the adrenal glands. Patients with elevated testosterone but without increased 17α-hydroxyprogesterone or DHEAS should undergo evaluation of the testis by palpation and ultrasound to exclude a Leydig cell neoplasm. Activating mutations of the LH receptor or Gs α subunit should be considered in chil dren with gonadotropin-independent precocious puberty in whom CAH, androgen abuse, and adrenal and testicular neoplasms have been excluded. TREATMENT Precocious Puberty In patients with a known cause (e.g., a CNS lesion or a testicular tumor), therapy should be directed toward the underlying disorder. In patients with idiopathic CPP, treatment with long-acting GnRH analogues is indicated in boys showing rapid pubertal progression, who are more advanced in pubertal development (e.g., Tanner stage 3 or greater genital development) and experiencing rapid linear growth or psychological distress. GnRH analogues suppress gonad otropins and testosterone, halt early pubertal development, delay accelerated bone maturation, prevent early epiphyseal closure, pro mote final height gain, and mitigate the psychosocial consequences of early pubertal development without causing osteoporosis. The treatment is most effective for increasing final adult height if it is initiated before age 6. Puberty resumes after discontinuation of the GnRH analogue. Counseling is an important aspect of the overall treatment strategy. In children with gonadotropin-independent precocious puberty, </w:t>
      </w:r>
      <w:r w:rsidRPr="00A6019F">
        <w:lastRenderedPageBreak/>
        <w:t xml:space="preserve">inhibitors of steroidogenesis, such as ketoconazole or abiraterone, AR antagonists, and aromatase inhibitors have been used empiri cally. Long-term treatment with spironolactone (a weak androgen antagonist) and ketoconazole also has been reported to normalize growth rate and bone maturation and to improve predicted height in small, nonrandomized trials in boys with familial male-limited precocious puberty. Aromatase inhibitors, such as testolactone and letrozole, have been used as adjuncts to antiandrogen therapy for children with familial male-limited precocious puberty, CAH, and McCune-Albright syndrome. More potent novel inhibitors of testosterone synthesis, such as abiraterone, have not been systemati cally evaluated in boys with gonadotropin-independent precocious puberty. </w:t>
      </w:r>
      <w:r w:rsidRPr="00A6019F">
        <w:rPr>
          <w:rFonts w:ascii="Arial" w:hAnsi="Arial" w:cs="Arial"/>
        </w:rPr>
        <w:t>■</w:t>
      </w:r>
      <w:r w:rsidRPr="00A6019F">
        <w:t>DELAYED PUBERTY Puberty is considered delayed in boys if it has not ensued by age 14, an age that is 2</w:t>
      </w:r>
      <w:r w:rsidRPr="00A6019F">
        <w:rPr>
          <w:rFonts w:ascii="Aptos" w:hAnsi="Aptos" w:cs="Aptos"/>
        </w:rPr>
        <w:t>–</w:t>
      </w:r>
      <w:r w:rsidRPr="00A6019F">
        <w:t xml:space="preserve">2.5 standard deviations above the mean for healthy children. Pubertal delay is not necessarily pathologic and may be a variant of normal pubertal development in some children. Delayed puberty has been associated with lower peak bone mass, higher risk for metabolic and cardiovascular disorders, and lower risk for breast and endometrial cancer in women. Delayed puberty is more common in boys than in girls. There are four main categories of delayed puberty: (1) self-limited delayed puberty (previously called constitutional delay of puberty) (~60% of cases); (2) functional hypogonadotropic hypogonadism caused by systemic illness, malnutrition, or eating disorders (~20% of cases); (3) hypogonadotropic hypogonadism caused by congenital or acquired defects in the hypothalamic-pituitary region (~10% of cases); and (4) hypogonadism secondary to primary gonadal failure (~15% of cases) (Table 403-1). The self-limited delayed puberty is the most common cause that accounts for nearly two-thirds of boys and one-third of girls with delayed puberty. The self-limited puberty clusters in families and displays a complex inheritance pattern, having an autosomal domi nant pattern of inheritance in some families, but autosomal recessive, X-linked, or bilineal pattern in other families. Self-limited delayed puberty and congenital hypogonadotropic hypogonadism share simi larities in their clinical presentation but differ in their clinical course and treatment. In boys with self-limited delayed puberty, pubertal progression will occur eventually, while in those with congenital hypogonadotropin hypogonadism, hormone treatment will be needed to induce secondary sex characteristics. Genetic studies of patients with congenital hypogonadotropic hypogonadism have identified &gt;65 genes that are involved in regulating one or more of the following: (1) development and migration of GnRH neurons (e.g., ANOS1, PROK2, PROK2R, FGFR1, FGF8, FGF17, WDR11, and CHD7); (2) regulation of GnRH secretion (KISS1, KISS1R, TAC3, and TACR3); and (3) GnRH function (e.g., GNRH1, RNRHR). The mutations in some of these genes are associated with dysmorphic features or occur as a part of a syndromic constellation that can facilitate their identification. Some of the genes associated with self-limited delayed puberty are found uniquely in kindreds of children with this disorder, while others are similar to those found in families with congenital hypogonadotropic hypogonadism. Furthermore, 10 to 20% of children with congenital </w:t>
      </w:r>
      <w:r w:rsidRPr="00A6019F">
        <w:lastRenderedPageBreak/>
        <w:t xml:space="preserve">hypogonadotropic hypogonadism may experience spontaneous resto ration of GnRH and gonadotropin secretion in adulthood. Functional hypogonadotropic hypogonadism is more common in girls than in boys. Permanent causes of congenital hypogonadotropic hypogonadism or primary testicular failure are identified in 2.5 cm generally indicates that the child has entered puberty. The main diagnostic challenge is to distinguish those with self limited delayed puberty, who will progress through puberty at a later age, from those with congenital hypogonadotropic hypogo nadism as both conditions present with low testosterone and low gonadotropin levels, delayed bone age and short stature. Pituitary priming by pulsatile GnRH is required before LH and FSH are synthesized and secreted normally. Thus, blunted responses to exogenous GnRH can be seen in patients with self-limited delayed puberty, congenital hypogonadotropic hypogonadism, or pituitary disorders. On the other hand, low-normal basal gonadotropin lev els or a normal response to exogenous GnRH is consistent with an early stage of puberty, which is often heralded by nocturnal GnRH secretion. The presence of micropenis or history of cryptorchidism are more suggestive of congenital hypogononadotropic hypogonad ism. However, self-limited delayed puberty remains a diagnosis of exclusion that requires ongoing evaluation until the onset of puberty and the growth spurt. TREATMENT Delayed Puberty A major challenge in the treatment of children with delayed puberty is to determine whether and when to initiate hormonal treatment. Reassurance without hormonal treatment is appropriate for many individuals with presumed self-limited delayed puberty. However, the impact of delayed growth and pubertal progression on a child’s social relationships and school performance should be weighed. 3111 Boys with self-limited delayed puberty are less likely to achieve their full genetic height potential and have reduced total body bone mass as adults, mainly due to narrow limb bones and vertebrae as a result of impaired periosteal expansion during puberty. Furthermore, the time of onset of puberty is negatively associated with bone mineral content and density in boys at skeletal maturity. Judicious use of testosterone therapy in carefully selected boys with self-limited delayed puberty can induce pubertal induction and progression and promote short-term growth without compromising final height, and when administered with an aromatase inhibitor, it may improve final height. If therapy is considered appropriate, it can begin with 25–50 mg of testosterone enanthate or testosterone cypionate every 2–4 weeks or by using a 2.5-mg testosterone patch or 25-mg testosterone gel. Because aromatization of testosterone to estrogen is obligatory for mediating androgen effects on epiphyseal fusion, concomi tant treatment with aromatase inhibitors may allow attainment of greater final adult height. Testosterone treatment should be inter rupted after 6 months to determine if endogenous LH and FSH secretion have ensued. Other causes of delayed puberty should be considered when there are associated clinical features or when boys do not enter puberty spontaneously after a year of observation or treatment. Boys with confirmed congenital hypogonadotropic hypogonad ism require an earlier institution of hormonal treatment than those with self-limited delayed </w:t>
      </w:r>
      <w:r w:rsidRPr="00A6019F">
        <w:lastRenderedPageBreak/>
        <w:t xml:space="preserve">puberty. Optimization of future fertility potential may require initial treatment with hCG to induce develop ment of secondary sex characteristics as well as spermatogenesis to enable harvesting and cryopreservation of sperm. DISORDERS OF THE MALE REPRODUCTIVE AXIS DURING ADULTHOOD </w:t>
      </w:r>
      <w:r w:rsidRPr="00A6019F">
        <w:rPr>
          <w:rFonts w:ascii="Arial" w:hAnsi="Arial" w:cs="Arial"/>
        </w:rPr>
        <w:t>■</w:t>
      </w:r>
      <w:r w:rsidRPr="00A6019F">
        <w:t xml:space="preserve">HYPOGONADOTROPIC HYPOGONADISM Because LH and FSH are trophic hormones for the testes, impaired secretion of these pituitary gonadotropins results in secondary hypo gonadism, which is characterized by low testosterone in the setting of low or inappropriately normal LH and FSH. Hypogonadotropic hypogonadism can be classified into congenital and acquired disorders. Congenital disorders most commonly involve GnRH deficiency, which leads to gonadotropin deficiency. Acquired disorders are more com mon than congenital disorders and may result from sellar mass lesions, infiltrative diseases of the hypothalamus or pituitary, drugs, nutritional or psychiatric disorders, or systemic diseases. Those with the most severe congenital gonadotropin deficiency have complete absence of pubertal development, and, in some cases, hypospadias, undescended TABLE 403-2 Causes of Congenital Hypogonadotropic Hypogonadism GENE LOCUS INHERITANCE testes, and micropenis. Patients with congenital or prepubertal onset of partial gonadotropin deficiency have delayed or arrested sex develop ment. The 24-h LH secretory profiles are heterogeneous in patients with hypogonadotropic hypogonadism, reflecting variable abnormali ties of LH pulse frequency or amplitude. In severe cases, basal LH is low, and there are no LH pulses. A smaller subset of patients has low amplitude LH pulses or markedly reduced pulse frequency. Occasion ally, only sleep-entrained LH pulses occur, reminiscent of the pattern seen in the early stages of puberty. Congenital Disorders Associated with Gonadotropin Defi ciency (See Chap. 391) Congenital hypogonadotropic hypo gonadism is a heterogeneous group of disorders characterized by decreased gonadotropin secretion and testicular dysfunction either due to impaired function of the GnRH pulse generator or the gonadotrope. The disorders characterized by GnRH deficiency represent a family of monogenic or oligogenic disorders whose phenotype spans a wide spectrum. Some individuals with GnRH deficiency may suffer from complete absence of pubertal development, while others may mani fest varying degrees of gonadotropin deficiency and pubertal delay, and a subset that carries the same mutations as their affected family members may even have normal reproductive function. In ~10% of men with congenital isolated hypogonadotropic hypogonadism (IHH), reversal of gonadotropin deficiency may occur in adult life after sex steroid therapy. Also, a small fraction of men with IHH may present with testosterone deficiency and infertility in adult life after having gone through apparently normal pubertal development. Nutritional, emotional, or metabolic stress may unmask gonadotropin deficiency and reproductive dysfunction (e.g., hypothalamic amenorrhea) in some patients who harbor mutations in the candidate genes but who previously had normal reproductive function. Oligogenicity and gene gene and gene-environment interactions may contribute to variations in clinical phenotype. Mutations in &gt;60 genes </w:t>
      </w:r>
      <w:r w:rsidRPr="00A6019F">
        <w:lastRenderedPageBreak/>
        <w:t xml:space="preserve">involved in the development and migration of GnRH neurons (e.g., ANOS1, PROK2, PROK2R, FGFR1, FGF8, FGF17, WDR11, CHD7), GnRH secretion (KISS1, KISS1R, TAC3, TACR3), or GnRH function (e.g., GNRH1, RNRHR) have been linked to congenital IHH. The genetic defect remains elusive in nearly two thirds of cases. Familial hypogonadotropic hypogonadism can be transmitted as an X-linked (20%), autosomal recessive (30%), or auto somal dominant (50%) trait. Some individuals with IHH have sporadic mutations in the same genes that cause inherited forms of the disorder. The genetic defects associated with GnRH deficiency can be classi fied as anosmic (Kallmann syndrome) or normosmic (Table 403-2), although the occurrence of both anosmic and normosmic forms of GnRH deficiency in the same families suggests commonality of pathophysiologic mechanisms. Kallmann syndrome, the anosmic form CHAPTER 403 Disorders of the Testes and Male Reproductive System ASSOCIATED FEATURES A. Hypogonadotropic Hypogonadism due to GnRH Deficiency A1. GnRH Deficiency Commonly Associated with Hyposmia or Anosmia ANOS1 (KAL1) NELF (NCMF) FGF8 FGF17 FGFR1 PROK2 PROKR2 CHD7 FEZ1 WDR11 SOX10 Xp22 9q34.3 10q24 8p21.3 8p11-p12 3p21 20p12.3 8q12.1  8p22 X-linked AR AR AR AD AR AR Anosmia, renal agenesis, synkinesia, cleft lip/palate, oculomotor/visuospatial defects, gut malformations Anosmia, hypogonadotropic hypogonadism (some may be normosmic) Anosmia (some patients may be normosmic) Anosmia (some patients may be normosmic), skeletal abnormalities Anosmia, cleft lip/palate, synkinesia, syndactyly Anosmia/sleep dysregulation Variable Anosmia, other features of CHARGE syndrome AR 10q26 22q13  HS6ST1 2q14 AD Complex Anosmia, olfactory bulb aplasia Anosmia Deafness (Wardenburg Syndrome) Anosmia (Continued) 3112 PART 12 Endocrinology and Metabolism TABLE 403-2 Causes of Congenital Hypogonadotropic Hypogonadism GENE LOCUS INHERITANCE ASSOCIATED FEATURES TUBB3 Tubulin β 3 AR Anosmia DUSP6 12q21.33 AR Anosmia GLCE 15q23 AR Anosmia (some patients may be normosmic) FLRT3 20p12.1 AR Anosmia (some patients may be normosmic) SPRY4 5q31.3 AR Anosmia (some patients may be normosmic) IL17RD 3p14.3 AR Anosmia SEMA3A 7q21.11 Anosmia SEMA7A 15q24.1 Anosmia as well as normosmia SEMA3E 7q21.11 Anosmia PLXNA1 3q21.3 Anosmia as well as normosmia DCC 18q21.2 AR Anosmia NTN1 17p13.1 AR Anosmia KLB 4p14 AR Metabolic disorders A2. GnRH Deficiency with Normal Sense of Smell GNRHR 4q21 AR None GnRH1 8p21 AR None KISS1 1q32.1 AR None KISS1R 19p13 AR None TAC3 12q13 AR Microphallus, cryptorchidism, reversal of GnRH deficiency TAC3R 4q25 AR Microphallus, cryptorchidism, reversal of GnRH deficiency LEPR 1p31 AR Obesity LEP 7q31 AR Obesity DMXL2 15q21.2 AR Polyendocrine polyneuropathy syndrome OTUD4 4q31.21 AR Ataxia (Gordon Holmes syndrome) RNF216 7p22.1 AR Ataxia (Gordon Holmes syndrome) STUB1 16p13.3 AR Ataxia POLR3B 12q23.3 AR Ataxia (hypomyelinating leukodystrophy-8 with hypogonadotropic hypogonadism [4H] syndrome) PNPLA6 19p13.2 AR Ataxia (Laurence-Moon syndrome) NR0B1 (Dax1) Xp21.2 X-linked Primary adrenal failure CCDC141 2q31.2 AR Normosmia IGSF10 3q25.1 AR Reversible and </w:t>
      </w:r>
      <w:r w:rsidRPr="00A6019F">
        <w:lastRenderedPageBreak/>
        <w:t xml:space="preserve">normosmic form of hypogonadotropic hypogonadism RNF216 7p22.1 AR Atxia, dementia, and hypogonadotropic hypogonadism (Gordon Holmes syndrome) B. Hypogonadotropic Hypogonadism Not Due to GnRH Deficiency PCSK1 5q15-21 AR Obesity, diabetes mellitus, ACTH deficiency HESX1 3p21 AR Septo-optic dysplasia, CPHD LHX3 9q34 AR CPHD (ACTH spared), cervical spine rigidity PROP1 5q35 AR CPHD (ACTH usually spared) FSHb 11p13 AR ↑ LH LHb 19q13 AR ↑ FSH SF1 (NR5A1) 9p33 AD/AR Primary adrenal failure, XY sex reversal Abbreviations: ACTH, adrenocorticotropic hormone; AD, autosomal dominant; AR, autosomal recessive; CCDC141, coiled-coil domain containing 141; CHARGE syndrome, eye coloboma, heart defects, choanal atresia, growth and developmental retardation, genitourinary anomalies, ear anomalies; CPHD, combined pituitary hormone deficiency; DAX1, dosage-sensitive sex-reversal, adrenal hypoplasia congenita, X chromosome; DCC, deleted in colon cancer; DMXL2, DMX like 2; DUSP6, dual specificity phosphatase 6; FGFR1, fibroblast growth factor receptor 1; FGF17, fibroblast growth factor 17; FSHb, follicle-stimulating hormone β-subunit; FLRT3, fibronectin like domain containing leucine rich transmembrane protein 3; GH, growth hormone; GLCE, glucuronic acid epimerase; GNRHR, gonadotropin-releasing hormone receptor; GPR54, G protein coupled receptor 54; HESX1, homeobox gene expressed in embryonic stem cells 1; IGSF10, immunoglobulin superfamily member 10; KAL1, Kallmann syndrome interval gene 1, also known as anosmin 1; KISS1, kisspeptin 1; KLB, klotho-1; LEP, leptin; LEPR, leptin receptor; LHX3, LIM homeobox gene 3; LHb, luteinizing hormone β-subunit; NELF, nasal embryonic luteinizing hormone–releasing hormone factor; NSMF, NMDA receptor synaptonuclear signaling and neuronal migration factor; NR0B1, nuclear receptor subfamily 0, group B, member 1; NTN1, netrin-1; OTUD4, OUT domain containing protein 4; PCSK1, proprotein convertase subtilisin/kexin type 1; PLXNA1, plexin A1; PNPLA6, patatin-like phospholipase domain-containing protein 6; PC1, prohormone convertase 1; PROK2, prokineticin 2; PROKR2, prokineticin 2 receptor; PROP1, prophet of pit 1; RNF216, ring finger protein 216; POLR3B, polymerase III RNA subunit B; SEMA3A, semaphorin 3A; SEMA7A, semaphorin 7A; SEMA3E, semoaphorin 3E; SF1, steroidogenic factor 1; SPRY4, sprouty RTK signaling antagonist 4; STUB1, srip 1 homologous and U box containing protein 1; TUBB3, tubulin beta 3; IL17RD, interleukin 17 receptor D. (Continued) of GnRH deficiency, can result from mutations in one or more neuro developmental genes associated with olfactory bulb morphogenesis or the migration of GnRH neurons from their origin in the region of the olfactory placode, along the scaffold established by the olfactory nerves, through the cribriform plate into their final location into the preoptic region of the hypothalamus. Thus, mutations in KAL1, NMDA recep tor synaptonuclear signaling and neuronal migration factor (NSMF), genes involved in fibroblast growth factor (FGF) signaling (FGF8, FGFR1, FGF17, IL17RD, DUSP6, SPRY4, and FLRT3), NELF, genes involved in PROK signaling (PROK2 and PROK2R), WDR11, SOX10, TUBB3 SEMA3, HS6ST1, CHD7, and FEZF1 have been described in patients with Kallmann syndrome; among these mutations in ANOS1, </w:t>
      </w:r>
      <w:r w:rsidRPr="00A6019F">
        <w:lastRenderedPageBreak/>
        <w:t xml:space="preserve">CHD7, FGF8, FGFR1, PRROK2, and PROLR2 are the most common. An X-linked form of IHH is caused by mutations in the ANOS1 gene, 3113 which encodes anosmin, a protein that mediates the migration of neu ral progenitors of the olfactory bulb and GnRH-producing neurons. These individuals have GnRH deficiency and variable combinations of anosmia or hyposmia. Proteins such as those involved in FGF and prokineticin signaling and KAL1, which account for the great majority of Kallmann syndrome cases, interact with heparin sulfate glycosami noglycan compounds within the extracellular matrix in supporting GnRH neuronal migration. Mutations in the FGFR1 gene cause an autosomal dominant form of hypogonadotropic hypogonadism that clinically resembles Kallmann syndrome; mutations in its putative ligand, the FGF8 gene product, have also been associated with IHH. Craniofacial tissues and olfactory ensheathing cells also play important roles in neurogenesis and migration of the GnRH neurons, and addi tional proteins that regulate these cell types may also be involved in the pathogenesis of Kallmann syndrome. The co-occurrence of tooth anomalies, cleft palate, craniofacial anomalies, pigmentation, and neu rologic defects in patients with Kallmann syndrome suggests that the syndrome may be a part of the spectrum of neurocristopathies. Other dysmorphic features associated with some forms of IHH include renal agenesis, hearing loss, synkinesia, short metacarpals, eye movement abnormalities, cerebellar ataxia, and dental agenesis. The presence of these dysmorphic features can offer clues to the underlying genetic abnormality and guide genetic testing. Normosmic GnRH deficiency results from defects in pulsatile GnRH secretion, its regulation, or its action on the gonadotrope and has been associated with mutations in GnRHR, GNRH1, KISS1R, TAC3, TACR3, NROB1 (DAX1), leptin, or leptin receptor. Some mutations, such as those in PROK2, PROKR2, NSMF, FGFR1, FGF8, SEMA3A, WDR11, and CHD7, have been associated with both anosmic and normosmic forms of IHH; it is possible that these genes are involved in GnRH neuronal migration as well in regulation of GnRH secretion. GnRHR mutations, the most frequent identifiable cause of normosmic IHH, account for ~40% of autosomal recessive and 10% of sporadic cases of hypogonadotropic hypogonadism. These patients have decreased LH response to exogenous GnRH. Some receptor mutations alter GnRH binding affinity, allowing apparently normal responses to pharmaco logic doses of exogenous GnRH, whereas other mutations may alter signal transduction downstream of hormone binding. Mutations of the GnRH1 gene have also been reported in patients with hypogonado tropic hypogonadism, although they are rare. The G protein–coupled receptor KISS1R (GPR54) and its cognate ligand, kisspeptin (KISS1), are important regulators of sexual maturation in primates. Recessive mutations in GPR54 cause gonadotropin deficiency without anosmia. The genes encoding NKB (TAC3), which is involved in preferential activation of GnRH release in early development, and its receptor (TAC3R) have been implicated in some families with normosmic IHH. The tachykinin pathway plays an important role in GnRH activation during “mini-puberty” as well as in puberty. Prokineticin 2 (PROK2) and its receptor (PROK2R) are highly expressed in the olfactory ven tricle and subventricular zone of the </w:t>
      </w:r>
      <w:r w:rsidRPr="00A6019F">
        <w:lastRenderedPageBreak/>
        <w:t xml:space="preserve">lateral ventricle and are associated with neurogenesis of the olfactory bulbs and the migration of the olfac tory neuronal cells. Mutations in the CHD7 gene that encodes for the chromodomain helicase DNA binding protein 7 causes CHARGE syn drome characterized by eye coloboma, heart anomalies, choanal atre sia, growth and developmental retardation, genitourinary anomalies, hypogonadism, and ear abnormalities. X-linked hypogonadotropic hypogonadism also occurs in adrenal hypoplasia congenita, a disorder caused by mutations in the DAX1 gene, which encodes a nuclear recep tor in the adrenal gland and reproductive axis. Adrenal hypoplasia congenita is characterized by absent development of the adult zone of the adrenal cortex, leading to neonatal adrenal insufficiency. Puberty usually does not occur or is arrested, reflecting variable degrees of gonadotropin deficiency. Although sexual differentiation is normal, some patients have testicular dysgenesis and impaired spermatogenesis despite gonadotropin replacement. Less commonly, adrenal hypoplasia congenita, sex reversal, and hypogonadotropic hypogonadism can be caused by mutations of steroidogenic factor 1 (SF1). Rarely, recessive mutations in the LHβ or FSHβ genes have been described in patients with selective deficiencies of these gonadotropins. A number of homeodomain transcription factors are involved in the development and differentiation of the specialized hormone producing cells within the pituitary gland (Table 403-2). Patients with mutations of PROP1 have combined pituitary hormone deficiency that includes GH, prolactin (PRL), thyroid-stimulating hormone (TSH), LH, and FSH, but not ACTH. LHX3 mutations cause combined pitu itary hormone deficiency in association with cervical spine rigidity. HESX1 mutations cause septo-optic dysplasia and combined pituitary hormone deficiency. Mutations of ARNT1, inherited as an autosomal recessive disorder, are associated with diabetes insipidus; ACTH, GH, LH, and FSH deficiency; anterior pituitary hypoplasia; hypoplastic frontal and temporal lobes; thin corpus callosum; prominent forehead; and retrognathia. Patients with SOX2 mutations can have gonado tropin deficiency, variable deficiencies of TSH and ACTH, pituitary hypoplasia, microphthalmia, and intellectual disability. Prader-Willi syndrome (PWS) is a genomic imprinting disor der caused by deletions of the proximal portion of the paternally derived chromosome 15q11-15q13 region, which contains a bipartite imprinting center (65–75%); uniparental disomy of the maternal alleles (20–30%); or mutations of the genes/loci involved in imprint ing (1–3%) (Chap. 479). The imprinting gene implicated in PWS is a ubiquitin pathway gene known as UBE3A, for which the maternal allele is normally expressed while the paternal allele is silenced. PWS is characterized by obesity, hypotonic musculature, intellectual disability, hypogonadism, short stature, and small hands and feet. Some of the major manifestations of PWS may be due to reduced expression of prohormone convertase 1. Laurence-Moon syndrome is an autosomal recessive disorder char acterized by obesity, hypogonadism, mental retardation, polydactyly, and retinitis pigmentosa. Recessive mutations of leptin, or its receptor, cause severe obesity and pubertal arrest, apparently because of hypo thalamic GnRH deficiency (Chap. 413). Acquired Hypogonadotropic </w:t>
      </w:r>
      <w:r w:rsidRPr="00A6019F">
        <w:lastRenderedPageBreak/>
        <w:t xml:space="preserve">Disorders • SEVERE ILLNESS, STRESS, MALNUTRITION, AND EXERCISE These may cause revers ible gonadotropin deficiency. Although gonadotropin deficiency and reproductive dysfunction are well documented in these conditions in women, men exhibit similar but less pronounced responses. Unlike women, most male runners and other endurance athletes have normal gonadotropin and sex steroid levels, despite low body fat and frequent intensive exercise. Testosterone levels fall at the onset of illness and recover during recuperation. The magnitude of gonadotropin sup pression generally correlates with the severity of illness. Although hypogonadotropic hypogonadism is the most common cause of tes tosterone deficiency in patients with acute illness, some have elevated levels of LH and FSH, which suggests primary gonadal dysfunction. The pathophysiology of reproductive dysfunction during acute illness is unknown but likely involves the combined effects of reductive stress, inflammation, cytokines, and/or glucocorticoid effects. There is a high frequency of low testosterone levels in patients with chronic illnesses such as HIV infection, end-stage renal disease, chronic obstructive lung disease, and many types of cancer and in patients receiving glu cocorticoids. About 20% of HIV-infected men with low testosterone levels have elevated LH and FSH levels; these patients presumably have primary testicular dysfunction. The remaining 80% have either normal or low LH and FSH levels; these men have a central hypothalamic pituitary defect or a dual defect involving both the testis and the hypothalamic-pituitary centers. Muscle wasting is common in chronic diseases associated with hypogonadism, which also leads to debility, poor quality of life, and adverse outcome of disease. CHAPTER 403 Disorders of the Testes and Male Reproductive System Men using opioids for relief of cancer or noncancerous pain or because of addiction often have suppressed testosterone and LH levels and high prevalence of sexual dysfunction and osteoporosis; the degree of suppression is dose-related and particularly severe with long-acting opioids such as methadone. Exogenous opioids bind to the κ-opioid receptors on the KNDy neurons, suppress GnRH secretion, and alter the sensitivity to feedback inhibition by gonadal steroids. Heavy marijuana use has been associated with reduced sperm density, motil ity, morphology, and capacitation, and increased risk of subfertility. 3114 The effects of marijuana use on circulating testosterone levels have been inconsistent in humans. Gynecomastia observed in marijuana users can be caused by plant estrogens in crude preparations. Androgen deprivation therapy in men with prostate cancer has been associated with increased risk of bone fractures, diabetes mellitus, cardiovascular events, fatigue, sexual dysfunction, tender gynecomastia, and poor quality of life. PART 12 Endocrinology and Metabolism OBESITY In men with mild to moderate obesity, SHBG levels decrease in proportion to the degree of obesity, resulting in lower total testos terone levels. However, free testosterone levels usually remain within the normal range. SHBG production in the liver is inhibited by hepatic lipids and by tumor necrosis factor α and interleukin 1, but it is not affected by insulin. Thus, the low SHBG levels seen in obesity and dia betes are likely the result of low-grade inflammation and the increased </w:t>
      </w:r>
      <w:r w:rsidRPr="00A6019F">
        <w:lastRenderedPageBreak/>
        <w:t xml:space="preserve">amount of hepatic lipids rather than high insulin levels. Inflamma tion and gliosis in the pituitary, hypothalamic leptin resistance, and increased estradiol levels because of aromatization of testosterone to estradiol in adipose tissue may impair hypothalamic-pituitary func tion; obesity also may directly affect testicular function. Weight gain in adult men can accelerate the rate of age-related decline in testosterone levels. Weight loss is associated with reversal of these abnormalities including an increase in total and free testosterone levels and a decrease in estradiol levels. HYPERPROLACTINEMIA (See also Chap. 392) Elevated PRL levels are associated with hypogonadotropic hypogonadism. PRL inhibits hypothalamic GnRH secretion either directly or through modulation of tuberoinfundibular dopaminergic pathways and also attenuates LH and FSH response to GnRH. A PRL-secreting tumor may also destroy the surrounding gonadotropes by invasion or compression of the pitu itary stalk. Treatment with dopamine agonists reverses gonadotropin deficiency, although there may be a delay relative to PRL suppression. SELLAR MASS LESIONS Neoplastic and nonneoplastic lesions in the hypothalamus or pituitary can directly or indirectly affect gonadotrope function. In adults, pituitary adenomas constitute the largest category of space-occupying lesions affecting gonadotropin and other pituitary hormone production. Pituitary adenomas that extend into the supra sellar region can impair GnRH secretion and mildly increase PRL secretion (usually 300 ng/mL for men) and transferrin saturation (&gt;45%, threshold varies in different guidelines). </w:t>
      </w:r>
      <w:r w:rsidRPr="00A6019F">
        <w:rPr>
          <w:rFonts w:ascii="Arial" w:hAnsi="Arial" w:cs="Arial"/>
        </w:rPr>
        <w:t>■</w:t>
      </w:r>
      <w:r w:rsidRPr="00A6019F">
        <w:t xml:space="preserve">PRIMARY TESTICULAR CAUSES OF HYPOGONADISM Common causes of primary testicular dysfunction include Klinefelter syndrome, uncorrected cryptorchidism, cancer chemotherapy, radia tion to the testes, trauma, torsion, infectious orchitis, HIV infection, anorchia syndrome, and myotonic dystrophy. Primary testicular dis orders may be associated with impaired spermatogenesis, decreased androgen production, or both. See Chap. 402 for disorders of testis development, androgen synthesis, and androgen action. Klinefelter Syndrome (See also Chap. 402) Klinefelter syndrome is the most common chromosomal disorder associated with 47,XXY karyotype, testicular dysfunction, and male infertility. It occurs in about 1 in 600 live-born males. Azoospermia is the rule in men with Klinefelter syndrome who have the 47,XXY karyotype due to the pro gressive loss of 47,XXY spermatogonial stem cells; however, men with mosaicism (46,XY/47,XXY) and even some with 47,XXY karyotype may have germ cells, especially at a younger age. The clinical phe notype of Klinefelter syndrome can be variable, possibly because of mosaicism, polymorphisms in AR gene, the parental origin of the X chromosome, X-linked copy number variations, gene-dosage effects in conjunction with X chromosome inactivation, variable testosterone levels, and variable changes in the transcriptome and methylome in various tissues. Testicular histology shows hyalinization of seminif erous tubules and germ cell aplasia. However, spermatogenesis can be observed in a small number of tubules from which sperm can be harvested during testicular sperm extraction for IVF. Although their function is impaired, the number of Leydig cells appears to increase. Testosterone is decreased and estradiol is </w:t>
      </w:r>
      <w:r w:rsidRPr="00A6019F">
        <w:lastRenderedPageBreak/>
        <w:t xml:space="preserve">increased, leading to clinical features of undervirilization and gynecomastia. Men with Klinefel ter syndrome are at increased risk of systemic lupus erythematosus, Sjögren’s syndrome, breast cancer, diabetes mellitus, osteoporosis, non Hodgkin’s lymphoma, and some types of lung cancers and at reduced risk of prostate cancer. Periodic mammography for breast cancer sur veillance is recommended for men with Klinefelter syndrome. Fertility can be achieved by intracytoplasmic injection of sperm retrieved surgi cally from the testes of men with Klinefelter syndrome, including some men with nonmosaic form of Klinefelter syndrome. Although sperm retrieval in adolescence for fertility preservation offers no benefit over harvesting in adulthood, fertility counseling, including the potential for sperm retrieval, should be offered prior to starting testosterone replacement therapy. The karyotypes 48,XXXY and 49,XXXXY are associated with a more severe phenotype, increased risk of congenital malformations, and lower intelligence than 47,XXY individuals. Cryptorchidism Cryptorchidism occurs when there is incomplete descent of the testis from the abdominal cavity into the scrotum. About 1–4% of full-term and 30% of premature male infants have at least one undescended testis at birth, but descent is usually complete by the first few weeks of life. Fifty percent of undescended testes at birth will descend spontaneously within the first 6–18 months of life. Consequently, the incidence of cryptorchidism is 2.0 Gy are generally associated with permanent azoosper mia. Leydig cells are relatively resistant to the effects of radiation and only doses &gt;20 Gy are associated with Leydig cell dysfunction and increased FSH and LH levels. Permanent testosterone deficiency in adult men is uncommon after therapeutic radiation; however, most boys given direct testicular radiation therapy for acute lymphoblastic leukemia have permanently low testosterone levels. Direct testicular radiation and whole-body radiation before bone marrow transplanta tion pose the greatest risk of permanent testicular damage. Combination chemotherapy for acute leukemia, Hodgkin’s disease, and testicular and other cancers may impair Leydig cell function and cause infertility. The degree of gonadal dysfunction depends on the type of chemotherapeutic agent and the dose and duration of therapy. Because of the high response rates and the young age of these men, infertility and testosterone deficiency have emerged as important long-term complications of cancer chemotherapy. Cyclophosphamide, procarbazine, ifosfamide, busulfan, chlorambucil, chlormethine cispla tin, carboplatin, and doxorubicin are associated with moderate to high risk of infertility. Azoospermia is uncommon with cyclophosphamide equivalent doses of 4 cm in diameter and often tender. Glandular tissue enlargement should be distinguished from excess adipose tissue: glandular tissue is firmer and contains fibrous-like cords. Gynecomas tia occurs as a normal physiologic phenomenon in the newborn (due to transplacental transfer of maternal and placental estrogens), during puberty (high estrogen-to-androgen ratio in early stages of puberty), and with aging (increased fat tissue and increased aromatase activity along with the age-related decline in testosterone levels), but it can also result from pathologic conditions associated with testosterone defi ciency or estrogen excess. </w:t>
      </w:r>
      <w:r w:rsidRPr="00A6019F">
        <w:lastRenderedPageBreak/>
        <w:t xml:space="preserve">The prevalence of gynecomastia increases with age and body mass index (BMI), likely because of increased aromatase activity in adipose tissue. Medications that alter androgen metabolism or action may also cause gynecomastia. The relative risk of breast cancer is increased in men with gynecomastia, although the absolute risk is relatively small. 3116 </w:t>
      </w:r>
      <w:r w:rsidRPr="00A6019F">
        <w:rPr>
          <w:rFonts w:ascii="Arial" w:hAnsi="Arial" w:cs="Arial"/>
        </w:rPr>
        <w:t>■</w:t>
      </w:r>
      <w:r w:rsidRPr="00A6019F">
        <w:t xml:space="preserve">PATHOLOGIC GYNECOMASTIA PART 12 Endocrinology and Metabolism Any cause of androgen deficiency can lead to gynecomastia, reflecting an increased estrogen/androgen ratio, as estrogen synthesis still occurs by aromatization of residual adrenal and gonadal androgens. Gyneco mastia is a characteristic feature of Klinefelter syndrome (Chap. 402). Androgen insensitivity disorders also cause gynecomastia. Androgen deprivation therapy using GnRH analogues with and without androgen receptor blockers in men with prostate cancer is often associated with painful breast enlargement. Excess estrogen production may be caused by tumors, including Leydig cell tumors; Sertoli cell tumors in isolation or in association with Peutz-Jeghers syndrome or Carney complex; granulosa cell tumors; and adrenal tumors producing estrogen precur sors. Tumors that produce hCG, including some testicular germ cell tumors, stimulate Leydig cell estrogen synthesis. Increased conversion of androgens to estrogens can be a result of increased availability of substrate (androstenedione) for extraglandular estrogen formation (CAH, hyperthyroidism, and most feminizing adrenal tumors) or of diminished catabolism of androstenedione (liver disease) so that estro gen precursors are shunted to aromatase in peripheral sites. Obesity is associated with increased aromatization of androgen precursors to estrogens. Extraglandular aromatase activity can also be increased in tumors of the liver or adrenal gland or rarely as an inherited disorder. Several families with increased peripheral aromatase activity inher ited as an autosomal dominant or as an X-linked disorder have been described. In some families with this disorder, a chimeric CYP19 due to an inversion in chromosome 15q21.2-3 causes the CYP19 gene to be activated by the regulatory elements of contiguous genes (e.g., transient Breast enlargement True glandular enlargement Hard tissue, fixed to underlying tissue Recent onset, rapid growth Onset in neonatal or peripubertal period Known causative drugs or diseases readily apparent Longstanding, size 4 cm, cause not apparent, Clinical features of testosterone deficiency, Breast tenderness Small testes receptor potential cation channel subfamily M member 7 [TRPM7], TMOD3, or FLJ14957), resulting in excessive estrogen production in the fat and other extragonadal tissues. The familial aromatase excess syndrome due to CYP19 mutation or chromosomal rearrangement is characterized by pre- or peripubertal onset of gynecomastia, advanced bone age, short adult height due to premature epiphyseal closure, and hypogonadotropic hypogonadism. Peutz-Jeghers syndrome is characterized by intestinal hamartomas, mucocutaneous pigmenta tion, calcifying Sertoli cell tumors, premature epiphyseal closure, and prepubertal gynecomastia due to increased aromatization. Hyperthy roidism is associated with elevated SHBG levels, which increase the free estradiol–to–free testosterone ratio even though total testosterone and estradiol levels are often normal. Drugs can cause gynecomastia by </w:t>
      </w:r>
      <w:r w:rsidRPr="00A6019F">
        <w:lastRenderedPageBreak/>
        <w:t xml:space="preserve">acting directly as estrogenic substances (e.g., oral contraceptives, phytoestrogens, digitalis) or inhibiting androgen synthesis (e.g., GnRH agonists, ketoconazole) or action (e.g., spironolactone, AR blockers such as enzalutamide); for many drugs, such as cimetidine, imatinib, or some antiretroviral drugs for HIV, the precise mechanism is unknown. Unintentional exposure to estrogenic agents in skin care products has been reported as a cause of gynecomastia in prepubertal children. Because up to two-thirds of pubertal boys and about half of hos pitalized men have palpable glandular tissue that is benign, detailed investigation or intervention is not indicated in all men presenting with gynecomastia (Fig. 403-7). In addition to the extent of gyneco mastia, recent onset, rapid growth, tender tissue, and occurrence in a lean subject should prompt more extensive evaluation. This should include a careful drug history, examination of the testes, assessment Increased adipose tissue Mammography with or without additional corroboratory imaging studies and biopsy Follow-up with serial examinations Total and free T, SHBG, LH, FSH, E2, TSH, and hCG Low total and free T, increased E2 to T ratio T deficiency syndrome, further evaluation to determine cause of T deficiency Increased E2, normal or low T, increased E2 to T ratio Increased hCGβ Ultrasound of testes to locate E2 producing tumor, search for other sources of increased E2 Ultrasound of the testis, CT scan of adrenal and chest to locate an hCG producing tumor Very high SHBG, normal or high total T, normal E2 Measure free T and E2, search for a cause of high SHBG FIGURE 403-7 Evaluation of gynecomastia. E2 , 17β-estradiol; FSH, follicle-stimulating hormones; hCGβ, human chorionic gonadotropin β; LH, luteinizing hormone; T, testosterone. 3117 of virilization, evaluation of liver function, and hormonal measure ments including testosterone, estradiol, estrone, androstenedione, LH, and hCG. Markedly elevated estradiol concentrations along with sup pressed LH should prompt a search for a testicular or adrenal estrogen secreting tumor. A karyotype should be obtained in men with very small testes to exclude Klinefelter syndrome. Despite extensive evalua tion, the etiology is established in only a small proportion of patients. TREATMENT Gynecomastia When the primary cause can be identified and corrected shortly after the onset of gynecomastia, breast enlargement usually sub sides over several months. However, if gynecomastia is of long duration, surgery is the most effective therapy. Indications for surgery include severe psychological distress, continued growth or tenderness, failure to respond to medical therapy, or suspected malignancy. In patients who have painful gynecomastia and in whom surgery cannot be performed, treatment with antiestrogens such as tamoxifen (20 mg/d) can reduce pain and breast tissue size in over half the patients. The estrogen receptor antagonists tamoxi fen and raloxifene have been reported in small trials to reduce breast size in men with pubertal gynecomastia, although complete regression of breast enlargement is unusual with the use of estrogen receptor antagonists. Aromatase inhibitors can be effective in the early proliferative phase of the disorder. However, in a randomized trial in men with established gynecomastia, anastrozole proved no more effective than placebo in reducing breast size. Tamoxifen is effective in prevention and treatment of </w:t>
      </w:r>
      <w:r w:rsidRPr="00A6019F">
        <w:lastRenderedPageBreak/>
        <w:t xml:space="preserve">breast enlargement and breast pain in men with prostate cancer who are receiving andro gen deprivation therapy. Long-standing gynecomastia is usually not responsive to drug therapy and requires mammoplasty if it is associated with pain and distress. AGING-RELATED CHANGES IN MALE REPRODUCTIVE FUNCTION A number of cross-sectional and longitudinal studies (e.g., the Balti more Longitudinal Study of Aging, the Framingham Heart Study, the Massachusetts Male Aging Study, and the European Male Aging Study [EMAS]) have established that testosterone concentrations decrease with advancing age. This age-related decline starts in the third decade of life and progresses slowly; the rate of decline in testosterone con centrations is greater in men with obesity, chronic illness, and in those taking medications. Because SHBG concentrations are higher in older men than in younger men, free or bioavailable testosterone concentra tions decline with aging to a greater extent than total testosterone con centrations. The age-related decline in testosterone is due to defects at all levels of the hypothalamic-pituitary-testicular axis: pulsatile GnRH secretion is attenuated, LH response to GnRH is reduced, and testicular response to LH is impaired. However, the gradual rise of LH with aging suggests that testis dysfunction is the main cause of declining androgen levels. The term andropause has been used to denote age-related decline in testosterone concentrations; this term is a misnomer because there is no discrete time when testosterone concentrations decline abruptly. Several epidemiologic studies, such as the Framingham Heart Study, the EMAS, and the Study of Osteoporotic Fractures in Men (MrOS), that used mass spectrometry for measuring testosterone levels have reported ~10% prevalence of low testosterone levels in middle-aged and older men; the prevalence of unequivocally low testosterone and sexual symptoms in men aged 40–70 years in the EMAS was 2.1% and increased with age from 0.1% for men aged 40–49 years of age to 5.1% for those aged 70–79 years. Low total and bioavailable testosterone concentrations have been associated with decreased sexual desire, decreased appendicular skeletal muscle mass and strength, decreased self-reported physical function, higher whole body and visceral fat mass and insulin resistance, and increased risk of type 2 diabetes, coro nary artery disease, and all-cause mortality. An analysis of signs and symptoms in older men in the EMAS revealed a syndromic association of sexual symptoms with total testosterone levels 350 ng/dL Total and/or free T low Total and free T normal Evaluate for other causes of symptoms; follow, if indicated Repeat total T and free T FIGURE 403-8 Evaluation of hypogonadism. FSH, follicle-stimulating hormone; GnRH, gonadotropin-releasing hormone; LH, luteinizing hormone; T, testosterone. distinguish from changes that occur with normal aging. Moreover, testosterone deficiency may develop gradually. When symptoms or clinical features suggest possible testosterone deficiency, the labora tory evaluation is initiated by the measurement of total testosterone in a fasting specimen, preferably in the morning using a reliable assay, such as LC-MS/MS, that has been calibrated to an interna tional testosterone standard (Fig. 403-8). A consistently low total testosterone level below the lower limit of the normal male range, measured by an LC-MS/MS assay </w:t>
      </w:r>
      <w:r w:rsidRPr="00A6019F">
        <w:lastRenderedPageBreak/>
        <w:t xml:space="preserve">in a CDC-certified laboratory, in association with symptoms, is evidence of testosterone deficiency. An early-morning testosterone level &gt;400 ng/dL makes the diagno sis of androgen deficiency unlikely. In men with testosterone levels between 200 and 400 ng/dL, the total testosterone level should be repeated, and a free testosterone level should be measured. In older men and in patients with other clinical states that are associ ated with alterations in SHBG levels, a direct measurement of free testosterone level by equilibrium dialysis is needed to diagnose testosterone deficiency. When testosterone deficiency has been confirmed by the consis tently low testosterone concentrations, LH should be measured to determine whether the patient has primary (high LH) or secondary (low or inappropriately normal LH) hypogonadism. Elevated LH and FSH levels indicate a defect at the testicular level. Common causes of primary testicular failure include Klinefelter syndrome, HIV infection, uncorrected cryptorchidism, cancer chemothera peutic agents, radiation, surgical orchiectomy, or prior infectious orchitis. A karyotype should be performed in men with low tes tosterone and elevated LH to diagnose Klinefelter syndrome. Men who have a low testosterone but “inappropriately normal” or low LH levels have secondary hypogonadism; their defect resides at the hypothalamic-pituitary level. Common causes of acquired second ary hypogonadism include space-occupying lesions of the sella, TESTOSTERONE REPLACEMENT 3119 hyperprolactinemia, chronic illness, hemochromatosis, excessive exercise, and the use of anabolic-androgenic steroids, opioids, marijuana, glucocorticoids, and alcohol. Measurement of PRL and MRI scan of the hypothalamic-pituitary region can help exclude the presence of a space-occupying lesion. Patients in whom known causes of hypogonadotropic hypogonadism have been excluded are classified as having IHH. It is not unusual for congenital causes of hypogonadotropic hypogonadism, such as Kallmann syndrome, to be diagnosed in young adults. TREATMENT Testosterone Deficiency GONADOTROPINS Gonadotropin therapy is used to establish or restore fertility in patients with gonadotropin deficiency of any cause. Several gonad otropin preparations are available. Human menopausal gonado tropin (hMG; purified from the urine of postmenopausal women) contains 75 IU of FSH and 75 IU of LH per vial. hCG (purified from the urine of pregnant women) has minimal FSH activity and resembles LH in its ability to stimulate testosterone production by Leydig cells. Recombinant LH is also available, but its half-life is relatively short (10 h). Treatment is usually begun with hCG alone. If hCG alone does not induce spermatogenesis, hMG is added to promote the FSH-dependent stages of spermatid development. Recombinant human FSH (hFSH) is available and is indistinguish able from purified urinary hFSH in its biologic activity and phar macokinetics in vitro and in vivo, although the mature β subunit of recombinant hFSH has seven fewer amino acids. Recombinant hFSH is available in ampoules containing 75 IU (~7.5 μg FSH), which accounts for &gt;99% of protein content. Once spermatogen esis is restored using combined FSH and LH therapy, hCG alone is often sufficient to maintain spermatogenesis. Although a variety of treatment regimens are used, 1500 IU of hCG </w:t>
      </w:r>
      <w:r w:rsidRPr="00A6019F">
        <w:lastRenderedPageBreak/>
        <w:t xml:space="preserve">administered intramuscularly three times weekly is a reasonable starting dose. Testosterone levels should be measured 6–8 weeks later and 48–72 h after the hCG injection; the hCG dose should be adjusted to achieve testosterone levels in the mid-normal range. Sperm counts should be monitored on a monthly basis. It may take several months for spermatogenesis to be restored; therefore, it is important to forewarn patients about the potential length and expense of the treatment and to provide conservative estimates of success rates. If testosterone levels are in the mid-normal range but the sperm concentrations are low after 6 months of therapy with hCG alone, FSH should be added. This can be done by using hMG, highly purified urinary hFSH, or recombinant hFSH. A common practice is to start with the addi tion of 75 IU FSH three times each week in conjunction with the hCG injections. If sperm densities are still low after 3 months of combined treatment, the FSH dose should be increased to 150 IU. Occasionally, it may take ≥18–24 months for spermatogenesis to be restored. The two best predictors of the success of gonadotropin therapy in hypogonadotropic men are testicular volume at presentation and time of onset of gonadotropin deficiency. In general, men with testicular volumes &gt;8 mL have better response rates than those who have testicular volumes 3 ng/mL, or severe lower urinary tract symptoms (American Urological Association lower urinary tract symptom score &gt;19). Testosterone should not be administered to men with a hypercoagulable condition, baseline hematocrit ≥50%, severe untreated obstructive sleep apnea, or uncontrolled or poorly controlled congestive heart failure, or with myocardial infarction, stroke, or acute coronary syndrome in the preceding 4 months. Monitoring Potential Adverse Experiences The clinical effective ness and safety of TRT should be assessed 3–6 months after initi ating testosterone therapy and annually thereafter (Table 403-5). Potential adverse effects include acne, oiliness of skin, erythrocy tosis, venous thromboembolism, breast tenderness, leg edema, and increased risk of detection of prostate events. In addition, there may be formulation-specific adverse effects such as skin irritation with transdermal patch; risk of gel transfer to a sexual partner with testosterone gels; pain and mood fluctuation with injectable testosterone esters; cough and injection site pain with long-acting TABLE 403-4 Conditions in Which Testosterone Administration Should not be Used or Used with Increased Caution Conditions in which testosterone administration is associated with very high risk of serious adverse outcomes: Metastatic prostate cancer Some types of breast cancers Thrombophilia Conditions in which testosterone administration is associated with moderate to high risk of adverse outcomes and should be used with increased caution and only after further evaluation Undiagnosed prostate nodule or induration PSA &gt;3 Erythrocytosis (hematocrit &gt;50%) Severe lower urinary tract symptoms associated with benign prostatic hypertrophy as indicated by American Urological Association/International prostate symptom score &gt;19 Uncontrolled or poorly controlled congestive heart failure Myocardial infarction, stroke, or acute coronary syndrome in the preceding 4 months Abbreviation: PSA, prostate-specific antigen. CHAPTER 403 Disorders of the Testes and </w:t>
      </w:r>
      <w:r w:rsidRPr="00A6019F">
        <w:lastRenderedPageBreak/>
        <w:t xml:space="preserve">Male Reproductive System 3122 TABLE 403-5 Monitoring Men Receiving Testosterone Therapy 1. Evaluate the patient 3–6 months after treatment initiation and then annually to assess whether symptoms have responded to treatment and whether the patient is suffering from any adverse effects. 2. Monitor testosterone level 3–6 months after initiation of testosterone therapy: • Therapy should aim to raise average serum testosterone level into the mid normal range (~400–750 ng/dL). PART 12 Endocrinology and Metabolism • Injectable testosterone enanthate or cypionate: Measure serum testosterone level midway between injections. If testosterone is &gt;750 ng/dL (26.2 nmol/L) or 54%, stop therapy until hematocrit decreases to a safe level; evaluate the patient for hypoxia and sleep apnea; reinitiate therapy with a reduced dose. 4. Measure bone mineral density of lumbar spine and/or femoral neck after 1–2 years of testosterone therapy in hypogonadal men with osteoporosis or low trauma fracture, consistent with regional standard of care. 5. In men aged ≥55 years, perform digital rectal examination and check PSA level before initiating treatment, at 3–6 months, and then in accordance with guidelines for prostate cancer screening depending on the age and race of the patient. 6. Obtain urologic consultation if there is: • An increase in serum PSA concentration &gt;1.4 ng/mL within the first 12 months after starting testosterone treatment, confirmed by repeating the test. • A PSA level &gt;4 ng/mL any time during treatment, confirmed by repeating the test. • Detection of a prostatic abnormality on digital rectal examination. • Severe lower urinary tract symptoms 7. Evaluate formulation-specific adverse effects at each visit: • Injectable testosterone esters (enanthate, cypionate, and undecanoate): Ask about fluctuations in mood or libido, and rarely cough after injections. • Testosterone gels: Advise patients to cover the application sites with a shirt and to wash the skin with soap and water before having skin-to-skin contact because testosterone gels leave a testosterone residue on the skin that can be transferred to a woman or child who might come in close contact. Serum testosterone levels are maintained when the application site is washed 4–6 h after application of the testosterone gel. • Testosterone undecanoate injection: Observe patients for POME reaction for 30 min after each injection. • Testosterone pellets: Look for signs of infection, fibrosis, or pellet extrusion. • Intranasal testosterone: Look for signs of nasal irritation or scab. Abbreviations: AUA/IPSS, American Urological Association International Prostate Symptom Score; POME, pulmonary oil microembolism; PSA, prostate-specific antigen. testosterone undecanoate; and nasal irritation, epistaxis, and nasal scab with intranasal formulation. In the TRAVERSE trial, a ran domized controlled trial of TRT in middle-aged and older men with hypogonadism, TRT was associated with increased risk of atrial fibrillation, acute kidney injury, and bone fractures. Hemoglobin Levels Administration of testosterone to men with hypogonadism is typically associated with only a small (~3%) increase in hemoglobin levels, due to direct effects of testosterone on hematopoietic progenitors in the bone marrow, stimulation of erythropoietin, suppression of hepcidin, and increased iron avail ability for erythropoiesis. The magnitude of hemoglobin increase during TRT is greater in </w:t>
      </w:r>
      <w:r w:rsidRPr="00A6019F">
        <w:lastRenderedPageBreak/>
        <w:t xml:space="preserve">older men than younger men and in men who have sleep apnea, a significant smoking history, or chronic obstructive lung disease or who live at high altitude. The frequency of erythrocytosis is higher in men with hypogonadism treated with injectable testosterone esters than in those treated with transder mal formulations, presumably due to the higher testosterone dose delivered by the typical regimens of testosterone esters. Erythrocy tosis is a frequent adverse event reported in testosterone trials in middle-aged and older men and is also the most frequent cause of treatment discontinuation in these trials. If hematocrit rises above 54%, testosterone therapy should be stopped until hematocrit has fallen to 1.0 ng/mL over a 3- to 6-month period are unusual. The 90% confidence interval for the change in PSA values in men with benign prostatic hyperplasia, measured 3–6 months apart, is 1.4 ng/mL. Therefore, the Endo crine Society expert panel suggested that an increase in PSA &gt;1.4 ng/mL in the first year after starting TRT, if confirmed, should lead to urologic evaluation. There is considerable test-retest variability in PSA measurements. Therefore, PSA elevations after starting TRT should be confirmed by repeating the PSA test no sooner than 4 weeks after the first test. PSA level &gt;4 ng/mL at any time during treatment, if confirmed by repeat testing, requires further urologic evaluation. Because prostate biopsy has the potential for harm (infection, bleeding, and diagnosis of a low-grade prostate cancer), the institution of PSA monitoring and urologic referral for a prostate biopsy should be a shared decision of the patient and the clinician. Cardiovascular Risk In 2015, the U.S. Food and Drug Admin istration (FDA), because of concerns about the cardiovascular risk of TRT, required the testosterone manufacturers to conduct a randomized controlled trial to compare the effects of TRT versus placebo on cardiovascular events. The TRAVERSE trial, a large pro spective randomized controlled trial, conducted in response to the FDA’s requirement, has provided strong evidence that testosterone treatment does not increase the risk of major cardiovascular events (death due to cardiovascular cause, nonfatal myocardial infarction, or nonfatal stroke) relative to placebo treatment in middle-aged and older men with hypogonadism and preexisting cardiovascular disease or increased risk of cardiovascular disease during a mean follow-up duration of 33 months. The incidence of a secondary composite cardiovascular endpoint that included death due to cardiovascular cause, nonfatal myocardial infarction, nonfatal stroke, or coronary revascularization procedure also did not differ between the testosterone and placebo groups. Testosterone-treated men experienced higher rates of venous thromboembolic events, nonfatal arrythmias clinical bone fractures, and acute kidney injury than placebo-treated men. The TRAVERSE trial also found a small 3123 but statistically significantly greater increase in blood pressure in the testosterone than in the placebo group, similar to the findings of some other studies. Androgen Use by Athletes and Recreational Bodybuilders The illicit use of androgenic-anabolic steroids (AAS) to enhance athletic performance first surfaced in the 1950s among powerlifters and spread rapidly to other sports, professional as well as high school athletes, and recreational bodybuilders. In the early 1980s, the use of AAS spread beyond the athletic </w:t>
      </w:r>
      <w:r w:rsidRPr="00A6019F">
        <w:lastRenderedPageBreak/>
        <w:t xml:space="preserve">community into the general pop ulation, and now, as many as 3–4 million Americans—most of them men—have likely used these compounds. Most AAS users are not athletes, but rather recreational weightlifters, almost all men, who use these drugs to look lean and more muscular. A subset of AAS users suffers from muscle dysmorphia, a form of body image dis order characterized by excessive preoccupation with leanness and muscularity and poor functioning in social and occupational life. A secular transformation of idealized body image toward greater muscularity and leanness has contributed to increasing prevalence of body image disorders and the use of muscle-building anabolic drugs in young men. The most commonly used AAS include testosterone esters, nandrolone, trenbolone, stanozolol, methandienone, boldenone, and methenolone. AAS users generally use large doses of multiple steroids in cycles, a practice known as stacking. AAS users may also typically use other drugs that are perceived to be muscle building or performance enhancing, such as human GH; erythropoiesis stimulating agents; insulin; stimulants such as amphetamine, clen buterol, cocaine, ephedrine, and thyroxine; and drugs perceived to reduce adverse effects such as hCG, aromatase inhibitors, or estrogen antagonists. Recent years have witnessed increasing use of unapproved nonsteroidal SARMs and GH secretagogues purchased from internet sites. Most of the information about the adverse effects of AAS has emerged from case reports, uncontrolled studies, or clinical trials that used replacement doses of testosterone. The adverse event data from clinical trials using physiologic replacement doses of testosterone have been extrapolated unjustifiably to AAS users, who may administer 10–100 times the replacement doses of testosterone over many years, to support the claim that AAS use is safe and manageable. The adverse events associated with AAS use may be due to AAS themselves, concomitant use of other drugs, high-risk behaviors, and host characteristics that may render these individu als more susceptible to AAS use or to other high-risk behaviors. Four categories of adverse events associated with AAS abuse are of particular concern: cardiovascular events, psychiatric disorders, prolonged suppression of the hypothalamic-pituitary-testicular axis, and potential neurotoxicity. The high rates of premature mortality observed in AAS users are alarming. One Finnish study reported 4.6 times the risk of death among elite powerlifters compared with age-matched men from the general population. The causes of death among powerlifters included suicides, myocardial infarction, and liver failure. A retrospective review of patient records in Sweden also reported higher standardized mortality ratios for AAS users than for nonusers and increased death rates due to suicide, homi cide, and accidents. High doses of AAS may induce proatherogenic dyslipidemia, accelerate atherogenesis, increase thrombosis risk via effects on clotting factors and platelets, and induce vasospasm through their effects on vascular nitric oxide. Long-term AAS use may be associated with myocardial hypertrophy and fibrosis. Myocardial tissue of powerlifters using AAS has been shown to be infiltrated with fibrous tissue and fat droplets. Current AAS users display significantly reduced left ventricular systolic and diastolic function compared to previous users and </w:t>
      </w:r>
      <w:r w:rsidRPr="00A6019F">
        <w:lastRenderedPageBreak/>
        <w:t xml:space="preserve">nonusers. Additionally, studies using CT angiography have reported higher coronary artery plaque volume in AAS users than in nonusers. Lifetime AAS dose is strongly associated with coronary atherosclerotic burden. Power athletes using AAS often have short QT intervals but increased QT dispersion, which may predispose them to ventricular arrhythmias. Unlike replacement doses of testosterone, which are associated with only a small decrease in high-density lipoprotein (HDL) cholesterol and little or no effect on total cholesterol, low-density lipoprotein (LDL) cholesterol, and triglyceride levels, supraphysi ologic doses of testosterone and orally administered 17α-alkylated, nonaromatizable AAS are associated with marked reductions in HDL cholesterol and increases in LDL cholesterol. Some AAS users develop hypomanic and manic symptoms (irri tability, aggressiveness, reckless behavior, and occasional psychotic symptoms, sometimes associated with violence) during AAS expo sure, and depression, sometimes associated with suicidality, during AAS withdrawal. Users may also be susceptible to other forms of illicit drug use. Long-term AAS use suppresses LH, FSH, and testosterone levels and spermatogenesis. Men who have used AAS for more than a few months experience marked suppression of the hypothalamic pituitary-testicular (HPT) axis after stopping AAS that may be asso ciated with sexual dysfunction, fatigue, infertility, depressed mood, and even suicidality. In some long-term AAS users, recovery of the HPT axis may take a long time, may be incomplete, or may never occur. The symptoms of testosterone deficiency caused by AAS withdrawal may cause some men to revert back to using AAS, lead ing to continued use and AAS dependence. As many as 30% of AAS users develop a syndrome of AAS dependence, characterized by long-term AAS use despite adverse medical and psychiatric effects. AAS withdrawal hypogonadism has emerged as an important cause of androgen deficiency, accounting for a substantial fraction of testosterone prescriptions in many men’s health clinics; therefore, AAS use should be considered in the differential diagnosis of hypo gonadism in young men. Supraphysiologic doses of testosterone may also impair insulin sensitivity. Orally administered androgens also have been associ ated with insulin resistance and diabetes. AAS users are more likely to engage in high-risk behaviors such as unsafe injection practices and have increased rates of incarcera tion that may render them at increased risk of HIV and hepatitis B and C. AAS users are more likely to report high-risk unprotected anal sex than nonusers. Elevated liver enzymes, cholestatic jaundice, hepatic neoplasms, and peliosis hepatis have been reported with oral, 17α-alkylated AAS. AAS use may cause muscle hypertrophy without compensa tory adaptations in tendons, ligaments, and joints, thus increasing the risk of tendon, ligament, and joint injuries. Upper extremity tendon ruptures are observed predominantly among weightlift ers who use AAS. AAS use is associated with acne, baldness, and increased body hair. APPROACH TO THE PATIENT CHAPTER 403 Disorders of the Testes and Male Reproductive System Androgenic-Anabolic Steroids Use The suspicion of AAS use should be raised by increased hemoglo bin and hematocrit levels, suppressed LH and FSH and testosterone levels, low HDL cholesterol </w:t>
      </w:r>
      <w:r w:rsidRPr="00A6019F">
        <w:lastRenderedPageBreak/>
        <w:t xml:space="preserve">and SHBG levels, and low testicular vol ume and sperm density in a person who looks highly muscular. In AAS users seeking medical attention, evaluation using the Appear ance and Performance Enhancing Drug Use Schedule (APEDUS), a validated semi-structured interview, is sufficient to assess the asso ciated body image or eating disorder, psychiatric symptoms, and the use of AAS and other substances; formal testing for AAS usually is rarely needed in clinical practice. History of AAS use should be obtained in all young men being evaluated for hypogonadism. As AAS use is often associated with the use of other substances, a urine dug screen for other substances is helpful in guiding treatment. If needed, accredited laboratories use gas chromatography–mass spec trometry or liquid chromatography–tandem mass spectrometry to detect anabolic steroid abuse. High-resolution mass spectrometry and tandem mass spectrometry have improved the sensitivity of 3124 PART 12 Endocrinology and Metabolism Pope HG Jr et al: Adverse health consequences of performance enhancing drugs: An Endocrine Society scientific statement. Endocr Rev 35:341, 2014. Snyder PJ et al: Effects of testosterone treatment in older men. N Engl J Med 74:611, 2016. Stamou MI et al: Kallmann syndrome: Phenotype and genotype of hypogonadotropic hypogonadism. Metabolism 86:124, 2018. Travison TG et al: Harmonized reference ranges for circulating testos terone levels in men of four cohort studies in the USA and Europe. J Clin Endocrinol Metab 102:1161, 2017. Zakharov MN et al: A multi-step, dynamic allosteric model of testos terone’s binding to sex hormone binding globulin. Mol Cell Endocri nol 399:190, 2015. detecting AAS use. Illicit testosterone use is detected generally by the measurement of urinary testosterone-to-epitestosterone ratio and further confirmed by the 13C:12C ratio in testosterone using iso tope ratio combustion mass spectrometry. Exogenous testosterone administration increases urinary testosterone glucuronide excre tion and consequently the testosterone-to-epitestosterone ratio. Ratios &gt;6 are highly suggestive of exogenous testosterone use but can also reflect genetic variation. Genetic variations in uri dine diphospho-glucuronyltransferase 2B17 (UGT2B17), the major enzyme for testosterone glucuronidation, affect the testosterone-to epitestosterone ratio. Synthetic testosterone has a lower 13C:12C ratio than endogenously produced testosterone, and these differences in 13C:12C ratio can be detected by isotope ratio combustion mass spectrometry, which is used to confirm exogenous testosterone use in individuals with a high testosterone-to-epitestosterone ratio. The treatment of AAS use disorder requires a multidisciplinary team that includes an endocrinologist or an internist to treat the AAS withdrawal hypogonadism and other medical problems; a mental health expert to treat the substance use disorder and depres sive symptoms and to address suicide risk and body image disorder; and sometimes a social worker for care coordination. In patients who are willing to stop or who have already stopped AAS use, the initial step is to restore the hypothalamic-pituitary-gonadal axis by administering either clomiphene (or its enantiomer trans enclomi phene), a partial estrogen agonist, at an initial dose of 50 mg daily or hCG at a dose of 1000–2000 IU three times weekly. Some men may not respond </w:t>
      </w:r>
      <w:r w:rsidRPr="00A6019F">
        <w:lastRenderedPageBreak/>
        <w:t xml:space="preserve">to clomiphene and may require hCG. AAS users also need evaluation and treatment of the underlying body image disor der. Mirror exposure therapy in which the patient stands in front of a mirror and describes his body appearance to the mental health provider has been moderately efficacious in small, randomized trials. Body dysmorphia may require cognitive-behavioral therapy or pharmacotherapy using selective serotonin uptake inhibitors or tricyclic antidepressants. </w:t>
      </w:r>
      <w:r w:rsidRPr="00A6019F">
        <w:rPr>
          <w:rFonts w:ascii="Arial" w:hAnsi="Arial" w:cs="Arial"/>
        </w:rPr>
        <w:t>■</w:t>
      </w:r>
      <w:r w:rsidRPr="00A6019F">
        <w:t xml:space="preserve">FURTHER READING Argenta J et al: Molecular basis of normal and pathological puberty: From basic mechanisms to clinical implications. Lancet Diabetes Endocrinol 11:203, 2023. Bhasin S et al: Testosterone therapy in men with hypogonadism: An Endocrine Society Clinical Practice Guideline. J Clin Endocrinol Metab 103:1715, 2018. Bhasin S et al: Prostate safety events during testosterone replacement therapy in men with hypogonadism: A randomized controlled trial. JAMA Netw Open 6:e2348692, 2023. Finkelstein JS et al: Gonadal steroids and body composition, strength, and sexual function in men. N Engl J Med 369:1011, 2013. Hildebrandt T et al: Body image disturbance in 1000 male appear ance and performance enhancing drug users. J Psychiatr Res 44:841, 2010. Hughes JF, Page DC: The biology and evolution of mammalian Y chromosomes. Annu Rev Genet 49:507, 2015. Jasuja R et al: Estradiol binding induces bidirectional allosteric cou pling and repartitioning of sex hormone binding globulin monomers among various conformational states. iScience 24:102414, 2021. Krausz C et al: EAA/EMQN best practice guidelines for molecular diagnosis of Y-chromosomal microdeletions: State-of-the-art 2013. Andrology 1:5, 2014. Lincoff AM et al: Cardiovascular safety of testosterone-replacement therapy. N Engl J Med 389:107, 2023. Mäkelä JA et al: Testis development. Endocr Rev 40:857, 2019. O’Shaughnessy PJ et al: Alternative (backdoor) androgen production and masculinization in the human fetus. PLoS Biol 17:e3000002, 2019. Patel B et al: The emerging therapeutic potential of kisspeptin and neurokinin B. Endocr Rev 45:30, 2024. 404 Disorders of the Female Reproductive System Janet E. Hall, Anuja Dokras The female reproductive system regulates the hormonal changes responsible for puberty and adult reproductive function. Normal reproductive function in women requires the dynamic integration of hormonal signals from the hypothalamus, pituitary, and ovary, result ing in repetitive cycles of follicle development, ovulation, and prepara tion of the endometrial lining of the uterus for implantation should conception occur. For further discussion of related topics, see the following chapters: amenorrhea and pelvic pain (Chap. 405), infertility and contracep tion (Chap. 408), menopause (Chap. 407), disorders of sex develop ment (Chap. 402), and disorders of the male reproductive system (Chap. 403). DEVELOPMENT OF THE OVARY AND EARLY FOLLICULAR GROWTH The ovary orchestrates the development and release of a mature oocyte and secretes hormones (e.g., estrogen, progesterone, inhibins A and B, relaxin) that play critical roles in a variety of target tissues, including breast, bone, and uterus, in addition to the hypothalamus and pitu itary. To achieve these functions in repeated monthly cycles, the ovary undergoes some of the most dynamic changes of any organ in the body. Primordial germ cells can be identified by the third week of </w:t>
      </w:r>
      <w:r w:rsidRPr="00A6019F">
        <w:lastRenderedPageBreak/>
        <w:t xml:space="preserve">gestation, and their migration to the genital ridge is complete by 6 weeks of ges tation. Germ cells persist within the genital ridge, are then referred to as oogonia, and are essential for induction of ovarian development. In patients with 45,X Turner syndrome, primordial germ cells proliferate and migrate to the genital ridge but do not persist because their sur vival requires pregranulosa cells that are dependent on the presence of both X chromosomes (Chap. 402). The germ cell population expands, and starting at ~8 weeks of gesta tion, oogonia begin to enter prophase of the first meiotic division and become primary oocytes. Entry into meiosis provides some degree of protection from programmed cell death. It also allows the oocyte to be surrounded by a single layer of flattened granulosa cells to form a primordial follicle. Granulosa cells are derived from mesonephric cells that migrate into the ovary early in its development, pushing the germ cells to the periphery. Although there is evidence that both oocyte-like cells and follicle-like structures can form from embryonic stem cells in culture, there is no clear evidence that this occurs in vivo, and thus, the ovary appears to contain a nonrenewable pool of germ cells. Through 7 × 106 3125 Migratory germ cells Oogonia 2 × 106 4 × 105 Primary oocytes 5 m Birth Menarche 2 m FIGURE 404-1 Ovarian germ cell number is maximal at mid-gestation and decreases precipitously thereafter. Menopause the combined processes of mitosis, meiosis, and atresia, the popula tion of oogonia reaches its maximum of 6–7 million by 20 weeks in the fetus, after which there is a progressive loss of both oogonia and primordial follicles through the process of atresia. At birth, oogonia are no longer present in the ovary, and only 1–2 million germ cells remain in the form of primordial follicles (Fig. 404-1). The oocyte persists in prophase of the first meiotic division until just before ovulation, when meiosis resumes. The quiescent primordial follicles are recruited to further growth and differentiation through a highly regulated process that limits the size of the developing cohort to ensure that folliculogenesis can continue throughout the reproductive life span. Transformation of pri mordial follicles to form primary follicles (Fig. 404-2) is characterized by growth of the oocyte and the transition from squamous to cuboidal granulosa cells. The theca interna cells that surround the developing follicle begin to form as the primary follicle grows. Acquisition of a zona pellucida by the oocyte, and the presence of several layers of sur rounding cuboidal granulosa cells, further surrounded by theca cells, mark the development of secondary follicles. It is at this stage that granulosa cells develop follicle-stimulating hormone (FSH), estradiol, and androgen receptors and communicate with one another through the development of gap junctions. Bidirectional signaling between the germ cells and the somatic cells in the ovary is a necessary component underlying the maturation of the oocyte and the capacity for hormone secretion. Members of the trans forming growth factor beta (TGF-β) family of proteins are involved Gonadotropin-Independent Paracrine Control AMH in this bidirectional signaling; oocyte-derived growth differentiation factor 9 (GDF-9) and bone morphogenic protein-15 (BMP-15), also known as GDF-9b, are required for migration of pregranulosa and pretheca cells to the outer surface of the developing </w:t>
      </w:r>
      <w:r w:rsidRPr="00A6019F">
        <w:lastRenderedPageBreak/>
        <w:t xml:space="preserve">follicle initial follicle formation. GDF-9 is also required for formation of second ary follicles, as are granulosa cell–derived KIT ligand (KITL) and the forkhead transcription factor (FOXL2). A significant number of genes have been identified that are required for development of the normal complement of oogonia in the ovary, initial follicle development, and resistance to follicle loss; all are candidates for premature ovarian insufficiency (POI), and mutations in &gt;50 genes have been identified in patients with POI, with even more that have been associated with an earlier age at natural menopause. DEVELOPMENT OF A MATURE FOLLICLE The early stages of follicle growth are primarily driven by intraovarian factors. Further maturation to the preovulatory stage, including the resumption of meiosis in the oocyte, requires the combined stimu lus of FSH and luteinizing hormone (LH) (Figs. 404-2 and 404-3). Recruitment from the resting pool of secondary follicles, termed cyclic recruitment, requires the direct action of FSH, whereas anti-müllerian hormone (AMH) produced from small growing preantral follicles restrains this effect of FSH, controlling the number of follicles entering the actively growing pool. Accumulation of follicular fluid between the layers of granulosa cells creates an antrum that divides the granulosa cells into two functionally distinct groups: mural cells that line the folli cle wall and cumulus cells that surround the oocyte (Fig. 404-3). As the follicle develops into a preovulatory, or Graffian, follicle, mural granu losa cells in proximity to theca cells express the greatest steroidogenic activity. Cumulus cells surround the oocyte and express mammalian target of rapamycin (mTOR), which regulates cellular metabolism and increases the transfer of nutrients to the oocyte. In addition to its role in normal development of the müllerian system, the WNT signaling pathway is required for normal antral follicle development and may also play a role in ovarian steroidogenesis. Recruitment to the small antral stage generally occurs over several cycles with further growth to follicle sizes of &gt;4–7 mm in waves during a single cycle. However, recruitment over a single cycle can occur as evidenced by a normal follicular phase length in gonadotropin-releasing hormone (GnRH)-deficient women in response to a first cycle of treatment with a physiologic regimen of pulsatile GnRH administration and normalization of FSH and LH. A single dominant follicle emerges from the growing follicle pool within the first 5–7 days after the onset of menses, while the majority of follicles CHAPTER 404 Disorders of the Female Reproductive System Gonadotropin-Dependent Endocrine Control Inhibin B Inhibin A Primordial Primary Initial Recruitment Secondary Small Antral 2–5 mm Dominant 11 mm Preovulatory 20 mm Estradiol Cyclic Recruitment Selection Dominance &gt;120 Days 14 Days FIGURE 404-2 Gonadotropin-independent and gonadotropin-dependent ovarian follicle development that ultimately results in ovulation of a mature oocyte. AMH, anti-müllerian hormone. (Reproduced with permission from Donna Jeanne Corcoran.) 3126 PART 12 Endocrinology and Metabolism FIGURE 404-3 Development of ovarian follicles. The Graafian follicle is also known as a tertiary or preovulatory follicle. (Courtesy of JH Eichhorn and D Roberts, Massachusetts General Hospital; with permission.) fall off their growth trajectory and </w:t>
      </w:r>
      <w:r w:rsidRPr="00A6019F">
        <w:lastRenderedPageBreak/>
        <w:t xml:space="preserve">become atretic. Autocrine actions of activin and BMP-6, derived from the granulosa cells, and paracrine actions of GDF-9, BMP-15, BMP-6, and Gpr149, derived from the oocyte, are involved in granulosa cell proliferation and modulation of FSH responsiveness. Differential exposure to these factors, and to vas cular endothelial growth factor (VEGF), can alter vascular density and permeability, likely explaining the mechanism whereby a given follicle is selected for continued growth to the preovulatory stage. The dominant follicle can be distinguished by its size, evidence of granulosa cell pro liferation, large number of FSH receptors, high aromatase activity, and elevated concentrations of estradiol and inhibin A in follicular fluid. In addition, secretion of estradiol and inhibin from the dominant follicle inhibits FSH and the growth of other follicles. The dominant follicle undergoes rapid expansion during the 5–6 days prior to ovulation, reflecting granulosa cell proliferation and accumulation of follicular fluid. FSH induces LH receptors on the granulosa cells, and the preovulatory, or Graafian, follicle moves to the outer ovarian surface in preparation for ovulation. The LH surge triggers the resumption of meiosis, the suppression of granulosa cell proliferation, and the induction of cyclooxygenase 2 (COX-2), pros taglandins, the progesterone receptor (PR), and the epidermal growth factor–like growth factors amphiregulin, epiregulin, betacellulin, and neuroregulin 1, all of which are required for ovulation. Ovulation requires production of extracellular matrix, leading to expansion of the cumulus cell population that surrounds the oocyte and the con trolled expulsion of the egg and follicular fluid. Both progesterone and prostaglandins (induced by the ovulatory stimulus) are essential for this process, as are members of the matrix metalloproteinase family. After ovulation, luteinization of theca and granulosa cells is induced by LH in conjunction with the acquisition of a rich vascular network in response to VEGF and basic fibroblast growth factor (FGF). Tradi tional regulators of central reproductive control, GnRH and its recep tor (GnRHR), as well as kisspeptin, are also produced in the ovary and may be involved in corpus luteum function. REGULATION OF OVARIAN FUNCTION </w:t>
      </w:r>
      <w:r w:rsidRPr="00A6019F">
        <w:rPr>
          <w:rFonts w:ascii="Arial" w:hAnsi="Arial" w:cs="Arial"/>
        </w:rPr>
        <w:t>■</w:t>
      </w:r>
      <w:r w:rsidRPr="00A6019F">
        <w:t xml:space="preserve">HYPOTHALAMIC AND PITUITARY SECRETION GnRH neurons derive from cells in the olfactory placode and, to a lesser extent, the neural crest. They migrate into the brain across the cribriform plate along with the olfactory neurons which then form the olfactory bulb, while the GnRH neurons continue their journey to the hypothalamus. The importance of the initial migra tory pathway into the brain is evidenced in patients born without a nose (bosma arhinia microphthalmia syndrome) who lack olfac tory foramina in the cribriform plate and are both anosmic and have hypogonadotropic hypogonadism. Studies in these and other GnRH-deficient patients who fail to undergo puberty have provided insights into genes that control the ontogeny and function of GnRH neurons (Fig. 404-4). ANOS1 (also known as KAL1), FGF8/FGFR1, Migration Neural crest Olfactory placode Function Hypothalamus KNDY KISS1R KISS1R GnRH1 Pituitary GnRHR FIGURE 404-4 Genetic studies in patients with congenital forms of hypogonadotropic hypogonadism have expanded our understanding of the development and migration of gonadotropin-releasing hormone (GnRH) neurons from </w:t>
      </w:r>
      <w:r w:rsidRPr="00A6019F">
        <w:lastRenderedPageBreak/>
        <w:t xml:space="preserve">the olfactory placode and possibly the neural crest to the hypothalamus as well as the upstream regulation of GnRH secretion by kisspeptin (KISS1), neurokinin B (TAC3), and dynorphin (Dyn), which are co-expressed in the KNDY neurons. GnRHR, GnRH receptor. 3127 PROK2/PROKR2, NSMF, HS6SD1, and CDH7, among a host of others (Chap. 403), have been implicated in the migration of GnRH neurons to the hypothalamus, whereas KISS, TAC3, Dyn, and their receptors are involved in the upstream regulation of GnRH secretion. Approximately 7000 GnRH neurons, scattered throughout the medial basal hypothalamus, establish contacts with capillaries of the pitu itary portal system in the median eminence. GnRH is secreted into the pituitary portal system in discrete pulses to stimulate synthesis and secretion of LH and FSH from pituitary gonadotropes, which comprise ~10% of cells in the pituitary (Chap. 390). Functional con nections of GnRH neurons with the portal system are established by the end of the first trimester, coinciding with the production of pitu itary gonadotropins. Thus, like the ovary, the hypothalamic and pitu itary components of the reproductive system are present before birth. However, the high levels of estradiol and progesterone produced by the placenta suppress hypothalamic-pituitary stimulation of ovarian hormonal secretion in the fetus. After birth and the loss of placenta-derived steroids, gonadotropin levels rise. FSH levels are much higher in girls than in boys. The rise in FSH in girls results in circulating estradiol and inhibin B in what has been termed the mini-puberty of infancy, but without terminal follicle maturation or ovulation. Studies that have identified mutations in TAC3, which encodes neurokinin B, and its receptor, TAC3R, in patients with GnRH deficiency indicate that both are involved in con trol of GnRH secretion and may be particularly important at this early stage of development. By 12–20 months of age, the reproductive axis is again suppressed, and a period of relative quiescence persists until puberty (Fig. 404-5). At the onset of puberty, pulsatile GnRH secre tion induces pituitary gonadotropin production. In the early stages of puberty, LH and FSH secretion are apparent only during sleep, but as puberty develops, pulsatile LH secretion, a faithful marker of GnRH secretion, occurs throughout the day and night. The mechanisms responsible for the childhood quiescence and pubertal reactivation of the reproductive axis remain incompletely understood. GnRH neurons in the hypothalamus respond to both excitatory and inhibitory factors. Increased sensitivity to the inhibitory influence of gonadal steroids has long been implicated in the inhibi tion of GnRH secretion during childhood but has not been definitively established in the human. Metabolic signals, including adipocyte derived leptin, play a permissive role in reproductive function but are not sufficient to induce puberty (Chap. 413). Studies of patients with isolated GnRH deficiency reveal that mutations in the G protein–coupled receptor 54 (GPR54) gene (now known as KISS1R) preclude the onset of puberty. Kisspeptin, the ligand for this receptor, is derived from the parent peptide, kisspeptin-1 (KISS1), and is a potent stimulant for GnRH release. The tachyki nin 3 gene (TAC3), which encodes neurokinin-B (NKB), stimulates GnRH secretion through kisspeptin signaling, while dynorphin (Dyn), which acts mainly through kappa opioid receptors, plays an inhibitory role in GnRH </w:t>
      </w:r>
      <w:r w:rsidRPr="00A6019F">
        <w:lastRenderedPageBreak/>
        <w:t xml:space="preserve">control. TAC3 and Dyn are frequently co expressed with KISS1 in KNDy neurons of the median eminence that project to GnRH neurons. This system is intimately involved in both Plasma gonadotropins Birth−20 mo. Infancy FSH 10–14 yr Childhood Puberty reproductive years 50 yr LH Menopause FIGURE 404-5 Follicle-stimulating hormone (FSH) and luteinizing hormone (LH) are increased during the neonatal years but go through a period of childhood quiescence before increasing again during puberty. Gonadotropin levels are cyclic during the reproductive years and increase dramatically with the loss of negative feedback that accompanies menopause. estrogen and progesterone negative feedback regulation of GnRH secretion as well as metabolic and stress signaling to the reproduc tive axis. Kisspeptin release is pulsatile, and secretion is generated by alternate stimulation and inhibition of kisspeptin by NKB and Dyn, respectively. While pulsatility is an intrinsic property of GnRH neurons, the current model suggests that pulsatile secretion of GnRH is coordinated by pulsatile kisspeptin secretion, with potential input from upstream glutaminergic neurons. A role for kisspeptin in the onset of puberty is suggested by upregu lation of KISS1 and KISS1R transcripts in the hypothalamus at the time of puberty. The onset of puberty may occur via a switch from epi genetic repression to epigenetic activation in kisspeptin neurons. Two imprinted genes that were initially identified in families with central precocious puberty, MKRN3 and DLK1, may be involved in this switch given their known functions and their association with age at onset of menarche in a large cohort of women. While short-term infusion of kisspeptin restored LH pulsatility in patients with hypothalamic amenorrhea and hyperprolactinemia, there is also evidence that tachyphylaxis occurs, potentially limiting its use as a treatment for these conditions. RFamide-related peptides (RFRPs) are the mammalian orthologues of gonadotropin inhibitory hormone (GnIH), which was initially dis covered in the quail. In lower animal species, these peptides decrease gonadal function and sexual motivation in addition to increasing feed ing behavior and mediating the inhibitory actions of stress on repro duction. While RFRP-1 and RFRP-3 neurons send axonal projections to GnRH neurons in humans and RFRPs are secreted into the pituitary portal system, further studies are required to determine their potential physiologic role in the human. </w:t>
      </w:r>
      <w:r w:rsidRPr="00A6019F">
        <w:rPr>
          <w:rFonts w:ascii="Arial" w:hAnsi="Arial" w:cs="Arial"/>
        </w:rPr>
        <w:t>■</w:t>
      </w:r>
      <w:r w:rsidRPr="00A6019F">
        <w:t xml:space="preserve">OVARIAN STEROIDS Ovarian steroid-producing cells do not store hormones but produce them in response to FSH and LH during the normal menstrual cycle. The sequence of steps and the enzymes involved in the synthesis of steroid hormones are similar in the ovary, adrenal, and testis. However, the enzymes required to catalyze specific steps are compartmental ized and may not be abundant or even present in all cell types. Within the developing ovarian follicle, estrogen synthesis from cholesterol requires close integration between theca and granulosa cells—the two cell model for steroidogenesis (Fig. 404-6). FSH receptors are confined to the granulosa cells, whereas LH receptors are restricted to the theca CHAPTER 404 Disorders of the Female Reproductive System Theca cell Cholesterol pregnenolone LH 3βHSD progesterone 17 hydroxylase 17-OHP 17,20 lyase Androstenedione 17βHSD Testosterone Androstenedione Testosterone aromatase </w:t>
      </w:r>
      <w:r w:rsidRPr="00A6019F">
        <w:lastRenderedPageBreak/>
        <w:t xml:space="preserve">Granulosa cell Estrone Estradiol FSH FIGURE 404-6 Estrogen production in the ovary requires the cooperative function of the theca and granulosa cells under the control of luteinizing hormone (LH) and follicle-stimulating hormone (FSH). HSD, hydroxysteroid dehydrogenase; OHP, hydroxyprogesterone. 3128 is critical for granulosa cell function. There is also evidence for mem brane-initiated signaling by estrogen. Similar signaling mechanisms pertain for progesterone with evidence of transcriptional regulation through PR-A and PR-B protein isoforms, as well as rapid membrane signaling. </w:t>
      </w:r>
      <w:r w:rsidRPr="00A6019F">
        <w:rPr>
          <w:rFonts w:ascii="Arial" w:hAnsi="Arial" w:cs="Arial"/>
        </w:rPr>
        <w:t>■</w:t>
      </w:r>
      <w:r w:rsidRPr="00A6019F">
        <w:t xml:space="preserve">OVARIAN PEPTIDES PART 12 Endocrinology and Metabolism cells until the late stages of follicular development, when they are also found on granulosa cells. The theca cells surrounding the follicle are highly vascularized and use cholesterol, derived primarily from circu lating lipoproteins, as the starting point for the synthesis of androstene dione and testosterone under the control of LH. There is some evidence that 11-oxo-androgens, which are generally thought to be produced only in the adrenal, may also be produced to some degree in the ovary. These steroid precursors cross the basal lamina to the granulosa cells, which receive no direct blood supply. The mural granulosa cells are particularly rich in aromatase and, under the control of FSH, produce estradiol, the primary steroid secreted from the follicular phase ovary and the most potent estrogen. Theca cell–produced androstenedione and, to a lesser extent, testosterone are also secreted into peripheral blood, where they can be converted to dihydrotestosterone in skin and to estrogens in adipose tissue. The hilar interstitial cells of the ovary are functionally similar to Leydig cells and are also capable of secret ing androgens. Stromal cells proliferate in response to androgens (as in polycystic ovary syndrome [PCOS]) but do not secrete androgens. However, high levels of androgens may be produced by luteinized theca cells within the stroma in women with hyperthecosis. Development of the rich capillary network following rupture of the follicle at the time of ovulation makes it possible for large molecules such as low-density lipoprotein (LDL) to reach the luteinized granulosa and theca lutein cells. As in the follicle, both cell types are required for steroidogenesis in the corpus luteum. The luteinized granulosa cells are the main source of progesterone production, whereas the smaller theca lutein cells produce 17-hydroxyprogesterone and androgenic substrates for aromatization to estradiol by the luteinized granulosa cells. Production of estrogen metabolites by the corpus luteum plays a significant role in maintenance of the vascularization required for its function. LH is critical for formation and maintenance of corpus luteum structure and function. LH and human chorionic gonado tropin (hCG) bind to a common receptor; thus, in conception cycles, hCG produced upon fertilization rescues the declining function of the corpus luteum, maintaining steroid and peptide secretion for the first 10 weeks of pregnancy. hCG is commonly used for luteal phase support in the treatment of infertility. Steroid Hormone Actions Both estrogen and progesterone play critical roles in the expression of secondary sexual characteristics in women (Chap. 389). Estrogen promotes development of the ductule system in the breast, whereas progesterone is responsible for glandular development. In the reproductive tract, estrogens create a </w:t>
      </w:r>
      <w:r w:rsidRPr="00A6019F">
        <w:lastRenderedPageBreak/>
        <w:t>receptive environment for fertilization and support pregnancy and parturition through carefully coordinated changes in the endometrium, thicken ing of the vaginal mucosa, thinning of the cervical mucus, and uterine growth and contractions. Progesterone induces secretory activity in the estrogen-primed endometrium, increases the viscosity of cervical mucus, and inhibits uterine contractions. Both gonadal steroids play critical roles in negative and positive feedback of gonadotropin secre tion. Progesterone also increases basal body temperature, which is used clinically as a marker of ovulation. The vast majority of circulating estrogens and androgens are car ried in the blood bound to carrier proteins, which restrain their free diffusion into cells and prolong their clearance, serving as a reservoir. High-affinity binding proteins include sex hormone–binding globulin (SHBG), which binds androgens with somewhat greater affinity than estrogens, and corticosteroid-binding globulin (CBG), which also binds progesterone. Modulations in binding protein levels by insulin, androgens, and estrogens contribute to high bioavailable testosterone levels in PCOS and to high circulating total estrogen and progesterone levels during pregnancy. Estrogens act primarily through binding to the nuclear receptors, estrogen receptors (ER) α and β. Transcriptional coactivators and co-repressors modulate ER action (Chap. 389). Both ER subtypes are present in the hypothalamus, pituitary, ovary, and reproductive tract. Although ERα and ERβ exhibit some functional redundancy, there is also a high degree of specificity, particularly in expression within cell types. For example, ERα functions in ovarian theca cells, whereas ERβ Inhibin was initially isolated from gonadal fluids based on its ability to selectively inhibit FSH secretion from pituitary cells. Inhibin is a heterodimer composed of an α subunit and a βA or βB subunit to form inhibin A or inhibin B, both of which are secreted from the ovary. Activin is a homodimer of inhibin β subunits with the capacity to stimulate the synthesis and secretion of FSH. Inhibins and activins are members of the TGF-β superfamily of growth and differentiation fac tors. During the purification of inhibin, follistatin, an unrelated mono meric protein that inhibits FSH secretion, was discovered. Within the pituitary, follistatin inhibits FSH secretion indirectly by binding and neutralizing activin. Inhibin B is constitutively secreted from the granulosa cells of small antral follicles, and its serum levels increase in conjunction with granu losa cell proliferation during recruitment of secondary follicles under the control of FSH (Fig. 404-2). Inhibin B is an important inhibitor of FSH, independent of estradiol, during the menstrual cycle. Inhibin A is present in both granulosa and theca cells and is secreted by the dominant follicle. Inhibin A is also present in luteinized granulosa cells and is a major secretory product of the corpus luteum. Synthesis and secretion of inhibin A are directly controlled by FSH and LH. Although activin is also secreted from the ovary, the excess of follistatin in serum, combined with its nearly irreversible binding of activin, make it unlikely that ovarian activin plays an endocrine role in FSH regulation. However, there is evidence that activin plays an autocrine/ paracrine role in the ovary in germ cell survival, follicle assembly, and inhibition of androgen production, in addition to its intrapituitary role in modulation of FSH production. AMH (also known as müllerian-</w:t>
      </w:r>
      <w:r w:rsidRPr="00A6019F">
        <w:lastRenderedPageBreak/>
        <w:t xml:space="preserve">inhibiting substance) is important in ovarian biology in addition to the function from which it derived its name (i.e., promotion of the degeneration of the müllerian system during embryogenesis in the male). AMH is produced by granulosa cells from small preantral and early antral follicles (Fig. 404-2) and is a marker of ovarian reserve with advantages over inhibin B because of its relative stability across the menstrual cycle. AMH inhibits FSH in the recruitment of primordial follicles into the follicle pool and counters FSH stimulation of aromatase expression. AMH levels increase dur ing puberty, are highest in the early twenties, and decrease markedly by menopause. AMH is increased in PCOS in conjunction with the abundance of small follicles in this disorder. Gonadotropin surge attenuating factor (GnSAF) is an ovarian fac tor that attenuates GnRH-induced gonadotropin secretion. Its role is not yet fully understood, but there is an inverse relationship between GnSAF and follicle size, suggesting that its primary role involves the early stages of follicle development rather than curtailing the gonado tropin surge as its name implies. Relaxin is produced primarily by the theca lutein cells of the corpus luteum. Both relaxin and its receptor, encoded by the gene RXFP1, are highly expressed in the uterus during the peri-implantation period and its primary role appears to be in promoting decidualization and vascularization of the endometrium prior to implantation. Relaxin was named for its ability to suppress myometrial contractility in pigs and rodents, but it does not appear to exert this activity in women. HORMONAL INTEGRATION OF THE NORMAL MENSTRUAL CYCLE The sequence of changes responsible for mature reproductive func tion is coordinated through a series of negative and positive feedback loops that alter pulsatile GnRH secretion, the pituitary response to GnRH, and the relative secretion of LH and FSH from gonadotropes (Fig. 404-7). The frequency and amplitude of pulsatile GnRH secretion differentially modulate the synthesis and secretion of LH and FSH. Slow GnRH pulse frequencies favor FSH synthesis, whereas increased 3129 KNDy Neuron Hypothalamus GnRH Neuron GnRH Pituitary Estradiol Ovary LH FSH Uterus Inhibin B Inhibin A Estradiol FIGURE 404-7 The reproductive system in women is critically dependent on both negative feedback of gonadal steroids and inhibin to modulate follicle-stimulating hormone (FSH) secretion and on estrogen positive feedback to generate the preovulatory luteinizing hormone (LH) surge. GnRH, gonadotropin-releasing hormone. GnRH pulse frequency and amplitude favor LH synthesis. FSH syn thesis is also controlled by the activin-inhibin-follistatin system within the pituitary. Activin is produced in both pituitary gonadotropes and folliculostellate cells and stimulates the synthesis and secretion of FSH through autocrine-paracrine mechanisms that are modulated by follistatin, which is also produced in folliculostellate cells. Inhibins function as potent antagonists of activins through sequestration of the activin receptors. Although inhibin is expressed in the pituitary, gonadal inhibin is the principal source of feedback inhibition of FSH. For the majority of the cycle, the reproductive system functions in a classic endocrine negative feedback mode. Estradiol and progesterone inhibit GnRH secretion, acting through kisspeptin </w:t>
      </w:r>
      <w:r w:rsidRPr="00A6019F">
        <w:lastRenderedPageBreak/>
        <w:t xml:space="preserve">and dynorphin in the KNDy neurons, while the inhibins act at the pituitary to selectively inhibit FSH synthesis and secretion (Fig. 404-7). Estradiol also contrib utes to negative feedback at the pituitary with an effect that is greater for FSH than LH. This tightly regulated negative feedback control of FSH is critical for development of the single mature follicle that char acterizes normal reproductive cycles in women. In addition to these negative feedback controls, the menstrual cycle is uniquely dependent on estrogen-induced positive feedback to produce an LH surge that is essential for ovulation of a mature follicle. Estrogen negative feedback in women occurs primarily at the hypothalamus with a small pituitary contribution, whereas estrogen positive feedback occurs at the pitu itary in women with upregulation of GnRH signaling and responsive ness. In women, hypothalamic GnRH secretion plays a permissive role in generating the preovulatory gonadotropin surge, a mechanism that differs significantly from that in rodents and other species that rely on seasonal and circadian cues, in which a surge of GnRH also occurs. </w:t>
      </w:r>
      <w:r w:rsidRPr="00A6019F">
        <w:rPr>
          <w:rFonts w:ascii="Arial" w:hAnsi="Arial" w:cs="Arial"/>
        </w:rPr>
        <w:t>■</w:t>
      </w:r>
      <w:r w:rsidRPr="00A6019F">
        <w:t xml:space="preserve">THE FOLLICULAR PHASE The follicular phase is characterized by cyclic recruitment of a cohort of secondary follicles and the ultimate selection of a preovulatory follicle (Figs. 404-2 and 404-8). The follicular phase begins, by convention, on the first day of menses. However, follicle recruitment is initiated by the rise in FSH that begins in the late luteal phase of the previous cycle in conjunction with the loss of negative feedback of gonadal steroids and likely inhibin A. The fact that an ~20% increase in FSH is Follicular phase FSH LH Luteal phase Estradiol Progesterone Secondary Antral Ovarian follicles Dominant Ovulation Corpus luteum Inhibin B Inhibin A E2 Prog Endo Corpus albicans Proliferative S ecretory FIGURE 404-8 Relationship between gonadotropins, follicle development, gonadal secretion, and endometrial changes during the normal menstrual cycle. E2 , estradiol; Endo, endometrium; FSH, follicle-stimulating hormone; LH, luteinizing hormone; Prog, progesterone. adequate for follicular recruitment speaks to the marked sensitivity of the resting follicle pool to FSH. The resultant granulosa cell prolifera tion is responsible for increasing early follicular phase levels of inhibin B. Inhibin B, in conjunction with rising levels of estradiol and inhibin A, restrains FSH secretion during this critical period such that only a single follicle matures in the vast majority of cycles. The increased risk of multiple gestation associated with the higher levels of FSH char acteristic of advanced maternal age or with exogenous gonadotropin administration in the treatment of infertility attests to the importance of the precise negative feedback regulation of FSH that is necessary for monofollicular development. With further growth of the dominant follicle, estradiol and inhibin A increase. Increasing levels of estradiol across the follicular phase are responsible for proliferative changes in the endometrium. Acquisition of FSH-induced LH receptors on granu losa cells allows LH to complete the final stages of maturation of the preovulatory follicle, leading to secretion of low levels of progesterone and 17α-hydroxyprogesterone. CHAPTER 404 Disorders of the Female Reproductive System The exponential rise in estradiol in the mid-late luteal phase results in positive feedback on the pituitary gonadotropes, leading to gen eration of an </w:t>
      </w:r>
      <w:r w:rsidRPr="00A6019F">
        <w:lastRenderedPageBreak/>
        <w:t xml:space="preserve">LH surge (and a smaller FSH surge). The low levels of progesterone secreted from the peri-ovulatory follicle are not required for the gonadotropin surge but appear to play a role in its timing. The LH surge may precede follicle rupture by 24–36 h, during which time the oocyte uncouples from the granulosa cells, and genes involved in inflammation and tissue remodeling are induced. Further alterations in steroidogenesis accompany luteinization of theca and granulosa cells. </w:t>
      </w:r>
      <w:r w:rsidRPr="00A6019F">
        <w:rPr>
          <w:rFonts w:ascii="Arial" w:hAnsi="Arial" w:cs="Arial"/>
        </w:rPr>
        <w:t>■</w:t>
      </w:r>
      <w:r w:rsidRPr="00A6019F">
        <w:t>THE LUTEAL PHASE The luteal phase begins with the formation of the corpus luteum from the ruptured follicle (Fig. 404-8). Progesterone, 17</w:t>
      </w:r>
      <w:r w:rsidRPr="00A6019F">
        <w:rPr>
          <w:rFonts w:ascii="Aptos" w:hAnsi="Aptos" w:cs="Aptos"/>
        </w:rPr>
        <w:t>α</w:t>
      </w:r>
      <w:r w:rsidRPr="00A6019F">
        <w:t xml:space="preserve">-hydroxyprogesterone, and inhibin A are produced from the luteinized granulosa cells. The granulosa-lutein cells continue to aromatize androgen precursors derived from theca-lutein cells, producing estradiol. The combined actions of estrogen and progesterone, as well as relaxin, are respon sible for the secretory changes in the endometrium that are necessary for implantation. The corpus luteum is supported by LH but has a finite life span. Both the progesterone-induced decrease in LH pulse frequency and diminished postreceptor signaling are likely to con tribute to the demise of the corpus luteum. The progressive decline in hormonal support of the endometrium results in inflammation, local hypoxia and ischemia, and subsequent vascular changes with release of cytokines, cell death, and shedding of the endometrium. If conception occurs, hCG produced by the trophoblast binds to LH receptors on the corpus luteum, maintaining steroid hormone production and preventing involution of the corpus luteum until the luteal-placental shift in hormone production that occurs 6–10 weeks after conception. 3130 CLINICAL ASSESSMENT OF OVARIAN FUNCTION PART 12 Endocrinology and Metabolism Menstrual bleeding should become regular within 2–4 years of men arche, although anovulatory and irregular cycles are common before that. For the remainder of adult reproductive life, the cycle length counted from the first day of menses to the day preceding subsequent menses is ~28 days, with a range of 25–35 days. However, cycle-to cycle variability for an individual woman is ±2 days. Luteal phase length is relatively constant between 12 and 14 days in normal cycles; thus, the major variability in cycle length is due to variations in fol licular phase length. The duration of menstrual bleeding in ovulatory cycles varies between 4 and 6 days. There is a gradual shortening of cycle length with age such that women aged &gt;35 years have cycles that are shorter than during their younger reproductive years. Anovulatory cycles increase as women approach menopause, and bleeding patterns may be erratic. Women who report regular monthly bleeding generally have ovu latory cycles, but several other clinical signs can be used to assess the likelihood of ovulation. Some women experience mittelschmerz, described as midcycle pelvic discomfort that is thought to be caused by the rapid expansion of the dominant follicle at the time of ovulation. A constellation of premenstrual moliminal symptoms such as bloat ing, breast tenderness, mood changes, and food cravings often occur several days before menses in ovulatory cycles, but their absence can not be used as evidence of anovulation. Methods that can be used to determine whether ovulation occurred include a serum progesterone level &gt;3 ng/mL ~7 days after </w:t>
      </w:r>
      <w:r w:rsidRPr="00A6019F">
        <w:lastRenderedPageBreak/>
        <w:t xml:space="preserve">ovulation, an increase in basal body tem perature of 0.24°C (&gt;0.5°F) in the second half of the cycle due to the thermoregulatory effect of progesterone, or detection of the urinary LH surge using ovulation predictor kits, although the mere presence of an apparent LH surge does not guarantee that ovulation will occur. However, because ovulation occurs ~36 h after the LH surge, urinary LH can be helpful in timing intercourse to coincide with ovulation. Ultrasound can be used to detect the growth of the fluid-filled antrum of the developing follicle and to assess endometrial thickness in response to increasing estradiol levels in the follicular phase. It can also be used to provide evidence of ovulation by documenting collapse of the dominant follicle and/or the presence of a corpus luteum as well as the characteristic echogenicity of the secretory endometrium of the luteal phase. PUBERTY </w:t>
      </w:r>
      <w:r w:rsidRPr="00A6019F">
        <w:rPr>
          <w:rFonts w:ascii="Arial" w:hAnsi="Arial" w:cs="Arial"/>
        </w:rPr>
        <w:t>■</w:t>
      </w:r>
      <w:r w:rsidRPr="00A6019F">
        <w:t xml:space="preserve">NORMAL PUBERTAL DEVELOPMENT IN GIRLS The first menstrual period (menarche) occurs relatively late in the series of developmental milestones that characterize normal pubertal devel opment. Menarche is preceded by the appearance of pubic and then axillary hair (adrenarche) as a result of maturation of the zona reticu laris in the adrenal gland and increased adrenal androgen secretion, particularly dehydroepiandrosterone (DHEA). The triggers for adre narche remain unknown but may involve increases in body mass index, as well as in utero and neonatal factors. Menarche is also preceded by breast development (thelarche). The breast is exquisitely sensitive to the very low levels of estrogen that result from peripheral conversion of adrenal androgens and the low levels of estrogen secreted from the ovary early in pubertal maturation. This estrogen sensitivity also explains why infants occasionally develop breast tissue in response to endogenous or environmental estrogens. Breast development precedes the appearance of pubic and axillary hair in ~60% of girls. The interval between the onset of breast development and menarche is ~2 years. There has been a gradual decline in the age of puberty attributed to improved nutrition, however more recent changes indicate a decline in the age of thelarche but not menarche which is associated with obesity. In the United States, menarche occurs at an average age of 12.5 years. Much of the variation in the timing of puberty is due to genetic factors. Heritability estimates from twin studies range between 50 and 80%. Adrenarche and thelarche occur ~1 year earlier in black girls compared with white girls, although the difference in the timing of menarche is less pronounced. Genome-wide association studies have identified over a hundred genes associated with pubertal tim ing in boys and girls, attesting to the high degree of coordination of this reproductive and growth milestone. These findings include genes involved in GnRH secretion (e.g., TACR3, and the maternally imprinted gene, MKRN3, that has been associated with familial preco cious puberty), pituitary development and function (e.g., POU1F1), hormone synthesis and bioactivity (e.g., STARD4, ESR1, RXRG), gonadal feedback (e.g., INHBA, ESR1), and energy homeostasis and growth, including LIN28B, a sentinel puberty gene, which is a potent regulator of microRNA processing. Other important hormonal changes also occur in conjunction with puberty. Growth hormone (GH) levels increase early in puberty, stimulated in part by the pubertal </w:t>
      </w:r>
      <w:r w:rsidRPr="00A6019F">
        <w:lastRenderedPageBreak/>
        <w:t xml:space="preserve">increase in estrogen secretion. GH increases insulin-like growth factor-1 (IGF-1), which enhances linear growth. The growth spurt is generally less pronounced in girls than in boys, with a peak growth velocity of ~7 cm/year. Linear growth is ultimately limited by closure of epiphyses in the long bones as a result of prolonged exposure to estrogen. Puberty is also associated with mild insulin resistance. </w:t>
      </w:r>
      <w:r w:rsidRPr="00A6019F">
        <w:rPr>
          <w:rFonts w:ascii="Arial" w:hAnsi="Arial" w:cs="Arial"/>
        </w:rPr>
        <w:t>■</w:t>
      </w:r>
      <w:r w:rsidRPr="00A6019F">
        <w:t xml:space="preserve">DISORDERS OF PUBERTY The differential diagnosis of precocious and delayed puberty is similar in boys (Chap. 403) and girls. However, there are differences in the timing of normal puberty and differences in the relative frequency of specific disorders in girls compared with boys. Precocious Puberty Traditionally, precocious puberty has been defined as the development of secondary sexual characteristics before the age of 8 in girls based on data from Marshall and Tanner in British girls studied in the 1960s. More recent studies led to recommendations that girls be evaluated for precocious puberty if breast development or pubic hair is present at 2 standard deviations, a recent history of growth acceleration, and progression of secondary sexual characteristics. TABLE 404-1 Differential Diagnosis of Precocious Puberty CENTRAL (GnRH DEPENDENT) Idiopathic CNS tumors Hamartomas Astrocytomas Adenomyomas Gliomas Germinomas CNS infection Genetic, i.e., KISS1, KISS1R, MKRN3, DLK1 Head trauma Iatrogenic Radiation Chemotherapy Surgical CNS malformation Arachnoid or suprasellar cysts Septo-optic dysplasia Hydrocephalus PERIPHERAL (GnRH INDEPENDENT) Congenital adrenal hyperplasia Estrogen-producing tumors Adrenal tumors Ovarian tumors Gonadotropin/hCG-producing tumors Exogenous exposure to estrogen or androgen or lavender or tea-tree oil McCune-Albright syndrome Aromatase excess syndrome Abbreviations: CNS, central nervous system; DLK1, delta-like 1 homolog gene; GnRH, gonadotropin-releasing hormone; hCG, human chorionic gonadotropin; KISS1, kisspeptin gene; KISS1R, kisspeptin receptor gene; MKRN3, makorin ring finger protein 3 gene. 3131 Disorders of the Female Reproductive System CHAPTER 404 TABLE 404-2 Evaluation of Precocious and Delayed Puberty  PRECOCIOUS DELAYED Initial Screening Tests History and physical × × Assessment of growth velocity × × Bone age × × LH, FSH × × Estradiol, testosterone × × DHEAS × × 17-Hydroxyprogesterone ×  TSH, T4 × × Complete blood count × Sedimentation rate, C-reactive protein × Electrolytes, renal function × Liver enzymes × IGF-1, IGFBP-3 × Urinalysis × Secondary Tests   Pelvic ultrasound × × Cranial MRI × × β-hCG ×  GnRH/agonist stimulation test × × ACTH stimulation test ×  Inflammatory bowel disease panel × × Celiac disease panel × Prolactin × Karyotype × Abbreviations: ACTH, adrenocorticotropic hormone; DHEAS, dehydroepiandrosterone sulfate; FSH, follicle-stimulating hormone; GnRH, gonadotropin-releasing hormone; hCG, human chorionic gonadotropin; IGF-1, insulin-like growth factor 1; IGFBP-3, IGF-binding protein 3; LH, luteinizing hormone; MRI, magnetic resonance imaging; TSH, thyroid-stimulating hormone; T4 , thyroxine. In girls, centrally mediated precocious puberty (CPP) is categorized as idiopathic in ~85% of cases; however, neurogenic causes must be considered. Loss-of-function mutations in MKRN3 and DLK1, both of which are imprinted genes, have been reported in familial </w:t>
      </w:r>
      <w:r w:rsidRPr="00A6019F">
        <w:lastRenderedPageBreak/>
        <w:t xml:space="preserve">CPP. Activating mutations in KISS1, KISS1R, and PROKR2 have also been found in a small number of patients with CPP. However, the frequency of these mutations is insufficient to justify their use in routine clinical testing. GnRH agonists that induce pituitary desensitization are the mainstay of treatment to prevent premature epiphyseal closure and preserve adult height, as well as to manage psychosocial repercussions of precocious puberty. Peripherally mediated precocious puberty does not involve activa tion of the hypothalamic-pituitary-ovarian axis and is characterized by suppressed gonadotropins in the presence of elevated estradiol. Management of peripheral precocious puberty involves treating the underlying disorder (Table 404-1) and limiting the effects of gonadal steroids using aromatase inhibitors, inhibitors of steroidogenesis, and ER blockers. It is important to be aware that central precocious puberty can also develop in girls whose precocity was initially peripherally mediated, as in McCune-Albright syndrome and congenital adrenal hyperplasia. Incomplete and intermittent forms of precocious puberty may also occur. For example, premature breast development are common in girls before the age of 2 years, with no further progression and without significant advancement in bone age, estrogen production, or compro mised height. Premature adrenarche can also occur in the absence of progressive pubertal development, but it must be distinguished from late-onset congenital adrenal hyperplasia and androgen-secreting tumors, in which case it may be termed heterosexual precocity. Prema ture adrenarche may be associated with obesity, hyperinsulinemia, and the subsequent predisposition to PCOS. TABLE 404-3 Differential Diagnosis of Delayed Puberty Hypergonadotropic Ovarian Turner’s syndrome Gonadal dysgenesis Chemotherapy/radiation therapy Galactosemia Autoimmune oophoritis Congenital lipoid hyperplasia Steroidogenic enzyme abnormalities 17α-Hydroxylase deficiency Aromatase deficiency Gonadotropin/receptor mutations FSHb, LHR, FSHR Androgen resistance syndrome Hypogonadotropic Genetic Hypothalamic syndromes Leptin/leptin receptor HESX1 (septo-optic dysplasia) PC1 (prohormone convertase) IHH and Kallmann’s syndrome KAL1, FGF8, FGFR1, NSMF, PROK2, PROKR2, SEM3A, HS6ST1, WDR11, CHD7 KISS1, KISS1R, TAC3, TAC3R, GnRH1, GnRHR, and others Abnormalities of pituitary development/function PROP1 CNS tumors/infiltrative disorders Craniopharyngioma Astrocytoma, germinoma, glioma Prolactinomas, other pituitary tumors Histiocytosis X Chemotherapy/radiation Functional Chronic diseases Malnutrition Excessive exercise Eating disorders Abbreviations: CHD7, chromodomain-helicase-DNA-binding protein 7; CNS, central nervous system; FGF8, fibroblast growth factor 8; FGFR1, fibroblast growth factor 1 receptor; FSHβ, follicle-stimulating hormone β chain; FSHR, FSH receptor; GNRHR, gonadotropin-releasing hormone receptor; HESX1, homeobox, embryonic stem cell expressed 1; HS6ST1, heparin sulfate 6-O sulfotransferase 1; IHH, idiopathic hypogonadotropic hypogonadism; KAL, Kallmann; KISS1, kisspeptin 1; KISSR1, KISS1 receptor; LHR, luteinizing hormone receptor; NSMF, NMDA receptor synaptonuclear signaling and neuronal migration factor; PROK2, prokineticin 2; PROKR2, prokineticin receptor 2; PROP1, prophet of Pit1, paired-like </w:t>
      </w:r>
      <w:r w:rsidRPr="00A6019F">
        <w:lastRenderedPageBreak/>
        <w:t xml:space="preserve">homeodomain transcription factor; SEMA3A, semaphorin-3A; WDR11, WD repeat-containing protein 11. Delayed Puberty Delayed puberty (Table 404-3) is defined as the absence of secondary sexual characteristics by age 13 in girls. The diagnostic considerations are very similar to those for primary amenor rhea (Chap. 405). Between 25 and 40% of delayed puberty in girls is of ovarian origin, with Turner syndrome accounting for the majority of such patients. Delayed puberty may occur in the setting of systemic illnesses, including celiac disease and chronic renal disease, and endo crinopathies such as diabetes and hypothyroidism. In addition, girls appear to be particularly susceptible to the adverse effects of decreased energy balance resulting from exercise, dieting, and/or eating disorders, and thus, functional hypothalamic amenorrhea (HA) can present with primary amenorrhea. Together, these reversible conditions account for ~25% of delayed puberty in girls. Congenital hypogonadotropic hypo gonadism in girls or boys can be caused by mutations in several differ ent genes or combinations of genes (Fig. 404-4, Chap. 391, Table 404-3). 3132 experience at least 3 months of secondary amenorrhea in any specific year. There is no evidence that race or ethnicity influences the preva lence of amenorrhea. However, because of the importance of adequate nutrition for normal reproductive function, both the age at menarche and the prevalence of secondary amenorrhea vary significantly in dif ferent parts of the world. PART 12 Endocrinology and Metabolism Approximately 50% of girls with congenital hypogonadotropic hypo gonadism, with or without anosmia, have a history of some degree of breast development, and 10% report one to two episodes of vaginal bleeding. Family studies suggest that genes identified in association with absent puberty may also cause delayed puberty, and recent reports have further suggested that a genetic susceptibility to environmental stresses such as diet and exercise may account for at least some cases of func tional HA, including in girls who present with primary amenorrhea. Although neuroanatomic causes of delayed puberty are considerably less common in girls than in boys, it is always important to rule these out in the setting of primary hypogonadotropic hypogonadism. </w:t>
      </w:r>
      <w:r w:rsidRPr="00A6019F">
        <w:rPr>
          <w:rFonts w:ascii="Arial" w:hAnsi="Arial" w:cs="Arial"/>
        </w:rPr>
        <w:t>■</w:t>
      </w:r>
      <w:r w:rsidRPr="00A6019F">
        <w:t>FURTHER READING Balasubramanian R, Crowley WF Jr: Isolated gonadotropin-releasing hormone (GnRH) deficiency. 2007 May 23 [Updated 2022 May 12], in GeneReviews</w:t>
      </w:r>
      <w:r w:rsidRPr="00A6019F">
        <w:rPr>
          <w:rFonts w:ascii="Aptos" w:hAnsi="Aptos" w:cs="Aptos"/>
        </w:rPr>
        <w:t></w:t>
      </w:r>
      <w:r w:rsidRPr="00A6019F">
        <w:t xml:space="preserve"> [Internet]. Adam MP et al (eds). Seattle, WA, University of Washington, Seattle, 1993-2025. Available from: https://www.ncbi.nlm. nih.gov/books/NBK1334/. Brito VN et al: The congenital and acquired mechanisms implicated in the etiology of central precocious puberty. Endocr Rev 44:193, 2023. Cedars MI: Evaluation of female fertility-AMH and ovarian reserve testing. J Clin Endocrinol Metab 107:1510, 2022. Lippincott MF et al: HU206 constitutional delay of puberty and idiopathic hypogonadotropic hypogonadism: differential contri butions of common genetic variants. J Clin Endocrinol Metab 7:bvad114.1457, 2023. Louden ED et al: Genetics of hypogonadotropic hypogonadism: Human and mouse genes, inheritance, oligogenicity, and genetic counseling. Mol Cell Endocrinol 534:111334, 2021. Moore AM et al: KNDy neurons of the hypothalamus and their role in GnRH pulse generation: An update. Endocrinology 165:bqad194, 2023. 405 </w:t>
      </w:r>
      <w:r w:rsidRPr="00A6019F">
        <w:lastRenderedPageBreak/>
        <w:t xml:space="preserve">Menstrual Disorders and Pelvic Pain Janet E. Hall, Anuja Dokras Menstrual dysfunction can signal an underlying abnormality that may have long-term health consequences. Although frequent or prolonged bleeding usually prompts a woman to seek medical attention, infre quent or absent bleeding may seem less troubling, and the patient may not bring it to the attention of the physician. Thus, a focused menstrual history is a critical part of every encounter with a female patient. Pel vic pain is a common complaint that may relate to an abnormality of the reproductive organs but also may be of gastrointestinal, urinary tract, or musculoskeletal origin. Depending on its cause, pelvic pain may require urgent surgical attention. Recent guidelines no longer recommend routine pelvic examination in asymptomatic, average-risk women other than periodic cervical cancer screening. However, pelvic examination is an important part of the evaluation of amenorrhea, abnormal uterine bleeding, and pelvic pain. MENSTRUAL DISORDERS </w:t>
      </w:r>
      <w:r w:rsidRPr="00A6019F">
        <w:rPr>
          <w:rFonts w:ascii="Arial" w:hAnsi="Arial" w:cs="Arial"/>
        </w:rPr>
        <w:t>■</w:t>
      </w:r>
      <w:r w:rsidRPr="00A6019F">
        <w:t xml:space="preserve">DEFINITION AND PREVALENCE Amenorrhea refers to the absence of menstrual periods and is classified as primary if menstrual bleeding has never occurred in the absence of hormonal treatment or secondary if menstrual periods cease for 3–6 months. Primary amenorrhea is a rare disorder that occurs in 35 or 7 days. </w:t>
      </w:r>
      <w:r w:rsidRPr="00A6019F">
        <w:rPr>
          <w:rFonts w:ascii="Arial" w:hAnsi="Arial" w:cs="Arial"/>
        </w:rPr>
        <w:t>■</w:t>
      </w:r>
      <w:r w:rsidRPr="00A6019F">
        <w:t xml:space="preserve">DIAGNOSIS Pregnancy is the most common cause of amenorrhea and must be excluded in all cases, regardless of patient history. Evaluation of men strual dysfunction depends on understanding the interrelationships between the four critical components of the reproductive tract: (1) the hypothalamus, (2) the pituitary, (3) the ovaries, and (4) the uterus and outflow tract (Fig. 405-1; Chap. 404). This system is maintained by complex negative and positive feedback loops involving the ovar ian steroids (estradiol and progesterone) and peptides (inhibin B and inhibin A) and the hypothalamic (gonadotropin-releasing hormone [GnRH]) and pituitary (follicle-stimulating hormone [FSH] and luteinizing hormone [LH]) components of this system (Fig. 405-1). Disorders of menstrual function fall into two main categories: disorders of the uterus and outflow tract and disorders of ovulation. Many of the conditions that cause primary amenorrhea are congenital but go unrecognized until the time of normal puberty (e.g., genetic, chromosomal, and anatomic abnormalities). All causes of secondary amenorrhea also can cause primary amenorrhea. Disorders of the Uterus or Outflow Tract Abnormalities of the uterus and outflow tract typically present as primary amenorrhea. In patients with normal pubertal development and a blind vagina, 3133 Primary GnRH LH Hypothalamus Pituitary Inhibin B Inhibin A Estradiol 28% Secondary 36% 2% FSH PCOS + Estradiol Progesterone Ovary Uterus/outflow tract 8% 43% 19% 15% 30% 12% 7% FIGURE 405-1 Role of the hypothalamic-pituitary-gonadal axis in the etiology of amenorrhea. Gonadotropin-releasing hormone (GnRH) secretion from the hypothalamus stimulates follicle-stimulating hormone (FSH) and luteinizing hormone (LH) secretion from the pituitary to induce ovarian folliculogenesis and steroidogenesis. Ovarian secretion of estradiol and progesterone controls the shedding of the endometrium, resulting in menses, and, in combination with the inhibins, provides feedback regulation of the hypothalamus and pituitary to control secretion of FSH and </w:t>
      </w:r>
      <w:r w:rsidRPr="00A6019F">
        <w:lastRenderedPageBreak/>
        <w:t xml:space="preserve">LH. The prevalence of amenorrhea resulting from abnormalities at each level of the reproductive system (hypothalamus, pituitary, ovary, uterus, and outflow tract) varies depending on whether amenorrhea is primary or secondary. PCOS, polycystic ovarian syndrome. the differential diagnosis includes obstruction by a transverse vaginal septum or imperforate hymen; müllerian agenesis (Mayer-Rokitansky Kuster-Hauser syndrome), which can be caused by mutations in the WNT4 gene, and androgen insensitivity syndrome (AIS), which is an X-linked recessive disorder that accounts for ~10% of all cases of pri mary amenorrhea (Chap. 403). Patients with AIS have a 46,XY karyo type, but because of the lack of androgen receptor responsiveness, those with complete AIS lack features of androgenization and have female external genitalia. The absence of pubic and axillary hair distinguishes them clinically from patients with müllerian agenesis, as does a testos terone level in the male range. The rare patient with 5α reductase type 2 enzyme deficiency has a similar presentation but undergoes viriliza tion at the time of puberty. Asherman’s syndrome presents as secondary amenorrhea or hypomenorrhea and results from partial or complete obliteration of the uterine cavity by adhesions that prevent normal growth and shedding of the endometrium. Curettage performed for pregnancy complications accounts for &gt;90% of cases; genital tuberculo sis is an important cause in regions where it is endemic. TREATMENT Disorders of the Uterus or Outflow Tract Obstruction of the outflow tract usually presents as dysmenorrhea or lower abdominal cyclic pain with no menses. Evaluation of the patient includes a medical history, physical examination including a perineal examination, and ultrasound imaging. In many cases, a magnetic resonance imaging (MRI) scan can more accurately iden tify the reproductive tract anomaly prior to surgery. It is important that surgery be performed as soon as the diagnosis is made as the risk of endometriosis is increased with retrograde menstrual flow. Müllerian agenesis may require surgical intervention to allow sexual intercourse, although vaginal dilatation is adequate in some patients. In these patients, because ovarian function is normal, assisted reproductive techniques can be used with a surrogate carrier. More recently, there have been a few cases of successful uterine transplantation in women with müllerian agenesis. AIS (Chap. 402) requires gonadectomy because there is risk of gonado blastoma in the dysgenetic gonads, although surgery is generally delayed until after breast development and the pubertal growth spurt. Estrogen replacement is indicated after gonadectomy, and vaginal dilatation may be required to allow sexual intercourse. Disorders of Ovulation Once uterus and outflow tract abnor malities have been excluded, other causes of amenorrhea involve dis orders of ovulation. The differential diagnosis is based on the results of initial tests, including a pregnancy test, an FSH level (to determine whether the cause is likely to be ovarian or central), and assessment of hyperandrogenism (Fig. 405-2). HYPOGONADOTROPIC HYPOGONADISM Low estrogen levels in com bination with normal or low levels of LH and FSH are seen with anatomic, genetic, or functional abnormalities that interfere with hypo thalamic GnRH secretion or normal pituitary responsiveness to GnRH. Although relatively uncommon, tumors and </w:t>
      </w:r>
      <w:r w:rsidRPr="00A6019F">
        <w:lastRenderedPageBreak/>
        <w:t xml:space="preserve">infiltrative diseases should be considered in the differential diagnosis of hypogonadotropic hypo gonadism (Chap. 392). These disorders may present with primary or secondary amenorrhea. They may occur in association with other features suggestive of hypothalamic or pituitary dysfunction, such as short stature, diabetes insipidus, galactorrhea, and headache. Hypogo nadotropic hypogonadism also may be seen after cranial irradiation. In the postpartum period, amenorrhea occurs normally in association with breast feeding but may also be caused by pituitary necrosis (Shee han’s syndrome) or lymphocytic hypophysitis. Because reproductive dysfunction is commonly associated with hyperprolactinemia from neuroanatomic lesions or medications, prolactin should be measured in all patients with hypogonadotropic hypogonadism (Chap. 392). Isolated hypogonadotropic hypogonadism (IHH) occurs in women, although it is three times more common in men. IHH generally pres ents with primary amenorrhea, although 50% have some degree of CHAPTER 405 Menstrual Disorders and Pelvic Pain 3134 Amenorrhea uterus and outflow tract Normal Pregnancy PART 12 + β-hCG FSH Abnormal Karyotype Abnormal Normal Endocrinology and Metabolism Normal/low • High • Androgen Normal • Müllerian Hyperandro genism ↑ testosterone hirsutism, acne R/o • 21 hydroxylase deficiency • Tumor insensitivity syndrome premature ovarian insufficiency Pituitary causes Hypothalamic causes • Turner’s syndrome • 5α reductase deficiency agenesis • Imperforate hymen • Transverse vaginal septum • Cervical stenosis History of uterine instrumentation Normal prolactin FSH negative trial of estrogen/ progesterone Asherman’s syndrome PCOS FIGURE 405-2 Algorithm for evaluation of amenorrhea. β-hCG, β-human chorionic gonadotropin; FSH, follicle-stimulating hormone; GYN, gynecologist; MRI, magnetic resonance imaging; PRL, prolactin; R/O, rule out; TSH, thyroid-stimulating hormone. breast development, and ~10% report one to two menses. IHH is asso ciated with anosmia in half of women (termed Kallmann’s syndrome). Genetic causes of IHH have been identified in ~50% of patients (Chaps. 403 and 404). Functional hypothalamic amenorrhea (HA) is a diagnosis of exclu sion of other causes of hypogonadotropic hypogonadism including chronic diseases (type 1 diabetes, celiac disease, hyperthyroidism, Cushing’s syndrome) and use of opioids, glucocorticoids, or psychotro pic medications that increase prolactin levels. Functional HA is most commonly associated with conditions causing a mismatch between energy expenditure and energy intake and/or significant stress leading to increased corticotropin-releasing hormone (CRH), suppression of GnRH, and decreased thyrotropin-releasing hormone (TRH) input. Variants in genes associated with IHH may increase susceptibility to these environmental inputs, accounting in part for the clinical vari ability in this disorder. Metabolic and stress signaling is transduced to the reproductive axis, at least in part, through leptin signaling from the periphery and via hypothalamic kisspeptin, neurokinin B, and dynorphin control of GnRH. The diagnosis of HA generally can be made on the basis of a careful history, a physical examination, and the demonstration of low levels of gonadotropins and normal prolactin levels. Eating disorders, excessive exercise, and </w:t>
      </w:r>
      <w:r w:rsidRPr="00A6019F">
        <w:lastRenderedPageBreak/>
        <w:t xml:space="preserve">chronic disease must be specifically excluded. An atypical history, headache, signs of other hypothalamic dysfunction, or hyperprolactinemia, even if mild, neces sitates cranial MRI to exclude a neuroanatomic cause. Up to 10% of women with HA may have some features of PCOS (irregular menses, increased ovarian volume with polycystic appearing ovaries, higher anti-müllerian hormone [AMH] levels, and slightly elevated androgen levels). HYPERGONADOTROPIC HYPOGONADISM Ovarian failure is consid ered premature when it occurs in women 4–6 depending on ethnicity, see Chap. 406), and polycystic-appearing ovaries on ultrasound (≥20 antral follicles or ovarian volume ≥10 cm3 in at least one ovary) or elevated AMH. The presence of two of the three criteria will confirm the diagnosis, resulting in different phe notypes, namely, hyperandrogenic or non-hyperandrogenic. PCOS is a diagnosis of exclusion, and other etiologies for irregular menses and hyperandrogenism should be excluded (hypothyroidism, hyper prolactinemia, adrenal sources for hyperandrogenism). Diagnosis in adolescents may be difficult to establish, and it is recommended to wait at least 3 years after menarche before confirming the diagnosis. In adolescents, the diagnosis is based on irregular menses and hyper androgenism criteria only, as the ultrasound and AMH criteria are not established for this age group. Lean oligo-ovulatory patients with PCOS generally have high LH levels in the presence of normal to low levels of FSH and estradiol, although given the pulsatility of LH secre tion, a random serum LH/FSH ratio is not included in the diagnostic criteria. The prevalence of obesity is high in PCOS and significantly increases the risk of comorbidities including metabolic syndrome, type 2 diabetes, dyslipidemia, hypertension, and cardiovascular disease. Frequent anovulation results in irregular menses and increased risk of endometrial hyperplasia and endometrial cancer (two- to sixfold increased risk). Abnormalities in GnRH pulsatility result in elevated LH levels resulting in increased production of ovarian androgens. Insulin resistance, especially in skeletal muscle and adipose tissue, also contributes to increased insulin-stimulated ovarian androgen production. An alternate source of androgens, namely 11-oxygenated androgens, may also be elevated in this population. Genome-wide association studies in diverse populations and PCOS phenotypes have identified several loci (~19) associated with PCOS, and cluster analyses suggest the presence of reproductive and metabolic abnor malities. Symptoms generally begin in adolescence and are modified by obesity and age, such that by the fourth decade of life, most women with PCOS will have regular menses and normal serum androgens. There is a high prevalence of depression and anxiety disorders, as well as disordered eating and body image distress. PCOS is also associ ated with an increased risk of obstructive sleep apnea and metabolic dysfunction-associated steatotic liver disease (MDSLD), independent of body mass index (BMI). TREATMENT Polycystic Ovary Syndrome The first-line treatment of women with PCOS not attempting preg nancy is combined hormonal contraceptives to regulate menstrual cycles and decrease serum androgens by increasing sex hormone binding globulin levels. Although serum androgens decrease by 2–3 months after initiating hormonal therapy, it may take longer to observe the beneficial effects on </w:t>
      </w:r>
      <w:r w:rsidRPr="00A6019F">
        <w:lastRenderedPageBreak/>
        <w:t xml:space="preserve">hirsutism and acne. Patients should be prescribed hormonal contraceptives containing the lowest effective dose of estrogen, either in a cyclic or continuous manner. If there is an inadequate response to hormonal con traceptives after 6 months for management of hyperandrogenic symptoms, antiandrogens, such as spironolactone and flutamide, can be considered (Chap. 406). Endometrial protection can also be achieved with the use of progestins (medroxyprogesterone acetate,10 mg, or Prometrium [progesterone], 200 mg daily for 10–14 days at least every 3 months, or a levonorgestrel intrauterine device [IUD]). All women with PCOS should be screened for obesity, hypertension, glycemic control, depression, and anxiety at the time of diagnosis and then at regular intervals. Overweight and obese women should also have a fasting lipid profile at the time of diagnosis. Lifestyle management should be recommended in all women with PCOS, and metformin should be considered for prevention of cardiometabolic risk factors in those with overweight and obesity (Chap. 420). Women with PCOS are at an increased risk of early miscarriage, gestational diabe tes, gestational hypertension, preeclampsia, and preterm birth. Lifestyle management and prepregnancy counseling should be offered prior to attempting pregnancy (Chap. 408). Letrozole, an aromatase inhibitor, is the first-line treatment for ovulation induc tion followed by clomiphene citrate, a selective estrogen response modulator, with or without metformin. Injectable gonadotropins can be used judiciously by experienced practitioners to induce monofollicular growth as PCOS increases the risk of hyperstimu lation. Metformin can be used as an adjunct with diet and exer cise for obese women with PCOS or for treatment of diabetes or impaired glucose tolerance, as in non-PCOS patients. However, metformin alone is not recommended for endometrial protection or treatment of hyperandrogenic symptoms, infertility, pregnancy loss, or prevention of gestational diabetes. CHAPTER 405 Menstrual Disorders and Pelvic Pain </w:t>
      </w:r>
      <w:r w:rsidRPr="00A6019F">
        <w:rPr>
          <w:rFonts w:ascii="Arial" w:hAnsi="Arial" w:cs="Arial"/>
        </w:rPr>
        <w:t>■</w:t>
      </w:r>
      <w:r w:rsidRPr="00A6019F">
        <w:t xml:space="preserve">PELVIC PAIN The mechanisms that cause pelvic pain are similar to those that cause abdominal pain (Chap. 16) and include inflammation of the parietal peritoneum, obstruction of hollow viscera, vascular disturbances, and pain originating in the abdominal wall. Pelvic pain may reflect pelvic disease per se but also may reflect extrapelvic disorders that refer pain to the pelvis. In up to 60% of cases, pelvic pain can be attributed to gastrointestinal problems, including appendicitis, cholecystitis, infec tions, intestinal obstruction, diverticulitis, and inflammatory bowel disease. Urinary tract and musculoskeletal disorders are also common causes of pelvic pain. APPROACH TO THE PATIENT Pelvic Pain As with all types of abdominal pain, the first priority is to iden tify life-threatening conditions (shock, peritoneal signs) that may require emergent surgical management. The possibility of preg nancy should be identified as soon as possible by menstrual history and β-human chorionic gonadotropin (β-hCG) testing. A thorough history that includes the type, location, radiation, and recurrence can help identify the cause of acute pelvic pain. Specific associations 3136 with vaginal bleeding, sexual activity, defecation, urination, move ment, or eating should be specifically sought. Determination of whether the pain is acute versus chronic and cyclic versus noncyclic </w:t>
      </w:r>
      <w:r w:rsidRPr="00A6019F">
        <w:lastRenderedPageBreak/>
        <w:t xml:space="preserve">will direct further investigation (Table 405-1). However, disorders that cause cyclic pain occasionally may cause noncyclic pain, and the converse is also true. </w:t>
      </w:r>
      <w:r w:rsidRPr="00A6019F">
        <w:rPr>
          <w:rFonts w:ascii="Arial" w:hAnsi="Arial" w:cs="Arial"/>
        </w:rPr>
        <w:t>■</w:t>
      </w:r>
      <w:r w:rsidRPr="00A6019F">
        <w:t xml:space="preserve">ACUTE PELVIC PAIN PART 12 Endocrinology and Metabolism Pelvic inflammatory disease (PID) refers to infection of the upper geni tal tract and may present with a spectrum of symptoms. In the acute setting, the most common presentation is bilateral lower abdominal pain of recent onset that may be exacerbated with sexual activity. Risk factors for PID include age 80% sustained response rates. Ibuprofen, naproxen, ketoprofen, mefenamic acid, and nimesulide are all superior to placebo. For best response, treatment should be initiated prior to the onset of menses and continued for at least 2–3 days. Combined or progestin-only hormonal contraceptives taken cyclically or con tinuously effectively reduce symptoms of dysmenorrhea. ENDOMETRIOSIS Combined hormonal contraceptives or continuous progestin (either orally, implants, or a levonorgestrel IUD) is used for the treatment of endometriosis. Evidence of an endometrioma on ultrasound imaging can be medically managed and does not require surgi cal removal unless it increases in size or there is persistent pain. Patients who do not respond to medical management and lapa roscopic resection of endometriotic lesions can be offered GnRH agonist suppression with add-back therapy or aromatase inhibitors. FIBROIDS Chronic pain and dysmenorrhea associated with fibroids can be managed medically or surgically depending on the number and location of fibroids and associated symptoms. The U.S. Food and Drug Administration (FDA) approved the first two oral treat ments for uterine fibroids (elagolix with estradiol/norethindrone acetate and relugolix with estradiol/norethindrone acetate), and the selective progesterone receptor modulator ulipristal acetate was withdrawn in Europe and Canada. Medical management includes oral hormonal contraceptives, tranexamic acid, NSAIDs, proges tins, IUDs, and GnRH agonists and antagonists. Surgical man agement includes myomectomy, endometrial ablation/myolysis, radiofrequency volumetric thermal ablation, laparoscopic ablation, or hysterectomy. Chronic pain and dysmenorrhea associated with adenomyosis can be managed with combined hormonal treat ment, levonorgestrel IUD, or hysterectomy after child-bearing is complete. </w:t>
      </w:r>
      <w:r w:rsidRPr="00A6019F">
        <w:rPr>
          <w:rFonts w:ascii="Arial" w:hAnsi="Arial" w:cs="Arial"/>
        </w:rPr>
        <w:t>■</w:t>
      </w:r>
      <w:r w:rsidRPr="00A6019F">
        <w:t xml:space="preserve">FURTHER READING Bartels CB et al: An evidence-based approach to the medical man agement of fibroids: A systematic review. Clin Obstet Gynecol 59:30, 2016. Bloomfield H et al: Screening pelvic examinations in asymptomatic average risk adult women. WA-ESP Project #09-009; 2013. Bouilly J et al: Identification of multiple gene mutations accounts for the new genetic architecture of ovarian insufficiency. J Clin Endocrinol Metab 101:4541, 2016. Brunham RC et al: Pelvic inflammatory disease. N Engl J Med 372:2039, 2015. Fourman LR, Fazeli PK: Neuroendocrine causes of amenorrhea—An update. J Clin Endocrinol Metab 100:812, 2015. Ju H et al: The prevalence and risk factors of dysmenorrhea. Epidem Rev 36:104, 2014. Lee IT, Barnhart KT: What is an ectopic pregnancy? JAMA 329:434, 2023. Oladosu FA et al: Nonsteroidal anti-inflammatory drug resistance in dysmenorrhea: Epidemiology, causes, and treatment. Am J Obstet Gynecol 218:390, 2018. Taylor HS et al: Endometriosis is a chronic systemic disease: Clinical challenges and novel </w:t>
      </w:r>
      <w:r w:rsidRPr="00A6019F">
        <w:lastRenderedPageBreak/>
        <w:t xml:space="preserve">innovations. Lancet 397:839, 2021. Teede HJ et al: International PCOS Network. Recommendations from the 2023 International Evidence-based Guideline for the Assessment and Management of Polycystic Ovary Syndrome. Fertil Steril 120:767, 2023. 406 Hirsutism David A. Ehrmann </w:t>
      </w:r>
      <w:r w:rsidRPr="00A6019F">
        <w:rPr>
          <w:rFonts w:ascii="Arial" w:hAnsi="Arial" w:cs="Arial"/>
        </w:rPr>
        <w:t>■</w:t>
      </w:r>
      <w:r w:rsidRPr="00A6019F">
        <w:t xml:space="preserve">DEFINING HIRSUTISM Body hair can be categorized as either vellus (fine, soft, and not pig mented) or terminal (long, coarse, and pigmented). Approximately 10% of reproductive-age women have hirsutism, defined by the presence of excessive terminal hair growth. Hirsutism is most often idiopathic or the consequence of androgen excess associated with polycystic ovary CHAPTER 406 Hirsutism 3138 TABLE 406-1 Causes of Hirsutism PART 12 Endocrinology and Metabolism Gonadal hyperandrogenism Ovarian hyperandrogenism Polycystic ovary syndrome/functional ovarian hyperandrogenism Ovarian steroidogenic blocks Syndromes of extreme insulin resistance Ovarian neoplasms Hyperthecosis Adrenal hyperandrogenism Premature adrenarche Functional adrenal hyperandrogenism Congenital adrenal hyperplasia (nonclassic and classic) Abnormal cortisol action/metabolism Adrenal neoplasms Other endocrine disorders Cushing’s syndrome Hyperprolactinemia Acromegaly Peripheral androgen overproduction Obesity Idiopathic Pregnancy-related hyperandrogenism Hyperreactio luteinalis Thecoma of pregnancy Drugs Androgens Oral contraceptives containing androgenic progestins Minoxidil Phenytoin Diazoxide Cyclosporine Valproic acid Ovotesticular disorders of sex development syndrome (PCOS). Less frequently, it results from adrenal androgen overproduction as occurs in nonclassic congenital adrenal hyperplasia (CAH) (Table 406-1). Virilization refers to a condition that may the result from benign hyperplasia of ovarian theca and stroma cells (e.g., hyperthecosis); it may also be a harbinger of a serious underlying condition, such as an ovarian or adrenal neoplasm. In women with virilization, androgen levels are sufficiently high to cause deepening of the voice, breast atro phy, increased muscle bulk, clitoromegaly, and increased libido. Cuta neous manifestations commonly associated with hirsutism include acne and hair thinning or pattern hair loss (androgenic alopecia). </w:t>
      </w:r>
      <w:r w:rsidRPr="00A6019F">
        <w:rPr>
          <w:rFonts w:ascii="Arial" w:hAnsi="Arial" w:cs="Arial"/>
        </w:rPr>
        <w:t>■</w:t>
      </w:r>
      <w:r w:rsidRPr="00A6019F">
        <w:t xml:space="preserve">HAIR FOLLICLE GROWTH AND DIFFERENTIATION The number of hair follicles remains unchanged over the life span, but follicle size and the type of hair can change in response to numerous factors, particularly androgens. Androgens are necessary for terminal hair and sebaceous gland development and mediate differentiation of pilosebaceous units (PSUs) into a terminal hair follicle and/or a sebaceous gland. In the former case, androgens transform the vellus hair into a terminal hair; in the latter case, the sebaceous component proliferates and the hair remains vellus. There are three phases in the cycle of hair growth: (1) anagen (growth phase), (2) catagen (involution phase), and (3) telogen (rest phase). Depending on the body site, hormonal regulation may play an important role in the hair growth cycle. Hair growth on the face, chest, upper abdomen, and back typically requires elevated androgen concen trations. However, there is only a modest correlation between androgen levels and the quantity of hair growth. This is due to the fact that hair growth from the follicle also depends on local growth factors, and the </w:t>
      </w:r>
      <w:r w:rsidRPr="00A6019F">
        <w:lastRenderedPageBreak/>
        <w:t xml:space="preserve">variability in end-organ (PSU) sensitivity to androgens. Genetic factors and ethnic background also influence hair growth. Androgen excess in women may result in hair thinning or loss because androgens cause scalp hairs to spend less time in the anagen phase. In general, dark-haired individuals tend to be more hirsute than blond or fair individuals. Asians and Native Americans have relatively sparse hair in regions sensitive to high androgen levels, whereas people of Mediterranean descent are more hirsute. </w:t>
      </w:r>
      <w:r w:rsidRPr="00A6019F">
        <w:rPr>
          <w:rFonts w:ascii="Arial" w:hAnsi="Arial" w:cs="Arial"/>
        </w:rPr>
        <w:t>■</w:t>
      </w:r>
      <w:r w:rsidRPr="00A6019F">
        <w:t xml:space="preserve">CLINICAL ASSESSMENT Historic elements relevant to the assessment of hirsutism include the age at onset and rate of progression of hair growth and associated symptoms or signs (e.g., menstrual irregularity and acne). Depend ing on the cause, excess hair growth typically is first noted during the second and third decades of life. The growth is usually slow but progressive. Sudden development and rapid progression of hirsutism suggest the possibility of an androgen-secreting neoplasm, in which case virilization may also be present. The age at onset of menstrual cycles (menarche) and the pattern of the menstrual cycle should be ascertained. Menses may be irregular in the first 2 years after menarche; oligomenorrhea (25 kg/m2 is indicative of excess weight for height, and values &gt;30 kg/m2 are often seen in association with hirsutism, probably the result of increased conversion of androgen precursors to testosterone. Notation should be made of blood pressure, as adrenal causes may be associated with hypertension. Cutaneous signs sometimes associated with androgen excess and insulin resistance include acanthosis nigricans and skin tags. An objective clinical assessment of hair distribution and quantity is central to the evaluation in any woman presenting with concerns about excessive hair growth. This assessment permits the distinction between hirsutism and hypertrichosis and provides a baseline reference point to gauge the response to treatment. A simple and commonly used method to grade hair growth is the modified scale of Ferriman and Gallwey (Fig. 406-1), in which each of nine androgen-sensitive sites is graded from 0 (no hair growth) to 4 (hair growth typically seen in adult men). Although it is normal for most women to have some hair growth in androgen-sensitive sites, ~95% of non-Hispanic white and African American women have a score 8 suggest excess androgen-mediated hair growth, a finding that should be assessed further by means of hormonal evaluation (see below). Asian and Native Ameri can women are less likely to manifest hirsutism, and the only cutaneous evidence of androgen excess may be pustular acne and thinning scalp hair. </w:t>
      </w:r>
      <w:r w:rsidRPr="00A6019F">
        <w:rPr>
          <w:rFonts w:ascii="Arial" w:hAnsi="Arial" w:cs="Arial"/>
        </w:rPr>
        <w:t>■</w:t>
      </w:r>
      <w:r w:rsidRPr="00A6019F">
        <w:t xml:space="preserve">HORMONAL EVALUATION Androgens are secreted by the ovaries and adrenal glands in response to their respective tropic hormones: luteinizing hormone (LH) and adrenocorticotropic hormone (ACTH). Testosterone is the principal circulating steroid involved in the etiology of hirsutism; other steroids that may contribute to the development of hirsutism include andro stenedione and dehydroepiandrosterone (DHEA) and its sulfated form (DHEAS). The ovaries and adrenal glands normally contribute about equally to testosterone production. Approximately half of the total tes tosterone originates from direct glandular secretion, and the remainder is derived from the peripheral conversion of androstenedione and DHEA (Chap. 393). Testosterone is </w:t>
      </w:r>
      <w:r w:rsidRPr="00A6019F">
        <w:lastRenderedPageBreak/>
        <w:t xml:space="preserve">the most important circulating androgen, but it is a precursor hormone in mediating hirsutism. Testosterone is converted to dihydrotestosterone (DHT) by the enzyme 5α-reductase, which is 3139 Hirsutism CHAPTER 406 1 1 1 1 1 1 1 2 3 1 1 Upper lip Chin Chest Abdomen Pelvis Upper back Lower back Upper arms 2 2 2 2 2 2 2 2 3 3 3 3 3 3 4 3 3 4 4 4 4 4 4 4 4 Thighs FIGURE 406-1 Hirsutism scoring scale of Ferriman and Gallwey. The nine body areas that have androgen-sensitive areas are graded from 0 (no terminal hair) to 4 (frankly virile) to obtain a total score. A normal hirsutism score is 12 nmol/L (&gt;3.5 ng/mL) usually indicates an androgen-producing tumor, whereas a level &gt;7 nmol/L (&gt;2 ng/mL) is suggestive of tumor but may also be observed in women with hyperthecosis. A basal DHEAS level &gt;18.5 μmol/L (&gt;7000 μg/L) suggests an adrenal tumor. Although DHEAS has been proposed as a “marker” of predominant adrenal androgen excess, it is not unusual to find modest elevations in DHEAS among women with PCOS. Computed tomography (CT) or magnetic resonance imaging (MRI) should be used to localize an adrenal mass, and transvaginal ultrasound usually suffices to identify an ovarian mass if clinical evalu ation and hormonal levels suggest these possibilities. PCOS is the most common cause of ovarian androgen excess (Chap. 404). An increased ratio of LH to follicle-stimulating hor mone (FSH) is characteristic in carefully studied patients with PCOS. However, because of the pulsatile nature of gonadotropin secretion, a random measurement of LH and FSH may be misleading and is not recommended. Transvaginal ultrasound classically shows enlarged ovaries, increased stroma, and multiple “cysts” in women with PCOS. These so-called cysts are, in fact, preantral and early antral follicles that result from abnormal follicular maturation. “Cystic” ovaries also may be found in women with hypothalamic amenorrhea (Chap. 404) and even among women without clinical or laboratory features of PCOS. Thus, ultrasonography is often not needed to diagnose PCOS given its relatively low specificity and its high degree of operator dependence. Because adrenal androgens are readily suppressed by low doses of glucocorticoids, the dexamethasone androgen-suppression test may broadly distinguish ovarian from adrenal androgen overproduction. A blood sample is obtained before and after the administration of dexamethasone (0.5 mg orally every 6 h for 4 days). An adrenal source is suggested by suppression of unbound testosterone into the normal range; incomplete suppression suggests ovarian androgen excess. An overnight 1-mg dexamethasone suppression test, with measurement of 8:00 a.m. serum cortisol, is useful when there is clinical suspicion of Cushing’s syndrome (Chap. 398). Nonclassic CAH is most commonly due to 21-hydroxylase defi ciency but also can be caused by autosomal recessive defects in other steroidogenic enzymes necessary for adrenal corticosteroid synthesis (Chap. 398). Because of the enzyme defect, the adrenal gland cannot secrete glucocorticoids (especially cortisol) efficiently. This results in diminished negative feedback inhibition of ACTH, leading to 3141 compensatory adrenal hyperplasia and the accumulation of steroid precursors that subsequently are converted to androgen. Deficiency of 21-hydroxylase can be reliably excluded by determining a morning 17-hydroxyprogesterone </w:t>
      </w:r>
      <w:r w:rsidRPr="00A6019F">
        <w:lastRenderedPageBreak/>
        <w:t xml:space="preserve">level 25 IU/L in a random blood sample are characteristic of the late menopause transition. FSH measurement can also aid in assessing fertility; levels of 25 IU/L** Low Low Symptoms *Blood draw on cycle days 2–5 = elevated. **Approximate expected level based on assays using current international pituitary standard. Vasomotor symptoms Likely Vasomotor symptoms Most likely Increasing symptoms of urogenital atrophy FIGURE 407-2 The Stages of Reproductive Aging Workshop +10 (STRAW +10) staging system for reproductive aging in women. AMH, anti-müllerian hormone; FSH, follicle stimulating hormone. (Reproduced with permission from SD Harlow et al: Executive summary of the Stages of Reproductive Aging Workshop + 10: addressing the unfinished agenda of staging reproductive aging. Menopause 19:387, 2012.) switch to HT must be individualized. Doses of estrogen and proges togen (either synthetic progestins or natural forms of progesterone) in HT are lower than those in oral contraceptives and have not been documented to prevent pregnancy. Although a 1-year absence of spontaneous menses reliably indicates ovulation cessation, it is not possible to assess the natural menstrual pattern while a woman is taking an oral contraceptive. Women willing to switch to a barrier method of contraception should do so; if menses occur spontane ously, oral contraceptive use can be resumed. The average age of final menses among relatives can serve as a guide for when to initi ate this process, which can be repeated yearly until menopause has occurred. MENOPAUSE AND POSTMENOPAUSAL HT One of the most complex health care decisions facing women is whether to use postmenopausal HT. Once prescribed primarily to relieve vasomotor symptoms, HT has been promoted as a strategy to forestall various disorders that accelerate after menopause, including osteoporosis and cardiovascular disease. In 2000, nearly 40% of post menopausal women aged 50–74 in the United States had used HT. This widespread use occurred despite the paucity of conclusive data, until recently, on the health consequences of such therapy. Although many women rely on their health care providers for a definitive answer to the question of whether to use postmenopausal hormones, balancing the benefits and risks for an individual patient is challenging. Although observational studies suggest that HT prevents cardio vascular and other chronic diseases, the apparent benefits may result at least in part from differences between women who opt to take postmenopausal hormones and women who do not. Those choos ing HT tend to be healthier, have greater access to medical care, are more compliant with prescribed treatments, and maintain a more health-promoting lifestyle. Randomized trials, which eliminate these confounding factors, have not consistently confirmed the benefits found in observational studies. Indeed, the largest HT trial to date, the Women’s Health Initiative (WHI), which examined &gt;27,000 post menopausal women aged 50–79 (mean age, 63) for an average of 5–7 years, was stopped early because of an overall unfavorable benefit risk ratio in the estrogen-progestin arm and an excess risk of stroke that was not offset by a reduced risk of coronary heart disease (CHD) in the estrogen-only arm. The following summary offers a decision-making guide based on a synthesis of currently </w:t>
      </w:r>
      <w:r w:rsidRPr="00A6019F">
        <w:lastRenderedPageBreak/>
        <w:t xml:space="preserve">available evidence. Prevention of cardiovascular disease is eliminated from the equation due to lack of evidence for such benefits in randomized clinical trials. </w:t>
      </w:r>
      <w:r w:rsidRPr="00A6019F">
        <w:rPr>
          <w:rFonts w:ascii="Arial" w:hAnsi="Arial" w:cs="Arial"/>
        </w:rPr>
        <w:t>■</w:t>
      </w:r>
      <w:r w:rsidRPr="00A6019F">
        <w:t xml:space="preserve">BENEFITS AND RISKS OF POSTMENOPAUSAL HT See Table 407-1. Definite Benefits </w:t>
      </w:r>
      <w:r w:rsidRPr="00A6019F">
        <w:rPr>
          <w:rFonts w:ascii="Aptos" w:hAnsi="Aptos" w:cs="Aptos"/>
        </w:rPr>
        <w:t>•</w:t>
      </w:r>
      <w:r w:rsidRPr="00A6019F">
        <w:t> </w:t>
      </w:r>
      <w:r w:rsidRPr="00A6019F">
        <w:t xml:space="preserve">SYMPTOMS OF MENOPAUSE Compelling evidence, including data from randomized clinical trials, indicates that estrogen therapy is highly effective for controlling vasomotor and genitourinary symptoms. Alternative approaches, including the use of antidepressants (such as paroxetine mesylate, 7.5 mg/d; venlafaxine, 37.5–75 mg/d; desvenlafaxine, 100 mg/d; fluoxetine, 20–30 mg/d; sertraline, 50–100 mg/d; citalopram, 10–30 mg/d; and escitalopram, 10–20 mg/d); the neurokinin-3 receptor antagonist fezolinetant (45 mg/d); the γ-aminobutyric acid analogue gabapentin (300 mg nightly, up to 900 mg in divided doses); and the antispasmodic anticholinergic oxy butynin (2.5–5 mg twice per day) may also alleviate vasomotor symp toms, although they are less effective than HT. Evidence is inconsistent on the efficacy of pregabalin (75–150 mg/d twice per day) and cloni dine (oral, 0.1–1 mg/d, or transdermal, 0.1–0.3 mg weekly). Paroxetine mesylate and fezolinetant are the only nonhormonal drugs approved 3144 PART 12 Endocrinology and Metabolism TABLE 407-1 Benefits and Risks of Postmenopausal Hormone Therapy in the Overall Study Population of Women aged 50–79 Years in the Intervention Phase of the Women’s Health Initiative (WHI) Estrogen-Progestin and Estrogen-Alone Trialsa OUTCOME EFFECT ESTROGEN-PROGESTIN ESTROGEN ALONE RELATIVE BENEFIT OR RISK ABSOLUTE BENEFIT OR RISKb RELATIVE BENEFIT OR RISK ABSOLUTE BENEFIT OR RISKb Definite Benefits Symptoms of menopause Definite improvement ↓65–90% decreased riskc  ↓65–90% decreased riskc   Osteoporosis Definite increase in bone mineral density and decrease in fracture risk ↓33% decreased risk for hip fracture 6 fewer cases (11 vs 17) of hip fracture ↓33% decreased risk for hip fracture 6 fewer cases (13 vs 19) of hip fracture Definite Risksh Endometrial cancer Definite increase in risk with estrogen alone (see below for estrogen-progestin) See below See below 4.6 excess cases (observational studies) Pulmonary embolism Definite increase in risk ↑98% increased risk 9 excess cases (18 vs 9) ↑35% increased risk (n.s.) 4 excess cases (14 vs 10) Deep-vein thrombosis Definite increase in risk ↑87% increased risk 11.5 excess cases (25 vs 14) ↑48% increased risk 7.5 excess cases (23 vs 15) Breast cancer Definite increase in risk with long-term use (≥5 years) of estrogen-progestin ↑24% increased risk 8.5 excess cases (43 vs 35) ↓21% decreased risk (n.s.) 7 fewer cases (28 vs 35) Gallbladder disease Definite increase in risk ↑57% increased risk 47 excess cases (131 vs 84) ↑55% increased risk 58 excess cases (164 vs 106) Probable or Uncertain Risks and Benefitsh Coronary heart diseased Probable increase in risk among older women and women many years past menopause; possible decrease in risk or no effect in younger or recently menopausal womene ↑18% increased risk (n.s.) 6 excess cases (41 vs 35) No increase in risk No difference in risk Myocardial infarction Significant interaction by age group for estrogen alone, with reduced risk in younger—but not older—women (p for trend by age = .02) ↑24% increased risk (n.s.) 6 excess cases (35 vs 29) No increase in riske No difference in riske </w:t>
      </w:r>
      <w:r w:rsidRPr="00A6019F">
        <w:lastRenderedPageBreak/>
        <w:t xml:space="preserve">Stroke Probable increase in risk ↑37% increased risk 9 excess cases (33 vs 24) ↑35% increased risk 11 excess cases (45 vs 34) Ovarian cancer Probable increase in risk with long-term use (≥5 years) ↑41% increased risk (n.s.) 1 excess case (5 vs 4) Not available Not available Endometrial cancer Probable decrease in risk with estrogen progestin during long-term follow-up (see above for estrogen alone) ↓33% decreased riskf 3 fewer cases (7 vs 10) See above See above Urinary incontinence Probable increase in risk ↑49% increased risk 549 excess cases (1661 vs 1112) ↑61% increased risk 852 excess cases (2255 vs 1403) Colorectal cancer Probable decrease in risk with estrogen progestin; possible increase in risk in older women with estrogen alone (p for trend by age = .02 for estrogen alone) ↓38% decreased risk 6.5 fewer cases (10 vs 17) No increase or decrease in riske No difference in riske Type 2 diabetes Probable decrease in risk ↓19% decreased risk 16 fewer cases (72 vs 88) ↓14% decreased risk 21 fewer cases (134 vs 155) Dementia (age ≥65) Increase in risk in older women (but inconsistent data from observational studies and randomized trials) ↑101% increased risk 23 excess cases (46 vs 23) ↑47% increased risk (n.s.) 15 excess cases (44 vs 29) Total mortality Possible increase in risk among older women and women many years past menopause; possible decrease in risk or no effect in younger or recently menopausal women (p for trend by age 7 years. In the Heart and Estrogen/Progestin Replacement Study (HERS), combination therapy for 4 years was associated with a 27% increase in breast cancer risk. Although the latter finding was not statistically significant, the totality of evidence strongly implicates estrogen-progestin therapy in breast carcinogenesis. Some observational data suggest that the length of the interval between menopause onset and HT initiation may influence the asso ciation between such therapy and breast cancer risk, with a “gap time” of 10 years past menopause onset (mean age, 65.4 years) (p for interaction = .007). On the other hand, in the Kronos Early Estrogen Prevention Study (KEEPS), a 4-year trial among 729 healthy postmenopausal women within 3 years of menopause onset at trial entry (mean age, 53 years), neither oral conjugated estrogens nor transdermal estradiol, admin istered with oral micronized progesterone, affected carotid athero sclerotic progression. However, the low prevalence of this endpoint in the overall study population may have curtailed power to detect a treatment difference. Lending further credence to the timing hypothesis are results of subgroup analyses of data from observational studies and large clini cal trials. For example, among women who entered the WHI trial with a relatively favorable cholesterol profile, estrogen with or without pro gestin led to a 40% lower risk of incident CHD. Among women who entered with a worse cholesterol profile, therapy resulted in a 73% higher risk (p for interaction = .02). The presence or absence of the metabolic syndrome (Chap. 420) also strongly influenced the relation between HT and incident CHD. Among women with the metabolic syndrome, HT more than doubled CHD risk, whereas no associa tion was observed among women without the syndrome. Moreover, although there was no association between estrogen-only therapy and CHD in the WHI trial cohort as a whole, such therapy was associated with a CHD risk reduction of 40% among participants aged </w:t>
      </w:r>
      <w:r w:rsidRPr="00A6019F">
        <w:lastRenderedPageBreak/>
        <w:t xml:space="preserve">50–59; in contrast, a risk reduction of only 5% was observed among those aged 60–69, and a risk increase of 9% was found among those aged 70–79 (p for trend by age = .08). For the outcome of total myocardial infarction, estrogen alone was associated with a borderline-significant 45% reduction and a nonsignificant 24% increase in risk among the youngest and oldest women, respectively (p for trend by age = .02). Estrogen was also associated with lower levels of coronary artery calcified plaque in the younger age group. Although age did not have a similar effect in the estrogen-progestin arm of the WHI, CHD risks increased with years since menopause (p for trend = .08), with a significantly elevated risk among women who were ≥20 years past menopause. For the outcome of total myocardial infarction, estrogen progestin was associated with a 9% risk reduction among women 20 years past menopause (p for trend = .01). In the large observational Nurses’ Health Study, women who chose to start HT within 4 years of menopause experienced a lower risk of CHD than did nonusers, whereas those who began therapy ≥10 years after menopause appeared to receive little coronary benefit. Observational studies include a high proportion of women who begin HT within 3–4 years of menopause, whereas clinical trials include a high pro portion of women ≥12 years past menopause; this difference helps to reconcile some of the apparent discrepancies between the two types of studies. For the outcome of stroke, WHI participants assigned to estrogen progestin or estrogen alone were ~35% more likely to suffer a stroke than those assigned to placebo. Whether or not age at initiation of HT influences stroke risk is not well understood. In the WHI and the Nurses’ Health Study, HT was associated with an excess risk of stroke in all age groups. Further research is needed on age, time since meno pause, and other individual characteristics (including biomarkers) that predict increases or decreases in cardiovascular risk associated with exogenous HT. Furthermore, it remains uncertain whether different doses, formulations, or routes of administration of HT will produce different cardiovascular effects. COLORECTAL CANCER Observational studies have suggested that HT reduces risks of colon and rectal cancer, although the estimated magnitudes of the relative benefits have ranged from 8 to 34% in various meta-analyses. In the WHI (the sole trial to examine the issue), estrogen-progestin was associated with a significant 38% reduction in colorectal cancer over a 5.6-year period, although no benefit was seen with 7 years of estrogen-only therapy. However, a modifying effect of age was observed, with a doubling of risk with HT in women aged 70–79 but no risk elevation in younger women (p for trend by age = .02). COGNITIVE DECLINE AND DEMENTIA A meta-analysis of 10 case control and two cohort studies suggested that postmenopausal HT is associated with a 34% decreased risk of dementia. Subsequent random ized trials (including the WHI), however, have failed to demonstrate any benefit of estrogen or estrogen-progestin therapy on the progres sion of mild to moderate Alzheimer’s disease and/or have indicated a potential adverse effect of HT on the incidence of dementia, at least in women ≥65 years of age. Among women randomized to HT (as opposed to placebo) at age 50–55 in the WHI, no effect on cognition was observed during the postintervention </w:t>
      </w:r>
      <w:r w:rsidRPr="00A6019F">
        <w:lastRenderedPageBreak/>
        <w:t>phase. Determining whether timing of initiation of HT influences cognitive outcomes will require further study. OVARIAN CANCER AND OTHER DISORDERS On the basis of limited vary by 10-year age group. Estrogen-only therapy was associated with a neutral benefit-risk profile in the WHI cohort as a whole. However, there was a significant trend toward a more favorable benefit-risk pro file among younger women and a less favorable profile among older women, with RRs of 0.84, 0.99, and 1.17 for women aged 50–59, 60–69, and 70–79 years, respectively (p for trend by age = .02). The balance of benefits and risks of estrogen with and without progestin among women aged 50–59 is shown in Fig. 407-3. observational and randomized data, it has been hypothesized that HT increases the risk of ovarian cancer and reduces the risk of type 2 diabetes mellitus. Results from the WHI support these hypotheses. The WHI also found that HT use was associated with an increased risk of urinary incontinence and that estrogen-progestin was associated with increased rates of lung cancer mortality. ENDOMETRIAL CANCER (WITH ESTROGEN-PROGESTIN) In the WHI, use of estrogen-progestin was associated with a nonsignificant 17% reduction in risk of endometrial cancer. A significant reduction in risk emerged during the postintervention period (see later). ALL-CAUSE MORTALITY In the overall WHI cohort, estrogen with or without progestin was not associated with all-cause mortality. How ever, there was a trend toward reduced mortality in younger women, particularly with estrogen alone. For women aged 50–59, 60–69, and 70–79 years, RRs associated with estrogen-only therapy were 0.70, 1.01, and 1.21, respectively (p for trend = .04). OVERALL BENEFIT-RISK PROFILE Estrogen-progestin was associ ated with an unfavorable benefit-risk profile (excluding relief from menopausal symptoms) as measured by a “global index”—a composite outcome including CHD, stroke, pulmonary embolism, breast cancer, colorectal cancer, endometrial cancer, hip fracture, and death (Table 407-1)—in the WHI cohort as a whole, and this association did not A CEE+MPA Trial 20 Intergroup difference in no. of events per 1000 women over 5 yr 15 Risks 10 5.0 CHANGES IN HEALTH STATUS AFTER DISCONTINUATION OF HT In the WHI, many but not all risks and benefits associated with active use of HT dissipated within 5–7 years after discontinuation of therapy. For estrogen-progestin, an elevated risk of breast cancer persisted (RR = 1.28; 95% CI, 1.11–1.48) during a median cumulative 13-year follow up period (5.6 years of treatment plus 8.2 years of postintervention observation), but most cardiovascular disease risks became neutral. A reduction in hip fracture risk persisted (RR = 0.81; 95% CI, 0.68–0.97), and a significant reduction in endometrial cancer risk emerged (RR = 0.67; 95% CI, 0.49–0.91). For estrogen alone, the reduction in breast cancer risk became statistically significant (RR = 0.79; 95% CI, 0.65 0.97) during a median cumulative 13-year follow-up period (6.8 years of treatment plus 6.6 years of postintervention observation), and signif icant differences by age group persisted for total myocardial infarction and the global index, with more favorable results for younger women. During a median cumulative 18-year follow-up, estrogen alone was 5 0 2.5 2.5 3.0–0.5–0.5 3147 CHAPTER 407 Menopause and Postmenopausal Hormone Therapy –5 Benefits–10–15–</w:t>
      </w:r>
      <w:r w:rsidRPr="00A6019F">
        <w:lastRenderedPageBreak/>
        <w:t xml:space="preserve">20 B CEE+Alone Trial 20 Intergroup difference in no. of events per 1000 women over 5 yr 15 Risks Benefits 10 5 0–5–10–15–5.0–12.0 Coronary heart disease–5.5 Stroke–0.5 Deep-vein thrombosis 2.5 Breast cancer–2.5 Colorectal cancer–1.5 All cancers–4.0 All fractures–8.0 Death from any cause–5.5–5.5 Diabetes–13.0–20 Coronary heart disease Stroke Deep-vein thrombosis Breast cancer Colorectal cancer All cancers All fractures Death from any cause Diabetes FIGURE 407-3 Benefits and risks of the two hormone therapy (HT) formulations evaluated in the Women’s Health Initiative, in women aged 50–59 years. Results are shown for the two formulations, conjugated equine estrogens (CEE) alone or in combination with medroxyprogesterone acetate (MPA). Risks and benefits are expressed as the difference in number of events (number in the HT group minus the number in the placebo group) per 1000 women over 5 years. (Reproduced with permission from JE Manson, AM Kaunitz: Menopause Management–Getting Clinical Care Back on Track. N Engl J Med 374:803, 2016.) 3148 PART 12 Endocrinology and Metabolism TABLE 407-2 Approach to Initiating Menopausal Hormone Therapy for Vasomotor Symptom Management 1. Vasomotor symptom assessment Confirm that hot flashes and/or night sweats are adversely affecting sleep, daytime functioning, or quality of life. 2. Risk factor assessment Confirm that there are no absolute contraindications to menopausal hormone therapy Breast, endometrial, or other estrogen-dependent cancer Cardiovascular disease (heart disease, stroke, transient ischemic attack) Active liver disease Undiagnosed vaginal bleeding 3. Menopausal hormone therapy initiation RECOMMEND CONSIDER WITH CAUTION AVOID Age 10 years prior • • • • • • • OR • • • • • • • Moderate risk of breast cancera or cardiovascular diseasea High risk of breast cancera or cardiovascular diseaseb • • • • • • • • • OR • • • • • • • • • Age ≥60 years or menopause onset &gt;10 years prior and Moderate risk of breast cancera or cardiovascular diseaseb aFor online tools to assess breast cancer risk, see AH McClintock et al: Breast cancer risk assessment: A step-wise approach for primary care providers on the front lines of shared decision making. Mayo Clin Proc 95:126, 2020. bFor online tools to assess cardiovascular disease risk, see D Lloyd-Jones et al: Use of risk assessment tools to guide decision-making in the primary prevention of atherosclerotic cardiovascular disease: A special report from the American Heart Association and American College of Cardiology. Circulation 139:e1162, 2019. Source: Adapted from JL Shifren et al: JAMA 2019; 321:2458-2459. associated with a significant reduction in all-cause mortality in women aged 50–59 years (RR = 0.79; 95% CI, 0.64–0.96); the protective effect was seen primarily in those with bilateral oophorectomy (RR = 0.68; 95% CI, 0.48–0.96). During a median cumulative 20-year follow-up, estrogen-progestin was associated with a significant elevation in breast cancer risk (RR = 1.28; 95% CI, 1.13–1.45) and a suggestive elevation in breast cancer mortality (RR =1.35; 95% CI, 0.94–1.95; p = .11), whereas estrogen alone was associated with a significant reduction in breast cancer risk (RR = 0.78; 95% CI, 0.65–0.93) and breast cancer mortality (RR = 0.60; 95% CI, 0.37–0.97). APPROACH TO THE PATIENT Postmenopausal HT The rational use of postmenopausal HT requires balancing the potential benefits and </w:t>
      </w:r>
      <w:r w:rsidRPr="00A6019F">
        <w:lastRenderedPageBreak/>
        <w:t xml:space="preserve">risks. Table 407-2 provides one approach to decision-making. This approach applies to women with meno pausal symptoms who are age 45 years and older or to women who have had removal of both ovaries, regardless of age. Women below age 45 years or those with uncertain menopausal status may need additional clinical evaluation before determining a management plan. The clinician should first assess whether the patient has moderate to severe hot flashes and/or night sweats—the primary indication for initiation of systemic HT—that do not subside in response to behavioral/lifestyle modifications, such as lowering the thermostat, dressing in layers, avoiding warm beverages, and not smoking. Systemic HT may also be used to prevent osteoporo sis in women at high risk of fracture who cannot tolerate alterna tive osteoporosis therapies. (Vaginal estrogen or other medications may be used to treat genitourinary syndrome of menopause in the absence of vasomotor symptoms [see later].) The benefits and risks of such therapy should be reviewed with the patient, giving more emphasis to absolute than to relative measures of effect and pointing out uncertainties in clinical knowledge where relevant. Because chronic disease rates generally increase with age, absolute risks tend to be greater in older women, even when RRs remain similar. Potential side effects—especially vaginal bleeding that may result from use of the combined estrogen-progestogen formula tions recommended for women with an intact uterus—should be noted. The patient’s own preference regarding therapy should be elicited and factored into the decision. Contraindications should be assessed routinely and include unexplained vaginal bleeding; liver dysfunction or disease; venous thromboembolism; known blood clotting disorder or thrombophilia (transdermal estrogen may be an option); untreated hypertension; history of endometrial cancer (except stage 1 without deep invasion), breast cancer, or other estrogen-dependent cancer; and history of CHD, stroke, or transient ischemic attack. Relative contraindications to sys temic HT include an elevated risk of breast cancer (e.g., women who have one or more first-degree relatives with breast cancer, susceptibility genes such as BRCA1 or BRCA2, or a personal history of cellular atypia detected by breast biopsy); hypertriglyc eridemia (&gt;400 mg/dL); an elevated risk of cardiovascular disease; and active gallbladder disease (transdermal estrogen may be an option in the latter three cases because it has a less adverse effect on triglyceride levels, clotting factors, and inflammation factors than oral HT). Primary prevention of heart disease should not be viewed as an expected benefit of HT, and an increase in the risk of stroke as well as a small early increase in the risk of coronary artery disease should be considered. Nevertheless, such therapy may be appropriate if the noncoronary benefits of treatment clearly outweigh the risks. Reassess benefits and risks at least once every 6–12 months, assuming the patient’s continued preference for HT, or if the patient’s health status changes. A woman who suffers an acute coronary event or stroke while taking HT should discontinue therapy immediately. Many options for systemic HT are available. Estrogen alone is recommended for women with hysterectomy, whereas estrogen plus progestogen is recommended for women with a uterus. In the United States, the most commonly </w:t>
      </w:r>
      <w:r w:rsidRPr="00A6019F">
        <w:lastRenderedPageBreak/>
        <w:t xml:space="preserve">prescribed oral estrogens for systemic treatment of vasomotor symptoms are 17β-estradiol (1.0 or 0.5 mg/d or other doses) and conjugated equine estrogens (CEE; 0.625, 0.45, or 0.3 mg/d or other doses). The most commonly prescribed transdermal estrogen products are 17β-estradiol skin patches (0.035 or 0.05 mg/d or other doses). The most commonly prescribed progestogens are medroxyprogesterone acetate (MPA; 2.5, 5, or 10 mg/d) and micronized progesterone (100 or 200 mg/d). Also available are oral estrogen-progestin combinations, such as oral CEE and MPA, oral 17β-estradiol or ethinyl estradiol with norethindrone acetate, oral estradiol with progesterone, and other options. CEE/bazedoxifene may be an option for women with a uterus, especially those with concerns about breast tenderness, breast density, or uterine bleeding. Contraindications to CEE/baze doxifene are similar to those for systemic HT. Short-term use (35 years, it is recommended to initiate evaluation after 6 months of attempting pregnancy. If the age of the female partner is &gt;40 years, it is recommended to start evaluating the couple immediately. The initial evaluation should include detailed medical history, laboratory testing, radiologic evaluation, and preconception counseling for both partners. As multiple causes for infertility may be identified, it is best to perform the complete diagnostic evaluation prior to initiating treatment. 3150 Causes of infertility 12–15% of reproductive aged women Female causes 30–40% PART 12 Endocrinology and Metabolism Ovulatory dysfunction FIGURE 408-1 Causes of infertility. Tubal Male causes 40–50% Endocrine Endocrine History and Physical Exam A detailed history obtained from both partners is essential to identify risk factors for infertility. In the female partner, gynecologic history (menstrual frequency, menorrhagia, dys menorrhea, history of sexually transmitted infections, endometriosis), medical and endocrine history, exposure to pelvic radiation, abdominal or pelvic surgeries, tobacco and alcohol use, medication use including cytotoxic drugs, family history of early menopause, and prior history of pregnancy should be assessed. In addition, frequency of intercourse, timing of intercourse, use of methods to detect ovulation, and concerns regarding sexual dysfunction over the past several months should be ascertained. Physical exam in the female partner should include assess ment of weight and blood pressure (BP), thyroid and breast exam, assessment for signs of hyperandrogenism, and pelvic exam to assess uterine size, adnexal masses, and factors that might impact intercourse. Similarly, a detailed history should be obtained in the male partner with specific questions regarding injuries and surgery in the reproductive tract; mumps orchitis; exposure to pelvic radiation; use of androgens, cytotoxic drugs, and other medications; and fertility with any prior partner. The exam in the male partner should include body mass index (BMI), BP, and complete physical exam including testicular exam. Anatomic Uterine Other Unexplained 15–30% Testicular defects/ genetic Unknown contrast through the tubes or accumulation in the cul de sac as visual ized by ultrasonography. A saline infusion sonogram is more accurate in assessing intrauterine pathology such as polyps and intrauterine scarring compared to HSG and can be combined with ultrasound assessment of the pelvis. Ovarian Reserve Evaluation </w:t>
      </w:r>
      <w:r w:rsidRPr="00A6019F">
        <w:lastRenderedPageBreak/>
        <w:t xml:space="preserve">Assessment of ovarian reserve includes measurement of serum FSH and estradiol on day 2 or 3 of the menstrual cycle and serum anti-müllerian hormone (AMH). These screening tests combined with age of the female partner and antral fol licle counts measured by ultrasound can identify diminished ovarian reserve and provide information on the urgency to initiate treatment. AMH and antral follicle counts are also used to determine starting doses of gonadotropins for fertility treatments. These markers of ovar ian reserve, however, do not predict the likelihood of pregnancy and live birth. Endocrine Tests In women with irregular menses, serum TSH, prolactin, and androgens (total and free testosterone) should be mea sured to identify other causes for anovulation. Semen Analysis (see Chap. 403) The semen sample is collected Ultrasound An abdominal and transvaginal pelvic ultrasound can assess uterine (myomas, adenomyosis, müllerian anomalies) and adnexal abnormalities (endometriosis, polycystic-appearing ovaries) and evalu ate ovarian reserve (number of antral follicles in both ovaries). Ovulation Assessment Women who have regular menstrual cycles between 25 and 35 days will typically have ovulatory cycles. Ovulation can be assessed by using ovulation detection strips at home to detect urinary luteinizing hormone (LH) or by measuring a serum progesterone level 7 days after ovulation. Basal body temperatures can also be used to confirm ovulation when a rise in temperature is noted in the luteal phase. However, basal body temperature measurements are less reliable than the above methods. Hysterosalpingogram An hysterosalpingogram (HSG) is per formed during the follicular phase to assess the patency of fallopian tubes by injecting radiopaque contrast through the cervix into the uterus and imaging the flow of contrast through one or both tubes. In addition to identifying tubal pathology, an HSG may identify intrauter ine abnormalities such as polyps, submucosal myomas, and adhesions. Although the negative predictive value of HSG for assessing tubal patency is high, the positive predictive value is relatively low. Interest ingly, pregnancy rates have been shown to be higher after an HSG test compared to no testing and higher when oil-based contrast was used compared to water-based contrast, likely related to tubal flushing of mucus plugs. Alternate options that are increasingly used include injection of agitated saline contrast through the cervix into the uterus. Tubal patency is assessed by demonstrating passage of agitated saline after 2–7 days of abstinence and provides an assessment of sperm count, motility, morphology, volume, and pH. None of the individual sperm parameters are predictive of fertility, but the likelihood of infertility increases with multiple abnormalities. Those with abnormal sperm parameters based on the WHO criteria (oligoasthenozoosper mia is defined as sperm counts 35 years) is associated with a higher risk of aneuploidy and advanced paternal age (&gt;40 years) is associated with adverse health outcomes in the offspring. Treatment Treatment recommendations depend on the results of the fertility evaluation described above (Table 408-1). The success of different treatments depends on several factors including age of the female partner, assessment of ovarian reserve, history of smoking, BMI, and race. Tubal Factor Infertility Tubal factor infertility </w:t>
      </w:r>
      <w:r w:rsidRPr="00A6019F">
        <w:lastRenderedPageBreak/>
        <w:t xml:space="preserve">constitutes 30–35% of cases of female infertility, and a large majority are second ary to tubal obstruction resulting from sexually transmitted infections. In vitro fertilization (IVF) was first developed as a treatment for tubal factor infertility as it bypasses the fallopian tubes and allows fertiliza tion of oocytes in the laboratory prior to transcervical transfer into the uterus. IVF offers the highest success rates for couples with tubal factor infertility. Tubal repair or reconstruction is typically not recommended in cases associated with tubal infections or hydrosalpinx, due to both TABLE 408-1 Assisted Reproductive Technologies Ovulation induction Oral agents Injectable hormones Intrauterine insemination (IUI) In vitro fertilization (IVF) Clomiphene citrate (selective estrogen response modulator) Letrozole (aromatase inhibitor) FSH, LH (gonadotropins) Office-based procedure by which washed and concentrated ejaculated sperm is deposited in the uterine cavity via a soft catheter passed through the cervix Oocytes are harvested transvaginally under local anesthesia or intravenous sedation and incubated with sperm to facilitate fertilization. The fertilized embryos are cultured for 3 days (cleavage stage) or 5 days (blastocyst stage) prior to transcervical placement of one or more embryos, depending on the age of the female patient, into the uterine cavity under ultrasound guidance. Intracytoplasmic sperm injection (ICSI) In cases of severe male factor infertility, a single motile morphologically normal appearing sperm is injected into the oocyte for potential fertilization. Abbreviations: FSH, follicle-stimulating hormone; LH, luteinizing hormone. the low success rate in achieving tubal patency and increased risk of ectopic pregnancy. In fact, removal of hydrosalpinges by salpingec tomy will improve pregnancy rates in subsequent IVF treatments as it prevents efflux of tubal fluid into the uterine cavity. If a proximal tubal blockage is observed on HSG, radiographically guided cannulation of fallopian tubes can be attempted. In women with bilateral tubal liga tion, the decision between microsurgical reanastomosis versus IVF will depend on a number of factors including patient’s age, ovarian reserve, number of children desired, partner’s semen parameters, experience of the surgeon, and cost of procedure. Ovulatory Dysfunction Endocrine conditions such as hypo thyroidism and hyperprolactinemia should be treated prior to use of ovulation induction medications. Lifestyle modifications should be recommended in patients with low BMI or obesity. Weight loss in obese women has been shown to increase the likelihood of spontaneous or drug-induced ovulation. First-line treatment for anovulatory infertility (most common etiology is PCOS) includes use of letrozole followed by clomiphene citrate to induce ovulation (Chap. 406). A large majority of women with PCOS (60–80%) respond to these oral medications, and the addition of metformin, combined with the above medications as a second-line agent, may further increase the chance of ovulation, particularly in obese women. In women with hypothalamic amenor rhea, behavioral modifications such as weight gain and decreased exercise may resume ovulation. If there is no response, judicious use of low-dose injectable gonadotropins can induce monofollicular growth. In women with diminished ovarian reserve, treatment can be esca lated from ovulation induction with oral medications and intrauterine insemination </w:t>
      </w:r>
      <w:r w:rsidRPr="00A6019F">
        <w:lastRenderedPageBreak/>
        <w:t xml:space="preserve">(IUI) to IVF, as the overall live birth rates are lower. In both women with diminished ovarian reserve and women with pre mature ovarian insufficiency, the option of using donor oocytes can be offered. In that case, the egg donor will undergo the IVF procedure, the harvested eggs are fertilized with the male partner’s sperm, and the fertilized embryos will be transferred to the patient’s uterus. CHAPTER 408 Infertility and Contraception Male Infertility Given the high prevalence of male factor infertil ity (40–50%), timely evaluation and treatment are recommended. Men with abnormal semen parameters have associated health risks and should have a detailed evaluation by specialists in male reproduction. In men with no sperm (azoospermia) in the ejaculate, further evaluation including a repeat semen analysis followed by physical examination, endocrine tests, and genetics studies should be performed to identify obstructive (40% prevalence) versus nonobstructive etiology. First-line treatment for mild to moderate male factor infertility includes IUI alone or IUI combined with ovulation induction, depending on the female partner’s age and other causes of infertility. In men with severe male factor infertility (sperm count 90 kg. The transdermal mode of delivery is associated with a higher steady state comparable to that of a 40-μg ethinyl estradiol oral contraceptive. Hormonal contraceptives offer additional benefits such as regulation of menstrual cycles; suppression of ovarian cysts; and decrease in menorrhagia, dysmenorrhea, and hyperandrogenism symptoms; in addition, they reduce the risk of both endometrial (50% reduction) and ovarian cancer (40% reduction). Common side effects include nausea, breast tenderness, bloating, and intermenstrual bleeding. There may be a mild increase in BP in some patients, and it is recommended to check BP at follow-up visits. In large studies and meta-analyses, hormonal contraceptives are not associated with sig nificant weight gain, mood changes, or effect on libido. Prior to admin istering hormonal contraceptives, a detailed patient history should be obtained to determine any absolute or relative contraindications to their use. Due to the low but slightly increased risk of deep-vein throm bosis (DVT) associated with estrogen-containing hormonal contracep tives (3–15 per 10,000 women-years), they are contraindicated in the immediate postpartum period, in smokers over the age of 35 years, and in women with a history of hereditary thrombophilias or DVT. The association between risk of DVT and different doses of estrogen (ethi nyl estradiol 80% of cases of ED in older men. Vasculogenic The most common organic cause of ED is a distur bance of blood flow to and from the penis. Atherosclerotic or traumatic arterial disease can decrease flow to the lacunar spaces, resulting in decreased rigidity and an increased time to full erection. Excessive out flow through the veins despite adequate inflow also may contribute to ED. Structural alterations to the fibroelastic components of the corpora may cause a loss of compliance and inability to compress the tunical veins. This condition may result from aging, increased cross-linking of collagen fibers induced by nonenzymatic glycosylation, hypoxemia, or altered synthesis of collagen associated with hypercholesterolemia. Neurogenic Disorders that affect the sacral spinal cord or the autonomic fibers to the penis preclude nervous system relaxation of penile smooth </w:t>
      </w:r>
      <w:r w:rsidRPr="00A6019F">
        <w:lastRenderedPageBreak/>
        <w:t xml:space="preserve">muscle, thus leading to ED. In patients with spinal cord injury, the degree of ED depends on the completeness and level of the lesion. Patients with incomplete lesions or injuries to the upper part of the spinal cord are more likely to retain erectile capabilities than 3157 Sexual Dysfunction CHAPTER 409 TABLE 409-1 Drugs Associated with Erectile Dysfunction CLASSIFICATION DRUGS POSSIBLE SUBSTITUTES Diuretics Thiazides   Spironolactone  Antihypertensives Calcium channel blockers α-Adrenergic blockers Prazosin Terazosin Doxazosin ACE inhibitors  Methyldopa   Clonidine   Reserpine   Beta blockers   Guanethidine  Cardiac/ antihyperlipidemics Digoxin   Gemfibrozil   Clofibrate  Antidepressants Selective serotonin reuptake inhibitors Bupropion Nefazodone Mirtazapine  Tricyclic antidepressants   Lithium   Monoamine oxidase inhibitors   Tranquilizers Butyrophenones   Phenothiazines  H2 antagonists Ranitidine Proton pump inhibitors (PPI) Omeprazole Esomeprazole Pantoprazole Rabeprazole  Cimetidine  Hormones Progesterone   Estrogens   Corticosteroids   GnRH agonists   5α-Reductase inhibitors   Cyproterone acetate  Cytotoxic agents Cyclophosphamide   Methotrexate   Roferon-A  Anticholinergics Disopyramide   Anticonvulsants  Recreational Ethanol   Cocaine   Marijuana  Abbreviations: ACE, angiotensin-converting enzyme; GnRH, gonadotropin-releasing hormone. are those with complete lesions or injuries to the lower part. Although 75% of patients with spinal cord injuries have some erectile capability, only 25% have erections sufficient for penetration. Other neurologic disorders commonly associated with ED include multiple sclerosis and peripheral neuropathy. The latter is often due to either diabetes or alcoholism. Pelvic surgery may cause ED through disruption of the autonomic nerve supply. Endocrinologic Androgens increase libido, but their exact role in erectile function is unclear. Individuals with castrate levels of testos terone can achieve erections from visual or sexual stimuli. Nonethe less, normal levels of testosterone appear to be important for erectile function, in which the upregulation of nitric oxide synthase and the nitric oxide cascade is optimized (Fig. 409-1A). Androgen replacement therapy can improve depressed erectile function when it is secondary to hypogonadism; however, it is not useful for ED when endogenous testosterone levels are normal and should be avoided. Increased pro lactin may decrease libido by suppressing gonadotropin-releasing hormone (GnRH) resulting in decreased testosterone levels. Treatment of hyperprolactinemia with dopamine agonists can restore libido and eugonadism. Diabetic ED occurs in 35–75% of men with diabetes mellitus. Pathologic mechanisms are related primarily to diabetes-associated vascular and neurologic complications. Diabetic macrovascular com plications are related mainly to age, whereas microvascular complica tions correlate with the duration of diabetes and the degree of glycemic control (Chap. 415). Individuals with diabetes also have reduced amounts of nitric oxide synthase in both endothelial and neural tissues. Psychogenic Two mechanisms contribute to the inhibition of erections in psychogenic ED. First, psychogenic stimuli to the sacral cord </w:t>
      </w:r>
      <w:r w:rsidRPr="00A6019F">
        <w:lastRenderedPageBreak/>
        <w:t xml:space="preserve">may inhibit reflexogenic responses, thereby blocking activation of vasodilator outflow to the penis. Second, excess sympathetic stimula tion in an anxious man may increase penile smooth-muscle tone. The most common causes of psychogenic ED are performance anxiety, depression, relationship conflict, loss of attraction, sexual inhibition, conflicts over sexual preference, sexual abuse in childhood, and fear of pregnancy or sexually transmitted disease. Almost all patients with ED, even when it has a defined organic basis, develop a psychogenic component as a reaction to ED. Medication-Related Medication-induced ED (Table 409-1) is estimated to occur in 25% of men seen in general medical clinics. The adverse effects related to drug therapy are additive, especially in older men. In addition to the drug itself, the underlying disease being treated is likely to contribute to sexual dysfunction (e.g., hypertension). Among the antihypertensive agents, the thiazide diuretics and beta blockers have been implicated most frequently. Calcium channel blockers and angiotensin-converting enzyme inhibitors are cited less frequently. These drugs may act directly at the corporal level (e.g., calcium chan nel blockers) or indirectly by reducing pelvic blood pressure, which is important in the development of penile rigidity. α-Adrenergic blockers are less likely to cause ED. Estrogens, GnRH agonists, H2 antagonists, and spironolactone cause ED by suppressing gonadotropin production or by blocking androgen action. Antidepressant and antipsychotic agents—particularly neuroleptics, tricyclics, and SSRIs—are associ ated with erectile, ejaculatory, orgasmic, and sexual desire difficulties. Among the SSRIs, paroxetine and escitalopram have been associated with the highest risk of sexual dysfunction. Bupropion, nefazodone, and mirtazapine appear less likely to cause sexual dysfunction. A number of molecular pathways have been implicated in antidepressant induced sexual adverse events. Serotonin has been hypothesized to inhibit normal sexual response by decreasing dopamine-enhanced libido, arousal, and erection and by increasing prolactin release. SSRIs have also been shown to be potent inhibitors of nitric oxide synthase. If there is a strong association between the institution of a drug and the onset of ED, alternative medications should be considered. Other wise, it is often practical to treat the ED without attempting multiple changes in medications as it may be difficult to establish a causal role for a drug. APPROACH TO THE PATIENT Erectile Dysfunction A good physician–patient relationship helps unravel the possible causes of ED, many of which require discussion of personal and sensitive topics. For this reason, a primary care provider is often ideally suited to initiate the evaluation. However, a significant percentage of men experience ED and remain undiagnosed unless specifically questioned about this issue. By far the two most com mon reasons for underreporting of ED are patient embarrassment and perceptions of physicians’ inattention to the disorder. Once 3158 PART 12 Endocrinology and Metabolism Patient/partner education Goal-directed therapy planning Sex therapy Special testing Treatment success Treatment success Oral PDE-5 inhibitors Vacuum device Implantation/ vascular surgery Intraurethral or injection therapy Problem resolved Problem persists History: Medical, sexual, and psychosocial </w:t>
      </w:r>
      <w:r w:rsidRPr="00A6019F">
        <w:lastRenderedPageBreak/>
        <w:t xml:space="preserve">Physical examination Serum: Testosterone and prolactin levels Lifestyle risk management Medication review FIGURE 409-3 Algorithm for the evaluation and management of patients with erectile dysfunction. PDE, phosphodiesterase. the topic is initiated by the physician, patients are more willing to discuss their potency issues. A complete medical and sexual history should be taken in an effort to assess whether the cause of ED is organic, psychogenic, or multifactorial (Fig. 409-3). Both the patient and his sexual partner should be interviewed regarding sexual history. ED should be distinguished from other sexual problems, such as premature ejaculation. Lifestyle factors such as sexual orientation, the patient’s distress from ED, perfor mance anxiety, and details of sexual techniques should be addressed. Validated questionnaires are available to assess ED, including the International Index of Erectile Function (IIEF) and the more easily administered Sexual Health Inventory for Men (SHIM), a validated abridged version of the IIEF. These can assess the severity of ED, measure treatment effectiveness, and guide future management. The initial evaluation of ED begins with a review of the patient’s medical, surgical, sexual, and psychosocial histories. The history should note whether the patient has experienced pelvic trauma, surgery, or radiation. In light of the increasing recognition of the relationship between lower urinary tract symptoms (LUTS/BPH) and ED, it is advisable to evaluate for the presence of associated uri nary symptoms. Questions should focus on the onset of symptoms, the presence and duration of partial erections, and the progression of ED. A history of nocturnal or early morning erections may be useful for distinguishing physiologic ED from psychogenic ED. Nocturnal erections occur during rapid eye movement (REM) sleep and require intact neurologic and circulatory systems. Organic causes of ED generally are characterized by a gradual and persistent change in rigidity or the inability to sustain nocturnal, coital, or self-stimulated erections. It is also important to address libido, as decreased sexual drive and ED are sometimes the earliest signs of decreased testosterone levels. It is useful to ask whether the prob lem is confined to coitus with one partner or also involves other partners; ED not uncommonly arises with new or extramarital sexual relationships. Situational ED, as opposed to consistent ED, suggests psychogenic causes. For men with recalcitrant ED, referral to a mental health professional may promote treatment adherence, reduce performance anxiety, and integrate treatments into a sexual relationship. Ejaculation is much less commonly affected than erec tion, but questions should be asked about whether ejaculation is normal, premature, delayed, or absent. Relevant risk factors should be identified, such as diabetes mellitus, cardiovascular disease, and neurologic disorders. The patient’s surgical history should be explored with an emphasis on bowel, bladder, prostate, and vascular procedures. A complete drug history, including tobacco, alcohol, marijuana, and illicit drug inquiries, is also important. Social changes that may precipitate ED are also crucial to the evaluation, including health worries, spousal death, divorce, relationship dif ficulties, and financial concerns. Because ED commonly involves a host of endothelial cell risk factors, men with ED report higher rates of overt and silent </w:t>
      </w:r>
      <w:r w:rsidRPr="00A6019F">
        <w:lastRenderedPageBreak/>
        <w:t xml:space="preserve">myocar dial infarction. Therefore, ED in an otherwise asymptomatic male warrants consideration of other vascular disorders, including coro nary disease. It is now widely recognized that ED often precedes the development of symptomatic coronary disease by several years. In addition, several studies now suggest that ED itself is an indepen dent risk factor for the development of CVD even after correcting for other cardiovascular risk factors. Men who suffer from ED are at high risk for concomitant LUTS from BPH and vice versa. Given that some treatments of one dis order will impact the other, the clinician should consider an assess ment of LUTS in any man with ED. The physical examination is an essential element in the assess ment of ED. Signs of hypertension as well as evidence of thyroid, hepatic, hematologic, cardiovascular, or renal diseases should be sought. An assessment should be made of the endocrine and vascu lar systems, the external genitalia, and the prostate gland. The penis should be palpated carefully along the corpora to detect fibrotic plaques. Reduced testicular size and loss of secondary sexual char acteristics are suggestive of hypogonadism. Neurologic examination should include assessment of anal sphincter tone, investigation of the bulbocavernosus reflex, and testing for peripheral neuropathy. Although hyperprolactinemia is uncommon, a serum prolactin level should be measured in hypogonadal men, as decreased libido and/or ED may be the presenting symptoms of a prolactinoma or another mass lesion of the sella (Chap. 392). The serum testosterone level should be measured, and if it is low, gonadotropins should be measured to determine whether hypogonadism is primary (testicu lar) or secondary (hypothalamic-pituitary) in origin (Chap. 403). If not performed recently, serum chemistries, hemoglobin A1c , and lipid profiles may be of value, as they can yield evidence of diabetes, hyperlipidemia, or other systemic diseases associated with ED. Additional diagnostic testing is rarely necessary in the evalua tion of ED. However, in selected patients, specialized testing may provide insight into pathologic mechanisms of ED and aid in the selection of treatment options. Optional specialized testing includes (1) studies of nocturnal penile tumescence and rigidity, (2) vascular testing (in-office injection of vasoactive substances, penile Dop pler ultrasound), (3) neurologic testing (biothesiometry-graded vibratory perception, somatosensory-evoked potentials), and (4) psychological diagnostic tests. The information potentially gained from these procedures must be balanced against their invasiveness, cost, and impact on ultimate treatment outcome. Clinicians should counsel men with ED who have comorbidities known to negatively affect erectile function that lifestyle modifica tions, including changes in diet and increased physical activity, improve overall health and can improve ED. TREATMENT Male Sexual Dysfunction PATIENT EDUCATION Patient and partner education is essential in the treatment of ED. In goal-directed therapy, education facilitates understanding of the disease, the results of the tests, and the selection of treatment. Discussion of treatment options helps clarify how treatment is best offered and stratify first- and second-line therapies. Patients with high-risk lifestyle issues such as obesity, smoking, alcohol abuse, and recreational drug use should be </w:t>
      </w:r>
      <w:r w:rsidRPr="00A6019F">
        <w:lastRenderedPageBreak/>
        <w:t xml:space="preserve">counseled on the role those factors play in the development of ED. Therapies currently employed for the treatment of ED include oral PDE-5 inhibitor (PDE-5i) therapy (most commonly used), injection therapies, testosterone therapy, penile devices, and 3159 Sexual Dysfunction CHAPTER 409 TABLE 409-2 PDE-5 Inhibitorsa DRUG ONSET OF ACTION T1/2 DOSE ADVERSE EFFECTS CONTRAINDICATIONS Sildenafil Tmax 30–120 min Duration 4 h High-fat meal decreases absorption Alcohol use may affect efficacy 2–5 h 25–100 mg Starting dose 50 mg Headache, flushing, dyspepsia, nasal congestion, altered vision Nitrates Hypotension Cardiovascular risk factors Retinitis pigmentosa Change dose with some antiretrovirals Should be on stable dose of alpha blockers Vardenafil Tmax 30–120 min Duration 4–5 h High-fat meal decreases absorption ETOH may affect efficacy 4.5 h 5–10 mg Headache, flushing, rhinitis, dyspepsia Same as sildenafil May have minor prolongation of QT interval Concomitant use of class I antiarrhythmic Tadalafil Tmax 30–60 min Duration 12–36 h Plasma concentration not affected by food or ETOH 17.5 h 10 or 20 mg; 2.5 or 5 mg for daily dose Headache, dyspepsia, backpain, nasal congestion, myalgia Same as sildenafil Avanafil Tmax 30 min Duration 2 h Plasma concentration not affected by food 3–5 h 50, 100, and 200 mg dose Headache, flushing, nasal congestion nasopharyngitis back pain Same as sildenafil aSildenafil, vardenafil, tadalafil, and the newest option, avanafil, appear to be equally effective, but tadalafil has a longer duration of action and avanafil has a more rapid onset. Abbreviations: ETOH, ethanol; PDE-5, phosphodiesterase type 5. TABLE 409-3 Issues to Consider if Patients Report Failure of Phosphodiesterase Type 5 Inhibitor (PDE-5i) to Improve Erectile Dysfunction 1. A trial of medication on at least 6 different days at the maximal dose should be performed before declaring patient nonresponsive to PDE-5i use. 2. Confirm that the patient did not partake in a high-fat meal prior to taking medication; pertains to sildenafil. 3. Failure to include physical and psychic stimulation at the time of foreplay to induce endogenous NO. 4. Took medications at an appropriate time frame prior to step 3: half-hour prior for avanafil, 1 h for sildenafil/vardenafil, or 2.5 h for tadalafil. 5. Unrecognized hypogonadism. Abbreviation: NO, nitric oxide. psychological therapy. In addition, limited data suggest that treat ments for underlying risk factors and comorbidities—for example, weight loss, exercise, stress reduction, and smoking cessation—may improve erectile function. ORAL AGENTS Sildenafil, tadalafil, vardenafil, and avanafil are the only approved and effective oral agents for the treatment of ED. These four medi cations have markedly improved the management of ED because they are effective for the treatment of a broad range of etiologies. They belong to a class of medications that are selective and potent inhibitors of PDE-5, the predominant phosphodiesterase isoform found in the penis. They are administered in graduated doses and enhance erections after sexual stimulation (Fig. 409-2). The onset of action is ~30–120 min, depending on the medication used and other factors, such as recent food intake. Reduced initial doses should be considered for patients who are elderly, are taking concomitant alpha blockers, have renal insufficiency, or are taking medications that inhibit the CYP3A4 </w:t>
      </w:r>
      <w:r w:rsidRPr="00A6019F">
        <w:lastRenderedPageBreak/>
        <w:t xml:space="preserve">metabolic pathway in the liver (e.g., erythromycin, cimetidine, ketoconazole, clarithromycin, dil tiazem, itraconazole, ritonavir, verapamil, grapefruit, and possibly itraconazole and mibefradil), as they may increase the serum con centration of the PDE-5i or promote hypotension. Initially, there were concerns about the cardiovascular safety of these drugs. It is known that these agents can act as mild vasodilators. Earlier con cerns that the use of PDE-5is would increase cardiovascular events have been reversed as more studies support that a general popula tion of men with ED who take PDE-5is have lower rates of major adverse cardiovascular events and lower overall mortality rates than men not exposed to PDE-5is, even after correcting for baseline car diovascular risks and concomitant medicines. These studies suggest that PDE-5is may have a significant cardiovascular protective effect and may have potential as preventive cardiology agents. Several randomized trials have demonstrated the efficacy of this class of medications. There are no compelling data to support the superiority of one PDE-5i over another. Subtle differences between agents have variable clinical relevance (Table 409-2). Patients may fail to respond to a PDE-5i for several reasons (Table 409-3). Some patients may not tolerate PDE-5i secondary to adverse events from vasodilation in nonpenile tissues expressing PDE-5 or from the inhibition of homologous nonpenile isozymes (i.e., PDE-6 found in the retina). Abnormal vision attributed to the effects of PDE-5i on retinal PDE-6 is of short duration, reported only with sildenafil, and not clinically significant. A more serious concern is the possibility that PDE-5is may cause nonarteritic ante rior ischemic optic neuropathy (NAION); although data to support that association are limited, it is prudent to avoid the use of these agents in men with a prior history of NAION. Testosterone supplementation combined with a PDE-5i may be beneficial in improving erectile function in hypogonadal men with ED who are unresponsive to PDE-5i alone. Side effects associated with PDE-5is include headaches (19%), facial flushing (9%), dys pepsia (6%), and nasal congestion (4%). Approximately 7% of men using sildenafil may experience transient altered color vision (blue halo effect), and 6% of men taking tadalafil may experience loin pain. PDE-5i is contraindicated in men receiving nitrate therapy for cardiovascular disease, including agents delivered by the oral, sublingual, transnasal, and topical routes as they can potentiate its hypotensive effect. Likewise, amyl/butyl nitrate “poppers” may have a fatal synergistic effect on blood pressure. PDE-5is also should be avoided in patients with congestive heart failure and cardiomyopa thy because of the risk of vascular collapse. Because sexual activity leads to an increase in physiologic expenditure (5–6 metabolic equivalent tasks [METs]), physicians have been advised to exercise caution in prescribing any drug for sexual activity to those with active coronary disease, heart failure, borderline hypotension, or hypovolemia and to those on complex antihypertensive regimens. Although the various forms of PDE-5is have a common mecha nism of action, there are a few differences among the four agents (Table 409-2). Tadalafil is unique in its longer half-life, and avanafil appears to have the fastest onset of action. Although there are pharmacokinetic and pharmacodynamic differences among </w:t>
      </w:r>
      <w:r w:rsidRPr="00A6019F">
        <w:lastRenderedPageBreak/>
        <w:t xml:space="preserve">these agents, clinically relevant differences are not clear. 3160 ANDROGEN THERAPY INTRACAVERNOSAL SELF-INJECTION PART 12 Endocrinology and Metabolism Injection of synthetic formulations of alprostadil is effective in 70–80% of patients with ED, but discontinuation rates are high because of the invasive nature of administration. Doses range between 1 and 40 μg. Injection therapy is contraindicated in men with a history of hypersensitivity to the drug and men at risk for priapism (hypercoagulable states, sickle cell disease). Side effects include local adverse events, prolonged erections, pain, and fibrosis with chronic use. Various combinations of alprostadil, phentol amine, and/or papaverine sometimes are used. SURGERY Testosterone replacement is used to treat both primary and second ary causes of hypogonadism (Chap. 403). Men with ED and testos terone deficiency (TD) who are considering ED treatment with a PDE-5i should be informed that PDE-5is may be more effective if combined with testosterone therapy. Androgen supplementation in the setting of normal testosterone is not efficacious in the treatment of ED and is discouraged secondary to additional risk for toxicity without benefit. The increased scrutiny of testosterone caused the U.S. Food and Drug Administration (FDA) to issue a warning that there is a “weak signal” that testosterone replacement therapy increases the risk of thromboembolic events and may have addictive properties. Although testosterone therapy has known risks, such as water reten tion in heart failure patients and worsening sleep apnea, increasing evidence suggests that, when monitored appropriately, this therapy decreases the risk for metabolic syndrome, changes body composi tion by increasing lean muscle mass, and improves insulin sensi tivity and average hemoglobin A1c . This evidence, combined with the fact that hypogonadism is a known risk factor for metabolic syndrome and cardiovascular disease, has led to the conclusion that testosterone therapy for age-related hypogonadism in fact improves overall health and decreases the risk of cardiovascular events. It is important to note that men with secondary hypogonadism who desire fertility should not be treated directly with testosterone, but with an alternative such as the selective estrogen receptor modu lator (SERM) clomiphene citrate, which increases gonadotropin levels, stimulating testicular testosterone production. Testosterone circulates in the body in two forms: free and unbound or that bound to proteins such as albumin or sex hor mone–binding globulin (SHBG). SHBG has a very high affinity for testosterone, and thus, testosterone bound to SHBG does not bind to the androgen receptor and is not bioavailable. Bioavailable testosterone is any testosterone that is not bound to SHBG. Unfor tunately, reliable assays to directly measure bioavailable testosterone or free testosterone are expensive, difficult to perform, and thus not offered by most laboratories. However, direct measurement of SHBG is inexpensive and reliable, allowing free and bioavailable testosterone to be calculated. Men who receive testosterone should be reevaluated after 3–6 months and at least annually thereafter for testosterone levels, erectile func tion, and adverse effects, which may include gynecomastia, sleep apnea, development or exacerbation of LUTS or BPH, prostate cancer, lowering of HDL, erythrocytosis, and elevations of liver </w:t>
      </w:r>
      <w:r w:rsidRPr="00A6019F">
        <w:lastRenderedPageBreak/>
        <w:t xml:space="preserve">function tests. Periodic reevaluation should include measurement of hemoglobin, liver function tests, prostate-specific antigen, and digital rectal examination. Therapy should be discontinued in patients who do not respond within 6 months without an alternate explanation (e.g., elevated estradiol). VACUUM CONSTRICTION DEVICES Vacuum constriction devices (VCDs) are a well-established non invasive therapy. They are a reasonable treatment alternative for select patients who cannot take PDE-5is or do not desire other interventions. VCDs draw venous blood into the penis and use a constriction ring to restrict venous return and maintain tumes cence. Adverse events with VCD include pain, numbness, bruising, and altered ejaculation. Additionally, many patients complain that the devices are cumbersome and that the induced erections have a nonphysiologic appearance and feel. INTRAURETHRAL ALPROSTADIL If a patient fails to respond to oral agents, a reasonable next choice is intraurethral or self-injection of vasoactive substances. Intraure thral prostaglandin E1 (alprostadil), in the form of a semisolid pellet (doses of 125–1000 μg), is delivered with an applicator. Approxi mately 65% of men receiving intraurethral alprostadil respond with an erection when tested in the office, but 10% of all deaths that year. Mortality rates due to COVID-19 were slightly lower in women (9.8%) than in men (10.9%). The leading cause of cancer death, lung cancer, is the same in both sexes. Breast cancer is the second leading cause of cancer death in women. Men are more likely than women to die from suicide and accidents. Maternal mortality continues to be higher in the United States than in other industrialized nations and is associated with substantial health disparities in maternal deaths. U.S. maternal mortality rates declined for the majority of the twentieth century given improvements in maternity care and safer surgical techniques; however, the rates began to rise again in 2000. Over the past decade, the mortality rate has remained relatively stable with the exception of a slight rise in 2021–2022, followed by a decline to typical rates again in 2023. In June 2022, an historic Supreme Court decision overturned Roe v. Wade after nearly 50 years, declaring that women no longer had the constitutional right to abortion in the United States. In the year that fol lowed this landmark ruling, more than a dozen states banned abortion, while several enacted abortion protection laws, and at least 70 clinics ceased offering abortion-related services. These changes were projected to affect nearly 30% of women of reproductive age in the United States. A 2022 study found that maternal mortality in states that restricted abortion was 62% higher compared to that of states with more wide spread access (28.8 compared to 17.8 per 100,000 live births). Further longitudinal observation is needed to assess the impact of changes in abortion access on maternal and fetal mortality and outcomes. Women’s risk for many diseases increases at menopause. The median age of menopause in Caucasian women from industrialized countries is between 50 and 52 years, where women spend one-third of their lives in the postmenopausal period. Menopause occurs at earlier ages in Hispanic and African-American women as well as in women of lower socioeconomic status. Estrogen levels fall abruptly at menopause, 3163 Women All Other, 26% Septicemia, 2% Kidney </w:t>
      </w:r>
      <w:r w:rsidRPr="00A6019F">
        <w:lastRenderedPageBreak/>
        <w:t xml:space="preserve">Disease, 2% Influenza &amp; Pneumonia, 2% Diabetes, 3% Heart Disease, 20% Accidents, 4% CLRD, 5% A Stroke, 6% AD, 6% Men Cancer, 18% COVID-19, 10% Heart Disease, 22% All Other, 26.9% Liver Disease &amp; Cirrhosis, 1.8% Intentional Self-Harm (Suicide), 2.1% AD, 2.3% Diabetes, 3.3% CVD, 3.9% CLRD, 4.1% B Accidents, 7.5% Cancer, 18.0% COVID-19, 10.9% FIGURE 410-1 Percent distribution of 10 leading causes of death in (A) women compared to (B) men in the United States in 2020. In both women and men, the first, second, and third leading causes of death are the same: heart disease, cancer, and COVID-19, respectively. Causes of death then diverge by sex. Chronic lower respiratory disease (CLRD), stroke, and Alzheimer’s disease (AD) cause a larger percentage of deaths in women than in men. Suicide is among the 10 leading causes of death in men but not in women. CVD, cardiovascular disease. (Data from https://www.cdc.gov/nchs/data/nvsr/nvsr72/nvsr72-14.pdf.) inducing a variety of physiologic and metabolic responses. Rates of cardiovascular disease (CVD) increase, and bone density decreases rapidly after menopause. In the United States, women live on average 5.9 years longer than men, with a life expectancy at birth in 2021 of 79.1 years in women compared with 73.2 years in men of all races. Notably, these estimates represent a decrease in life expectancy from prior years related to the COVID-19 pandemic. Life expectancy is lower in African Americans of both sexes and higher in Hispanics of both sexes than their Cau casian counterparts. Accordingly, elderly women outnumber elderly men, so that age-related conditions, such as hypertension, have a female preponderance. SEX DIFFERENCES IN HEALTH AND DISEASE </w:t>
      </w:r>
      <w:r w:rsidRPr="00A6019F">
        <w:rPr>
          <w:rFonts w:ascii="Arial" w:hAnsi="Arial" w:cs="Arial"/>
        </w:rPr>
        <w:t>■</w:t>
      </w:r>
      <w:r w:rsidRPr="00A6019F">
        <w:t>ALZHEIMER</w:t>
      </w:r>
      <w:r w:rsidRPr="00A6019F">
        <w:rPr>
          <w:rFonts w:ascii="Aptos" w:hAnsi="Aptos" w:cs="Aptos"/>
        </w:rPr>
        <w:t>’</w:t>
      </w:r>
      <w:r w:rsidRPr="00A6019F">
        <w:t>S DISEASE (See also Chap. 442) Alzheimer</w:t>
      </w:r>
      <w:r w:rsidRPr="00A6019F">
        <w:rPr>
          <w:rFonts w:ascii="Aptos" w:hAnsi="Aptos" w:cs="Aptos"/>
        </w:rPr>
        <w:t>’</w:t>
      </w:r>
      <w:r w:rsidRPr="00A6019F">
        <w:t xml:space="preserve">s disease (AD) affects approximately twice as many women as men. Because the risk for AD increases with age, part of this sex difference is accounted for by the fact that women live longer than men. However, even in relatively younger groups (60–70 years of age), there is still a higher incidence of AD among women. Additional factors may contribute to the increased risk for AD in women, including sex differences in brain size, structure, and func tional organization. Multimodal neuroimaging has demonstrated that certain biomarkers of the preclinical phase of AD, including a decline in neuronal mitochondrial function and impaired cerebral glucose metabolism, are evident earlier in women and are even distinguishable during the perimenopausal endocrine transition. There is emerging evidence for sex-specific differences in gene expression, not only for genes on the X and Y chromosomes but also for some autosomal genes. These genetic differences may translate into variable severity of AD, with women experiencing greater deficits in cognition. The ε4 allele of the apolipoprotein E gene (APOε4), a cholesterol carrier integral for lipid transport in the brain, is a major risk factor for AD. Recent studies show that the APOε4 genotype is strongly linked to develop ment of sporadic AD in women. Women who carry either the APOε4 homo- or heterozygous isoform have an increased risk of progressing from healthy aging patterns to cognitive impairment or AD, whereas men who carry either isoform experience marginal impact on their memory or cognition. Estrogens have pleiotropic genomic and nongenomic effects on the central </w:t>
      </w:r>
      <w:r w:rsidRPr="00A6019F">
        <w:lastRenderedPageBreak/>
        <w:t xml:space="preserve">nervous system, including neurotrophic actions in key areas involved in cognition and memory. Women with AD have lower CHAPTER 410 Women’s Health 3164 PART 12 Endocrinology and Metabolism endogenous estrogen levels than do women without AD. These obser vations have led to the hypothesis that estrogen is neuroprotective. The Women’s Health Initiative Memory Study (WHIMS), an ancillary study in the Women’s Health Initiative (WHI) in women aged ≥65 years, found significantly increased risk for both dementia and mild cognitive impairment in women receiving estrogen alone or estrogen with pro gestin compared to placebo. However, the Kronos Early Estrogen Pre vention Study (KEEPS), a randomized clinical trial of early hormone therapy (HT) initiation after menopause that compared conjugated equine estrogen (CEE), transdermal estradiol (both estrogen arms included cyclic oral micronized progesterone), and placebo, found no adverse effect of HT on cognitive function. In summary, there is no evidence from placebo-controlled trials that HT improves cognitive function. While studies have shown a link between female sex and AD, other neurodegenerative disorders, including Parkinson’s disease (PD) and amyotrophic lateral sclerosis (ALS), exhibit a stronger association with male sex. Men are 1.5 times more likely to develop PD than women across all age groups. A possible explanation for the male predilection may be the effect of Y-chromosome exclusive gene sex-determining region Y (SRY) on nigrostriatal dopaminergic (NSDA) neurons: the SRY upregulates neuronal numbers, synthesis of dopamine, and metabolism of neurons. </w:t>
      </w:r>
      <w:r w:rsidRPr="00A6019F">
        <w:rPr>
          <w:rFonts w:ascii="Arial" w:hAnsi="Arial" w:cs="Arial"/>
        </w:rPr>
        <w:t>■</w:t>
      </w:r>
      <w:r w:rsidRPr="00A6019F">
        <w:t xml:space="preserve">CVD AND STROKE (See also Chap. 284) There are major sex differences in CVD, the leading cause of death in developed countries. However, there are also major gender differences because of perceptions by both women and their health care providers that women are at lower risk for CVD. As a result of these misconceptions, women are less likely to seek medical help when they experience symptoms of CVD. Health care providers are less likely to suspect CVD, so women receive fewer interventions for modifiable risk factors as well as fewer acute interventions than do men. Women and their health care providers are also less aware that prodromal symptoms of cardiac disease differ in women compared to men. Women are less likely than men to present with chest pain and more likely to present with fatigue, shortness of breath, indigestion/ nausea, and anxiety. Sex steroids have major effects on the cardiovascular system and lipid metabolism. Estrogen increases high-density lipoprotein (HDL) and lowers low-density lipoprotein (LDL), whereas androgens have the opposite effect. Estrogen has direct vasodilatory effects on the vascular endothelium, enhances insulin sensitivity, and has antioxidant and anti-inflammatory properties. There is a striking increase in CVD after both natural and surgical menopause, suggesting that endogenous estrogens are cardioprotective. Women also have longer QT intervals on electrocardiograms, and this increases their susceptibility to certain arrhythmias. CVD presents differently in women, who are usually 10–15 years older than their male counterparts and are more likely to have comor bidities such as hypertension, congestive heart failure, and diabetes mellitus (DM). In the Framingham study, angina was the most com mon initial </w:t>
      </w:r>
      <w:r w:rsidRPr="00A6019F">
        <w:lastRenderedPageBreak/>
        <w:t xml:space="preserve">symptom of CVD in women, whereas myocardial infarc tion (MI) was the most common initial presentation in men. Women more often have atypical symptoms such as fatigue, anxiety, nausea, indigestion, and upper back pain. Although awareness that heart dis ease is the leading cause of death in women has nearly doubled over the past 15 years, women remain less aware that its symptoms are often atypical and are less likely to contact 9-1-1 when they experience such symptoms. A type of acute coronary syndrome (ACS) termed takotsubo syn drome, initially described in 1990 and characterized as a transient and reversible stress cardiomyopathy, disproportionately affects women. National cohort studies demonstrate that ~2% of all patients present ing to acute care centers with symptoms of ACS are diagnosed with takotsubo, and importantly, 80–90% are postmenopausal women. If stratified by sex, ~10% of patients with suspected ACS are ultimately diagnosed with takotsubo syndrome. Recurrence of this condition is also more common among women. Interestingly, morbidity and mortality rates are higher in men, with cardiogenic shock, cardiac arrest, and mortality occurring more frequently than in women. The pathophysiology that leads to takotsubo is complex: potential inciting mechanisms involve microvascular dysfunction and impaired vascular reactivity, followed by reversible abnormalities in the coronary flow reserve and microvascular resistance. One potential explanation for the striking sex difference is that postmenopausal women have age- and estrogen deficiency–related coronary vasomotor dysfunction. Estrogen improves coronary blood flow through endothelium-dependent and -independent mechanisms; however, its deficiency results in increased sympathetic drive and endothelial dysfunction. An animal study suggested that estrogen supplementation may partially attenuate an excessive cardiovascular response to stress; however, this has not been studied clinically. Furthermore, hypotheses related to estrogen do not explain why takotsubo occurs in men and also appears to be associated with higher mortality rates in men. The specific mechanisms underly ing these sex differences in disease prevalence and outcomes remain unknown and require further study. Deaths from CVD have decreased markedly in men since 1980, whereas CVD deaths only started to decrease substantially in women beginning in 2000. After 2010, death rates from CVD among both sexes stabilized and even began to increase slightly in men. Women with MI are more likely to present with cardiac arrest or cardiogenic shock, whereas men are more likely to present with ventricular tachy cardia. Further, younger women with MI are more likely to die than are men of similar age. However, this mortality gap has decreased in recent years because younger women have experienced greater improvements in survival after MI than men. The improvement in survival is due largely to a reduction in comorbidities, suggesting a greater attention to modifiable risk factors in women. Sex differences account for more variable short-term outcomes observed among women with CVD who receive therapeutic interven tion, as compared to men. Women undergoing coronary artery bypass graft surgery have more advanced disease, a higher perioperative mortality rate, less relief of angina, and less graft patency; however, 5- and 10-year survival rates are similar. Women </w:t>
      </w:r>
      <w:r w:rsidRPr="00A6019F">
        <w:lastRenderedPageBreak/>
        <w:t>undergoing percu taneous transluminal coronary angioplasty have lower rates of initial angiographic and clinical success than men, but they also have a lower rate of re-stenosis and a better long-term outcome. Women may ben efit less and have more frequent serious bleeding complications from thrombolytic therapy compared with men. Factors such as older age, more comorbid conditions, smaller body size, and more severe CVD in women at the time of events or procedures account in part for the observed sex differences. Important risk factors for CVD in both men and women include elevated cholesterol levels, hypertension, smoking, obesity, low HDL cholesterol levels, DM, and lack of physical activity (Fig. 410-2). Total triglyceride levels are an independent risk factor for CVD in women but not in men. Low HDL cholesterol and DM are more important risk factors for CVD in women than in men. Several disorders conferring increased CVD risk affect women exclusively, such as pregnancy associated hypertension, preeclampsia, gestational DM, and polycystic ovary syndrome, or predominantly, such as rheumatoid arthritis (RA) and systemic lupus erythematosus (SLE). Cholesterol-lowering drugs are equally effective in men and women for primary and secondary prevention of CVD. In contrast to men, randomized trials showed that aspirin was not effective in the primary prevention of CVD in women; it did significantly reduce the risk of ischemic stroke. Psychosocial stressors and loneliness may also be important risk factors for the development of CVD in women. A recent cohort study of nearly 60,000 women older than 65 years showed that loneliness and social isolation were associated with a 5% and 8% higher risk of CVD, respectively, even after adjusting for health behaviors and outcomes. Women with greater loneliness and social isolation had a 13–27% higher risk of incident CVD compared with women with relatively less social isolation and less loneliness. Sex-specific factors related to reproductive and pregnancy history are now recognized as important risk-enhancing factors for CVD in women. Recent studies demonstrate that the greatest risk for CVD 3165 CHAPTER 410 FIGURE 410-2 Traditional and nontraditional risk factors for atherosclerotic cardiovascular disease (ASCVD) in women. (Reproduced with permission from M Garcia et al: Cardiovascular disease in women: Clinical perspectives. Circ Res 118:1273, 2016.) (at least twofold) was conferred by adverse pregnancy outcomes (APO), including a history of stillbirth, preterm birth, or preeclampsia, followed by a 1.5- to 1.9-fold risk with gestational diabetes and hyper tension, premature ovarian insufficiency, and placental abruption; the lowest risk (16,000 women on CEE plus medroxyprogesterone acetate (MPA) or placebo and &gt;10,000 women with hysterectomy on CEE alone or placebo, did not demonstrate a benefit of HT for the primary or secondary prevention of CVD. In addition, CEE plus MPA was associated with an increased risk for CVD, particularly in the first year of therapy, whereas CEE alone nei ther increased nor decreased CVD risk. Both HT groups were associ ated with an increased risk for ischemic stroke. In a subgroup analysis of the WHI estrogen-alone trial, a relatively younger age (50–59 years) combined with a history of bilateral salpingo-oophorectomy (BSO) was associated with a &gt;30% CEE treatment–</w:t>
      </w:r>
      <w:r w:rsidRPr="00A6019F">
        <w:lastRenderedPageBreak/>
        <w:t xml:space="preserve">associated reduction in all-cause mortality, whereas CEE-treated older women with prior BSO did not see a significant reduction in any other outcomes, including incidence of coronary artery disease, invasive breast cancer, all-cause mortality, and a composite index of the aforementioned outcomes plus stroke, hip fracture, pulmonary embolism, and colorectal cancer. These results suggest that postmenopausal women younger than 60 with prior BSO may have mortality benefit from HT, while women older than 60 with BSO may suffer consequences associated with HT. More recent data from KEEPS indicate that even if estrogen therapy is initiated shortly after the menopausal transition, it does not reduce atherosclerotic progression or impact CVD outcomes. Additionally, HT and placebo groups have similar outcomes with respect to venous thromboembolism and breast cancer. Although HT does not slow CVD development as previously thought, findings from KEEPS sug gest that treated women experience significant improvements in vaso motor symptoms, mood, sexual function, and bone density, especially when therapy is started sooner after menopause onset. HT is discussed further in Chap. 407. </w:t>
      </w:r>
      <w:r w:rsidRPr="00A6019F">
        <w:rPr>
          <w:rFonts w:ascii="Arial" w:hAnsi="Arial" w:cs="Arial"/>
        </w:rPr>
        <w:t>■</w:t>
      </w:r>
      <w:r w:rsidRPr="00A6019F">
        <w:t xml:space="preserve">DIABETES MELLITUS (See also Chap. 415) Women are more sensitive to insulin than men. Despite this, the prevalence of type 2 DM is similar in men and women. There is a sex difference in the relationship between endogenous </w:t>
      </w:r>
      <w:r w:rsidRPr="00A6019F">
        <w:rPr>
          <w:rFonts w:ascii="Arial" w:hAnsi="Arial" w:cs="Arial"/>
        </w:rPr>
        <w:t>■</w:t>
      </w:r>
      <w:r w:rsidRPr="00A6019F">
        <w:t xml:space="preserve">HYPERTENSION (See also Chap. 288) After age 60, hypertension is more common in U.S. women than in men, largely because of the high prevalence of hypertension in older age groups and the longer survival of women. Isolated systolic hypertension is present in 30% of women &gt;60 years old. Sex hormones affect blood pressure. Both normotensive and hypertensive women have higher blood pressure levels during the fol licular phase than during the luteal phase. In the Nurses’ Health Study, the relative risk of hypertension was 1.8 in current users of oral contra ceptives, but this risk is lower with the newer low-dose contraceptive preparations. Long-term data from this cohort also demonstrate that having gestational hypertension or preeclampsia during a first preg nancy doubled the rate of developing chronic hypertension. HT is not associated with hypertension. Among secondary causes of hyperten sion, there is a female preponderance of renal artery fibromuscular dysplasia. The benefits of treatment for hypertension have been dramatic in both women and men. A meta-analysis of the effects of hypertension treatment, the Individual Data Analysis of Antihypertensive Interven tion Trial, found a reduction of risk for stroke and major cardiovascular events in women. The effectiveness of various antihypertensive drugs appears to be comparable in women and men; however, women may experience more side effects, such as cough with angiotensin-converting enzyme inhibitors. </w:t>
      </w:r>
      <w:r w:rsidRPr="00A6019F">
        <w:rPr>
          <w:rFonts w:ascii="Arial" w:hAnsi="Arial" w:cs="Arial"/>
        </w:rPr>
        <w:t>■</w:t>
      </w:r>
      <w:r w:rsidRPr="00A6019F">
        <w:t>AUTOIMMUNE DISORDERS (See also Chap. 367) Most autoimmune disorders occur more com monly in women than in men; they include autoimmune thyroid and liver diseases, Hashimoto</w:t>
      </w:r>
      <w:r w:rsidRPr="00A6019F">
        <w:rPr>
          <w:rFonts w:ascii="Aptos" w:hAnsi="Aptos" w:cs="Aptos"/>
        </w:rPr>
        <w:t>’</w:t>
      </w:r>
      <w:r w:rsidRPr="00A6019F">
        <w:t>s hypothyroidism, Graves</w:t>
      </w:r>
      <w:r w:rsidRPr="00A6019F">
        <w:rPr>
          <w:rFonts w:ascii="Aptos" w:hAnsi="Aptos" w:cs="Aptos"/>
        </w:rPr>
        <w:t>’</w:t>
      </w:r>
      <w:r w:rsidRPr="00A6019F">
        <w:t xml:space="preserve"> disease (GD), SLE, 3166 RA, scleroderma, multiple sclerosis (MS), and idiopathic thrombocy topenic purpura. However, there is no sex difference in the incidence of type 1 DM, and ankylosing spondylitis occurs more commonly in men. Sex differences in both immune responses and adverse reactions to </w:t>
      </w:r>
      <w:r w:rsidRPr="00A6019F">
        <w:lastRenderedPageBreak/>
        <w:t xml:space="preserve">vaccines have been reported. For example, there is a female prepon derance of postvaccination arthritis. PART 12 Endocrinology and Metabolism Adaptive immune responses are more robust in women than in men; this may be explained by the stimulatory actions of estrogens and the inhibitory actions of androgens on the cellular mediators of immunity. Consistent with an important role for sex hormones, there is variation in immune responses during the menstrual cycle, and the activity of certain autoimmune disorders is altered by castra tion or pregnancy (e.g., RA and MS may remit during pregnancy). Nevertheless, the majority of studies show that exogenous estrogens and progestins in the form of HT or oral contraceptives do not alter autoimmune disease incidence or activity. Exposure to fetal antigens, including circulating fetal cells that persist in certain tissues, has been speculated to increase the risk of autoimmune responses. There is clearly an important genetic component to autoimmunity, as indicated by the familial clustering and HLA association of many such disorders. X chromosome genes also contribute to sex differences in immunity. Indeed, nonrandom X chromosome inactivation may be a risk factor for autoimmune diseases. </w:t>
      </w:r>
      <w:r w:rsidRPr="00A6019F">
        <w:rPr>
          <w:rFonts w:ascii="Arial" w:hAnsi="Arial" w:cs="Arial"/>
        </w:rPr>
        <w:t>■</w:t>
      </w:r>
      <w:r w:rsidRPr="00A6019F">
        <w:t xml:space="preserve">HIV INFECTION (See also Chap. 208) Women (sex assigned at birth) accounted for 18% (6600) of the ~36,100 new HIV diagnoses in the United States in 2021. This represents a similar incidence observed in recent years. Black/ African-American women accounted for 54% of new diagnoses among people assigned as female at birth, as compared to white women, who accounted for 23%, and Hispanic/Latino women, who represented about 18% of the newly diagnosed. AIDS remains an important cause of death in younger women, particularly African-American women aged 25–44 years. Heterosexual contact with an at-risk partner is the fastest-growing transmission category, and women are more suscep tible to HIV infection during vaginal sex than men. This increased susceptibility is accounted for in part by an increased prevalence of sexually transmitted diseases, i.e., gonorrhea and syphilis, in women. Some studies have suggested that hormonal contraceptives may increase the risk of HIV transmission. Progesterone has been shown to increase susceptibility to infection in nonhuman primate models of HIV. Women are also more likely to be infected by multiple variants of the virus than men. Women with HIV have more rapid decreases in their CD4 cell counts than do men. Compared with men, HIV infected women more frequently develop candidiasis, but Kaposi’s sarcoma is less common than it is in men. Women have more adverse reactions, such as lipodystrophy, dyslipidemia, and rash, with antiret roviral therapy than do men. This observation is explained in part by sex differences in the pharmacokinetics of certain antiretroviral drugs, resulting in higher plasma concentrations in women. </w:t>
      </w:r>
      <w:r w:rsidRPr="00A6019F">
        <w:rPr>
          <w:rFonts w:ascii="Arial" w:hAnsi="Arial" w:cs="Arial"/>
        </w:rPr>
        <w:t>■</w:t>
      </w:r>
      <w:r w:rsidRPr="00A6019F">
        <w:t xml:space="preserve">OBESITY (See also Chap. 414) The prevalence of both obesity (body mass index </w:t>
      </w:r>
      <w:r w:rsidRPr="00A6019F">
        <w:rPr>
          <w:rFonts w:ascii="Aptos" w:hAnsi="Aptos" w:cs="Aptos"/>
        </w:rPr>
        <w:t>≥</w:t>
      </w:r>
      <w:r w:rsidRPr="00A6019F">
        <w:t xml:space="preserve">30 kg/m2) and abdominal obesity (waist circumference </w:t>
      </w:r>
      <w:r w:rsidRPr="00A6019F">
        <w:rPr>
          <w:rFonts w:ascii="Aptos" w:hAnsi="Aptos" w:cs="Aptos"/>
        </w:rPr>
        <w:t>≥</w:t>
      </w:r>
      <w:r w:rsidRPr="00A6019F">
        <w:t xml:space="preserve">88 cm in women) are similar in U.S. women and men. According to the most recent National Health and Nutrition Examination Survey data span ning 2017 until prepandemic March 2020, the age-adjusted prevalence of obesity among U.S. adults was 41.8%, and there were no significant differences observed between women and </w:t>
      </w:r>
      <w:r w:rsidRPr="00A6019F">
        <w:lastRenderedPageBreak/>
        <w:t xml:space="preserve">men, even across different age groups. However, some sex-specific differences were observed: the prevalence of obesity was highest among non-Hispanic black women (57.9%) as compared with non-Hispanic white (39.6%), Hispanic (45.7%), and non-Hispanic Asian women (14.5%). Non Hispanic black women had a higher prevalence of obesity compared to non-Hispanic black men. There were no significant differences in prevalence between men and women among non-Hispanic white, non-Hispanic Asian, or Hispanic adults. More than 80% of patients who undergo bariatric surgery are women. Pregnancy and menopause are risk factors for obesity. There are major sex differences in body fat distribution. Women characteristically have a gluteal and femoral or gynoid pattern of fat distribution, whereas men typically have a central or android pattern. Women have more subcutaneous fat than men. In women, endogenous androgen levels are positively associated with abdominal obesity, and androgen administration increases visceral fat. In contrast, there is an inverse relationship between endogenous androgen levels and abdominal obesity in men. Further, androgen administration decreases visceral fat in these obese men. The reasons for these sex differences in the relationship between visceral fat and androgens are unknown; however, emerging evidence suggests that there is a contribution of genetic variation. Studies in humans also suggest that sex steroids play a role in modulating food intake and energy expenditure. In men and women, abdominal obesity characterized by increased visceral fat is associated with an increased risk for CVD and DM. Obesity increases a woman’s risk for certain cancers, in particular post menopausal breast and endometrial cancer, in part because adipose tis sue provides an extragonadal source of estrogen through aromatization of circulating adrenal and ovarian androgens, especially the conversion of androstenedione to estrone. Obesity increases the risk of infertility, miscarriage, and complications of pregnancy. In addition to sex-specific epidemiologic differences in obesity, notable patterns have emerged with the advent and rising popular ity of the novel obesity pharmacotherapies, namely the glucagon-like 1 peptide (GLP1) receptor agonists and the combined GLP1/gastric inhibitory polypeptide (GIP) receptor agonists (Chap. 414). In the recent Semaglutide Treatment Effect in People with Obesity (STEP 1–4) studies from 2021, in which weekly semaglutide was compared to placebo for weight management, women comprised 55–80% of the study populations. Subgroup analyses evaluating the efficacy of sema glutide by sex have demonstrated a greater average weight reduction in women participants compared to men. Possible explanations for these findings include a lower average baseline body weight in women, potential differences in eating behavior that may be regulated by dif ferences in sex hormones, and differential rates of gastric emptying. Sex-related differences in gastrointestinal side effects may also play a role. A possible connection may exist at the neurologic level: a recent study in mice demonstrated sex-specific dynamics in GLP1 recep tor and GIP receptor expression patterns in metabolically responsive areas of the hypothalamus and the amygdala induced by exposure to a high-fat diet. It remains unclear whether mechanistic </w:t>
      </w:r>
      <w:r w:rsidRPr="00A6019F">
        <w:lastRenderedPageBreak/>
        <w:t xml:space="preserve">differences may explain the differential outcomes in women compared to men who use these medications. </w:t>
      </w:r>
      <w:r w:rsidRPr="00A6019F">
        <w:rPr>
          <w:rFonts w:ascii="Arial" w:hAnsi="Arial" w:cs="Arial"/>
        </w:rPr>
        <w:t>■</w:t>
      </w:r>
      <w:r w:rsidRPr="00A6019F">
        <w:t xml:space="preserve">OSTEOPOROSIS (See also Chap. 423) Osteoporosis is about five times more common in postmenopausal women than in age-matched men, and osteopo rotic hip fractures are a major cause of morbidity in elderly women. Men accumulate more bone mass and lose bone more slowly than do women. Sex differences in bone mass are found as early as infancy. Calcium intake, vitamin D, and estrogen all play important roles in bone formation and bone loss. Particularly during adolescence, calcium intake is an important determinant of peak bone mass. Vitamin D deficiency is surprisingly common in elderly women, occurring in &gt;40% of women living in northern latitudes. Receptors for estrogens and androgens have been identified in bone. Estrogen deficiency is associated with increased osteoclast activity and a decreased number of bone-forming units, leading to net bone loss. The aromatase enzyme, which converts androgens to estrogens, is also present in bone. Estrogen is an important determinant of bone mass in men (derived from the aromatization of androgens) as well as in women. </w:t>
      </w:r>
      <w:r w:rsidRPr="00A6019F">
        <w:rPr>
          <w:rFonts w:ascii="Arial" w:hAnsi="Arial" w:cs="Arial"/>
        </w:rPr>
        <w:t>■</w:t>
      </w:r>
      <w:r w:rsidRPr="00A6019F">
        <w:t xml:space="preserve">PHARMACOLOGY On average, women have lower body weights, smaller organs, a higher percentage of body fat, and lower total-body water than men. There are also important sex differences in drug action and metabolism that are not accounted for by these differences in body size and composition. Sex steroids alter the binding and metabolism of a number of drugs. Further, menstrual cycle phase and pregnancy can alter drug action. 3167 Women also take more medications than men, including over-the counter formulations and supplements. The greater use of medications combined with these biologic differences may account for the reported higher frequency of adverse drug reactions in women than in men. Two-thirds of cases of drug-induced torsades des pointes, a rare, life-threatening ventricular arrhythmia, occur in women because they have a longer, more vulnerable QT interval. These drugs, which include certain antihistamines, antibiotics, antiarrhythmics, and antipsychot ics, can prolong cardiac repolarization by blocking cardiac voltage gated potassium channels. </w:t>
      </w:r>
      <w:r w:rsidRPr="00A6019F">
        <w:rPr>
          <w:rFonts w:ascii="Arial" w:hAnsi="Arial" w:cs="Arial"/>
        </w:rPr>
        <w:t>■</w:t>
      </w:r>
      <w:r w:rsidRPr="00A6019F">
        <w:t>PSYCHOLOGICAL DISORDERS (See also Chap. 463) Depression, anxiety, and affective and eating disorders (bulimia and anorexia nervosa) are more common in women than in men. Epidemiologic studies from both developed and develop ing nations consistently find major depression to be twice as common in women as in men, with the sex difference becoming evident in early adolescence. Depression occurs in 10% of women during pregnancy and in 10</w:t>
      </w:r>
      <w:r w:rsidRPr="00A6019F">
        <w:rPr>
          <w:rFonts w:ascii="Aptos" w:hAnsi="Aptos" w:cs="Aptos"/>
        </w:rPr>
        <w:t>–</w:t>
      </w:r>
      <w:r w:rsidRPr="00A6019F">
        <w:t xml:space="preserve">15% of women during the postpartum period. There is a high likelihood of recurrence of postpartum depression with subse quent pregnancies. The incidence of major depression diminishes after the age of 45 years and does not increase with the onset of menopause. Depression in women appears to have a worse prognosis than does depression in men; episodes last longer, and there is a lower rate of spontaneous remission. Schizophrenia and bipolar disorders occur at equal rates in men and women, although there may be sex differences in symptoms. Both biologic and social factors account for the greater prevalence of depressive disorders in women. Men have higher </w:t>
      </w:r>
      <w:r w:rsidRPr="00A6019F">
        <w:lastRenderedPageBreak/>
        <w:t xml:space="preserve">levels of the neurotransmitter serotonin. Sex steroids also affect mood, and fluc tuations during the menstrual cycle have been linked to symptoms of premenstrual syndrome. Sex hormones differentially affect the hypo thalamic-pituitary-adrenal responses to stress. Testosterone appears to blunt cortisol responses to corticotropin-releasing hormone. Both low SARS-CoV2 SARS-CoV2 Attachment ACE2 Cytosol Activation Virus entry Testosterone TMPRSS2 HSP AR AR Nucleus TMPRSS2 and high levels of estrogen can activate the hypothalamic-pituitary adrenal axis. </w:t>
      </w:r>
      <w:r w:rsidRPr="00A6019F">
        <w:rPr>
          <w:rFonts w:ascii="Arial" w:hAnsi="Arial" w:cs="Arial"/>
        </w:rPr>
        <w:t>■</w:t>
      </w:r>
      <w:r w:rsidRPr="00A6019F">
        <w:t xml:space="preserve">COVID-19 INFECTION (See also Chap. 205) Soon after the discovery of COVID-19, which was identified in November 2019 in Wuhan, China, as being caused by the novel coronavirus SARS-CoV-2, it was evident that there were appreciable sex differences in severity and outcomes. Indeed, observa tional data from the early pandemic, spanning late 2019 to early 2020, demonstrated a higher overall incidence of infectious cases, hospital izations, intensive care unit admissions, and case-fatality rates among men as compared to women. More pronounced sex differences were observed with advanced age, with a higher overall incidence in older male age groups. These sex differences have persisted among different racial, ethnic, and socioeconomic groups and across all continents, as SARS-CoV-2 became a global pandemic. There are several potential mechanisms for these sex-specific effects of SARS-CoV-2 infection (Fig. 410-3). The virus’s entry point into cells is the membrane-bound angiotensin-converting enzyme 2 (ACE2) receptor, and it also harnesses the primer TMPRSS2, a cellular serine protease. Circulating levels of ACE2, which is expressed in a variety of tissues including the lung, heart, and kidneys, have been reported to be relatively higher in men who have diabetes and/or kidney disease, as well as in healthy men; however, not all studies have reported similar sex differences. One hypothesis is that upregulation of the ACE2 receptor in men may provide greater opportunity for cellular entry, viral replication, and development of symptoms and deleterious sequelae. CHAPTER 410 Women’s Health SARS-CoV2 Attachment Activation HSP Activated TMPRSS2 mRNA Translocation ? ARE TMPRSS2 ARE TMPRSS2 Virus entry TMPRSS2 mRNA ACE2 FIGURE 410-3 Proposed sex hormone differences in TMPRSS2-mediated SARS-CoV-2 host cell entry. The virus entry point into cells is the membrane-bound angiotensin-converting enzyme 2 (ACE2) receptor. The cell-membrane protease, TMPRSS2, is also vital for host cell entry. Circulating levels of ACE2, expressed abundantly in the lung, heart, and kidney tissues, have been reported to be relatively higher in men. Upregulation of the ACE2 receptor in men may provide greater opportunity for cellular entry, viral replication, symptom development, and multiorgan involvement. (Adapted from C Gebhard et al: Impact of sex and gender on COVID-19 outcomes in Europe. Biol Sex Differ 11:29, 2020.) ACE2 plays a critical role in bronchial transient secretory cells/type II alveolar cells as well as the renin-angiotensin-aldosterone system (RAAS). In the RAAS, ACE2 opposes angiotensin II’s vasoconstrictive actions by converting angiotensin II to the vasodilatory angiotensin 1-7 in critical tissues, including cardiac myocytes, cardiac fibroblasts, and coronary endothelial cells. Importantly, recent evidence has shown the impact of sex and sex </w:t>
      </w:r>
      <w:r w:rsidRPr="00A6019F">
        <w:lastRenderedPageBreak/>
        <w:t xml:space="preserve">hormones on the RAAS and ACE2: estrogen downregulates angiotensin II receptor type 1 and regulates renin activity, as well as modulates local RAAS in the atrial myocardium. Furthermore, it has been shown that ovariectomized females have increased ACE2 activity and expression in their kidney and adipose tissue and that estradiol replacement reduces ACE2 expression. On the contrary, orchiecto mized males have decreased ACE2 activ ity. Estrogen appears to reduce ACE2 expression in the heart and kidney in both rodent and human studies. TMPRSS2, a vital contributor to SARS CoV-2 cellular invasion, is a protein that is most abundantly expressed in prostate epithelial tissue, including high-grade prostate cancers and metastases. Accord ingly, the protein’s involvement in viral priming is thought to be an important reason for the higher case-fatality rate observed in men; however, the associa tion has not yet been proven. TMPRSS2 is also expressed in airway epithelia, where its physiologic function is not entirely clear. Transcription of the cellular protein is regulated by androgenic ligands and androgen receptor binding element; it is unknown whether estrogen plays a role in its regulation. Emerging in vitro stud ies have demonstrated that a TMPRSS2 inhibitor blocks viral entry into cells. These data may serve as an important foundation for sex-specific and personal ized therapeutic approaches in the future. 3168 </w:t>
      </w:r>
      <w:r w:rsidRPr="00A6019F">
        <w:rPr>
          <w:rFonts w:ascii="Arial" w:hAnsi="Arial" w:cs="Arial"/>
        </w:rPr>
        <w:t>■</w:t>
      </w:r>
      <w:r w:rsidRPr="00A6019F">
        <w:t>SUBSTANCE ABUSE AND TOBACCO 411 Men</w:t>
      </w:r>
      <w:r w:rsidRPr="00A6019F">
        <w:rPr>
          <w:rFonts w:ascii="Aptos" w:hAnsi="Aptos" w:cs="Aptos"/>
        </w:rPr>
        <w:t>’</w:t>
      </w:r>
      <w:r w:rsidRPr="00A6019F">
        <w:t xml:space="preserve">s Health Shalender Bhasin PART 12 Endocrinology and Metabolism (See also Chaps. 464 and 465) Substance abuse is more common in men than in women. However, nearly one-third of Americans who suf fer from alcoholism are women. Women are less likely to be diagnosed with alcoholism than men. A greater proportion of men than women seek help for alcohol and drug abuse. Men are more likely to go to an alcohol or drug treatment facility, whereas women tend to approach a primary care physician or mental health professional for help under the guise of a psychosocial problem. Blood alcohol levels are higher in women than in men after drinking equivalent amounts of alcohol, adjusted for body weight. This greater bioavailability of alcohol in women is due to both the smaller volume of distribution and the slower gastric metabolism of alcohol secondary to lower activity of gastric alcohol dehydrogenase than is the case in men. Women with alcohol ism have a higher mortality rate than do women and men without alcoholism. Women also appear to develop alcoholic liver disease and other alcohol-related diseases with shorter drinking histories and lower levels of alcohol consumption. Alcohol abuse also poses special risks to a woman, adversely affecting fertility and the health of the baby (fetal alcohol syndrome). Even moderate alcohol use increases the risk of breast cancer, hypertension, and stroke in women. More men than women smoke tobacco, but this sex difference continues to decrease. Women have a much larger burden of smoking related disease. Smoking markedly increases the risk of CVD in pre menopausal women and is also associated with a decrease in the age of menopause. Women who smoke are more likely to develop chronic obstructive pulmonary disease and lung cancer than men and at lower levels of tobacco exposure. Postmenopausal women who smoke have lower bone density than women who never smoked. Smoking during pregnancy </w:t>
      </w:r>
      <w:r w:rsidRPr="00A6019F">
        <w:lastRenderedPageBreak/>
        <w:t xml:space="preserve">increases the risk of preterm deliveries and low birth weight infants. </w:t>
      </w:r>
      <w:r w:rsidRPr="00A6019F">
        <w:rPr>
          <w:rFonts w:ascii="Arial" w:hAnsi="Arial" w:cs="Arial"/>
        </w:rPr>
        <w:t>■</w:t>
      </w:r>
      <w:r w:rsidRPr="00A6019F">
        <w:t xml:space="preserve">VIOLENCE AGAINST WOMEN Approximately 15% of women in the United States have experienced rape, physical violence, and/or stalking by an intimate partner, as compared to 4% of men with similar experiences. Adult women are much more likely to be raped by a spouse, ex-spouse, or acquaintance than by a stranger. Intimate partner violence (IPV) is a leading cause of death among young women. Rates of reported IPV in the United States increased dramatically amid stay-at-home orders during the COVID 19 pandemic but have since declined again to prepandemic rates. IPV is an important risk factor for depression, substance abuse, and suicide in women. Screening instruments can identify women experiencing IPV and should be administered in settings that ensure adequate pri vacy and safety. SUMMARY Women’s health is now a mature discipline, and the importance of sex differences in biologic processes is well recognized. Nevertheless, ongoing misperceptions about disease risk, not only among women but also among their health care providers, result in insufficient attention to modifiable risk factors. Research into the fundamental mechanisms of sex differences will provide important biologic insights. Further, those insights will have an impact on both women’s and men’s health. </w:t>
      </w:r>
      <w:r w:rsidRPr="00A6019F">
        <w:rPr>
          <w:rFonts w:ascii="Arial" w:hAnsi="Arial" w:cs="Arial"/>
        </w:rPr>
        <w:t>■</w:t>
      </w:r>
      <w:r w:rsidRPr="00A6019F">
        <w:t xml:space="preserve">FURTHER READING Howell E: Reducing disparities in severe maternal morbidity and mortality. Clin Obstet Gynecol 61:2, 2018. Lott N et al: Sex hormones in SARS-CoV-2 susceptibility: Key play ers or confounders? Nat Rev Endocrinol 19:217, 2023. Rich-Edwards J et al: Sex and gender differences research design for basic, clinical, and population studies: Essentials for investigators. Endocr Rev 39:4, 2018. Rubino D et al: Effect of continued weekly subcutaneous semaglu tide vs placebo on weight loss maintenance in adults with over weight or obesity: The STEP 4 randomized clinical trial. JAMA 325:14, 2021. Singh T et al: Takotsubo syndrome: Pathophysiology, emerging con cepts, and clinical implications. Circulation 145:13, 2022. The emergence of men’s health as a distinct discipline within internal medicine is founded on the wide consensus that men and women dif fer across their life span in their susceptibility to disease, in the clinical manifestations of the disease, and in their response to treatment. Fur thermore, men and women weigh the health consequences of illness differently and have different motivation for seeking care. Men and women experience different types of disparities in access to health care services and in the manner in which health care is delivered to them because of a complex array of socioeconomic and cultural factors. Attitudinal and institutional barriers to accessing care, fear and embar rassment due to the perception that it is not manly to seek medical help, and reticence on the part of patients and physicians in discussing issues related to sexuality, substance use, and aging have heightened the need for programs tailored to address the specific health needs of men. The sex differences in disease prevalence, susceptibility, and clinical manifestations of the disease were discussed in Chap. 410 (Women’s Health) and will not be discussed here. It is notable that the two leading causes of death in both men and women—heart disease and cancer—are the same. However, men have higher prevalence of neu rodevelopmental and degenerative </w:t>
      </w:r>
      <w:r w:rsidRPr="00A6019F">
        <w:lastRenderedPageBreak/>
        <w:t xml:space="preserve">disorders; substance use disorders, including the use of performance-enhancing drugs and alcohol use disorder; diabetes; cardiovascular disease; liver cirrhosis; and some types of cancer such as prostate, melanoma, and pancreatic cancer; and women have a higher prevalence of autoimmune disorders, depression, rheumatologic disorders, and osteoporosis. Men are substantially more likely to die from accidents, suicides, and homicides than women. Among men 15–34 years of age, unintentional injuries, homicides, and suicides account for over three-fourths of all deaths. Among men 35–64 years of age, heart disease, cancer, and unintentional injuries are the leading causes of death. Among men ≥65 years of age, heart disease, cancer, lower respiratory tract infections, and stroke are the major causes of death. From 1999 to 2010, the mortality rates in the United States decreased for men and women of all age groups, largely due to reduced death rates from heart attacks, cancer, motor vehicle injuries, and HIV infection. However, since 2010, troubling disparities in sex-specific mortality rates have emerged among middle-aged men in the United States. From 2010 to 2017, the death rates have risen and life expec tancy has decreased for young and middle-aged men. The increase in mortality rates among people aged 25–64 was the highest in the Ohio Valley and Appalachia, and in the New England states of New Hampshire, Maine, and Vermont. The rising mortality rates in young and middle aged men have been attributed to an increase in deaths due to drug overdose, alcohol-related liver disease, and suicide. The rising rates of “deaths of despair” among young and middle-aged men, especially white non-Hispanics, have been associated with deterioration in eco nomic and social well-being, reduced rates of marriage and labor force participation, and poor physical and mental health. The biologic bases of sex differences in disease susceptibility, pro gression, and manifestation remain incompletely understood and are likely multifactorial. Undoubtedly, sex-specific differences in the genetic architecture and circulating sex hormones influence disease phenotype; additionally, epigenetic effects of sex hormones during fetal life, infancy, and pubertal development may epigenetically imprint sexual and nonsexual behaviors, body composition, and disease sus ceptibility. The circulating and tissue concentrations of sex hormones differ substantially in men and women, and these hormonal differences may affect gene expression in cells of males and females in all parts of the body. The presence of only one X chromosome in men renders them more susceptible to X-linked disorders than women. Due to the X inactivation of one randomly chosen X chromosome, women’s bod ies contain two epigenetically different cell populations. The genes that Testosterone level (ng/dL) 1000 Total testosterone (ng/dL) vs. age (y) 3169 do not undergo X inactivation exhibit dosage differences between male and female cells. Expression of the Y chromosome genes in men may affect the function of somatic cells containing the Y chromosome. The loss of Y chromosome with aging in men is associated with increased risk of heart disease, especially heart failure, certain types of cancers, and shortened life span. The differences in the imprinting of maternally and paternally derived genes may also contribute to sex differences in the expression of disease. </w:t>
      </w:r>
      <w:r w:rsidRPr="00A6019F">
        <w:lastRenderedPageBreak/>
        <w:t xml:space="preserve">Reproductive load and physiologic changes during pregnancy, including profound hormonal and metabolic shifts and microchimerism (transfer of cells from the mother to the fetus and from the fetus to the mother), may affect disease susceptibility and disease severity in women. Sociocultural norms of child-rearing prac tices, societal expectations of gender roles, and the long-term economic impact of these practices and gender roles influence health behaviors and disease risk. Furthermore, the trajectories of age-related changes in sex hormones during the reproductive and postreproductive years vary substantially between men and women and influence the sex-specific patterns of the temporal evolution of age-related conditions such as osteoporosis, breast cancer, and autoimmune disease. In a reflection of the growing attention on issues related to men’s health, men’s health clinics have mushroomed all over the country. Although the major threats to men’s health have not changed—heart disease, cancer, and unintentional injury continue to dominate the list of major medical causes of morbidity and mortality in men—the men who attend men’s health clinics do so largely for sexual, reproductive, and urologic health concerns involving common conditions, such as testosterone deficiency syndromes, age-related decline in testos terone levels, sexual dysfunction, muscle dysmorphia and anabolic androgenic steroid (AAS) use, lower urinary tract symptoms (LUTS), and medical complications of prostate cancer therapy, which are the subjects of this chapter. Additionally, we are witnessing the emergence of new categories of body image disorders in men that had not been recognized until the 1980s, such as the body dysmorphia syndrome and the use of performance-enhancing drugs to increase muscularity and lean appearance. Although menopause and women’s health have been the subject of intense investigation for more than five decades, these issues that are specific to men’s health are just beginning to gain the attention that they deserve because of their high prevalence and impact on overall health, well-being, and quality of life. AGING-RELATED CHANGES IN MALE REPRODUCTIVE FUNCTION A number of cross-sectional and longitudinal studies (e.g., the Bal timore Longitudinal Study of Aging, the Framingham Heart Study [FHS], the Massachusetts Male Aging Study, and the European Male Aging Study [EMAS]) have established that testosterone concentrations decrease with advancing age. This age-related decline starts in the third decade of life and progresses slowly (Fig. 411-1); the magnitude and trajectory of age-related decline in testosterone levels are affected by adiposity and weight change, comorbid conditions, and genetic factors. Because sex hormone–binding globulin (SHBG) concentrations are higher in older men than in younger men, free or bioavailable testos terone concentrations decline with aging to a greater extent than total testosterone concentrations. In the EMAS, 2.1% of community-dwelling men aged 40–70 years had total testosterone levels 65 years who have symptoms or conditions suggestive of testosterone defi ciency (e.g., low libido, significant depressive symptoms, fatigue, or unexplained anemia) and consistently low testosterone.” The decision to offer testosterone treatment to older men with hypo gonadism should be a shared decision, guided by an individualized assessment of </w:t>
      </w:r>
      <w:r w:rsidRPr="00A6019F">
        <w:lastRenderedPageBreak/>
        <w:t xml:space="preserve">potential benefits and risks and careful weighing of the burden of symptoms/conditions against the potential benefits and risks (Fig. 411-3). Evaluate whether the patient has clear evi dence of testosterone deficiency confirmed by two or more early morning, fasting testosterone levels below the lower limit of normal for healthy young men plus the presence of symptoms. Weigh the burden of symptoms/conditions against the known benefits and the uncertainty of long-term harm. Ascertain whether the patient has any conditions that might increase the risk of harm, such as prostate cancer, severe LUTS, erythrocytosis, or a hypercoagulable condition. Older men considering testosterone treatment should undergo baseline evaluation of prostate cancer risk. The initiation of prostate screening and monitoring should be a shared decision because prostate cancer screening has some risks. A shared decision to treat should be accompanied by a standardized monitoring plan to optimize the benefit-to-risk ratio. AGE-RELATED CHANGES IN FECUNDITY Although testicular morphology, semen production, and fertility are maintained up to a very old age in men, advanced paternal age is a risk factor for reduced fertility. Compared to men aged 21–25 years, men &gt;50 years have lower sperm motility and sperm morphology, a higher frequency of sperm tail defects, and lower fecundity. The fecundity is reduced when both parents are &gt;40 years old. Increased workforce participation and changing career expectations of women, a higher age at reproductive union, and the availability of contraceptives that enable couples to separate their sexual and procreative lives have underpinned powerful secular trends toward postponement of child bearing to an older age. The median age at first childbirth has been increasing steadily across the world; postponement of childbirth to an older age increases the risk of involuntary childlessness because of the adverse effects of advanced maternal and paternal age on fecundity, increased risk of comorbidities that may indirectly affect fecundity, and the age-related changes in reproductive behaviors. Increased paternal age is associated with increased risk of germline mutations in the FGFR2, FGFR3, and RET genes and the associated autosomal dominant diseases, such as achondroplasia, Pfeiffer’s syndrome, thana tophoric dysplasia, Crouzon’s syndrome, Apert’s syndrome, multiple endocrine neoplasia (MEN) 2A, and MEN 2B. Advanced paternal age also increases the offspring’s risk of Klinefelter’s syndrome, trisomy 13 and 18, neurodevelopmental disorders such as schizophrenia, autism, bipolar disorders, and cardiac malformations such as ventricular septal defects, atrial septal defects, and patent ductus arteriosus. Sexual Dysfunction Various forms of sexual dysfunction are a major motivating factor for men seeking care at men’s health clinics. The landmark descriptions of the human sexual response cycle by Masters and Johnson demonstrating that men and women display predictable physiologic responses after sexual stimulation provided the basis for rational classification of human sexual disorders. Subsequently, this model was expanded to include sexual desire, resulting in a three-stage model comprising of desire, arousal, and orgasm. Whipple and Brash McGreer later proposed a circular model of sexual response whereby a positive sexual experience reinforces desire. The </w:t>
      </w:r>
      <w:r w:rsidRPr="00A6019F">
        <w:lastRenderedPageBreak/>
        <w:t xml:space="preserve">classification of sexual disorders in men has been revised in the Diagnostic and Statistical Manual of Mental Disorders, Fifth Edition (DSM-5) and the eleventh revision of the International Classification of Diseases and Related Health Problems (ICD-11). DSM-5 includes three major categories of male sexual disorders: sexual desire disorders, sexual arousal disorders, and orgasmic disorders. The DSM-5 also 3172 The Approach to Individualized Decision-Making 1. Establish that the patient has testosterone deficiency – consider the diagnostic imprecision. 2. Weigh the burden of symptoms. 3. Ascertain conditions that might increase the risk of harm. 4. Share the burden of decision-making with the patient. Balancing the Potential for Benefits and Risks and Patient’s and Clinician’s Values The severity of testosterone deficiency and symptoms PART 12 Endocrinology and Metabolism Potential benefits in context of the burden of symptoms The strength of the evidence of testosterone deficiency The feasibility of alternate strategies (weight loss, glycemic control, PDE5Is for ED) The comorbid conditions that might increase the risk of adverse events Potential adverse effects of treatment and risks of monitoring Clinician’s Patient’s values and risk tolerance FIGURE 411-3. An approach to individualized, shared treatment decision-making in older men with testosterone deficiency. Testosterone treatment is not indicated in all older men with testosterone deficiency. Consider the diagnostic imprecision in establishing the diagnosis, the burden of symptoms, and the presence of comorbid conditions that might increase the risk of harm. Weigh the potential benefits against the burden of symptoms, the potential of harm from treatment and monitoring in the context of other comorbid conditions, and the feasibility of alternate strategies such as weight loss, improved glycemic control, and the use of selective phosphodiesterase-5 inhibitors (PDE5Is). A shared treatment decision takes into consideration the patient’s and clinician’s values. ED, erectile dysfunction. includes an additional category of “other specified sexual dysfunction” due to causes other than those included in the above three categories. Male erectile dysfunction is now referred to as erectile disorder. Classification of the patient’s disorder into these categories is important as the etiologic factors, diagnostic tests, and therapeutic strategies vary for each class of sexual disorder. Historically, the clas sification and nomenclature for sexual disorders were based on the DSM, based on the erroneous belief that sexual disorders in men are largely psychogenic in origin. However, the recognition of erectile disorder as a manifestation of systemic disease and the availability of easy-to-use oral selective phosphodiesterase-5 (PDE5) inhibitors have placed sexual disorders in men within the purview of the primary care provider. These disorders have been discussed in Chap. 409 (Sexual Dysfunction). </w:t>
      </w:r>
      <w:r w:rsidRPr="00A6019F">
        <w:rPr>
          <w:rFonts w:ascii="Arial" w:hAnsi="Arial" w:cs="Arial"/>
        </w:rPr>
        <w:t>■</w:t>
      </w:r>
      <w:r w:rsidRPr="00A6019F">
        <w:t>MUSCLE DYSMORPHIA SYNDROME IN MEN</w:t>
      </w:r>
      <w:r w:rsidRPr="00A6019F">
        <w:rPr>
          <w:rFonts w:ascii="Aptos" w:hAnsi="Aptos" w:cs="Aptos"/>
        </w:rPr>
        <w:t>—</w:t>
      </w:r>
      <w:r w:rsidRPr="00A6019F">
        <w:t xml:space="preserve">A FORM OF BODY IMAGE DISORDER Muscle dysmorphia is a form of body image disorder characterized by a pathologic preoccupation with muscularity and leanness. The men with muscle dysmorphia express a strong desire to be more muscular and lean and report dissatisfaction and embarrassment about their body size and shape, preoccupation with bodybuilding and muscular ity, and impairment of social and </w:t>
      </w:r>
      <w:r w:rsidRPr="00A6019F">
        <w:lastRenderedPageBreak/>
        <w:t xml:space="preserve">occupational functioning. Patients with muscle dysmorphia also report higher rates of mood and anxiety disorders and obsessive and compulsive behaviors than individuals without muscle dysmorphia. Patients with muscle dysmorphia syndrome—nearly all men—are almost always engaged in weightlifting and body building and are more likely to use performance-enhancing drugs, especially AASs, than men in the general population or even weightlifters without body dysmorphia. Muscle dysmorphia disorder exposes men to an increased risk of disease due to the combined interactive effects of the intensity of physical exercise, the use of performance-enhancing drugs, and other lifestyle factors associated with weightlifting and the use of performance-enhancing drugs. No randomized trials of any treatment modalities have been conducted; anecdotally, behavioral and cognitive therapies have been tried with varying degrees of success. AAS Abuse by Athletes and Recreational Bodybuilders The illicit use of AASs to enhance athletic performance first surfaced in the 1950s among powerlifters and spread rapidly to other sports, profes sional as well as high school athletes, and recreational bodybuilders. In the early 1980s, the use of AAS spread beyond the athletic community into the general population. Most AAS users are not athletes, but rather recreational weightlifters who use these drugs to look lean and more muscular. The most commonly used AASs include testosterone esters, nandro lone, stanozolol, methandienone, trenbolone, boldenone, and oxandro lone. AAS users generally use increasing doses of multiple steroids in a practice known as stacking. The adverse effects of long-term AAS abuse remain poorly under stood. Most of the information about the adverse effects of AAS has emerged from case reports, uncontrolled studies, or clinical trials that used replacement doses of testosterone (Table 411-4). The adverse event data from clinical trials using physiologic replacement doses of testosterone have been extrapolated unjustifiably to AAS users who may administer 10–100 times the replacement doses of testosterone over many years and to support the claim that AAS use is safe. A sub stantial fraction of AAS users also use other drugs that are perceived to be muscle-building or performance-enhancing, such as growth hormone; erythropoiesis-stimulating agents; insulin; stimulants such as amphetamine, clenbuterol, cocaine, ephedrine, and thyroxine; and drugs perceived to reduce adverse effects such as human chorionic gonadotropin (hCG), aromatase inhibitors, or estrogen antagonists. Men who abuse AAS are more likely to engage in other high-risk behaviors than nonusers. The adverse events associated with AAS use may be due to AAS themselves, concomitant use of other drugs, or high-risk behaviors. The high rates of mortality and morbidities observed in AAS users are alarming. One Finnish study reported 4.6 times the risk of death among elite power lifters than in age-matched men from the general population. The causes of death among power lifters included sui cides, myocardial infarction, hepatocellular failure, and non-Hodgkin’s lymphoma. A retrospective review of patient records in Sweden also reported higher standardized mortality ratios for AAS users than for nonusers. Studies indicate that 32% of deaths among AAS users were suicidal, 26% homicidal, and 35% accidental. The median age of </w:t>
      </w:r>
      <w:r w:rsidRPr="00A6019F">
        <w:lastRenderedPageBreak/>
        <w:t xml:space="preserve">death among AAS users in this study—24 years—was even lower than that for heroin or amphetamine users. Numerous reports of cardiac death among young AAS users raise concerns about the adverse cardiovascular effects of AAS. High doses of AAS may induce proatherogenic dyslipidemia, increase thrombosis risk via effects on clotting factors and platelets, induce vasospasm 3173 Men’s Health CHAPTER 411 TABLE 411-4 Potential Adverse Effects Associated with the Use of Anabolic-Androgenic Steroids A. Four Major Categories of Serious Adverse Effects Associated with the Use of Anabolic-Androgenic Steroids 1. Cardiovascular a. Hypertension b. Sudden death c. Cardiomyopathy d. Diastolic dysfunction e. Accelerated atherosclerosis f. Dyslipidemia 2. Endocrine a. Suppression of the hypothalamic-pituitary-testicular axis i. Anabolic steroid withdrawal hypogonadism ii. Infertility iii. Testicular atrophy b. Gynecomastia 3. Neuropsychiatric a. Major mood disorders i. Hypomania and mania during periods of high-dose anabolic androgenic steroids use ii. Depression and even suicidality during anabolic steroid withdrawal b. Other behavioral disorders i. Rage reactions ii. Aggressive responding and violence c. Dependence and addiction behaviors d. Cognitive deficits 4. Musculoskeletal Injuries a. Tendon injuries b. Other musculoskeletal injuries B. Other Adverse Events 1. Hematologic a. Erythrocytosis b. Venous thromboembolic events 2. Hepatotoxicity a. Inflammatory or cholestatic hepatic damage with the use of 17α-alkyl substituted steroids b. Peliosis hepatis c. Hepatic adenoma d. Hepatocellular carcinoma 3. Hair and skin a. Acne b. Scalp hair loss in genetically predisposed men c. Increased body hair d. Striae 4. Renal a. Acute kidney injury due to rhabdomyolysis b. Focal glomerulosclerosis  through their effects on vascular nitric oxide, and induce myocardial hypertrophy and fibrosis. The supraphysiologic doses of testosterone and orally administered, 17-α-alkylated, nonaromatizable AAS are associated with marked reductions in high-density lipoprotein (HDL) cholesterol and increases in low-density lipoprotein (LDL) cholesterol. Studies using tissue Doppler and strain imaging and magnetic resonance imaging (MRI) have reported diastolic and systolic dysfunc tion, including lower early and late diastolic tissue velocities, reduced E/A ratio, and reduced peak systolic strain in AAS users than in nonusers. Power athletes using AAS often have short QT intervals but increased QT dispersion, which may predispose them to ventricular arrhythmias. Long-term AAS use may be associated with myocardial hypertrophy and fibrosis. Myocardial tissue of power lifters using AAS has been shown to be infiltrated with fibrous tissue and fat droplets. AAS users demonstrate higher coronary artery plaque volume than nonusers, and lifetime AAS dose is associated with coronary athero sclerotic burden. Long-term AAS use suppresses LH and follicle-stimulating hormone (FSH) secretion and inhibits endogenous testosterone production and spermatogenesis. Men who have used AAS for more than a few months experience marked suppression of the HPT axis after stopping AAS that may be associated with sexual dysfunction, fatigue, infertility, and depressive symptoms. In some long-term AAS users, HPT suppression may last more than a year, and in a few individuals, complete recovery may not occur. The symptoms </w:t>
      </w:r>
      <w:r w:rsidRPr="00A6019F">
        <w:lastRenderedPageBreak/>
        <w:t xml:space="preserve">of androgen deficiency during AAS withdrawal may cause some men to revert back to using AAS, leading to continued use and AAS dependence. As many as 30% of AAS users develop a syndrome of AAS dependence, characterized by long-term AAS use despite adverse medical and psychiatric effects. In some men’s health clinics, as many as 25% of young men receiving testosterone replacement therapy have anabolic steroid withdrawal hypogonadism. Supraphysiologic doses of testosterone may also impair insulin sensitivity. Orally administered androgens have been associated with insulin resistance and diabetes. Unsafe injection practices, high-risk behaviors, and increased rates of incarceration render AAS users at increased risk of HIV and hepati tis B and C. In one survey, nearly 1 in 10 gay men had injected AAS or other substances, and AAS users were more likely to report high-risk unprotected anal sex than other men. Surveys of male prisoners find high rates of AAS use. Some AAS users develop hypomanic and manic symptoms dur ing AAS exposure (irritability, aggressiveness, reckless behavior, and psychotic symptoms, sometimes associated with violence) and major depression (sometimes associated with suicidality) during AAS with drawal. Users may also develop other forms of illicit drug use. AAS use has been associated with difficulties with spatial as well as working memory, problem solving, and attention, and structural and functional changes in many brain regions involved in inhibitory control and emotional regulation. A structural MRI study of users of high doses of AAS reported smaller cortical, gray matter, putamen, and corpus callosum volumes. Both low and high androgen levels have been associated with increased Aβ and tau-P levels and Aβ toxicity. These data have raised concern that long-term AAS use may increase the risk of Alzheimer’s disease and related dementias. Elevated liver enzymes, cholestatic jaundice, hepatic neoplasms, and peliosis hepatis have been reported with oral, 17-α-alkylated AAS. AAS use may cause muscle hypertrophy without compensatory adaptations in tendons, ligaments, and joints, thus increasing the risk of tendon and joint injuries. AAS use is associated with acne, baldness, and increased body hair. APPROACH TO THE PATIENT Detection of AAS Use AAS users generally mistrust physicians and seek medical help infrequently; when they do seek medical help, it is often for the treatment of AAS withdrawal syndrome, infertility, gynecomastia, or other medical or psychiatric complications of AAS use. The suspicion of AAS use should be raised by the increased hemoglobin and hematocrit levels; suppressed LH, FSH, SHBG and testosterone levels; low HDL cholesterol; and low testicular volume and sperm density in a person who looks highly muscular (Table 411-5). A combination of these findings along with self-report of their use by the patient—which usually can be elicited by a tactful interview— are often sufficient to establish a diagnosis in clinical practice. Accredited laboratories use gas chromatography and mass spec trometry or liquid chromatography and mass spectrometry to detect AAS abuse. Illicit testosterone use is detected generally by the measurement of the urinary testosterone-to-epitestosterone ratio and confirmed by the use of the 13C:12C ratio in testosterone by the use of isotope ratio combustion mass spectrometry. Exogenous testosterone administration increases </w:t>
      </w:r>
      <w:r w:rsidRPr="00A6019F">
        <w:lastRenderedPageBreak/>
        <w:t xml:space="preserve">urinary testosterone glucuro nide excretion and consequently the testosterone-to-epitestosterone 3174 TABLE 411-5 Detection of the Use of Anabolic-Androgenic Steroids PART 12 Endocrinology and Metabolism Clinical indicators that should raise suspicion of anabolic-androgenic steroid use 1. “V” muscular phenotype 2. Reduced testicular volume (4 suggest exogenous testosterone use but can also reflect genetic variation. Genetic variations in the uridine diphos pho-glucuronyl transferase 2B17 (UGT2B17), the major enzyme for testosterone glucuronidation, CYP17 (the aromatase gene), SHBG, and 3’, 5’ cyclic nucleotide phosphodiesterase (PDE7B) affect the testosterone-to-epitestosterone ratio and increase the risk of a false-negative test. Synthetic testosterone has a lower 13C:12C ratio than endogenously produced testosterone, and these differences in the 13C:12C ratio can be detected by isotope ratio combustion mass spectrometry and used to confirm exogenous testosterone use in individuals with a high testosterone-to-epitestosterone ratio. TREATMENT Integrated Management of Patients with AAS Use The nonathlete weightlifters who abuse AAS frequently do not seek medical treatment and often mistrust physicians. They also do not view these drugs and the associated lifestyle as deleterious to their health. Many clinicians erroneously view AAS abuse as largely a problem of cheating in competitive sports, while, in fact, most AAS users are not athletes at all. In addition to treating the underlying body dysmorphia disorder that motivates the use of these drugs and the addiction behaviors, the treatment should be directed at the symptoms or the condi tion for which the patient seeks therapy, such as infertility, sexual dysfunction, gynecomastia, or depressive symptoms. Accordingly, therapy may include some combination of cognitive and behavioral therapy for muscle dysmorphia syndrome, antidepressant therapy for depression, selective PDE5 inhibitors for erectile dysfunction, and/or use of selective estrogen receptor modulators, aromatase inhibitors, or hCG to restore testosterone levels. As discussed above, AASs suppress the male hypothalamic pituitary-gonadal axis, and men with long-term AAS use may expe rience symptoms of profound androgen deficiency such as sexual dysfunction, fatigue, and depressive symptoms during AAS with drawal. Some of these patients may resume AAS use or start using other drugs to combat the distressing withdrawal symptoms. There are no randomized trials of any therapies for AAS withdrawal. Case reports and clinical experience suggest that administration of selec tive estrogen receptor modulators, CYP19 aromatase inhibitors, or hCG may restore circulating testosterone levels. Clomiphene citrate, a partial estrogen receptor agonist, administered in a dose of 25–50 mg on alternate days, can increase LH and FSH levels and restore testosterone levels in a vast majority of men with AAS withdrawal syndrome. However, the recovery of sexual function during clomiphene administration is variable despite improvements in testosterone levels. Anecdotally, other aromatase inhibitors such as anastrozole have also been used. hCG, administered by intra muscular injections of 1500 to 2000 IU three times each week, can raise testosterone levels into the normal range. Some patients may not respond to either clomiphene or hCG therapy, </w:t>
      </w:r>
      <w:r w:rsidRPr="00A6019F">
        <w:lastRenderedPageBreak/>
        <w:t xml:space="preserve">raising the pos sibility of irreversible long-term toxic effects of AAS on Leydig cell function. Cognitive and behavioral therapy to address the body image dis order and addiction behaviors and antidepressants to treat depres sion may be needed. The opioid antagonist naltrexone blocks AAS dependence in animals. Therefore, treatments for human opioid dependence might also benefit AAS dependence. Many patients who abuse AAS suffer from body image disorder and require psy chiatric treatment for this underlying disorder. </w:t>
      </w:r>
      <w:r w:rsidRPr="00A6019F">
        <w:rPr>
          <w:rFonts w:ascii="Arial" w:hAnsi="Arial" w:cs="Arial"/>
        </w:rPr>
        <w:t>■</w:t>
      </w:r>
      <w:r w:rsidRPr="00A6019F">
        <w:t xml:space="preserve">LUTS IN MEN LUTS in men include storage symptoms (urgency, daytime as well as nighttime frequency, and urgency incontinence), voiding distur bances (slow or intermittent stream, difficulty in initiating micturi tion, straining to void, pain or discomfort during the passage of urine, and terminal dribbling), or postmicturition symptoms (a sense of incomplete voiding after passing urine and postmicturition dribble). The overactive bladder syndrome refers to urgency with or without urgency incontinence, usually with urinary frequency and nocturia, and is often due to detrusor muscle overactivity. A presumptive diag nosis of benign prostatic hyperplasia should be made only in men with LUTS, who have demonstrable evidence of prostate enlargement and obstruction based on the size of the prostate. LUTS have historically been attributed to benign prostatic hyperplasia, although it has become apparent that the pathophysiologic mechanisms of LUTS are complex and multifactorial and may include structural or functional abnormali ties of the bladder, bladder neck, prostate, distal sphincter mechanism, and urethra, as well as abnormalities in the neural control of the lower urinary tract and autonomic dysfunction. Diuretics, antihistamines, antidepressants, and other medications that have anticholinergic prop erties can cause or exacerbate LUTS in older men. The intensity of LUTS tends to fluctuate over time. LUTS is highly prevalent in older men, affecting nearly 50% of men &gt;65 and 70% of men &gt;80 years old. LUTS adversely affect quality of life because of their impact on sleep, ability to perform activities of daily living, and depressive symptoms. LUTS are often associated with erectile dysfunction. APPROACH TO THE PATIENT Lower Urinary Tract Symptoms Medical evaluation should include assessment of potential causes of symptoms; medications including herbal and over-the-counter products that might contribute to symptoms; the symptom severity and bother using an International Prostate Symptom Score; and in some patients, a frequency-volume chart. The impact of LUTS on sleep, activities of daily living, and quality of life should be evaluated. Evaluation should also include digital prostate exami nation, neurologic examination focused on perineum and lower extremities, urinalysis, fasting blood glucose, electrolytes, creati nine, and prostate-specific antigen (PSA). Urodynamic studies are not required in most patients but are recommended when invasive surgical therapies are being considered. A urologic referral may be appropriate if the patient has hydronephrosis, renal insufficiency, recurrent urinary tract infections, hematuria, or history of acute urinary retention. 3175 TREATMENT Patients with LUTS Considerations of the severity of symptoms; the impact of symp toms on sleep, activities of daily living, and quality of life; the natural history of the disease; and potential adverse effects of the </w:t>
      </w:r>
      <w:r w:rsidRPr="00A6019F">
        <w:lastRenderedPageBreak/>
        <w:t xml:space="preserve">intervention should guide the decision to intervene. In men with mild to moderately severe LUTS, the symptoms typically progress slowly over many years and may remain stable or even improve in some men. The men who have mild symptoms can usually be reas sured and followed. Several simple steps such as reducing caffeine and alcohol intake, especially late in the day, taking the diuretic medication early in the day, avoiding excessive water intake close to bedtime, bladder training, pelvic floor exercises including bio feedback to promote pelvic floor relaxation, and timed voiding regimens or double voiding to ensure complete emptying of the bladder may be helpful in reducing the severity of symptoms. Men with mild to moderate bothersome LUTS can be treated effectively using α-adrenergic antagonists, steroid 5α-reductase inhibitors, PDE5 inhibitors, or anticholinergic agents alone or in combina tion. Selective α-adrenergic antagonists are typically the first line of therapy; their side effects include hypotension, dizziness, nasal congestion, retrograde or delayed ejaculation, and rarely floppy iris syndrome. In men with probable benign prostate obstruction with gland enlargement and LUTS, therapy with steroid 5α-reductase inhibitors, finasteride or dutasteride, improves urinary symptoms and flow rate and reduces prostatic volume. Long-term treatment with 5α-reductase inhibitors can reduce the risk of acute urinary retention and need for prostate surgery. Combined administration of a steroid 5α-reductase inhibitor and an α1-adrenergic blocker can rapidly improve urinary symptoms and reduce the relative risk of acute urinary retention and surgery. PDE5 inhibitors, when admin istered chronically alone or in combination with α-adrenergic blockers, are effective in improving LUTS and erectile dysfunction through their effects on nitric oxide–cyclic guanosine monophos phate (cGMP) in the bladder, urethra, and prostate. PDE5 inhibi tors do not improve uroflow parameters, and their hypotensive effect may be potentiated by α1-adrenergic blockers. Anticholiner gic drugs are used for the treatment of overactive bladder in men with prominent irritative symptoms, such as frequency, urgency, and incontinence, and no evidence of elevated postvoid residual urine. Containment products, such as pads, can help improve social life in men who have severe storage symptoms, including inconti nence. Surgery is indicated when medical therapy fails, symptoms progress despite medical therapy, or the patient develops acute urinary retention, hydronephrosis, renal insufficiency, or recurrent urinary tract infections, or if the patient has postvoid residual urine volume &gt;25% of the urinary bladder volume. </w:t>
      </w:r>
      <w:r w:rsidRPr="00A6019F">
        <w:rPr>
          <w:rFonts w:ascii="Arial" w:hAnsi="Arial" w:cs="Arial"/>
        </w:rPr>
        <w:t>■</w:t>
      </w:r>
      <w:r w:rsidRPr="00A6019F">
        <w:t xml:space="preserve">MEDICAL COMPLICATIONS OF PROSTATE CANCER THERAPY Prostate cancer is the most common malignancy in American men. The majority of these men have low-grade, organ-confined prostate cancer; are treated with radical prostatectomy, radiation, or active sur veillance; and have excellent prospects of long-term survival. Substan tial improvement in survival in men with prostate cancer has focused attention on the high prevalence of sexual dysfunction, physical dys function, and low vitality in the men, which are important contribu tors to poor quality of life among patients treated for prostate cancer. The pathophysiology of these symptoms after radical prostatectomy or radiation therapy is multifactorial, but denervation and </w:t>
      </w:r>
      <w:r w:rsidRPr="00A6019F">
        <w:lastRenderedPageBreak/>
        <w:t xml:space="preserve">testosterone deficiency are important contributors to these symptoms. Testosterone deficiency is common in men with prostate cancer. Testosterone levels decline with age, and men with prostate cancer are at risk of having low testosterone levels simply by virtue of their age. However, total and free testosterone levels are even lower in men with prostate cancer who have undergone prostatectomy, when compared to noncancer age-matched controls. Testosterone deficiency in men with prostate cancer is associated with fatigue, sexual dysfunction, mobility limitation, and decreased physical function. A majority of men treated with surgery or radiation therapy will develop sexual dysfunction and incontinence. Although there is some recovery of sexual function with passage of time, 40–50% of men undergoing radical prostatectomy find their sexual performance to be a moderate to large problem 18 months after surgery. Sexual problems are a source of psychosocial distress in men with localized prostate cancer. The men with locally advanced or metastatic prostate cancer who undergo androgen deprivation therapy (ADT) encounter even more distressing symptoms. In addition to fatigue, sexual dysfunction, and hot flushes, these men are at increased risk for diabetes, metabolic syndrome, coronary heart disease, and frailty. Testosterone Therapy in Men with a History of Prostate Cancer A history of prostate cancer has historically been consid ered a contraindication for testosterone therapy. This guidance is based on observations that testosterone promotes the growth of metastatic prostate cancer and metastatic prostate cancer generally regresses after orchiectomy and ADT. Androgen receptor signaling plays a central role in maintaining growth of normal prostate and prostate cancer. The role of testosterone in prostate cancer is complex. Epidemio logic studies and their meta-analyses have not revealed a consistent relationship between serum testosterone or dihydrotestosterone levels and prostate cancer. However, men with hypogonadism or Klinefelter’s syndrome have lower prostate cancer mortality than the general population. In a Mendelian randomization analysis of men in the UK Biobank, higher genetically determined bioavailable testosterone levels were associated with increased risk of prostate cancer. Testosterone treatment of older men with low testosterone does not affect intra prostatic androgen levels or the expression of androgen-dependent prostatic genes. The suppression of circulating testosterone levels by a GnRH antagonist also does not affect intraprostatic androgen concen trations. Open-label trials and retrospective analyses of testosterone therapy in men with prostate cancer who have undergone radical pros tatectomy and have undetectable PSA levels after radical prostatectomy have found very low rates of PSA recurrence. CHAPTER 411 Men’s Health A majority of men diagnosed with prostate cancer today have local ized disease that can be potentially cured by radical prostatectomy. The men with organ-confined prostate cancer (pT2, N0, M0) and Gleason score 6 or 7 (3+4) are at a very low risk of disease recurrence after radical prostatectomy, with 0.5% biochemical recurrence rate and 0.2% local recurrence rate at &gt;10–15 years. Therefore, men with organ-confined prostate cancer (pT2), Gleason score 6 or 7 (3+4), and a preoperative PSA of 2 years </w:t>
      </w:r>
      <w:r w:rsidRPr="00A6019F">
        <w:lastRenderedPageBreak/>
        <w:t xml:space="preserve">after radical prostatectomy, have very low risk of disease recurrence (50% of men undergoing long-term ADT when compared to age-matched men with prostate cancer not undergoing ADT and their age-matched eugonadal counterparts. Some but not all studies have reported an increased risk of cardiovascular events, death due to cardiovascular events, and peripheral vascular disease in men undergoing ADT. Some reports suggest that men receiving ADT are at an increased risk of thromboembolic events and cognitive dysfunction. The rates of acute kidney injury are higher in men currently receiving ADT than in men not receiving ADT; the increased risk appears to be particularly associated with the use of combined regimens of a GnRH agonist plus an antiandrogen. ADT also is associated with substantially increased risk of osteoporosis and bone fractures. APPROACH TO THE PATIENT Men Receiving ADT The benefits of ADT in treating nonmetastatic prostate cancer should be carefully weighed against the risks of ADT-induced adverse events (Table 411-6). If ADT is medically indicated, con sider whether intermittent ADT is a feasible option. Men being considered for ADT should undergo assessment of cardiovas cular, diabetes, and fracture risk; this assessment may include measurement of blood glucose, plasma lipids, and bone mineral density by dual energy x-ray absorptiometry. Institute measures to prevent bone loss, including physical activity, adequate calcium and vitamin D intake, and pharmacologic therapy in men with a previous minimal trauma fracture and those with 10-year risk of a major osteoporotic fracture &gt;20%, unless contraindicated. Bisphos phonates and denosumab have been shown to reduce fracture risk in men undergoing ADT, and zoledronic acid and denosumab have been approved by the U.S. Food and Drug Administration for the prevention of metastasis-related skeletal-related events in this population. Men with prostate cancer who are receiving ADT should be monitored for weight gain and diabetes. Encourage life style interventions, including physical activity and exercise, and attention to weight, blood pressure, lipid profile, blood glucose, and smoking cessation to reduce the risk of cardiometabolic com plications. Metformin plus lifestyle intervention can prevent and improve metabolic dysregulation. In randomized trials, gabapentin, medroxyprogesterone, and the serotonin reuptake inhibitor venla faxine have been shown to be more efficacious than placebo in alle viating hot flushes. The side effects of these medications—increased appetite and weight gain with medroxyprogesterone, gynecomastia with estrogenic compounds, and dry mouth with venlafaxine— should be weighed against their relative efficacy. Acupuncture, soy products, vitamin E, herbal medicines, and transdermal estradiol have been used empirically for the treatment of vasomotor symp toms without clear evidence of efficacy. Gynecomastia can be TABLE 411-6 Checklist for Men Undergoing Androgen Deprivation Therapy (ADT) 1. Weigh the risks and benefits of ADT and whether intermittent ADT is a feasible and safe option. 2. Perform a baseline assessment including fasting glucose, plasma lipids, blood pressure, bone mineral density, and FRAX score. 3. Optimize calcium and vitamin D intake, encourage structured physical activity and exercise, and consider pharmacologic therapy in men with a previous </w:t>
      </w:r>
      <w:r w:rsidRPr="00A6019F">
        <w:lastRenderedPageBreak/>
        <w:t xml:space="preserve">minimal trauma fracture and those with a 10-year risk of a major osteoporotic fracture &gt;20%, unless contraindicated. 4. Monitor body weight, fasting glucose, plasma lipids, blood pressure, and bone mineral density, and encourage smoking cessation and physical exercise. Consider metformin in those with metabolic disorder. 5. In men who are receiving ADT and who experience bothersome hot flushes, as indicated by sleep disturbance or interference with work or activities of daily living, consider initial therapy with venlafaxine. If ineffective, add medroxyprogesterone acetate or gabapentin. 6. In men who experience painful breast enlargement, consider therapy with an estrogen receptor antagonist, such as tamoxifen. 3177 prevented by the use of an antiestrogen, an aromatase inhibitor, or local radiation therapy; these therapies are effective in alleviating pain and tenderness but are less effective in reducing established gynecomastia. For long-standing gynecomastia that persists after cessation of ADT and is bothersome, mammoplasty is an effective treatment option. Intermittent ADT can reduce the frequency of adverse effects associated with ADT, but its long-term efficacy and safety need further investigation. </w:t>
      </w:r>
      <w:r w:rsidRPr="00A6019F">
        <w:rPr>
          <w:rFonts w:ascii="Arial" w:hAnsi="Arial" w:cs="Arial"/>
        </w:rPr>
        <w:t>■</w:t>
      </w:r>
      <w:r w:rsidRPr="00A6019F">
        <w:t>PREVENTION OF SEXUALLY TRANSMITTED DISEASES Adolescent boys and young men aged 15</w:t>
      </w:r>
      <w:r w:rsidRPr="00A6019F">
        <w:rPr>
          <w:rFonts w:ascii="Aptos" w:hAnsi="Aptos" w:cs="Aptos"/>
        </w:rPr>
        <w:t>–</w:t>
      </w:r>
      <w:r w:rsidRPr="00A6019F">
        <w:t xml:space="preserve">24 years; men who have sex with men, have multiple sex partners, have unprotected sex without condom, or have sex with sex workers; men who use illicit drugs; men who have a history of previous sexually transmitted infection (STI); and transgender men are at increased risk for STIs. STIs increase the risk of oropharyngeal and anogenital cancers, liver disease, pelvic pain, infertility, inadvertent transmission of infection to others, and emergency department visits and are a preventable cause of excess morbidity and mortality. HIV, hepatitis B and C infections, and syphi lis can have additional disease-specific complications. The prevention and treatment of STIs are discussed in Chap. 141. Additionally, the Centers for Disease Control and Prevention (CDC) and U.S. Preven tive Services Task Force (USPSTF) have published guidelines on the prevention, treatment, and pre- and postexposure prophylaxis of STIs. The approach to the prevention of STIs includes a structured risk assessment; counseling about safe sex practices including condom use; immunization of individuals at risk; diagnosis and treatment of infected individuals whether or not they are symptomatic; detection and treatment of sexual partners; and targeted sex education of ado lescents and young men who are at high risk for STIs. The USPSTF recommends screening for HIV in all men aged 15–65 years, regardless of risk, and for hepatitis B virus and syphilis in men at increased risk. Because more than half of STIs occur in persons aged 15–24 years, the USPSTF also recommends behavioral counseling for all sexually active adolescents and adult men at increased risk of STIs to encourage condom use and other protective behaviors, including consideration of abstinence, reducing the number of sex partners, and avoidance of unsafe sex practices. Consistent and correct condom use is the most important method of preventing STIs. Effective immunizations are available against hepatitis B, human papillomavirus (HPV), and Neisseria meningitides. The CDC’s Advisory Committee on Immuniza tion Practices (ACIP) recommends universal hepatitis B immunization for all </w:t>
      </w:r>
      <w:r w:rsidRPr="00A6019F">
        <w:lastRenderedPageBreak/>
        <w:t xml:space="preserve">unvaccinated adults presenting to an STI clinic, all HIV-infected adults, and health workers. Although ACIP recommends HPV vac cination in males aged 9–21 years and in men aged 9–26 if they have sex with men or have an immunocompromising condition, recent data suggest that the prevalence of HPV and its complications continue to increase until middle age, and some experts recommend extending the age limit for HPV vaccination. Meningococcal vaccination is indicated for men who have sex with men from an area of outbreak and for all HIV-infected men. Because men seeking care in men’s health clinics often do so for sexual and urogenital problems, these visits offer opportunities for counseling, screening, and treatment of STIs and institution of immu nization and other preventive measures for STIs. </w:t>
      </w:r>
      <w:r w:rsidRPr="00A6019F">
        <w:rPr>
          <w:rFonts w:ascii="Arial" w:hAnsi="Arial" w:cs="Arial"/>
        </w:rPr>
        <w:t>■</w:t>
      </w:r>
      <w:r w:rsidRPr="00A6019F">
        <w:t xml:space="preserve">SEX DIFFERENCES IN COVID-19 DISEASE OUTCOMES The COVID-19 pandemic has highlighted sex differences in the susceptibility to respiratory viral infections. Men infected with SARS CoV-2 virus are more likely to have a more severe disease, require mechanical ventilation, have disease complications, and die of the disease than women. Somewhat similar sex differences in morbid ity and mortality have been reported for influenza infection. In the United States, the incidence and rates of hospitalization for influenza are higher in men than in women across all age groups. However, the sex-specific mortality rates associated with influenza vary substantially across countries and age groups. The sex differences in susceptibil ity to SARS-CoV-2 infection and morbidity have been attributed to behavioral factors, such as higher rates of smoking and alcohol use in men; biologic factors, such as higher rates of comorbid conditions in men than in women; sex differences in immune responses, including a poor T lymphocyte response to SARS-CoV-2 infection; and lower expression levels in men of X-linked genes that are involved in the innate detection of RNA viruses and that escape X inactivation in women, resulting in higher expression levels in women. Additionally, the expression of angiotensin-converting enzyme 2 (ACE2) and the cell surface transmembrane protease serine 2 (TMPRSS2), the two host proteins that facilitate the entry of SARS-CoV-2 into the alveolar cells, is regulated by androgens in subsets of lung epithelial cells, and it is possible that higher testosterone levels in men may contribute to increased susceptibility to the infection. </w:t>
      </w:r>
      <w:r w:rsidRPr="00A6019F">
        <w:rPr>
          <w:rFonts w:ascii="Arial" w:hAnsi="Arial" w:cs="Arial"/>
        </w:rPr>
        <w:t>■</w:t>
      </w:r>
      <w:r w:rsidRPr="00A6019F">
        <w:t>FURTHER READING Abrams P et al: Evaluation and treatment of lower urinary tract symptoms in older men. J Urol 189:S93, 2013. Ahmadi H et al: Androgen deprivation therapy: Evidence-based management of side effects. BJU Int 111:543, 2013. Baggish A et al: Cardiovascular toxicity of illicit anabolic-androgenic steroid use. Circulation 135:1991, 2017. CHAPTER 411 Men</w:t>
      </w:r>
      <w:r w:rsidRPr="00A6019F">
        <w:rPr>
          <w:rFonts w:ascii="Aptos" w:hAnsi="Aptos" w:cs="Aptos"/>
        </w:rPr>
        <w:t>’</w:t>
      </w:r>
      <w:r w:rsidRPr="00A6019F">
        <w:t xml:space="preserve">s Health Bhasin S et al: Testosterone therapy in men with hypogonadism: An Endocrine Society clinical practice guideline. J Clin Endocrinol Metab 103:1715, 2018. Bhasin S et al: The implications of reproductive aging for the health, vitality and economic welfare of human societies. J Clin Endocrinol Metab 104:3821, 2019. Bhasin S: Testosterone replacement in aging men: An evidence-based patient-centric perspective. J Clin Invest 131:e146607, 2021. Bhasin S et al: Prostate safety events during testosterone replacement therapy in men with hypogonadism: A randomized clinical trial. JAMA Netw Open 6:e2348692, 2023. Centers for Disease </w:t>
      </w:r>
      <w:r w:rsidRPr="00A6019F">
        <w:lastRenderedPageBreak/>
        <w:t xml:space="preserve">Control and Prevention: National Vital Statistics System: Mortality tables. https://www.cdc.gov/nchs/nvss/ mortality_tables.htm. Accessed March 17, 2024. Lincoff AM et al: Cardiovascular safety of testosterone replacement therapy. N Engl J Med 389:107, 2023. Nelson BS et al: Anabolic-androgenic steroid use is associated with psychopathy, risk-taking anger, and physical problems. Sci Rep 12:9133, 2022. Pope HG Jr et al: Adverse health consequences of performance enhancing drugs: An endocrine society scientific statement. Endocr Rev 35:341, 2014. Rudd RA et al: Increases in drug and opioid-involved overdose deaths—United States, 2010–2015. MMWR Morb Mortal Wkly Rep 65:1445, 2016. Ruth KS et al: Using human genetics to understand the disease impacts of testosterone in men and women. Nat Med 26:252, 2020. Snyder PJ et al: Effects of testosterone treatment in older men. N Engl J Med 374:611, 2016. U.S. Preventive Health Services Task Force. Final recommenda tion statement sexually transmitted infections: Behavioral coun seling. https://www.uspreventiveservicestaskforce.org/Page/Document/ RecommendationStatementFinal/sexually-transmitted-infections behavioral-counseling1. Accessed June 21, 2017. Wittert G et al: Testosterone treatment to prevent or revert type 2 diabetes in men enrolled in a lifestyle programme (T4DM): A ran domised, double-blind, placebo-controlled, 2-year, phase 3b trial. Lancet Diabetes Endocrinol 9:32, 2021. Woolf SH, Schoomaker H: Life expectancy and mortality rates in the United States, 1959–2017. JAMA 322:1996, 2019. Workowski KA et al: Sexually transmitted infections treatment guide lines, 2021. MMWR Recomm Rep 70:1, 2021. 3178 412 PART 12 Lesbian, Gay, Bisexual, Transgender, Queer or Questioning, Intersex, Asexual, and More (LGBTQIA+) Health Baligh R. Yehia, Todd P. Levin UNDERSTANDING LGBTQIA+ HEALTH DISPARITIES Endocrinology and Metabolism The acceptance of the lesbian, gay, bisexual, transgender, queer or questioning, intersex, asexual, and more (LGBTQIA+) community has greatly increased over the past decade in certain communities and parts of the world. However, numerous studies highlight health dis parities involving the care of LGBTQIA+ people. Lesbian and bisexual women are less likely to receive recommended preventive screenings such as breast, cervical, and colorectal cancer screenings. Among men who have sex with men, rates of human papillomavirus–associated anal cancers are 17 times higher than those of heterosexual men. In addition, gay and bisexual men accounted for 68% of all new HIV diagnoses in the United States in 2020 according to the Centers for Disease Control and Prevention, and they disproportionately contract sexually transmitted infections. In 2021, men who have sex with men accounted for 47% of primary and secondary syphilis infections in the United States where the sex of the sexual partner was known. Trans gender individuals have a higher prevalence of HIV infection and suicide compared with other groups. Research has found that LGBTQIA+ individuals are more likely to experience depression, anxiety, and alcohol and drug use than their counterparts. Most concerning are the rates of suicide attempts and ideation among the LGBTQIA+ community, particularly youth. In a 2021 survey of 35,000 LGBTQIA+ youth ages 13–24, 42% </w:t>
      </w:r>
      <w:r w:rsidRPr="00A6019F">
        <w:lastRenderedPageBreak/>
        <w:t xml:space="preserve">seriously considered attempting suicide in the last year, including more than half of transgender and nonbinary youth. Lesbian, gay, and bisexual (LGB) youth are four times more likely to attempt suicide than their heterosexual peers, and 61% of gender variant youth reported suicidal ideation at some point in their life. Additionally, the recent U.S. Trans gender Survey found that 40% of transgender young adults and adults reported attempting suicide at some point in their lives. U.S. studies indicate that substance abuse is twice as common in LGBTQIA+ youth compared with their counterparts. These find ings are mirrored among LGBTQIA+ adults: the prevalence of sub stance abuse disorders is 20–30% compared with ~9% in the general population. These health issues are compounded by structural barriers to health care, including decreased access to medical care, lack of awareness to the unique health needs of LGBTQIA+ individuals, and stigma and discrimination toward the LGBTQIA+ community. Many LGBTQIA+ individuals perceive the health care setting and providers as threaten ing, which may lead to avoiding needed medical care or withholding important medical information. A large U.S. survey identified that 8% of LGB and 27% of transgender individuals were refused needed health care, and almost 11% of LGB and 21% of transgender people reported being subjected to harsh or abusive language by health care professionals. Apart from health care settings, more than two-thirds of LGB people report discrimination in their personal lives, and 90% of transgender individuals report harassment, mistreatment, or discrimi nation at work. Chronic exposure to high levels of stress from real or anticipated discrimination, referred to as “minority stress,” may be an important factor contributing to the poor health outcomes experienced by LGBT populations. While some research on LGBTQIA+ health has been conducted, there remains a great opportunity to better understand the needs and experiences of LGBTQIA+ individuals. Moreover, many LGBTQIA+ individuals experience health disparities across their life cycle (e.g., LGBTQIA+ youth are at greater risk of suicide and homelessness, whereas elderly LGBTQIA+ individuals face barriers to health because of isolation and fewer family supports), necessitating a longitudinal approach to examining LGBTQIA+ health issues. There are more limited data on the health of LGBTQIA+ individuals outside the United States and Europe. However, studies demonstrate that problems are greatest when people cannot be open about their sexual orientation and gender identity. Encouraging greater LGBTQIA+ acceptance and access to health care will be critical to improving outcomes and experi ences for LGBTQIA+ communities. </w:t>
      </w:r>
      <w:r w:rsidRPr="00A6019F">
        <w:rPr>
          <w:rFonts w:ascii="Arial" w:hAnsi="Arial" w:cs="Arial"/>
        </w:rPr>
        <w:t>■</w:t>
      </w:r>
      <w:r w:rsidRPr="00A6019F">
        <w:t xml:space="preserve">CREATING POSITIVE HEALTH EXPERIENCES FOR LGBTQIA+ PATIENTS Understanding Gender Identity and Sexual Orientation Addressing health disparities and creating positive health care experi ences require an understanding of the diversity of cultural expression and lives of LGBTQIA+ persons. First, providers must be able to dis tinguish gender identity from sexual orientation. Gender identity is a person’s internal sense of their gender. It should not be confused with sex assigned at birth, which is based on anatomy and biology. Gender identity expands beyond the binary male and female and includes persons who think of their gender as containing </w:t>
      </w:r>
      <w:r w:rsidRPr="00A6019F">
        <w:lastRenderedPageBreak/>
        <w:t>elements of both, neither, or another gender. Many individuals who do not identify with the gender that correlates with their sex assigned at birth often use the terms transgender or trans-male or trans-female to identify themselves. Sexual orientation refers to how one thinks of their physical or emo tional attraction to others. Sexual orientation has three dimensions: attraction, behavior, and identity. Attraction refers to one’s desire to be with someone, regardless of one’s behavior or stated identity. For example, a woman may be attracted to another woman, but this attrac tion may never be acted upon and may not form part of her sexual identity. Behavior refers to a person’s interactions with sexual and romantic partners. Although sexual identity often aligns with behavior, some individuals who identify as heterosexual may have same-gender partners and some individuals who identify as lesbian or gay may have different-gender partners. Lastly, identity refers to how a person defines their own sexuality. Common terms for sexual identity include gay, lesbian, bisexual, straight, heterosexual, homosexual, and asexual (Tables 412-1 and 412-2). As individuals go through the process of understanding their sexuality and self-identity over time, they may change how they define their sexual identity. The creation of a welcoming environment requires not making any assumptions about an individual’s gender identity or sexual orienta tion. Both front-line staff and clinicians should be cognizant of patient communication. For example: •</w:t>
      </w:r>
      <w:r w:rsidRPr="00A6019F">
        <w:t> </w:t>
      </w:r>
      <w:r w:rsidRPr="00A6019F">
        <w:t>Instead of saying “How may I help you, sir?”, say “How may I help you?” •</w:t>
      </w:r>
      <w:r w:rsidRPr="00A6019F">
        <w:t> </w:t>
      </w:r>
      <w:r w:rsidRPr="00A6019F">
        <w:t>Instead of saying “She is here for her appointment,” say “The patient is here in the waiting room.” •</w:t>
      </w:r>
      <w:r w:rsidRPr="00A6019F">
        <w:t> </w:t>
      </w:r>
      <w:r w:rsidRPr="00A6019F">
        <w:t>Instead of saying “Do you have a wife?”, say “Are you in a relationship?” •</w:t>
      </w:r>
      <w:r w:rsidRPr="00A6019F">
        <w:t> </w:t>
      </w:r>
      <w:r w:rsidRPr="00A6019F">
        <w:t xml:space="preserve">Instead of saying “What are your mother’s and father’s names?”, say “What are your parents’ names?” Developing Comfort and Competency in Sexual Health Developing comfort discussing sexual health and intimacy is critical to providing appropriate care. After inquiring about healthy relationships and relationship status, a good starting place is to ask if a patient is sexually active and, if so, with whom, how often, and what types of physical interactions and types of sex they have with their partner(s). These discussions can allow clinicians to focus subsequent conversations on issues most relevant to a patient’s health. For example, a gay man with multiple sexual partners who engages in receptive anal sex without condoms is at high risk for HIV and sexually transmitted infections (STIs). It will be important to recommend more frequent screenings for STIs and discuss the use of HIV preexposure prophy laxis (PrEP), along with postexposure prophylaxis (PEP), and condoms 3179 Lesbian, Gay, Bisexual, Transgender, Queer or Questioning, Intersex, Asexual, and More (LGBTQIA+) Health CHAPTER 412 TABLE 412-1 Common LGBTQIA+ Terminology and Definitions TERM DEFINITION Agender Identifying as having no gender, or does not experience gender as a primary identity component. Asexual Experiencing little or no sexual attraction to others. Asexual people may still engage in sexual activity. Assigned female at birth/ assigned male at birth Refers to the sex that is assigned to an infant, most often based on the infant’s anatomic and other biological characteristics. Commonly abbreviated as AFAB (assigned female at birth) or AMAB (assigned male at birth). Bisexual A sexual </w:t>
      </w:r>
      <w:r w:rsidRPr="00A6019F">
        <w:lastRenderedPageBreak/>
        <w:t xml:space="preserve">orientation that describes a person who is emotionally and physically attracted to more than one gender. Cisgender A person whose gender identity is consistent in a traditional sense with their sex assigned at birth; for example, a person assigned female sex at birth whose gender identity is woman/female. The term cisgender comes from the Latin prefix cis, meaning “on the same side of.” Cisnormativity Cisnormativity is the assumption that everyone is cisgender, or that being cisgender is the only “normal” gender identity. Cisnormativity puts pressure on people to conform to binary notions of gender expression and gender identity. Cisnormativity can manifest as cissexism, the biased belief that cisgender identity is the superior gender identity. Individuals, communities, policies, and institutions can perpetuate cisnormativity and cissexism, and thus marginalize transgender and gender diverse people and communities. Gay A sexual orientation describing people who are primarily emotionally and physically attracted to people of the same gender identity as themselves. Commonly used as an umbrella term for “not straight.” Gender-affirming hormone therapy (GAHT) Feminizing and masculinizing hormone treatment to align secondary sex characteristics with gender identity. Gender-affirming surgery (GAS) Surgeries to modify a person’s body to be more aligned with that person’s gender identity. Types of GAS include chest and genital surgeries, facial feminization, body sculpting, and hair removal. Gender-affirming chest surgery Surgeries to remove and/or construct a person’s chest to be more aligned with that person’s gender identity. Also referred to as top surgery. Types of chest surgeries include: • Feminizing breast surgery: breast augmentation, chest construction, or breast mammoplasty • Masculinizing chest surgery: mastectomy (removal of breast tissue) and chest contouring Gender-affirming genital surgeries Surgeries that help align a person’s genitals and/or internal reproductive organs with that person’s gender identity, including: • Clitoroplasty (creation of a clitoris) • Hysterectomy (removal of the uterus; may also include removal of the cervix, ovaries, and fallopian tubes) • Labiaplasty (creation of inner and outer labia) • Metoidioplasty (creation of a masculine phallus using testosterone-enlarged clitoral tissue) • Oophorectomy (removal of ovaries) • Orchiectomy (removal of testicles) • Penectomy (removal of the penis) • Phalloplasty (creation of a phallus) • Scrotoplasty (creation of a scrotum and often paired with testicular implants) • Urethral lengthening (to allow voiding while standing) • Vaginectomy (removal of the vagina) • Vaginoplasty (creation of a neo-vagina) • Vulvoplasty (creation of a vulva) Gender dysphoria Distress experienced by some people whose gender identity does not align with their sex assigned at birth based on societal expectations; or distress experienced when a person’s gender identity and/or gender expression is not affirmed. The degree and severity of gender dysphoria is highly variable among transgender and gender diverse people. Gender expression The ways in which people present their gender identity to others, such as through gait, mannerisms, voice, dress, and hairstyle. Cultural and historical contexts influence how people interpret and express gender identity. Gender identity A person’s inner sense of being a girl/woman/female, boy/man/male, both, </w:t>
      </w:r>
      <w:r w:rsidRPr="00A6019F">
        <w:lastRenderedPageBreak/>
        <w:t xml:space="preserve">neither, or beyond the gender binary. Gender queer Describes people whose gender identity goes beyond the gender binary. Heterosexual A sexual orientation that describes women who are emotionally and sexually attracted to men, and men who are emotionally and sexually attracted to women. Also referred to as straight. Heteronormativity Heteronormativity is the assumption that everyone is heterosexual, or that being heterosexual is the only “normal” sexual orientation. Heteronormative social systems incentivize conforming to the behavior and appearance of heterosexuality. Heteronormativity can manifest as heterosexism, the biased belief that heterosexual identity is the only valid sexual orientation. Individuals, communities, policies, and institutions can perpetuate heteronormativity and heterosexism, and thus marginalize queer people and communities. Intersex Describes a group of congenital conditions in which the reproductive organs, genitals, and/or other sexual anatomy do not develop according to traditional expectations for females or males. Intersex can also be used as an identity term for someone with one of these conditions. The medical community sometimes uses the term differences of sex development (DSD) to describe intersex conditions; however, the term intersex is recommended by several intersex community members and groups (Chap. 402). Lesbian A sexual orientation describing a woman or non-binary person who is primarily emotionally and physically attracted to women. Men who have sex with men (MSM)/women who have sex with women (WSW) Categories used in research and public health to describe those who engage in same-sex sexual behavior, regardless of their sexual orientation. People rarely use the terms MSM or WSW to describe themselves. Pangender Describes a person who has multiple gender identities. Pansexual A sexual orientation describing a person who can be emotionally and/or physically attracted to people of any gender identity or gender expression. Pronouns Pronouns are words used in place of a person’s name. Examples of pronouns are she/her/hers, they/them/theirs, he/him/his. Neopronouns are new pronouns that people may use to affirm their gender identity; examples include: xe/xem/xyr and ze/hir/hirs. Some people use their name instead of pronouns. (Continued) 3180 PART 12 Endocrinology and Metabolism TABLE 412-2 Outdated and Insensitive Terms to Replace OUTDATED TERM RECOMMENDED TERM Berdache Two-spirit Biological female/male Assigned female/male at birth Cross-sex hormone therapy; hormone replacement therapy Gender-affirming hormone therapy Disorders/differences of sex development Intersex Female-to-male (FTM) and male-to female (MTF) Transgender man and transgender woman Gender nonconforming Gender nonbinary Hermaphrodite/ambiguous genitalia Intersex Homosexual Gay or lesbian Legal name Administrative name or name on legal documents Preferred name Chosen name or name used Preferred pronouns Pronouns Sex change/sex reassignment surgery/ gender reconstruction surgery Gender-affirming surgery Sexual preference/lifestyle Sexual orientation Transgendered Transgender Note: Most people consider the listed terms outdated and insensitive. We recommend replacing these words with the suggested terms provided. Source: Reproduced with permission from </w:t>
      </w:r>
      <w:r w:rsidRPr="00A6019F">
        <w:lastRenderedPageBreak/>
        <w:t xml:space="preserve">LGBTQIA+ Glossary of Terms for Health Care Teams 2020. https://www.lgbtqiahealtheducation.org/publication/ lgbtqia-glossary-of-terms-for-health-care-teams/. TABLE 412-1 Common LGBTQIA+ Terminology and Definitions TERM DEFINITION Queer An umbrella term used by some to describe people who think of their sexual orientation or gender identity as outside of societal norms. Some people view the term as more fluid and inclusive than traditional categories for sexual orientation and gender identity. Although queer was historically used as a slur, it has been reclaimed by many as a term of empowerment. Nonetheless, some still find the term offensive. Questioning Describes an individual who is unsure about or is exploring their own sexual orientation and/or gender identity. Same-sex attraction (SSA) Describes the experience of a person who is emotionally and/or physically attracted to people of the same gender. Used most commonly by people who live in religious communities that are not accepting of LGBTQIA+ identities. Sexual orientation How a person experiences their physical, emotional, and romantic attachments to other people. Trans man/transgender man A transgender person whose gender identity is boy/man/male may use these terms to describe themselves. Some will use the term man. Trans woman/transgender woman A transgender person whose gender identity is girl/woman/female may use these terms to describe themselves. Some will use the term woman. Transgender An umbrella term for people whose gender identity does not align with the sex they were assigned at birth, based on societal expectations. Two-spirit Describes a person who embodies both a masculine and a feminine spirit. This is a culture-specific term used among some Native American, American Indian, and First Nations people. Abbreviated as 2S. Note: It is important to note that definitions vary across communities, that they change over time, and that not all LGBT people agree with all these definitions. Source: From https://www.lgbtqiahealtheducation.org/glossary/en/. to prevent HIV and STIs. Additionally, if you are seeing a transgender man, it will be important to know if he still has natal female genitalia to ensure appropriate cancer screening, desire for having biologic chil dren, and contraceptive needs. Notably, many if not most transgender people have not had gender affirmation surgery and retain their natal sex organs. Creating a Welcoming and Safe Health Care Environment Hospitals and clinics can take a number of steps to create a welcom ing and safe space for LGBTQIA+ patients. This starts by establishing and communicating a nondiscrimination policy that clearly includes gender identity, gender expression, and sexual orientation protections. Additionally, hospitals and clinics can develop and implement an equal visitation policy to ensure equal visitation for LGBTQIA+ patients from same-sex partners, parents, and other family and friends. Staff training in LGBTQIA+ patient-centered care also is a key component of creating inclusive health environments. This includes covering LGBTQIA+ cultural competency, caring for LGBTQIA+ patients, cre ating an inclusive environment for LGBTQIA+ patients and staff, and other topics important for LGBTQIA+ health. As hospitals and clinics continue to adopt electronic health records, collecting sexual </w:t>
      </w:r>
      <w:r w:rsidRPr="00A6019F">
        <w:lastRenderedPageBreak/>
        <w:t>orientation and gender identity information becomes increasingly important to delivering personalized care to LGBTQIA+ individuals. It allows providers to monitor quality of care, track population-based outcomes, and collect more accurate information for research purposes. Most of this information can be captured by three questions: •</w:t>
      </w:r>
      <w:r w:rsidRPr="00A6019F">
        <w:t> </w:t>
      </w:r>
      <w:r w:rsidRPr="00A6019F">
        <w:t>How do you think of yourself? As straight or heterosexual; lesbian, gay, or homosexual; bisexual; something else; don’t know; choose not to disclose. •</w:t>
      </w:r>
      <w:r w:rsidRPr="00A6019F">
        <w:t> </w:t>
      </w:r>
      <w:r w:rsidRPr="00A6019F">
        <w:t>What is your current gender identity? Male; female; transgender male/trans man; transgender female/trans woman; genderqueer, neither exclusively male nor female; additional category, please specify; choose not to disclose. •</w:t>
      </w:r>
      <w:r w:rsidRPr="00A6019F">
        <w:t> </w:t>
      </w:r>
      <w:r w:rsidRPr="00A6019F">
        <w:t xml:space="preserve">What sex were you assigned at birth on your original birth certificate? Male; female; choose not to disclose. The physical environment of a hospital or clinic is important, but the majority of clinical spaces do not signal that they are safe spaces for LGBTQIA+ patients. Most health care posters, pamphlets, and materi als feature heterosexual individuals or couples; adding LGBTQIA+ friendly images and text can help signal that the hospital or clinic is a safe space for sexual and gender minorities. In addition, easily identify ing LGBTQIA+-competent providers by using websites, buttons, and pins can help patients select providers and feel at ease when attending appointments. Lastly, designating all-gender bathrooms is important to creating welcoming spaces, particularly for transgender and gender nonconforming individuals. </w:t>
      </w:r>
      <w:r w:rsidRPr="00A6019F">
        <w:rPr>
          <w:rFonts w:ascii="Arial" w:hAnsi="Arial" w:cs="Arial"/>
        </w:rPr>
        <w:t>■</w:t>
      </w:r>
      <w:r w:rsidRPr="00A6019F">
        <w:t xml:space="preserve">FUTURE DIRECTION IN LGBT HEALTH While social and cultural acceptance of the LGBTQIA+ community has improved in certain parts of the world, many LGBTQIA+ individu als continue to experience discrimination, stigmatization, and violence. Inequitable health care policies and practices, lack of awareness of LGBTQIA+ health issues, and limited understanding of the unique health needs of LGBTQIA+ individuals contribute to decreased access to care and disparities in health outcomes for LGBTQIA+ individuals. Addressing these barriers will require improved data collection on the LGBTQIA+ population; understanding of the intersectionality of gen der identity, sexual orientation, race/ethnicity, and other sociocultural determinants of health; and outcomes-focused research across the life course. In striving to deliver high-quality care experiences for all patients, hospitals, clinics, and providers need to focus on meeting the needs of the LGBTQIA+ community. </w:t>
      </w:r>
      <w:r w:rsidRPr="00A6019F">
        <w:rPr>
          <w:rFonts w:ascii="Arial" w:hAnsi="Arial" w:cs="Arial"/>
        </w:rPr>
        <w:t>■</w:t>
      </w:r>
      <w:r w:rsidRPr="00A6019F">
        <w:t xml:space="preserve">FURTHER READING Centers for Disease Control and Prevention: Lesbian, Gay, Bisexual, and Transgender Health. 2018. Available at www.cdc.gov/ lgbthealth/.  Accessed December 10, 2019. (Continued) Body Mass Index 3181 Fenway Health: Glossary of LGBT terms for health care teams. February 2024. Available at https://www.lgbtqiahealtheducation.org/ publication/lgbtqia-glossary-of-terms-for-health-care-teams/. Institute of Medicine: The health of lesbian, gay, bisexual, and trans gender (LGBT) people: Building a foundation for better understand ing. 2011. Available at www.nap.edu/catalog.php?record_id=13128. Institute of Medicine: Collecting sexual orientation and gender identity data in electronic health records: Workshop summary. 2013. Available at https://www.nap.edu/catalog/18260/collecting-sexual orientation-and-gender-identity-data-in-electronic-health-records. Joint Commission: Advancing </w:t>
      </w:r>
      <w:r w:rsidRPr="00A6019F">
        <w:lastRenderedPageBreak/>
        <w:t xml:space="preserve">effective communication, cultural competence, patient- and family-centered care for the lesbian, gay, bisexual, and transgender community: A field guide. 2011. Available at www.jointcommission.org/lgbt. National Center for Transgender Equality: The report of the 2015 U.S. Transgender Survey. 2015. Available at https://transequality. org/sites/default/files/docs/usts/USTS-Full-Report-Dec17.pdf. Safer JD, Tangpricha V: Care of transgender persons. N Engl J Med 381:2451, 2019. Substance Abuse and Mental Health Services Administra tion: Top health issues for LGBT populations information &amp; resource kit. 2012. Available at https://store.samhsa.gov/product/ top-health-issues-lgbt-populations/sma12-4684. Section 3 Obesity, Diabetes Mellitus, and Metabolic Syndrome 413 Pathobiology of Obesity Stephen O’Rahilly, I. Sadaf Farooqi Adipose tissue evolved as a solution to the challenge of the intermittent availability of food. At times when food is plentiful, excess calories are converted to triglycerides and efficiently stored in the unilocular lipid droplets that occupy most of the volume of fat cells. When needed, the triglyceride is rapidly broken down to free fatty acids and glycerol, which provide an energy source to other sites throughout the body. However, in environments where food is abundant and when indi viduals tend to be sedentary, the chronic excess of energy intake over expenditure leads to obesity. The risks of developing obesity under those circumstances and of developing the illnesses associated with obesity vary greatly between individuals, with that variation having a strong genetic basis. </w:t>
      </w:r>
      <w:r w:rsidRPr="00A6019F">
        <w:rPr>
          <w:rFonts w:ascii="Arial" w:hAnsi="Arial" w:cs="Arial"/>
        </w:rPr>
        <w:t>■</w:t>
      </w:r>
      <w:r w:rsidRPr="00A6019F">
        <w:t xml:space="preserve">DEFINITION OF OBESITY AND OVERWEIGHT Obesity is defined as a state of excess adipose tissue mass that adversely affects health. The direct measurement of fat mass is not something that is readily undertaken in routine clinical practice, so a proxy mea sure, the body mass index (BMI), is generally used. This is calculated as weight/height2 (in kg/m2) (Fig. 413-1). BMI-based definitions of obesity and overweight have been established based on associations with certain morbidities and excess mortality. These definitions have been based largely on studies of predominantly white, Western popula tions, and there is growing evidence that the relationship between BMI and adverse outcomes is different in people from other ethnic groups, usually in the direction of worse health outcomes being seen at lower levels of BMI. The World Health Organization (WHO) defines a BMI of 30 kg/m2 as the cutoff point for obesity, while individuals with values between 25 and 30 kg/m2 are classified as overweight. For individuals with a very muscular body habitus, the BMI may overestimate the (weight in kg/height in meters squared) Underweight 30.0 FIGURE 413-1 Definitions of overweight and obesity. The World Health Organization defines obesity based on body mass index (BMI), which is calculated as weight in kilograms divided by the height in meters squared. amount of body fat. For any given BMI, women will generally have a higher percentage of body fat than men. The extent to which different adipose depots expand in response to chronic overnutrition varies markedly between people. In general, females store more fat in subcutaneous tissues, especially on buttocks, thighs, and upper arms, whereas men are more prone to store fat in intraabdominal and truncal subcutaneous sites. A simple measure of fat distribution is </w:t>
      </w:r>
      <w:r w:rsidRPr="00A6019F">
        <w:lastRenderedPageBreak/>
        <w:t xml:space="preserve">provided by a measurement of the waist-to-hip ratio. Independent of the degree of obesity, a waist-to-hip ratio &gt;0.9 in women and &gt;1.0 in men is associated with adverse health outcomes such as type 2 diabetes and dyslipidemia. </w:t>
      </w:r>
      <w:r w:rsidRPr="00A6019F">
        <w:rPr>
          <w:rFonts w:ascii="Arial" w:hAnsi="Arial" w:cs="Arial"/>
        </w:rPr>
        <w:t>■</w:t>
      </w:r>
      <w:r w:rsidRPr="00A6019F">
        <w:t>EPIDEMIOLOGY The annual National Health and Nutrition Examination Survey (NHANES) provides an ongoing record of the prevalence of obesity in the United States. In 2017</w:t>
      </w:r>
      <w:r w:rsidRPr="00A6019F">
        <w:rPr>
          <w:rFonts w:ascii="Aptos" w:hAnsi="Aptos" w:cs="Aptos"/>
        </w:rPr>
        <w:t>–</w:t>
      </w:r>
      <w:r w:rsidRPr="00A6019F">
        <w:t xml:space="preserve">2018, 42.4% of U.S. adults aged </w:t>
      </w:r>
      <w:r w:rsidRPr="00A6019F">
        <w:rPr>
          <w:rFonts w:ascii="Aptos" w:hAnsi="Aptos" w:cs="Aptos"/>
        </w:rPr>
        <w:t>≥</w:t>
      </w:r>
      <w:r w:rsidRPr="00A6019F">
        <w:t xml:space="preserve">20 years old had obesity with no significant differences in prevalence by age group. Non-Hispanic black people had the highest prevalence of obesity at 49.6%, followed by Hispanic (44.8%), non-Hispanic white (42.2%), and non-Hispanic Asian (17.4%) people. In the United States, Asians repre sent a highly heterogeneous group encompassing both East and South Asia as well as a substantial Filipino community. The risks of obesity and its complications may differ greatly between people from different parts of Asia; in general, the prevalence of obesity is somewhat higher in women than in men, with black women having the highest preva lence at 56.9%. There has been a marked increase in the prevalence of obesity over time. For example, between 1976 and 1980, the NHANES survey reported a prevalence of 14.5%, indicating a near threefold increase over the past 40 years. This trend is seen globally. According to the WHO, obesity has nearly tripled worldwide since 1975. In 2016, &gt;1.9 billion adults aged ≥18 years old were overweight. Of these, &gt;650 million were obese; 39% of adults aged ≥18 years old were overweight in 2016, and 13% were obese. Most of the world’s population lives in countries where over weight and obesity kills more people than underweight. During this time, one of the most striking changes has been in the prevalence of obesity in children. In children, the relationship between BMI and body fat varies considerably with age and with pubertal maturation; however, when adjusted for age and sex, BMI is a reason able proxy for fat mass. Using age- and sex-specific BMI cutoffs (over weight ≥91st percentile; obesity ≥99th percentile), in 2019, the WHO estimated that 38 million children under the age of 5 were overweight or obese, and in 2016, they reported that 340 million children and adolescents aged 5–19 were overweight or obese. </w:t>
      </w:r>
      <w:r w:rsidRPr="00A6019F">
        <w:rPr>
          <w:rFonts w:ascii="Arial" w:hAnsi="Arial" w:cs="Arial"/>
        </w:rPr>
        <w:t>■</w:t>
      </w:r>
      <w:r w:rsidRPr="00A6019F">
        <w:t xml:space="preserve">PHYSIOLOGIC REGULATION OF ENERGY BALANCE Discussions about obesity so frequently focus on the issues of personal choice or the obesogenic environment that it can be easy to forget that CHAPTER 413 Pathobiology of Obesity 3182 PART 12 Endocrinology and Metabolism immediately related to the amount and type of food that has been ingested. Peripheral hormones such as cholecystokinin (CCK) from the stomach, glucagon-like peptide 1 (GLP-1) and gastric inhibitory polypeptide (GIP) from enteroendocrine cells of the small intestine, and peptide YY (PYY) and oxyntomodulin from the large intestine are secreted in response to eating a meal and/or the presence of nutrients in the intestinal lumen. Their release together with neural signals from the vagus nerve and the enteric nervous system contributes to satiety, often indirectly acting on the hypothalamus via projections from the brainstem. Insulin and amylin, produced by the pancreas in response to carbohydrate and protein-rich meals, also have effects on neurons controlling energy balance. the amount of stored energy in our bodies is subject to homeostatic control by </w:t>
      </w:r>
      <w:r w:rsidRPr="00A6019F">
        <w:lastRenderedPageBreak/>
        <w:t xml:space="preserve">fundamental physiologic processes essential to our survival. In the 1940s, it was demonstrated that rodents defend their level of body fat; once returned to ad libitum diets after a short period of enforced caloric restriction or excess, animals either overconsumed or underconsumed calories until they returned to their previous status. Since that time, research has progressively dissected the signals that sense nutrient stores and the contents of our diets and how this infor mation is integrated to control hunger, satiety, and the expenditure of energy. The key locus for the integration of these signals is the hypo thalamus, an area of the brain at least partially outside the blood-brain barrier that facilitates its ability to receive hormonal signals and com bine these with sensory, cognitive, and other neural inputs. The hypothalamus receives multiple hormonal signals relevant to energy balance (Fig. 413-2). The circulating concentration of leptin, a peptide hormone produced by fat cells, increases as fat stores increase and declines as fat stores are depleted. Importantly, under conditions of caloric restriction, circulating leptin levels fall faster than the dis appearance of fat. Humans born without functional leptin or leptin receptors, although normal weight at birth, develop severe obesity from an early age, largely as a result of an intense drive to eat (hyper phagia). Clearly, a reduction of leptin below normal level is a powerful stimulus to food intake and largely explains the rebound overeating and weight regain that occurs after a period of starvation or diet ing. The hypothalamus also receives hormonal signals that are more Hypothalamus Leptin Adipose tissue Pancreas Brainstem GLP1 CCK Insulin Amylin Ghrelin The propeptide pro-opiomelanocortin (POMC) is expressed in a highly restricted population of hypothalamic neurons that project widely throughout the brain (Fig. 413-3). These neurons are respon sive to the endocrine signals described above and are critical to the regulation of energy balance. The POMC-derived peptides α- and β-melanocyte-stimulating hormone (MSH) act on the melanocortin 4 receptor (MC4R) to regulate both food intake and aspects of energy expenditure that are influenced by the sympathetic nervous system. γ-MSH, acting mostly through the MC3 receptor, appears to play more of a role in controlling linear growth and the disposition of nutrients into lean versus fat tissues. Signaling through both these melanocortin receptors is also subject to negative control by a different population of neurons, which make and release agouti-related peptide (AGRP), neu ropeptide Y (NPY), and the inhibitory neu rotransmitter γ-aminobutyric acid (GABA). AGRP actively switches off melanocortin receptors. Leptin, which suppresses food intake, simultaneously stimulates POMC neurons and inhibits NPY/AGRP neurons. Human energy balance is highly sensitive to signaling through this system as people who have a genetic defect in just one of the two copies of the MC4R gene are very prone to overeat (hyperphagia) and to gain weight. Vagus nerve PYY OXM FIGURE 413-2 The homeostatic regulation of body weight. In most people, body weight remains stable over long periods of time despite fluctuations in the amount of food we eat and the amount of activity we undertake. This homeostatic regulation of body weight is controlled by the neurons in the hypothalamus, which receive hormonal signals from adipose tissue such as leptin and </w:t>
      </w:r>
      <w:r w:rsidRPr="00A6019F">
        <w:lastRenderedPageBreak/>
        <w:t xml:space="preserve">neural and hormonal signals from the gut in response to meals. Glucagon-like peptide 1 (GLP1) and cholecystokinin (CCK) from enteroendocrine cells of the small intestine and peptide YY (PYY) and oxyntomodulin (OXM) from the large intestine are secreted in response to eating a meal and/or the presence of nutrients in the intestinal lumen. Their release, together with neural signals from the vagus nerve and the enteric nervous system, contributes to satiety, acting on the hypothalamus via projections from the brainstem. Insulin, produced by the pancreas in response to carbohydrate- and protein-rich meals and potentiated by the action of some of the gut hormones, also has effects on the hypothalamic neurons controlling energy balance, whereas amylin acts predominantly via the brainstem. The release of the hormone ghrelin from the stomach increases in the unfed state and induces appetite by acting on hypothalamic neurons as well as on receptors in the brainstem. </w:t>
      </w:r>
      <w:r w:rsidRPr="00A6019F">
        <w:rPr>
          <w:rFonts w:ascii="Arial" w:hAnsi="Arial" w:cs="Arial"/>
        </w:rPr>
        <w:t>■</w:t>
      </w:r>
      <w:r w:rsidRPr="00A6019F">
        <w:t xml:space="preserve">THE PHYSIOLOGY OF NUTRIENT STORAGE IN ADIPOSE TISSUE When energy intake exceeds energy expen diture, a small amount of that excess energy is stored as glycogen in liver and skeletal muscle. But if the imbalance is greater, then our bodies are designed to store that excess energy in a more efficient way as triacylglyc erol (triglyceride). This fat is more efficient because, unlike glycogen, it does not need accompanying water, and when metabo lized, it generates more than twice as much energy per gram than does carbohydrate. Adipocytes (fat cells) have evolved to contain a highly specialized organelle, the unilocu lar fat droplet, which holds the triglycer ide within a single-layer of phospholipid that contains all the components needed for enzymes that make and breakdown triglyc erides in a manner that is rapidly responsive to metabolic requirements. No other type of cell is specifically designed to store fat safely in this manner, and many of the adverse consequences of obesity are likely caused not by having too much fat in adipocytes but by “nonprofessional” cells being forced to take up and store fat. During weight gain, the amount of lipid in each fat cell increases. Some new fat cells can also be made in adult hood when ~10% of our fat cell population turns over every year. 3183 Ventromedial nucleus BDNF Paraventricular nucleus Reduced food intake MC4R α/β-MSH Arcuate nucleus POMC Hypothalamus LEPR AGRP AGRP LEPR Hypothalamus Leptin Increased energy expenditure SIM1 Adipose tissue FIGURE 413-3 Hypothalamic pathways regulating body weight. Neurons in the hypothalamus regulate energy intake and expenditure in response to leptin and other hormones. In the fed state, leptin stimulates primary neurons in the arcuate nucleus of the hypothalamus that express pro-opiomelanocortin (POMC). The POMC-derived peptides α- and β-melanocyte-stimulating hormone (MSH) act on the melanocortin 4 receptor (MC4R) expressed on neurons in the paraventricular nucleus to reduce energy intake and increase energy expenditure. At the same time, leptin inhibits neurons expressing agouti-related peptide (AGRP), which switches off melanocortin receptors. When these and other key molecules, such as brain-derived neurotrophic factor (BDNF) and single minded-1 (SIM1), are disrupted by inherited mutations, affected individuals have hyperphagia and severe obesity. </w:t>
      </w:r>
      <w:r w:rsidRPr="00A6019F">
        <w:rPr>
          <w:rFonts w:ascii="Arial" w:hAnsi="Arial" w:cs="Arial"/>
        </w:rPr>
        <w:t>■</w:t>
      </w:r>
      <w:r w:rsidRPr="00A6019F">
        <w:t xml:space="preserve">THE CAUSES OF OBESITY: AN INTERACTION OF GENES AND </w:t>
      </w:r>
      <w:r w:rsidRPr="00A6019F">
        <w:lastRenderedPageBreak/>
        <w:t xml:space="preserve">ENVIRONMENT For a person to develop obesity, energy intake must exceed energy expenditure in a manner that is sufficiently sustained to result in the accumulation of a large excess of triglyceride in adipose tis sue. As obesity is a cumulative pathology, if energy intake exceeds energy expenditure by even a small amount (as little as 7 kcal/d), this is sufficient to develop obesity over a matter of years or decades. Even where obesity is common, there are many people who are not overweight. Economic and social factors are likely to play a role as there are more normal-weight people in wealthier and more socially advantaged groups, at least in Western societies. It is also true, however, that because of discrimination, people with obesity may become socially and economically disadvantaged, which complicates interpretation of that data. We can, however, state with considerable certainty that genetic factors play a major role in predisposing people to a range of adiposity. We know this from a large number of studies comparing identical and nonidentical twins. It is particularly telling that the degree of adiposity in adult life of identical twins brought up in different families is very similar between the twins but is not at all correlated with that of the adoptive siblings with whom they were raised. </w:t>
      </w:r>
      <w:r w:rsidRPr="00A6019F">
        <w:rPr>
          <w:rFonts w:ascii="Arial" w:hAnsi="Arial" w:cs="Arial"/>
        </w:rPr>
        <w:t>■</w:t>
      </w:r>
      <w:r w:rsidRPr="00A6019F">
        <w:t xml:space="preserve">THE RELATIVE ROLES OF EXCESS INTAKE AND LOWER ENERGY EXPENDITURE IN CONFERRING BIOLOGIC PREDISPOSITION Do these heritable factors influence energy intake, energy expenditure, or both? It is clear that by the time a person develops obesity the amount of energy they expend in the resting state is more, not less, than a normal weight person. However, if a person with obesity loses weight by dieting, there is some evidence that they tend to be more “energy effi cient” than a person who has never been obese, particularly in terms of how many calories they burn during a defined bout of activity. However, the effects are subtle. It seems very likely that there are some individuals who are predominantly pre disposed to develop obesity by virtue of a lower metabolic rate, but thus far, apart from severe hypothyroidism, concrete examples are scarce. In contrast, a much more consistent and compelling body of evidence supports the idea that the genetic predisposition to obesity is largely mediated through the brain’s control of food intake. When studied in controlled settings, individuals who carry genetic variants that predispose to obesity tend to eat more and be less readily satiated. This is very readily demonstrable when the mutation has a major effect on obesity predisposition, but similar data are now emerging in the case of common genetic variants with smaller effects. CHAPTER 413 Pathobiology of Obesity </w:t>
      </w:r>
      <w:r w:rsidRPr="00A6019F">
        <w:rPr>
          <w:rFonts w:ascii="Arial" w:hAnsi="Arial" w:cs="Arial"/>
        </w:rPr>
        <w:t>■</w:t>
      </w:r>
      <w:r w:rsidRPr="00A6019F">
        <w:t>ENVIRONMENTAL FACTORS PREDISPOSING TO OBESITY Obesity cannot exist in the absence of sufficient food to lay down and maintain excess fat stores. That fact not infre quently leads to the belief that the prin cipal cause of obesity must be either a person</w:t>
      </w:r>
      <w:r w:rsidRPr="00A6019F">
        <w:rPr>
          <w:rFonts w:ascii="Aptos" w:hAnsi="Aptos" w:cs="Aptos"/>
        </w:rPr>
        <w:t>’</w:t>
      </w:r>
      <w:r w:rsidRPr="00A6019F">
        <w:t xml:space="preserve">s ignorance of the role of excess caloric intake or their conscious choice to prioritize the immediate pleasures of eating over the long-term health harms associated with obesity. Taken to extremes, these views can engender serious social, economic, and medical discrimination against people with obesity. It is clear that genetic factors, however important they are in an individual’s predisposition to obesity, cannot explain the marked increase in obesity prevalence that has occurred </w:t>
      </w:r>
      <w:r w:rsidRPr="00A6019F">
        <w:lastRenderedPageBreak/>
        <w:t xml:space="preserve">in the past few decades. We have to look to an environment that has become increas ingly obesogenic to explain that phenomenon. In most developed and developing countries, energy-dense and highly palatable food and beverages have been aggressively marketed, made cheaper than ever before, provided in larger portions, and made available ubiquitously and continuously. This has been combined with the reduction in physi cal activity in work and domestic life due to mechanization and the change in the nature of employment. Even the control of our external temperature by artificial heating and cooling has meant less energy expended on thermoregulation. Taken together, these are likely to be the major factors driving the recent increase in obesity. It is important to remember, however, that a substantial proportion of the population remains normal weight under these circumstances and a large part of that is attributable to their genetic good fortune. There is much current investigation into other environmental fac tors that might influence the development of obesity. Heated debates 3184 TABLE 413-1 Classical Genetic Obesity Syndromes SYNDROME Prader-Willi PART 12 Endocrinology and Metabolism Albright’s hereditary osteodystrophy or pseudohypoparathyroidism Bardet-Biedl continue about the optimal balance of macronutrients in the diet to maintain normal weight and good health. Much of this revolves around the potential benefits of reducing the relative proportion of carbohydrates in the diet (Chap. 414). There seems to be reasonable consensus that, in the short term, diets that are rich in protein and fat and lower in carbohydrates more readily result in quick weight loss. This may be because the appetite-suppressing gut hormones discussed above increase more in response to protein than to carbohydrate, thus inducing earlier satiation. However, longer-term studies to date are less compelling, and the long-term increases in protein and fat intake are not without at least theoretical risks. A growing body of evidence suggests that exposures early in life, either in utero or in early postnatal life, might “program” individuals to develop obesity and/ or cardiometabolic disease through effects that are often attributed to “epigenetics” (Chap. 497). This is an attractive idea, and if true, it would mean that time-limited and affordable interventions early in life might have lifelong benefits. Inevitably, it will take time to see if the promise of such interventions will be fulfilled. Much excitement has been generated by the increasing recognition of the diversity of our intestinal microbiome, which clearly has relevance to gastroin testinal health (Chap. 484). At present, it is premature to ascribe any significant role to the human microbiome in obesity or its adverse consequences. </w:t>
      </w:r>
      <w:r w:rsidRPr="00A6019F">
        <w:rPr>
          <w:rFonts w:ascii="Arial" w:hAnsi="Arial" w:cs="Arial"/>
        </w:rPr>
        <w:t>■</w:t>
      </w:r>
      <w:r w:rsidRPr="00A6019F">
        <w:t>WHY DOESN</w:t>
      </w:r>
      <w:r w:rsidRPr="00A6019F">
        <w:rPr>
          <w:rFonts w:ascii="Aptos" w:hAnsi="Aptos" w:cs="Aptos"/>
        </w:rPr>
        <w:t>’</w:t>
      </w:r>
      <w:r w:rsidRPr="00A6019F">
        <w:t xml:space="preserve">T LEPTIN PREVENT OBESITY? Leptin is known to suppress food intake, and its levels rise as fat stores expand. So why does this not prevent us from developing obesity? The most plausible explanation lies in the evolutionary history of leptin and the fact that it appears to defend strongly against the loss of body fat stores, with a fall in circulating leptin below a person’s habitual level being a powerful stimulus to food intake, whereas the response to rises in leptin above the normal level is less pronounced. At higher levels of leptin, administering extra amounts of the hormone may have no discernible effect at all—a phenomenon that has </w:t>
      </w:r>
      <w:r w:rsidRPr="00A6019F">
        <w:lastRenderedPageBreak/>
        <w:t xml:space="preserve">come to be called leptin resistance. It is important to remember that even though a person appears to be leptin resistant, some leptin action is occurring; otherwise, the person would become as insatiably hungry and progres sively obese as someone with congenital leptin deficiency (see below). It also seems likely that a subgroup of people may have relatively low leptin levels, which plays a role in the etiology of their obesity. There are likely other hormonal signals produced in severe obesity that, unlike leptin, continue to exert a suppressive effect on food intake and help to ensure that the expansion of adipose tissue does not become indefinitely cumulative. Cohen’s Carpenter’s Alström’s Tubby INHERITANCE Autosomal dominant Autosomal dominant Autosomal recessive Autosomal recessive Autosomal recessive Autosomal recessive Autosomal recessive ADDITIONAL CLINICAL FEATURES Hypotonia, failure to thrive in infancy, developmental delay, short stature, hypogonadotropic hypogonadism, sleep disturbance, obsessive behavior Short stature in some, skeletal defects, developmental delay, shortened metacarpals; hormone resistance when mutation on maternally inherited allele Syndactyly/brachydactyly/ polydactyly, developmental delay, retinal dystrophy or pigmentary retinopathy, hypogonadism, renal abnormalities Facial dysmorphism, microcephaly, hypotonia, developmental delay, retinopathy Acrocephaly, brachydactyly, developmental delay, congenital heart defects; growth retardation, hypogonadism Progressive cone-rod dystrophy, sensorineural hearing loss, hyperinsulinemia, early type 2 diabetes mellitus, dilated cardiomyopathy, pulmonary, hepatic and renal fibrosis Progressive cone-rod dystrophy, hearing loss </w:t>
      </w:r>
      <w:r w:rsidRPr="00A6019F">
        <w:rPr>
          <w:rFonts w:ascii="Arial" w:hAnsi="Arial" w:cs="Arial"/>
        </w:rPr>
        <w:t>■</w:t>
      </w:r>
      <w:r w:rsidRPr="00A6019F">
        <w:t xml:space="preserve">CLASSICAL SYNDROMIC DISORDERS </w:t>
      </w:r>
      <w:r w:rsidRPr="00A6019F">
        <w:rPr>
          <w:rFonts w:ascii="Arial" w:hAnsi="Arial" w:cs="Arial"/>
        </w:rPr>
        <w:t>■</w:t>
      </w:r>
      <w:r w:rsidRPr="00A6019F">
        <w:t xml:space="preserve">SINGLE-GENE DISORDERS LEADING TO OBESITY The assessment of severely obese children and, indeed, adults should be directed at screening for potentially treatable endocrine and neuro logic conditions and identifying genetic conditions so that appropriate genetic counseling and, in some cases, treatment can be started. Clini cally, it remains useful to categorize the genetic obesity syndromes as those with dysmorphism and/or developmental delay and those with out these features (Tables 413-1 and 413-2). Although individually these monogenic disorders are rare, cumulatively, up to 20% of chil dren with severe obesity have rare chromosomal abnormalities and/or highly penetrant genetic mutations that drive their obesity. This figure is likely to increase with wider accessibility to genetic testing and as new genes are identified. A genetic diagnosis can inform manage ment (many such patients find it very difficult to lose weight through diet and exercise) and can inform clinical decision-making regarding the use of bariatric surgery (feasible in some; high risk in others) (Chap. 414). There are a number of drugs in clinical trials targeted specifically at patients with genetic obesity syndromes. Specifically, setmelanotide, a MC4R agonist, has been used effectively in phase 2/3 clinical trials in children who are genetically deficient in POMC, PCSK1, and the leptin receptor. It is also being explored for the treat ment of other genetic obesity syndromes affecting the melanocortin pathway and in acquired hypothalamic obesity caused by tumors such as craniopharyngiomas. A number of syndromes were identified by clinicians long before </w:t>
      </w:r>
      <w:r w:rsidRPr="00A6019F">
        <w:lastRenderedPageBreak/>
        <w:t xml:space="preserve">their exact genetic cause was known. In these syndromes, obesity is associated with a stereotyped set of other anomalies, often neurode velopmental in type. The precise genetic basis for the majority of these syndromes is now known. Prader-Willi syndrome (PWS) is the most common syndromic cause of obesity, with an estimated prevalence of ~1 in 25,000. It is an autosomal dominant disorder caused by deletion of an imprinted region on the paternal chromosome 15 (Chap. 479). The characteristic clinical features are hypotonia, feeding difficulties in infancy, developmental delay, hypogonadotropic hypogonadism, hyperphagia (increased food intake), and obesity. Children with PWS are short with reduced lean body mass and increased fat mass, fea tures resembling those seen in growth hormone (GH) deficiency; GH treatment decreases body fat and increases linear growth and muscle mass and is now standard of care in this condition. Low levels of brain expression of the neuropeptide oxytocin and the nerve growth factor brain-derived neurotrophic factor (BDNF) in PWS patients have sug gested new therapeutic opportunities for these patients. Inherited or de novo (not found in either parent) mutations in another imprinted gene, GNAS1, which encodes Gsα protein, cause a syndrome known as Albright’s hereditary osteodystrophy (AHO) or pseudohypoparathyroidism (PHP) (Chap. 424). Maternal trans mission of GNAS1 mutations leads to short stature, obesity, and skeletal defects plus resistance to several hormones (e.g., parathyroid hormone), whereas paternal transmission leads only to the AHO phe notype. The clinical spectrum is very broad, and some patients may present with obesity alone. Bardet-Biedl syndrome (BBS) is a rare autosomal recessive dis ease characterized by obesity, developmental delay, polydactyly, reti nal dystrophy or pigmentary retinopathy, hypogonadism, and renal 3185 TABLE 413-2 Obesity Syndromes due to Mutations in Genes Controlling Energy Homeostasis Pathways GENE AFFECTED Leptin Leptin receptor Proopiomelanocortin Prohormone convertase 1 Carboxypeptidase E Melanocortin 4 receptor Single-minded 1 BDNF TrkB SH2B1 INHERITANCE Autosomal recessive Autosomal recessive Autosomal recessive Autosomal recessive Autosomal recessive Autosomal dominant Autosomal dominant Autosomal dominant Autosomal dominant Autosomal dominant ADDITIONAL CLINICAL FEATURES Severe hyperphagia, frequent infections, hypogonadotropic hypogonadism, mild hypothyroidism Severe hyperphagia, frequent infections, hypogonadotropic hypogonadism, mild hypothyroidism Hyperphagia, cholestatic jaundice or adrenal crisis due to ACTH deficiency, pale skin and red hair Small-bowel enteropathy, postprandial hypoglycemia, hypothyroidism, ACTH deficiency, hypogonadism, central diabetes insipidus Severe insulin resistance Hyperphagia, accelerated linear growth Hyperphagia, accelerated linear growth, speech and language delay, autistic traits Hyperphagia, developmental delay, hyperactivity, behavioral problems including aggression Hyperphagia, speech and language delay, variable developmental delay, hyperactivity, behavioral problems including aggression Hyperphagia, disproportionate hyperinsulinemia, early type 2 diabetes mellitus, behavioral problems including aggression Abbreviations: ACTH, adrenocorticotropic </w:t>
      </w:r>
      <w:r w:rsidRPr="00A6019F">
        <w:lastRenderedPageBreak/>
        <w:t xml:space="preserve">hormone; BDNF, brain-derived neurotrophic factor; SH2B1, Src-homology-2 (SH2) B-adaptor protein-1 (SH2B1); TrkB, tropomyosin receptor kinase B. abnormalities. The same clinical features can arise from mutations in &gt;26 genes, which disrupt signaling in primary cilia. Melanocortin receptor agonists may be useful in treating hyperphagia and obesity in patients with BBS. Overlapping clinical features are seen in a number of other genetic obesity syndromes (Table 413-1). </w:t>
      </w:r>
      <w:r w:rsidRPr="00A6019F">
        <w:rPr>
          <w:rFonts w:ascii="Arial" w:hAnsi="Arial" w:cs="Arial"/>
        </w:rPr>
        <w:t>■</w:t>
      </w:r>
      <w:r w:rsidRPr="00A6019F">
        <w:t xml:space="preserve">DISORDERS OF LEPTIN-MELANOCORTIN SIGNALING Homozygous mutations that disrupt the production or action of leptin are rare but result in a disorder that is treatable. Children with homo zygous loss-of-function leptin mutations have rapid weight gain in the first few months of life, resulting in severe obesity due to an intense drive to eat (hyperphagia) and impaired satiety with food-seeking behavior soon after the end of a meal. Congenital leptin deficiency can be treated with subcutaneous injections of recombinant leptin, which reduce hunger, increase satiety, and lead to weight loss. Similar clinical features are seen in patients with homozygous mutations in the leptin receptor gene, but they are not responsive to leptin treatment (Table 413-2). Normal pubertal development rarely occurs in adults with leptin or leptin receptor deficiency, with biochemical evidence of hypogonadotropic hypogonadism. However, there is some evidence for the delayed but spontaneous onset of menses in a small number of leptin- and leptin receptor–deficient adults. Leptin treatment per mits progression of pubertal development, suggesting that leptin is a permissive factor for the development of puberty. An MC4R agonist (setmelanotide) is licensed for chronic weight management in leptin receptor deficiency. Homozygous or compound heterozygous mutations in POMC lead to hyperphagia and early-onset obesity. As adrenocorticotropic hormone (ACTH) is produced in the pituitary gland by cleavage from POMC, patients also present with isolated ACTH deficiency (neonatal hypoglycemia and cholestatic jaundice). In the skin, POMC-derived melanocortin peptides act on melanocortin 1 receptors to induce pigmentation. For this reason, the lack of POMC-derived peptides in obese patients with POMC deficiency results in hypopigmenta tion of skin and hair, which is more noticeable in people of Caucasian ancestry who often have red hair. Prohormone convertase 1 (PCSK1) is an enzyme involved in the cleavage of POMC into ACTH, which is then further cleaved to make α-MSH by carboxypeptidase E. Impaired processing of POMC contributes to the hyperphagic severe early-onset obesity and ACTH deficiency in people lacking PCSK1 who also have hypogonadotropic hypogonadism, postprandial hypoglycemia (due to impaired processing of proinsulin to insulin), and a neonatal enteropathy in early childhood. Heterozygous mutations that impair the function of MC4R are found in 5–6% of patients with severe early onset obesity and at a frequency of ~1 in 300 in the general population, making this the most common gene in which variants contribute to obesity. MC4R mutations are inherited in a co-dominant manner, with variable penetrance and expression in heterozygous carriers; homozy gous carriers are severely obese. Patients are often hyperphagic from early childhood and hyperinsulinemic and have increased lean mass and increased linear growth. </w:t>
      </w:r>
      <w:r w:rsidRPr="00A6019F">
        <w:rPr>
          <w:rFonts w:ascii="Arial" w:hAnsi="Arial" w:cs="Arial"/>
        </w:rPr>
        <w:lastRenderedPageBreak/>
        <w:t>■</w:t>
      </w:r>
      <w:r w:rsidRPr="00A6019F">
        <w:t xml:space="preserve">GENETIC SUBTYPES OF OBESITY ASSOCIATED WITH NEUROBEHAVIORAL ABNORMALITIES Both PWS patients and patients with mutations in SIM1 (a gene that acts downstream of MC4R) exhibit a spectrum of behavioral abnor malities that overlap with autism-like features that could be related to reduced oxytocin signaling (Table 413-2). Mutations affecting BDNF and its receptor tropomyosin receptor kinase B (TrkB) cause speech and language delay, hyperphagia, and severe obesity, as well as hyperactivity, autistic traits, and impaired short-term memory. Interestingly, a com mon variant in BDNF (V66M), found in heterozygous form in ~20% of the population, is associated with a number of traits and neuropsychi atric disorders including anxiety and depression. Chromosomal deletion and mutations affecting Src-homology-2 (SH2) B-adaptor protein-1 (SH2B1) are associated with dominantly inherited, severe, early-onset obesity, disproportionate insulin resistance, early-onset type 2 diabetes, and behavioral problems including aggressive behavior. CHAPTER 413 Pathobiology of Obesity </w:t>
      </w:r>
      <w:r w:rsidRPr="00A6019F">
        <w:rPr>
          <w:rFonts w:ascii="Arial" w:hAnsi="Arial" w:cs="Arial"/>
        </w:rPr>
        <w:t>■</w:t>
      </w:r>
      <w:r w:rsidRPr="00A6019F">
        <w:t xml:space="preserve">OBESITY SECONDARY TO OTHER DISORDERS Endocrine Disorders Patients with hypothyroidism may gain weight and develop obesity, although it is rarely the sole cause of severe obesity. It is nonetheless prudent always to measure thyroid function in a patient presenting with obesity. Measurement of thyroid-stimulating hormone (TSH) will detect significant primary disease of the thyroid, but for rare secondary hypothyroidism, additional measurement of free thyroxine levels is needed (Chap. 395). Weight gain can also be a presenting feature of Cushing’s syndrome. Clinically, the presence of spontaneous bruising, livid striae, myopathy, and marked centripetal distribution of body fat helps to distinguish true endogenous hyper cortisolism from common obesity. This condition is usually reasonably straightforward to diagnose based on tests that approximate cortisol production rates (24-h urine free cortisol) or the suppression of serum cortisol by dexamethasone (Chap. 398). Occasionally, in patients with severe obesity, effects of adiposity on glucocorticoid metabolism can make it difficult to interpret results, and more sophisticated tests, including those measuring diurnal rhythm of cortisol, may be neces sary to establish or exclude the diagnosis with confidence. Weight gain can also be a presenting feature of patients with insulinoma, driven largely by the need to eat more frequently than normal to avoid hypoglycemia. Hypothalamic Damage The hypothalamic regions that control energy balance can be disrupted by tumors (such as craniopharyngio mas), inflammatory masses, or after a severe head injury (Chap. 391). In such cases, there is often some accompanying evidence of disruption of the hormonal functions of the anterior or posterior pituitary, although it may be subtle and the history of hyperphagia and weight gain is often short. It is worth noting that in common obesity, GH levels in response 3186 Dementia Stroke PART 12 Gallstones Esophagitis Type 2 diabetes NAFLD PCOS Endocrinology and Metabolism Sleep apnea Hypertension Hypertriglyceridemia Ischemic heart disease Heart failure Cancer of esophagus, colon, endometrium, pancreas, kidney Arthritis Gout FIGURE 413-4 Obesity-related complications. The expanded fat mass that characterizes obesity predisposes to certain obesity-related complications (e.g., </w:t>
      </w:r>
      <w:r w:rsidRPr="00A6019F">
        <w:lastRenderedPageBreak/>
        <w:t xml:space="preserve">osteoarthritis of knees, reflux esophagitis, and obstructive sleep apnea) directly through its mass and/or volume. However, in the case of the metabolic, endocrine, and cardiovascular complications, the link is less clear. Further research is needed to establish whether some features of the expanded fat mass influence the development of these complications or whether other aspects of the chronically overnourished state, such as excess fat outside the fat depot, are more relevant. NAFLD, nonalcoholic fatty liver disease; PCOS, polycystic ovarian syndrome. to provocative testing may be somewhat lower than normal, but this does not necessarily suggest the presence of a structural lesion. </w:t>
      </w:r>
      <w:r w:rsidRPr="00A6019F">
        <w:rPr>
          <w:rFonts w:ascii="Arial" w:hAnsi="Arial" w:cs="Arial"/>
        </w:rPr>
        <w:t>■</w:t>
      </w:r>
      <w:r w:rsidRPr="00A6019F">
        <w:t xml:space="preserve">ADVERSE CONSEQUENCES OF OBESITY Mechanistic Considerations Obesity is associated with a wide range of pathologies that can adversely impact morbidity and mortality (Chap. 420). Some of these consequences are related, at least in part, to the direct mechani cal or gravitational effects of the expanded fat mass itself (Fig. 413-4). However, the principal mechanisms behind many of the complica tions of obesity are less likely to be due to the expanded fat mass itself but more closely related to the chronic state of overnutrition itself and its effects on tissues throughout the body. As people develop obesity, one of the first and most prominent biochemical abnormalities that develops is the need for increased circulating concentrations of insulin to maintain glucose homeostasis. This state of insulin resistance generally worsens with a greater degree of obe sity, but there is a high degree of interindividual variability. It is more prominent when fat is distributed more centrally. Insulin resistance/ hyperinsulinemia is likely to play a major role in the predisposition to metabolic endocrine and cardiovascular diseases seen more frequently in obesity and may even play a role in the predispo sition of people with obesity to develop certain cancers. The main sites of insulin action in the body are the liver and skeletal muscle. Thus, for insulin resistance to be discernible at the level Adipose tissue Inflammation of the whole body, the action of insulin must be disturbed in one or both of these tissues. It seems unlikely that an expanded fat cell mass would do that directly. How then does obesity lead to a state of insulin resistance? One hypothesis suggests a leading role for the inflammation that occurs in the adipose tissue in obesity (Fig. 413-5). This undoubt edly happens, as there are more macrophages in obese than nonobese adipose tissues, and this is associated with higher levels of inflamma tory markers in the circulation of people with obesity. The majority of macrophages in obese adipose tissue are found in clusters around dead or dying adipocytes, so it appears that these cells are clearing debris after cell death. Studies in animal models provide strong support for the notion that this inflammatory state is mechanistically linked to insulin resistance, but evidence from humans for this is not as strong. An alternative hypothesis is that as individuals develop obesity they become less able to safely store nutrients in their adipose tissue and begin to redirect macronutrients to other tissues that are not designed for fat storage and may be damaged by the nutrient excess. This cer tainly happens to people who are born with a lack of adipose tissue (lipodystrophy) who, early in life, develop severe versions of all </w:t>
      </w:r>
      <w:r w:rsidRPr="00A6019F">
        <w:lastRenderedPageBreak/>
        <w:t>the metabolic complications that are seen in obesity as they have no safe depot in which to store excess nutrients. There are stronger human data from both genetic and pharmacologic studies for the existence of the latter mechanism. How ectopic fat leads to insulin resistance and other damaging effects is still a puzzle, but it is very likely a major driver of pathology associated with obesity. Metabolic Complications •</w:t>
      </w:r>
      <w:r w:rsidRPr="00A6019F">
        <w:t> </w:t>
      </w:r>
      <w:r w:rsidRPr="00A6019F">
        <w:t xml:space="preserve">DYSLIPIDEMIA The insulin resis tance of obesity is frequently associated with dyslipidemia character ized by high circulating triglycerides and low high-density lipoprotein cholesterol (Chap. 419). Occasionally, the hypertriglyceridemia may be severe enough to put the patient at risk of pancreatitis. Although there is a relationship between obesity and raised circulating levels of low-density lipoprotein cholesterol (which is the major risk factor for coronary artery disease), genetic factors independent of obesity and the type of dietary fat consumed probably have an even greater impact. Chronic imbalance of energy intake &gt; Energy expenditure Expansion of adipose tissue depots Limited fat cell capacity for continuing storage Inflammatory cytokines Defective glucose handling in liver and muscle Insulin resistance/compensatory hyperinsulinemia Storage of lipid in nonadipose tissue FIGURE 413-5 How does obesity cause metabolic disease? Insulin resistance is one of the earliest complications of obesity and underlies and precedes many of its adverse health consequences. The disposal and production of glucose by the most important tissues, muscle and liver, respectively, become less sensitive to insulin, and this results in a compensatory increase in insulin secretion from the pancreas. There are two main theories for the association of obesity with insulin resistance. In the first, products of macrophages and other inflammatory cells that are more abundant in obese adipose tissue can, through paracrine or endocrine routes, disturb insulin’s action in muscle and liver cells. In the second, as adipose storage deposits fill up, they become less able to take on excessive calories, which end up being stored as ectopic lipid in tissues such as muscle and liver, which are not primarily designed to store nutrients of this type. The evidence in humans is stronger for the latter hypothesis. 3187 FATTY LIVER DISEASE Obesity is strongly associated with the pres ence of ectopic fat in hepatocytes. In a subset of patients, this can progress to nonalcoholic steatohepatitis (NASH), which can progress to fibrosis, which is a precursor to cirrhosis (Chap. 354). The reported incidence of NASH-related cirrhosis and of hepatocellular carcinoma has increased markedly in step with the increase in the prevalence of obesity in adolescents and adults. TYPE 2 DIABETES The insulin resistance characteristic of the over nourished state strongly predisposes to the development of type 2 diabetes in people who, largely for genetic reasons, are less able to maintain the high levels of insulin secretion over many decades. Impaired glucose tolerance and type 2 diabetes are among the most common complications of obesity (Chap. 415). Endocrine Complications In females, the insulin resistance/ hyperinsulinemia frequently found in obesity strongly predisposes to the development of polycystic ovaries, characterized by irregular men struation, anovulatory infertility, and hirsutism due to hyperandrogen ism. In males, obesity is more often associated </w:t>
      </w:r>
      <w:r w:rsidRPr="00A6019F">
        <w:lastRenderedPageBreak/>
        <w:t xml:space="preserve">with a degree of central hypogonadism, where low circulating testosterone is associated with levels of luteinizing hormone and follicle-stimulating hormone that do not rise appropriately to compensate for the testosterone-deficient state. Dermatologic Complications Obesity can result in problems with excessive skin folds that can cause discomfort through mechanical irritation and can also become infected with fungi. Insulin resistance/ hyperinsulinemia is associated with acanthosis nigricans, where areas such as axilla, groin, and the back of neck develop velvety hyperpig mentation. Hidradenitis suppurativa is a potentially disabling skin con dition strongly associated with obesity. It is characterized by recurrent boils often with chronically draining sinus tracts affecting skin areas containing apocrine sweat glands. Cardiovascular Complications People with obesity, even if they do not have diabetes, have increased morbidity and mortality from atherothrombotic vascular disease, including coronary artery disease and stroke. The factors that result in this are complex and involve increased prevalence of hypertension, dyslipidemia, and insulin resis tance/hyperinsulinemia. The rare condition of thrombotic thrombo cytopenic purpura, which causes microvascular platelet thrombosis, thrombocytopenia, and hemolytic anemia due to the presence of abnormally large von Willebrand factor multimers, is strongly associ ated with obesity. Independent of occlusive arterial disease, people with obesity are also at increased risk of heart failure, particularly characterized primar ily by diastolic dysfunction, and of atrial fibrillation, the most common arrhythmia. Respiratory Complications Exertional dyspnea is common in obesity, contributed to by the increased work required to move a greater mass as well as impacts of pressure on the diaphragm and tho racic cage on chest wall compliance. Enlargement of soft tissue of the mouth and throat and adipose depots around the airways contribute to the high prevalence of sleep apnea, although other factors such as central nocturnal hypoventilation, also contribute in some people. Gastrointestinal Disorders Reflux esophagitis is the most com mon gastrointestinal complication of obesity, particularly occurring in those with high intraabdominal pressure. Gallstones are also more common in people with obesity, bringing increased risks of biliary colic, cholecystitis, pancreatitis, and gallbladder cancer. Rheumatologic Disorders Osteoarthritis of the knee and gout are the two most common rheumatologic conditions clearly associated with obesity. Interestingly, despite obesity being described as a proin flammatory state, there is no evidence for an increase in rheumatoid arthritis or the seronegative arthritides among people with obesity. Cancers Obesity is a risk factor for a number of common cancers. Indeed, it has recently been calculated that, at least in some countries, obesity has overtaken smoking as the greatest risk factor for developing cancer. Recent research has found that as the BMI increases by 5 kg/m2, cancer mortality increases by 10%. The largest effects are on colorec tal, kidney, and pancreatic cancer, adenocarcinoma of the esophagus, and, in women, endometrial carcinoma. The recent rapid increase in the prevalence of esophageal adenocarcinoma is likely related to the marked recent increase in reflux esophagitis due to the raised </w:t>
      </w:r>
      <w:r w:rsidRPr="00A6019F">
        <w:lastRenderedPageBreak/>
        <w:t xml:space="preserve">intraab dominal pressure (with or without hiatus hernia) characteristic of central obesity. Response to Infection The fact that obesity can influence the outcome of some infections has become very apparent with the COVID-19 pandemic. Obese patients have a substantially worse out come if infected by SARS-CoV-2 through mechanisms that are as yet unclear. Obese patients also appear to be more susceptible to bacterial wound infections and postoperative sepsis. Disorders of the Central Nervous System There is increasing evidence that obesity is a risk factor for dementia in later life, although how that risk is mediated is not clear. Idiopathic intracranial hyperten sion is a rare disorder that is strongly associated with obesity. </w:t>
      </w:r>
      <w:r w:rsidRPr="00A6019F">
        <w:rPr>
          <w:rFonts w:ascii="Arial" w:hAnsi="Arial" w:cs="Arial"/>
        </w:rPr>
        <w:t>■</w:t>
      </w:r>
      <w:r w:rsidRPr="00A6019F">
        <w:t xml:space="preserve">CONCLUSION Obesity is a medical disorder that has been greatly increasing in preva lence due to environmental factors that are ubiquitous in developed and developing countries. However, it is important to bear in mind that it is a highly heterogeneous condition, which in some people is attrib utable entirely to genetic causes, and that underlying genetic variation strongly influences the risk of obesity in all people. It is a serious con dition leading to multiple adverse health outcomes and considerable human suffering. As our understanding of its pathogenesis increases, our duty to treat obese patients with understanding and compassion and to develop new and better options for its treatment and prevention is worthy of emphasis. CHAPTER 414 Evaluation and Management of Obesity </w:t>
      </w:r>
      <w:r w:rsidRPr="00A6019F">
        <w:rPr>
          <w:rFonts w:ascii="Arial" w:hAnsi="Arial" w:cs="Arial"/>
        </w:rPr>
        <w:t>■</w:t>
      </w:r>
      <w:r w:rsidRPr="00A6019F">
        <w:t>FURTHER READING Farooqi IS, O</w:t>
      </w:r>
      <w:r w:rsidRPr="00A6019F">
        <w:rPr>
          <w:rFonts w:ascii="Aptos" w:hAnsi="Aptos" w:cs="Aptos"/>
        </w:rPr>
        <w:t>’</w:t>
      </w:r>
      <w:r w:rsidRPr="00A6019F">
        <w:t xml:space="preserve">Rahilly S: The genetics of obesity in humans, in Endo text. KR Feingold et al (eds). South Dartmouth, MA, 2000. Friedman JM: Leptin and the endocrine control of energy balance. Nat Metab 1:754, 2019. Hall KD et al: The energy balance model of obesity: Beyond calories in, calories out. Am J Clin Nutr 115:1243, 2022. Heymsfield SB, Wadden TA: Mechanisms, pathophysiology, and management of obesity. N Engl J Med 376:1492, 2017. Leibel RL et al: Changes in energy expenditure resulting from altered body weight. N Engl J Med 332:621, 1995. NCD Risk Factor Collaboration (NCD-RISC): Worldwide trends in body-mass index, underweight, overweight, and obesity from 1975 to 2016: A pooled analysis of 2416 population-based measurement studies in 128·9 million children, adolescents, and adults. Lancet 390:2627, 2017. O’Rahilly S: Harveian Oration 2016: Some observations on the causes and consequences of obesity. Clin Med (Lond) 16:551, 2016. 414 Evaluation and Management of Obesity Robert F. Kushner More than 70% of U.S. adults are considered to be overweight or have obesity, and the prevalence of obesity is increasing rapidly in most of the industrialized world. Children and adolescents also are developing greater rates of obesity, indicating that the current trends will accelerate 3188 over time. Obesity is associated with an increased risk of multiple health problems, including hypertension, type 2 diabetes, dyslipidemia, obstructive sleep apnea, metabolic dysfunction-associated steatotic liver disease, degenerative joint disease, and some malignancies. Thus, it is important for health care professionals to identify, evaluate, and treat patients for obesity and associated complications and comorbid conditions. </w:t>
      </w:r>
      <w:r w:rsidRPr="00A6019F">
        <w:rPr>
          <w:rFonts w:ascii="Arial" w:hAnsi="Arial" w:cs="Arial"/>
        </w:rPr>
        <w:t>■</w:t>
      </w:r>
      <w:r w:rsidRPr="00A6019F">
        <w:t xml:space="preserve">EVALUATION PART 12 Endocrinology and Metabolism Health care professionals should screen all adult patients for obesity and offer intensive lifestyle counseling </w:t>
      </w:r>
      <w:r w:rsidRPr="00A6019F">
        <w:lastRenderedPageBreak/>
        <w:t>including behavioral interven tions to promote sustained weight loss. The four main steps in the evaluation of obesity, as described below, are (1) a focused obesity related history that includes lifestyle questions about diet, physical activity, sleep, and stress; (2) a physical examination to determine the degree and type of obesity; (3) assessment of complications and comor bid conditions; and (4) assessment of the patient’s readiness to engage in weight management. The Obesity-Focused History The first step in taking an obe sity-focused history is to approach the topic in a sensitive manner. The reason for this concern is that the word obesity is a highly charged, emotive term. It has a significant pejorative meaning for many patients, leaving them feeling judged and blamed when labeled as such. This is not the case when patients are told that they have other chronic dis eases such as diabetes or hypertension. Patients prefer that clinicians use more neutral words or terms such as weight, excess weight, body mass index (BMI), or unhealthy weight, versus more perceived stigma tizing terms such as obesity, morbid obesity, or fatness. Information from the history should address the following seven questions: •</w:t>
      </w:r>
      <w:r w:rsidRPr="00A6019F">
        <w:t> </w:t>
      </w:r>
      <w:r w:rsidRPr="00A6019F">
        <w:t>What factors contribute to the patient’s weight gain and obesity? •</w:t>
      </w:r>
      <w:r w:rsidRPr="00A6019F">
        <w:t> </w:t>
      </w:r>
      <w:r w:rsidRPr="00A6019F">
        <w:t>How is obesity affecting the patient’s health? •</w:t>
      </w:r>
      <w:r w:rsidRPr="00A6019F">
        <w:t> </w:t>
      </w:r>
      <w:r w:rsidRPr="00A6019F">
        <w:t>What is the patient’s level of risk from obesity? •</w:t>
      </w:r>
      <w:r w:rsidRPr="00A6019F">
        <w:t> </w:t>
      </w:r>
      <w:r w:rsidRPr="00A6019F">
        <w:t>What does the patient find difficult about managing weight? •</w:t>
      </w:r>
      <w:r w:rsidRPr="00A6019F">
        <w:t> </w:t>
      </w:r>
      <w:r w:rsidRPr="00A6019F">
        <w:t>What are the patient’s goals and expectations? •</w:t>
      </w:r>
      <w:r w:rsidRPr="00A6019F">
        <w:t> </w:t>
      </w:r>
      <w:r w:rsidRPr="00A6019F">
        <w:t>What is the patient’s motivation to begin a weight management program? •</w:t>
      </w:r>
      <w:r w:rsidRPr="00A6019F">
        <w:t> </w:t>
      </w:r>
      <w:r w:rsidRPr="00A6019F">
        <w:t xml:space="preserve">What kind of help does the patient need? Although the majority of cases of obesity are promoted by biopsy chosocial and behavioral factors that affect diet and physical activity patterns, the history may suggest secondary causes that merit further evaluation. Disorders to consider include polycystic ovarian syndrome, hypothyroidism, Cushing’s syndrome, and hypothalamic disease. Drug induced weight gain also should be considered. Common causes include medications for diabetes (insulin, sulfonylureas, thiazolidinediones), steroid hormones, antipsychotic agents (clozapine, olanzapine, risperi done), mood stabilizers (lithium), antidepressants (tricyclics, mono amine oxidase inhibitors, paroxetine, mirtazapine), and antiepileptic drugs (valproate, gabapentin, carbamazepine). Other medications, such as nonsteroidal anti-inflammatory drugs and calcium channel blockers, may cause peripheral edema but do not increase body fat. The patient’s current diet and physical activity patterns may reveal factors that contribute to the development of obesity and may identify behaviors to target for treatment. Physical fitness and sedentary lifestyle, in particular, are important predictors of all-cause mortality rate inde pendent of BMI and body composition, which highlights the importance of taking a physical activity and exercise history during examination as well as emphasizing physical activity as a treatment approach. Inquiring about sleep health that addresses regularity, duration, efficiency, and satisfaction is also important. Although the mechanisms are uncertain, sleep deprivation is associated with metabolic alterations in appetite regulation, sympathetic nervous system overactivity, insulin sensitivity, and changes in circadian rhythm. Stress may also contribute to obesity, in part due to activation of the adrenal cortical axis and elevated cortisol levels and its impact on </w:t>
      </w:r>
      <w:r w:rsidRPr="00A6019F">
        <w:lastRenderedPageBreak/>
        <w:t xml:space="preserve">emotional health and behav iors. This historic information is best obtained by the combination of a questionnaire and an interview. TABLE 414-1 Classification of Weight Status and Disease Risk CLASSIFICATION Underweight Healthy weight Overweight Obesity Obesity Extreme obesity BODY MASS INDEX (kg/m2) 94 cm (&gt;37 in) &gt;80 cm (&gt;31.5 in) &gt;90 cm (&gt;35 in) &gt;80 cm (&gt;31.5 in) &gt;85 cm (&gt;33.5 in) &gt;90 cm (&gt;35 in) Use South Asian recommendations until more specific data are available. Use European data until more specific data are available. Eastern Mediterranean and Middle Eastern (Arab) populations Use European data until more specific data are available. Source: Reproduced with permission from KG Alberti, P Zimmet, J Shaw; IDF Epidemiology Task Force Consensus Group. The metabolic syndrome-a new worldwide definition. Lancet 366:1059, 2005. 3189 TABLE 414-3 Obesity-Related Organ Systems Review Cardiovascular Hypertension Congestive heart failure Cor pulmonale Varicose veins Pulmonary embolism Coronary artery disease Endocrine Metabolic syndrome Type 2 diabetes Dyslipidemia Polycystic ovarian syndrome Musculoskeletal Hyperuricemia and gout Immobility Osteoarthritis (knees and hips) Low back pain Carpal tunnel syndrome Psychological Depression/low self-esteem Body image disturbance Social stigmatization Integument Striae distensae Stasis pigmentation of legs Lymphedema Cellulitis Intertrigo, carbuncles Acanthosis nigricans Acrochordons (skin tags) Hidradenitis suppurativa Respiratory Dyspnea Obstructive sleep apnea Hypoventilation syndrome Pickwickian syndrome Asthma Gastrointestinal Gastroesophageal reflux disease Nonalcoholic fatty liver disease Cholelithiasis Hernias Colon cancer Genitourinary Urinary stress incontinence Obesity-related glomerulopathy Hypogonadism (male) Breast and uterine cancer Pregnancy complications Neurologic Stroke Idiopathic intracranial hypertension Meralgia paresthetica Dementia Stage 0 No complications Although individuals vary, the number and severity of organ-specific complications and comorbid conditions usually rise with increasing levels of obesity. Identifying the High-Risk Patient Efforts are under way to develop more practical and useful assessments to identify patients who are at high risk in addition to using BMI alone. Analogous to other staging systems commonly used for congestive heart failure or chronic kidney disease, the American Association of Clinical Endocrinology (AACE) and the American College of Endocrinology (ACE) guide lines advocate a simple and clinically useful obesity disease staging system that is based on ethnic-specific BMI cutoffs in conjunction with assessment for adiposity-related complications (Fig. 414-1). Stage 0 is assigned to individuals who are overweight or have obesity by BMI classification but have no complications, whereas stages 1 and 2 are defined as individuals who are overweight or have obesity by BMI classification and have one or more mild-moderate complications (stage 1) or at least one severe complication (stage 2). A different func tional staging system for obesity, called the Edmonton Obesity Staging System (EOSS), classifies individuals with obesity into five graded categories (0–4), based on their morbidity and health-risk profile along three domains—medical, functional, and psychological. In this system, staging occurs independent of BMI. </w:t>
      </w:r>
      <w:r w:rsidRPr="00A6019F">
        <w:lastRenderedPageBreak/>
        <w:t xml:space="preserve">Assessing the Patent’s Readiness to Change An attempt to initiate lifestyle changes when the patient is not ready usually leads to frustration and may hamper future weight-loss efforts. Assessment includes patient motivation and support, stressful life events, psychi atric status, time availability and constraints, and appropriateness of goals and expectations. Readiness can be viewed as the balance of two opposing forces: (1) motivation, or the patient’s desire to change; and (2) resistance, or the patient’s barriers to change. A helpful method to begin a readiness assessment is to use the motivational interviewing technique of “anchoring” the patient’s interest and confidence to change on a numerical scale. With this technique, the patient is asked to rate—on a scale from 0 to 10, with 0 being not so important (or confident) and 10 being very important (or confident)—their level of interest in and confidence about engaging in CHAPTER 414 Evaluation and Management of Obesity Stage 1 Stage 2 Mild-moderate complications BMI Treatment/ prevention Suggested therapy BMI 25–29.9 BMI ≥30 Secondary Prevent complications Lifestyle BMI ≥25 Tertiary Treat complications Lifestyle Severe complications BMI ≥25 Tertiary Treat complications Lifestyle Consider medication P lus medication consider surgery • Metabolically healthy • Pre-hypertension obese Examples • No biomechanical complications • Hepatic steatosis • OSA with AHI 5–30 and mild symptoms • Osteoarthritis with WOMAC score 1–5 • Prediabetes • Metabolic syndrome • Type 2 diabetes • NASH • Hypertension • OSA with symptoms or AHI &gt;30 • Osteoarthritis with WOMAC score 5–10 or knee replacement surgery FIGURE 414-1 Staging the severity of obesity using the American Association of Clinical Endocrinology clinical practice guidelines. AHI, apnea-hypopnea index; BMI, body mass index; NASH, nonalcoholic steatohepatitis; OSA, obstructive sleep apnea; WOMAC, Western Ontario and McMaster Universities Osteoarthritis Index (a patient reported outcome measure for osteoarthritis registering pain, stiffness, and function). (Data from WT Garvey et al: American Association of Clinical Endocrinologists and American College of Endocrinology comprehensive clinical practice guidelines for medical care of patients with obesity. Endocr Pract 22(Suppl 3):1, 2016.) 3190 weight management at this time. This exercise helps establish readiness to change and also serves as a basis for further dialogue. TREATMENT Obesity THE GOAL OF THERAPY PART 12 Endocrinology and Metabolism The primary goals of treatment are to improve obesity-related com plications and comorbid conditions and quality of life and reduce the risk of developing future obesity-related complications. Infor mation obtained from the history, physical examination, and diag nostic tests is used to determine risk and develop a treatment plan. The decision of how aggressively to treat the patient and which modalities to employ is determined by using shared decision-mak ing that includes the patient’s risk status, expectations and personal values, and available resources. Not all patients who are deemed to have obesity by BMI screening need to be treated, since BMI alone is an imperfect measurement of the disease of obesity. How ever, patients who present with obesity-related complications and comorbidities and who would benefit from weight-loss intervention should be managed proactively. Therapy for obesity always begins with </w:t>
      </w:r>
      <w:r w:rsidRPr="00A6019F">
        <w:lastRenderedPageBreak/>
        <w:t xml:space="preserve">lifestyle management and may include pharmacotherapy or bariatric surgery, depending on BMI risk category (Table 414-4). Setting an initial weight-loss goal of 8–10% over 6 months is a realistic and practical target. LIFESTYLE MANAGEMENT Obesity care involves attention to three essential elements of life style: dietary habits, physical activity, and behavior modification. Because obesity is fundamentally a disease of energy imbalance, all patients must learn how and when energy is consumed (diet), how and when energy is expended (physical activity), and how to incor porate this information into their daily lives (behavioral therapy). Lifestyle management has been shown to result in a modest (typically 3–5 kg) weight loss when compared with no treatment or usual care. Diet Therapy The primary focus of diet therapy is to reduce overall calorie consumption. Guidelines from the American Heart Association/American College of Cardiology/The Obesity Society (AHA/ACC/TOS) recommend initiating treatment with a calorie deficit of 500–750 kcal/d compared with the patient’s habitual diet. Alternatively, a diet of 1200–1500 kcal/d for women and 1500–1800 kcal/d for men (adjusted for the individual’s body weight) can be prescribed. This reduction is consistent with a goal of losing ~1–2 lb/week. The calorie deficit can be instituted through dietary substitutions or alternatives. Examples include choosing smaller portion sizes, eating more fruits and vegetables, consuming more whole-grain cereals, selecting leaner cuts of meat and skimmed dairy products, reducing consumption of fried foods and other foods with added fats and oils, and drinking water instead of sugar-sweetened beverages. It is important that dietary counseling remains patient centered and that the selected goals are SMART (specific, measurable, agreed upon, realistic, timely). The macronutrient composition of the diet will vary with the patient’s preference and medical condition. The 2020 U.S. Depart ment of Agriculture Dietary Guidelines for Americans (Chap. 343), which focus on health promotion and risk reduction, can be applied to treatment of patients who are overweight or have obesity. The TABLE 414-4 A Guide to Opting for Treatment for Obesity TREATMENT Diet, exercise, behavioral therapy Pharmacotherapy Surgery 25–26.9 With comorbidities 27–29.9 recommendations include maintaining a diet rich in whole grains, fruits, vegetables, and dietary fiber; decreasing sodium intake to 300 min of moderate-intensity activity per week) is often needed to lose weight and sustain weight loss. These exercise recommendations are daunting to most patients and need to be implemented gradu ally. Consultation with an exercise physiologist or personal trainer may be helpful. Behavioral Therapy Cognitive behavioral therapy is used to help change and reinforce new dietary and physical activity behaviors. Strategies include self-monitoring techniques (e.g., journaling, weighing, and measuring food and activity); stress management; stimulus control (e.g., using smaller plates, not eating in front of the television or in the car); social support; problem solving; and cognitive restructuring to help patients develop more positive and realistic thoughts about themselves. When recommending any behavioral lifestyle change, the patient should be asked to identify what, when, where, and how the behavioral change will be per formed. The patient </w:t>
      </w:r>
      <w:r w:rsidRPr="00A6019F">
        <w:lastRenderedPageBreak/>
        <w:t xml:space="preserve">should keep a record of the anticipated behav ioral change so that progress can be reviewed at the next office visit. Because these techniques are time consuming to implement, their supervision is often undertaken by ancillary office staff, such as an advanced practice provider or registered nutritionist. PHARMACOTHERAPY Adjuvant pharmacologic treatments should be considered for patients with a BMI ≥30 kg/m2 or a BMI ≥27 kg/m2 who have con comitant obesity-related diseases and for whom dietary and physi cal activity therapy has not been successful. When an antiobesity medication is prescribed, patients should be actively engaged in a lifestyle program that provides the strategies and skills needed to use the drug effectively since such support increases total weight loss. Medications for obesity have traditionally fallen into two major categories: those that affect appetite and those that inhibit gastro intestinal fat absorption. However, since the introduction of more effective nutrient-stimulated hormone-based therapeutics in 2021, an additional designation of first- and second-generation medica tions has been adopted. Antiobesity medications are approved by the U.S. Food and Drug Administration (FDA) with an indication for chronic weight management, with the exception of phentermine and other sympathomimetics, which are only approved for short term use. The centrally active medications work biologically to suppress appetite, affecting hunger, satiety, and response to highly rewarding foods, and thus making it easier for patients to follow their dietary intentions to reduce caloric intake. In addition, one capsule that is considered a medical device was marketed in 2020. Characteristics of the currently approved antiobesity medications are shown in Table 414-5. First-Generation Centrally Acting Medications This class of medications directly targets neurotransmitters in the hypothalamus and reward centers in the central nervous system (Chap. 413) to affect satiety (feeling of fullness after a meal), hunger (the biologic sensation that prompts eating), and craving (intense desire for a specific food). By controlling appetite, these agents help patients reduce caloric intake without a sense of deprivation. The classic sympathomimetic adrenergic agents (benzphetamine, phendimet razine, diethylpropion, and phentermine) function by stimulating norepinephrine release or by blocking its reuptake. Among these agents, phentermine is the most commonly prescribed; however, there is limited long-term data on its effectiveness. A 2002 review of six randomized, placebo-controlled trials of phentermine for weight control found that patients lost 0.6–6.0 additional kg of weight over 2–24 weeks of treatment. The most common side effects of the amphetamine-derived agents are restlessness, insomnia, dry mouth, constipation, and increased blood pressure and heart rate. Phentermine/topiramate (PHEN/TPM) is a combination drug that contains a catecholamine releaser (phentermine) and an anti convulsant (topiramate). Topiramate is approved by the FDA as an anticonvulsant for the treatment of epilepsy and for the prophylaxis of migraine headaches. Weight loss was identified as an unintended side effect of topiramate during clinical trials for epilepsy. The mechanism responsible for weight loss is uncertain but is thought to be mediated through the drug’s modulation of γ-aminobutyric acid receptors, inhibition of carbonic </w:t>
      </w:r>
      <w:r w:rsidRPr="00A6019F">
        <w:lastRenderedPageBreak/>
        <w:t xml:space="preserve">anhydrase, and antagonism of glutamate. PHEN/TPM has undergone two 1-year pivotal ran domized, placebo-controlled, double-blind trials of efficacy and safety: EQUIP and CONQUER. In a third study, SEQUEL, 78% of CONQUER participants continued to receive their blinded treatment for an additional year. All participants received diet and exercise counseling. Mean percent weight loss for participants randomized to medication and placebo are displayed in Fig. 414-2. Intention-to-treat 1-year placebo-subtracted weight loss for PHEN/ TPM was 9.3% (15-mg/92-mg dose) and 6.6% (7.5-mg/46-mg dose), respectively, in the EQUIP and CONQUER trials. Clinical and statistical dose-dependent improvements were seen in selected cardiovascular and metabolic outcome measurements that were related to the weight loss. The most common adverse events experi enced by the drug-randomized group were paresthesias, dry mouth, constipation, dysgeusia, and insomnia. Because of an increased risk of congenital fetal oral-cleft formation from topiramate, women of childbearing age should have a negative pregnancy test before treatment and monthly thereafter and use effective contraception consistently during medication therapy. Naltrexone SR/bupropion SR (NB) is a combination of an opioid antagonist and a dopamine and norepinephrine reuptake inhibitor, respectively. Individually, naltrexone is approved by the FDA for the treatment of alcohol dependence and for the blockade of the effects of exogenously administered opioids, whereas bupropion is approved as an antidepressant and smoking cessation aid. As a combination drug, each component works in consort: bupropion stimulates secretion of α-melanocyte-stimulating hormone (MSH) from proopiomelanocortin (POMC), whereas naltrexone blocks the feedback inhibitory effects of opioid receptors activated by the β-endorphin released in the hypothalamus, thus allowing the inhibitory effects of MSH to reduce food intake. The medication has undergone three randomized, placebo controlled, double-blind trials for efficacy and safety. Participants were randomized to receive NB (8 mg/90 mg two tablets bid) or placebo in the three COR studies. Whereas participants received standardized nutritional and exercise counseling in COR-I and COR-II, a more intensive behavior modification program was provided in COR-BMOD (Table 414-5). Intention-to-treat 1-year placebo-subtracted weight loss was 4.8%, 5.1%, and 4.2%, respec tively, in the COR-I, COR-II, and COR-BMOD trials. Clinical and statistical dose-dependent improvements were seen in selected car diovascular and metabolic outcome measurements that were related to the weight loss. However, the medication led to slight increases or smaller decreases in blood pressure and pulse than placebo. The most common adverse events experienced by the drug-randomized groups were nausea, constipation, headache, vomiting, dizziness, diarrhea, insomnia, and dry mouth. CHAPTER 414 Evaluation and Management of Obesity 3192 PART 12 Endocrinology and Metabolism TABLE 414-5 Antiobesity Medications DRUG CHARACTERISTIC PHENTERMINE ORLISTAT PHEN/TPM NAL/BUP LIRAGLUTIDE SEMAGLUTIDE TIRZEPATIDE Mechanism of action Sympathomimetic, increases norepinephrine release in CNS Gastrointestinal lipase enzyme inhibitor Phen: </w:t>
      </w:r>
      <w:r w:rsidRPr="00A6019F">
        <w:lastRenderedPageBreak/>
        <w:t xml:space="preserve">sympathomimetic in CNS; TPM: modulates GABA receptors in the CNS Nal: blocks opioid mediated POMC autoinhibition; bup: activates POMC in the hypothalamus GLP-1 receptor agonist GLP-1 receptor agonist GLP-1/GIP dual receptor agonist Route of administration, frequency, and dose Oral, once to 3 times daily, doses of 8, 15, 30, and 37.5 mg Oral, 3 times daily, within 1 h of fat containing meals Oral, once daily. Start 3.75/23 mg/d × 2 weeks, then 6.5/46 mg/d; can escalate to max dose of 15/2 mg/d Oral, 1 tablet (8 mg/90 mg) qAM × 1 week; 1 tablet in morning and evening × 1 week; 2 tablets in morning and 1 tablet in evening × 1 week; then 2 tablets in morning and 2 tablets in evening Subcutaneous, once daily; initiate at 0.6 mg/d × 1 week; increase by 0.6 mg weekly to 3 mg/d Subcutaneous, once weekly; 0.25 mg qW × 4 weeks, then 0.5 mg qW × 4 weeks, then 1 mg qW × 4 weeks, then 1.7 mg qW × 4 weeks, then 2.4 mg qW Subcutaneous, once weekly; 2.5 mg qW × 4 weeks, then 5 mg qW × 4 weeks, then 7.5 mg qW × 4 weeks, then 10 mg qW × 4 weeks, then 12.5 mg qW, then 15 mg qW Percent weight loss (placebo subtracted)a 4.4% 4.1% 8.0% 5.1% 5.4% 12.5% 17.8% Most common adverse effects Dry mouth Insomnia Constipation Headache Dizziness Steatorrhea Increased defecation Oily spotting Liquid stool Fecal urgency Paresthesia Dry mouth Constipation Headache Insomnia Dizziness Nausea Constipation Headache Vomiting Dizziness Insomnia Nausea Diarrhea Constipation Dyspepsia Vomiting Nausea Diarrhea Constipation Dyspepsia Vomiting Nausea Diarrhea Constipation Abdominal pain Contraindications Uncontrolled hypertension, untreated hyperthyroidism, within 14 d of MAOI use Chronic malabsorption Uncontrolled hypertension, untreated hyperthyroidism, history of glaucoma, calcium oxalate nephrolithiasis, within 14 d of MAOI use Uncontrolled hypertension, history of seizures, bulimia or anorexia nervosa, within 14 d of MAOI use, long-term opioid use Personal or family history of medullary thyroid cancer, MEN type 2; pancreatitis is a caution Personal or family history of medullary thyroid cancer; MEN type 2; pancreatitis is a caution Personal or family history of medullary thyroid cancer, MEN type 2; pancreatitis is a caution aBased on maximal dose. Abbreviations: CNS, central nervous system; GABA, γ-aminobutyric acid; GIP, gastric inhibitory polypeptide; GLP-1, glucagon-like peptide 1; MAOI, monoamine oxidase inhibitor; MEN, multiple endocrine neoplasia; Nal/Bup, naltrexone/bupropion; Phen/TPM, phentermine/topiramate; POMC, proopiomelanocortin; qW, every week. Liraglutide was the first glucagon-like peptide 1 receptor agonist (GLP-1 RA) with 97% homology to human GLP-1 that introduces nutrient-stimulated, hormone-based therapy for the treatment of obesity. In addition to its effect as an incretin hormone (glucose induced insulin secretion), liraglutide inhibits both gastric empty ing and glucagon secretion and stimulates GLP-1 receptors in the arcuate nucleus of the hypothalamus, the nucleus tractus solitarius of the brainstem, and projections to other appetite-modulating relay nuclei to reduce appetite. As a result of molecular modifications of the structure, liraglutide has reduced susceptibility to DPP-4 and can be dosed once daily by subcutaneous (SC) administration with a half-life of ~11–15 h. Liraglutide was initially approved for the treatment of type 2 diabetes in the </w:t>
      </w:r>
      <w:r w:rsidRPr="00A6019F">
        <w:lastRenderedPageBreak/>
        <w:t xml:space="preserve">United States in 2010 at doses up to 1.8 mg once daily. It was subsequently approved for obesity treatment at doses up to 3.0 mg once daily in 2014 for adults and, in 2020, for adolescents (aged ≥12 years). Specifically targeting obesity, liraglutide has undergone five ran domized, double-blind, placebo-controlled trials in adults called SCALE (Satiety and Clinical Adiposity–Liraglutide Evidence) involving &gt;5000 adult participants to evaluate its efficacy and safety for weight management. All participants received diet and physi cal activity counseling and were randomized to receive liraglutide (3.0 mg SC daily) or placebo with the primary outcome of change in body weight. Intention-to-treat 1-year placebo-subtracted weight loss for these trials ranged from 3.4 to 6.1%. Clinical and statistical dose-dependent improvements were seen in selected cardiovascular and metabolic outcome measurements. In SCALE TEENS, which involved adolescents with obesity (average age 14.6 years), the liraglutide-treated group demonstrated a placebo-subtracted weight loss of 5%. The most common adverse events from the SCALE tri als were nausea, diarrhea, constipation, and vomiting, which were reported as mild and transient. GLP-1 agonists should not be pre scribed in patients with a family or personal history of medullary thyroid cancer or multiple endocrine neoplasia. Setmelanotide is a melancortin-4 (MC4) receptor agonist that was FDA approved in 2020 for daily SC administration for chronic weight management in adults and pediatric patients 6 years of age and older with monogenic or syndromic obesity due to Bardet Biedl syndrome (BBS) or POMC, proprotein convertase subtilisin/ kexin type 1 (PCSK1), or leptin receptor (LEPR) deficiency. The medication addresses the underlying hyperphagia and specific molecular mechanism of these rare genetic diseases. The most common side effects include injection site reactions, skin hyperpig mentation, nausea, and spontaneous penile erections. First-Generation Peripherally Acting Medication Orlistat is cur rently the only medication in this class. It is a synthetic hydroge nated derivative of a naturally occurring lipase inhibitor, lipostatin, that is produced by the mold Streptomyces toxytricini. This drug is a potent, slowly reversible inhibitor of pancreatic, gastric, and carboxylester lipases and phospholipase A2 , which are required for the hydrolysis of dietary fat into fatty acids and monoacylglycerols. 3193 Evaluation and Management of Obesity CHAPTER 414 Orlistat acts in the lumen of the stomach and small intestine by forming a covalent bond with the active site of these lipases. Taken at a therapeutic dose of 120 mg tid, orlistat blocks the digestion and absorption of ~30% of dietary fat. After discontinuation of the drug, fecal fat content usually returns to normal within 48–72 h. Multiple randomized, double-blind, placebo-controlled studies have shown an intention-to-treat 1-year placebo-subtracted weight loss of 2.7–4.1%. Because orlistat is minimally (4000 adults with dia betes found that, overall, 68.2% of patients experienced an initial complete remission of type 2 diabetes within 5 years after surgery. However, among these patients, one-third redeveloped type 2 dia betes within 5 years. Patients with earlier-stage type 2 diabetes (i.e., those who do not need insulin, with shorter-duration disease, and with lower hemoglobin A1c ) appear to have better improvement after </w:t>
      </w:r>
      <w:r w:rsidRPr="00A6019F">
        <w:lastRenderedPageBreak/>
        <w:t xml:space="preserve">bariatric surgery. The rapid improvement seen in diabetes after bariatric surgery is thought to be due to caloric restriction, reduced insulin resistance, and surgery-specific effects on glucose homeostasis brought about by alteration of gut hormones. The mortality rate from bariatric surgery is generally 65 years of age. There is also considerable geographic variation in the incidence of both type 1 and type 2 DM. Currently, Scandinavia and the Middle East have the highest incidence of type 1 DM, with the lowest inci dence in the Pacific Rim. Northern Europe and the United States have an intermediate rate. Much of the risk of type 1 DM is believed to reflect the frequency of high-risk human leukocyte antigen (HLA) alleles among ethnic groups in different geographic locations, but the type 1 DM incidence is increasing in non-European populations and in populations where the presence of the classic high-risk HLA alleles is less. The countries with the greatest number of individuals with type 1 DM, defined as diabetes onset at 20 years; 2019–2021) was 10.3% in non-Hispanic whites, 9.2% in Asians, 10.3% in Hispanics, 12.5% in non-Hispanic blacks, and 16% in Native American and Alaskan native populations. The onset of type 2 DM occurs, on average, at an earlier age in most non-Hispanic groups. In Asian populations (Southeast Asian and Western Pacific), the prevalence of type 2 DM is increasing rapidly, with onset at a lower body mass index (BMI) and younger age, greater visceral adiposity, and reduced insulin secretory capacity. Approximately 75% of individuals with diabetes live in low- or middle-income countries. Diabetes is a major cause of mortality. In 2021, diabetes was listed as the eighth leading cause of death in the United States, but several studies indicate that diabetes-related deaths are likely underreported. In 2021, the IDF estimated that diabetes was responsible for nearly 6.7 million deaths worldwide, accounting for 12.2% of global all-cause mortality in adults aged 20–79 years. About one-third of diabetes-related deaths occur in indi viduals in their working years ( 48 mmol/mol), an FPG ≥7.0 mmol/L (126 mg/dL), or a glucose ≥11.1 mmol/L (200 mg/dL) 2 h after an oral glucose challenge meets the criteria for the diagnosis of DM (Fig. 415-1). A random plasma glu cose concentration ≥11.1 mmol/L (200 mg/dL) accompanied by classic symptoms of DM (e.g., polyuria, polydipsia, weight loss) is also suffi cient for the diagnosis of DM. DM is defined as the level of glycemia at which a diabetes-specific complication (e.g., retinopathy) occurs rather than a deviation from a population-based mean. Impaired glucose homeostasis includes an HbA1c of 5.7–6.4%, IFG as defined as an FPG of 5.6–6.9 mmol/L (100–125 mg/dL), or IGT as defined as a plasma glucose level of 7.8–11 mmol/L (140–199 mg/ dL) following an oral glucose challenge. The term prediabetes refers to those with an HbA1c of 5.7–6.4%, IFG, or IGT. These categories reflect the position of the American Diabetes Association (ADA). The World Health Organization defines IFG as an FPG &gt;6.1 mmol/L (110 mg/dL). Although an HbA1c of 5.7–6.4%, IFG, and IGT do not identify the same individuals (i.e., different biologic mechanisms involved), individuals in all three groups are at greater risk of progressing to type 2 DM, have an increased risk of cardiovascular disease, and should be counseled about ways to decrease these risks. The risk for subsequent diabetes in </w:t>
      </w:r>
      <w:r w:rsidRPr="00A6019F">
        <w:lastRenderedPageBreak/>
        <w:t xml:space="preserve">indi CHAPTER 415 Diabetes Mellitus: Diagnosis, Classification, and Pathophysiology viduals with prediabetes is related to the HbA1c , with those with a value of 6.0–6.5% (42–48 mmol/mol) having a 25.5% 5-year risk of progress ing to type 2 DM. It is important to recognize that HbA1c ≥6.5%, FPG, and the glucose level following an oral glucose challenge are continuous rather than discrete variables, with the risk for comorbidities increasing continuously rather than discretely by diagnostic category. The current criteria for the diagnosis of DM emphasize the HbA1c and the FPG as the most reliable and convenient tests for identifying DM in asymptomatic individuals (Fig. 415-1). Also, it is important to note that some clinical conditions (e.g., hemoglobinopathies) and ancestry may influence the HbA1c (Chap. 416). An oral glucose toler ance test (OGTT) is not often used in routine clinical care with the exception of pregnancy care and screening for gestational diabetes or cystic fibrosis–related diabetes (Chap. 302). Continuous glucose monitoring (discussed in Chap. 416) is being examined as a method to diagnose diabetes, especially type 1 DM in its asymptomatic stages. The diagnosis of DM has profound implications for an individual from both a medical and a financial standpoint. Thus, abnormalities on screening tests for diabetes should be repeated before making a definitive diagnosis of DM, unless acute metabolic derangements or a markedly elevated plasma glucose are present. These criteria also allow for the diagnosis of DM to be withdrawn in situations when the glucose intolerance reverts to normal. </w:t>
      </w:r>
      <w:r w:rsidRPr="00A6019F">
        <w:rPr>
          <w:rFonts w:ascii="Arial" w:hAnsi="Arial" w:cs="Arial"/>
        </w:rPr>
        <w:t>■</w:t>
      </w:r>
      <w:r w:rsidRPr="00A6019F">
        <w:t xml:space="preserve">SCREENING Widespread use of HbA1c or FPG as a screening test for type 2 DM is recommended because (1) a large number of individuals who meet the 3198 TABLE 415-2 Criteria for Screening for Type 2 DM in Adults 1. Consider testing in adults of any age who are overweight or obese (BMI ≥25 kg/m2 or ≥23 kg/m2 in Asian Americans) who have one of these risk factors: • Family history of diabetes (i.e., parent or sibling with type 2 DM) • Race/ethnicity (e.g., African American, Latino, Native American, Asian American, Pacific Islander) • Hypertension (blood pressure ≥130/80 mmHg) • HDL cholesterol level 250 mg/dL (2.82 mmol/L) PART 12 Endocrinology and Metabolism • Polycystic ovary syndrome or acanthosis nigricans • History of cardiovascular disease • Physical inactivity • Other condition associated with insulin resistance (severe obesity, acanthosis nigricans) 2. Individuals with previously identified IFG, IGT, or a hemoglobin A1c of 5.7–6.4% should be screened annually. 3. Women who had GDM should be screened at least every 3 years. 4. For other individuals, initiate testing at 35 years of age and repeat every 3 years. 5. Individuals taking HIV medications or medications associated with diabetes (second-generation antipsychotic, glucocorticoids). 6. History of pancreatitis (screen within 3–6 months of episode of pancreatitis). 7. Cystic fibrosis (beginning at age 10); oral GTT recommended. 8. After organ transplantation; oral GTT recommended. Abbreviations: BMI, body mass index; GDM, gestational diabetes mellitus; GTT, glucose tolerance test; HDL, high-density lipoprotein; HIV, human immunodeficiency virus; IFG, impaired fasting glucose; IGT, impaired glucose tolerance. Source: Data from American Diabetes Association: 2. Diagnosis and classification of diabetes: Standards of care in diabetes—2024. Diabetes </w:t>
      </w:r>
      <w:r w:rsidRPr="00A6019F">
        <w:lastRenderedPageBreak/>
        <w:t xml:space="preserve">Care 47:S20, 2024, and other sources. current criteria for DM are asymptomatic and unaware that they have the disorder, (2) epidemiologic studies suggest that type 2 DM may be present for up to a decade before diagnosis, (3) some individuals with type 2 DM have one or more diabetes-specific complications at the time of their diagnosis, (4) treatment of type 2 DM may favorably alter the natural history of DM or complications related to diabetes, and (5) diagnosis of prediabetes should spur efforts for diabetes prevention (Table 415-2). The ADA recommends screening all individuals aged &gt;35 years every 3 years and screening individuals at an earlier age if they are overweight and have one additional risk factor for diabetes. Screening for cystic fibrosis–related diabetes (beginning at age 10 years) and posttransplantation diabetes should use OGTT rather than HbA1c (Chap. 302). Screening for GDM is not discussed in this chapter. While not discussed here, the rapid increase in type 2 DM incidence and preva lence in children and adolescents, especially in racial and ethnic minor ity populations, has led to recommendations for screening and therapies. REGULATION OF GLUCOSE HOMEOSTASIS </w:t>
      </w:r>
      <w:r w:rsidRPr="00A6019F">
        <w:rPr>
          <w:rFonts w:ascii="Arial" w:hAnsi="Arial" w:cs="Arial"/>
        </w:rPr>
        <w:t>■</w:t>
      </w:r>
      <w:r w:rsidRPr="00A6019F">
        <w:t xml:space="preserve">OVERALL REGULATION OF GLUCOSE HOMEOSTASIS Glucose homeostasis reflects a balance between energy intake from ingested food, hepatic glucose production (gluconeogenesis), and peripheral tissue glucose uptake and utilization. Insulin is the most important regulator of this metabolic equilibrium, but neural input, metabolic signals, and other hormones (e.g., glucagon) result in integrated control of glucose supply and utilization (Fig. 415-3). The organs that regulate glucose and lipids communicate by neural and humoral mechanisms with fat and muscle, producing adipokines, myokines, and metabolites that influence liver function. In the fasting state, low insulin levels, together with modest increases in glucagon, increase glucose production by promoting hepatic gluconeogenesis and glycogen breakdown (glycogenolysis). In parallel, glucose uptake in insulin-sensitive tissues (skeletal muscle and fat) is reduced, and there is increased mobilization of gluconeogenic precursors such as amino acids and free fatty acids (lipolysis). Under normal conditions, alpha cells increase glucagon secretion only when blood glucose or insulin levels are low or during exercise, but it is increased in fasting Brain Liver Glucose production, storage Glucose Glucose utilization Insulin glucagon Pancreatic islet FIGURE 415-3 Regulation of glucose homeostasis. The organs shown contribute to glucose utilization, production, or storage. See text for a description of the communications (arrows), which can be neural or humoral. Although not shown, the gastrointestinal tract and bone produce factors that influence glucose homeostasis. and postprandially in DM and stimulates excess glycogenolysis and gluconeogenesis by the liver and to a small degree by the renal medulla (Chap. 418). Conversely, in healthy people, the postprandial glucose load elicits a rise in insulin and fall in glucagon, leading to optimized glucose disposal. Insulin, an anabolic hormone, promotes the storage of carbohydrate and fat and protein synthesis. The major portion of postprandial glucose is utilized by skeletal muscle, an effect of insulin stimulated glucose uptake. Other tissues, most notably the brain, utilize glucose in an insulin-independent fashion. </w:t>
      </w:r>
      <w:r w:rsidRPr="00A6019F">
        <w:lastRenderedPageBreak/>
        <w:t xml:space="preserve">Factors secreted by skeletal myocytes, adipocytes (e.g., leptin, resistin, adiponectin), and bone also influence glucose homeostasis. </w:t>
      </w:r>
      <w:r w:rsidRPr="00A6019F">
        <w:rPr>
          <w:rFonts w:ascii="Arial" w:hAnsi="Arial" w:cs="Arial"/>
        </w:rPr>
        <w:t>■</w:t>
      </w:r>
      <w:r w:rsidRPr="00A6019F">
        <w:t xml:space="preserve">INSULIN BIOSYNTHESIS Insulin, produced by the beta cells of the pancreatic islets, is initially synthesized as a single-chain 86-amino-acid precursor polypeptide, preproinsulin. Subsequent proteolytic processing removes the amino terminal signal peptide, giving rise to proinsulin. Proinsulin is struc turally related to insulin-like growth factors I and II, which bind weakly to the insulin receptor. Cleavage of an internal 31-residue fragment from proinsulin generates C-peptide with the A (21 amino acids) and B (30 amino acids) chains of insulin being connected by disulfide bonds. The mature insulin molecule and C-peptide are stored together and co secreted from secretory granules in the beta cells. Because C-peptide is cleared more slowly than insulin, it is a useful marker of insulin secre tion and allows discrimination of endogenous and exogenous sources of insulin in the evaluation of hypoglycemia (Chaps. 89 and 418). Elevated levels of serum proinsulin have been observed in both type 1 and 2 DM and are thought to be indicative of beta cell dysfunction. Pancreatic beta cells co-secrete islet amyloid polypeptide (IAPP) or amylin, a 37-amino-acid peptide, along with insulin. The role of IAPP in normal physiology is incompletely defined, but it is the major com ponent of the amyloid fibrils found in the islets of patients with type 2 DM, and an analogue is sometimes used in treating type 1 and type 2 DM (Chap. 416). </w:t>
      </w:r>
      <w:r w:rsidRPr="00A6019F">
        <w:rPr>
          <w:rFonts w:ascii="Arial" w:hAnsi="Arial" w:cs="Arial"/>
        </w:rPr>
        <w:t>■</w:t>
      </w:r>
      <w:r w:rsidRPr="00A6019F">
        <w:t>INSULIN SECRETION Glucose is the key regulator of insulin secretion by the pancreatic beta cell, although amino acids, ketones, various nutrients, gastrointesti nal peptides, and neurotransmitters also influence insulin secretion. Glucose levels &gt;3.9 mmol/L (70 mg/dL) stimulate insulin synthesis, primarily by enhancing protein translation and processing. Insulin secretion occurs in two phases, a rapid first-phase response, and a more prolonged second phase. Impaired first-phase insulin responses are among the earliest detectable abnormalities during the progression in both type 1 and type diabetes. Glucose stimulation of insulin secre tion begins with its transport into the beta cell by a facilitative glucose transporter (Fig. 415-4). Glucose phosphorylation by glucokinase is 3199 Voltage-dependent Ca2+ channel K+ Ca2+ ATP-sensitive K+ channel Mitochondria Pyruvate SUR Depolarization ATP/ADP Ca2+ + cAMP Islet transcription factors + Glucose-6-phosphate Glucokinase Glucose Nucleus GLUT Glucose Secretory granules Incretins Incretin receptors Insulin C peptide IAPP FIGURE 415-4 Mechanisms of glucose-stimulated insulin secretion and abnormalities in diabetes. Glucose and other nutrients regulate insulin secretion by the pancreatic beta cell. Glucose is transported by a glucose transporter (GLUT1 and/or GLUT2 in humans, GLUT2 in rodents); subsequent glucose metabolism by the beta cell alters ion channel activity, leading to insulin secretion. The SUR receptor is the binding site for some drugs that act as insulin secretagogues. Mutations in the events or proteins underlined are a cause of monogenic forms of diabetes. ADP, adenosine diphosphate; ATP, adenosine triphosphate; cAMP, cyclic adenosine monophosphate; IAPP, islet amyloid polypeptide or amylin; SUR, sulfonylurea receptor. the rate-limiting step that controls glucose-</w:t>
      </w:r>
      <w:r w:rsidRPr="00A6019F">
        <w:lastRenderedPageBreak/>
        <w:t xml:space="preserve">regulated insulin secretion. Further metabolism of glucose-6-phosphate via glycolysis generates ATP, which inhibits the activity of an ATP-sensitive K+ channel. This channel consists of two separate proteins: one is the binding site for certain oral hypoglycemics (e.g., sulfonylureas, meglitinides); the other is an inwardly rectifying K+ channel protein (Kir6.2). Inhibition of this K+ channel induces beta cell membrane depolarization, which opens voltage-dependent calcium channels (leading to an influx of calcium) and stimulates insulin secretion. An alternative model of stimulated insulin secretion does not utilize oxidative phosphorylation, but instead proposes that glycolysis, pyruvate kinase, and spatially confined glucose metabolism impact the K+ channel protein. A number of meta bolic pathways internal to the beta cell as well as external cues amplify glucose-stimulated insulin secretion. For example, calcium release from the endoplasmic reticulum and other internal stores contributes to the rise in cytosolic calcium in response to glucose and contributes to the insulin secretory response. Glucagon-like peptide 1 (GLP-1) and glucose-dependent insulinotropic peptide (GIP) are incretin hormones that bind specific receptors on the beta cell to stimulate insulin secre tion through cyclic AMP production, but they have this effect only when the blood glucose is above the fasting level. Incretin hormones also suppress glucagon production and secretion. Incretin analogues or pharmacologic agents that prolong the activity of endogenous GLP-1 are used to treat type 2 DM. Classically, GLP-1 release was thought to occur solely from neuroendocrine L-cells of the gastrointestinal tract following food ingestion. However, recent preclinical studies suggest that intraislet production of GLP-1 from alpha cells may play a role in the regulation of insulin secretion. </w:t>
      </w:r>
      <w:r w:rsidRPr="00A6019F">
        <w:rPr>
          <w:rFonts w:ascii="Arial" w:hAnsi="Arial" w:cs="Arial"/>
        </w:rPr>
        <w:t>■</w:t>
      </w:r>
      <w:r w:rsidRPr="00A6019F">
        <w:t xml:space="preserve">INSULIN ACTION Insulin is secreted into the portal venous system and acts to suppress endogenous hepatic glucose production and increase hepatic glucose uptake. A large portion (50%) of secreted insulin is cleared by the liver in this first pass, yielding a portal-to-peripheral insulin concentration gradient of ~2:1, with important implications for the clinical use of exogenous insulin (Chap. 416). Uncleared insulin enters the systemic circulation where it binds to receptors in peripheral target tissues such as skeletal muscle and adipose. Insulin binding to its recep tor stimulates intrinsic tyrosine kinase activity, leading to receptor autophosphorylation and the recruitment of intracellular signaling molecules, including the important insulin receptor substrates (IRS). IRS and other adaptor proteins initiate a complex cascade of phosphor ylation and dephosphorylation reactions, resulting in the widespread metabolic and mitogenic effects of insulin. As an example, activation of the phosphatidylinositol-3′-kinase (PI3-kinase) pathway stimulates translocation of a facilitative glucose transporter (e.g., GLUT4) to the cell surface, an event that is crucial for glucose uptake by skeletal muscle and fat. Activation of other insulin receptor signaling pathways induces glycogen synthesis, protein synthesis, lipogenesis, and regula tion of various genes in insulin-responsive cells. PATHOGENESIS OF DM </w:t>
      </w:r>
      <w:r w:rsidRPr="00A6019F">
        <w:rPr>
          <w:rFonts w:ascii="Arial" w:hAnsi="Arial" w:cs="Arial"/>
        </w:rPr>
        <w:t>■</w:t>
      </w:r>
      <w:r w:rsidRPr="00A6019F">
        <w:t xml:space="preserve">TYPE 1 DM Type 1 DM is the result of interactions of genetic, environmental, and immunologic factors that ultimately lead to immune-mediated destruction of the pancreatic beta cells and insulin deficiency. </w:t>
      </w:r>
      <w:r w:rsidRPr="00A6019F">
        <w:lastRenderedPageBreak/>
        <w:t xml:space="preserve">Individ uals with type 1 DM, especially children, often have dramatic and acute symptoms of diabetes with marked elevations in the blood glucose, with 25–50% presenting with diabetic ketoacidosis (DKA). Type 1 DM can develop at any age. While classically thought as having its onset in prepuberty and adolescence, recent data estimate that as many as 40% of individuals who develop type 1 DM have onset at over the age of 30. Many individuals with adult-onset type 1 DM are initially misdiag nosed with type 2 DM, highlighting the need for vigilance when clas sifying the individual’s diabetes. Most, but not all, individuals with type 1 DM have evidence of islet-directed autoimmunity, which is detected by the presence of autoantibodies against islet cell antigens in the blood. The presence of two or more autoantibodies is now designated as stage 1 type 1 DM (Fig. 415-5). The temporal decline of beta cell function and mass preceding the development of type 1 DM is shown schematically in Fig. 415-5 as a smooth, gradual reduction in beta cell mass and function. However, natural history studies suggest an initial loss of first-phase insulin response that occurs years in advance of the onset of Stage 3 type 1 DM. This is followed by a gradual reduction in insulin secretion, until ~1-2 years before the onset of Stage 3 type 1 DM, when there is a more accelerated decline in beta cell function, Immunologic trigger CHAPTER 415 Diabetes Mellitus: Diagnosis, Classification, and Pathophysiology Immunologic abnormalities Genetic predisposition 100 Beta cell mass (% of max) 50 Progressive impairment of insulin release Stage 1 Stage 2 0 0 (Birth) Time (years) Stage 3 Overt diabetes No diabetes Diabetes FIGURE 415-5 Temporal model for development of type 1 DM. Individuals with a genetic predisposition are exposed to a trigger that initiates an autoimmune process, resulting in the development of islet autoantibodies and a gradual decline in beta cell function and mass. Stage 1 disease is characterized by the development of two or more islet cell autoantibodies but the maintenance of normoglycemia. Stage 2 disease is defined by continued autoimmunity and the development of dysglycemia. Stage 3 is defined by the development of hyperglycemia that exceeds the diagnostic criteria for the diagnosis of diabetes. The downward slope of the beta cell function varies among individuals and may not be continuous. A “honeymoon” phase may be seen in the first 1 or 2 years after the onset of diabetes and is associated with reduced insulin requirements. 3200 PART 12 Endocrinology and Metabolism culminating in significant metabolic decompensation at the time of clinical diagnosis. In susceptible individuals, the autoimmune process is thought to be triggered by an infectious or environmental stimulus, but definitive proof is lacking. In the majority of patients, autoantibod ies against islet cell antigens appear after this triggering event, followed by a progressive loss of insulin secretion. The time course between this triggering event and the development of Stage 3 type 1 DM varies widely among individuals, with some progressing rapidly to clinical diabetes and others evolving to diabetes more slowly, over a period of several years. Autopsy studies suggest the degree of loss of beta cell mass is variable at the time of disease presentation. At this point, resid ual functional beta cells exist but are insufficient in number and quality </w:t>
      </w:r>
      <w:r w:rsidRPr="00A6019F">
        <w:lastRenderedPageBreak/>
        <w:t xml:space="preserve">to maintain glucose tolerance. In some individuals, the events that trig ger the transition from dysglycemia to frank hyperglycemia are often associated with increased insulin requirements, as might occur during infections or puberty. After the initial clinical presentation of type 1 DM, a “honeymoon” phase may ensue during which time glycemic control is achieved with modest doses of insulin or, rarely, insulin is not needed. However, this fleeting phase of endogenous insulin production from residual beta cells disappears and the individual becomes insulin deficient. Many individuals with long-standing type 1 DM produce a small amount of insulin (as reflected by C-peptide production), and autopsy studies show that beta cells can persist in the pancreas decades after diagnosis. </w:t>
      </w:r>
      <w:r w:rsidRPr="00A6019F">
        <w:rPr>
          <w:rFonts w:ascii="Arial" w:hAnsi="Arial" w:cs="Arial"/>
        </w:rPr>
        <w:t>■</w:t>
      </w:r>
      <w:r w:rsidRPr="00A6019F">
        <w:t>GENETIC CONSIDERATIONS Susceptibility to type 1 DM involves multiple genes. The concor dance of type 1 DM in identical twins ranges from 30–70%, indi cating that additional modifying factors are likely involved in determining whether diabetes develops. The major susceptibility gene for type 1 DM is located in the HLA region on chromosome 6. Polymor phisms in the HLA complex account for ~50% of the genetic risk of developing type 1 DM. This region contains genes that encode the class II major histocompatibility complex (MHC) molecules, which present antigen to helper T cells and thus are involved in initiating the immune response (Chap. 360). The ability of class II MHC molecules to present antigen is dependent on the amino acid composition of their antigen binding sites. Refinements in genotyping of HLA loci have shown several genetic loci are predisposing (e.g., DRB1</w:t>
      </w:r>
      <w:r w:rsidRPr="00A6019F">
        <w:rPr>
          <w:rFonts w:ascii="Cambria Math" w:hAnsi="Cambria Math" w:cs="Cambria Math"/>
        </w:rPr>
        <w:t>∗</w:t>
      </w:r>
      <w:r w:rsidRPr="00A6019F">
        <w:t>0301-DQB1</w:t>
      </w:r>
      <w:r w:rsidRPr="00A6019F">
        <w:rPr>
          <w:rFonts w:ascii="Cambria Math" w:hAnsi="Cambria Math" w:cs="Cambria Math"/>
        </w:rPr>
        <w:t>∗</w:t>
      </w:r>
      <w:r w:rsidRPr="00A6019F">
        <w:t>0201 [DR3-DQ2] and DRB1</w:t>
      </w:r>
      <w:r w:rsidRPr="00A6019F">
        <w:rPr>
          <w:rFonts w:ascii="Cambria Math" w:hAnsi="Cambria Math" w:cs="Cambria Math"/>
        </w:rPr>
        <w:t>∗</w:t>
      </w:r>
      <w:r w:rsidRPr="00A6019F">
        <w:t>0401-DQB1</w:t>
      </w:r>
      <w:r w:rsidRPr="00A6019F">
        <w:rPr>
          <w:rFonts w:ascii="Cambria Math" w:hAnsi="Cambria Math" w:cs="Cambria Math"/>
        </w:rPr>
        <w:t>∗</w:t>
      </w:r>
      <w:r w:rsidRPr="00A6019F">
        <w:t>0302 [DR4-DQ8]). These haplo types are present at greater frequency in those with type 1 DM than in the general population, although most individuals with predisposing haplotypes do not develop diabetes. An improved understanding of the genetics of type 1 diabetes has also identified protective HLA haplotypes (e.g., DRB1</w:t>
      </w:r>
      <w:r w:rsidRPr="00A6019F">
        <w:rPr>
          <w:rFonts w:ascii="Cambria Math" w:hAnsi="Cambria Math" w:cs="Cambria Math"/>
        </w:rPr>
        <w:t>∗</w:t>
      </w:r>
      <w:r w:rsidRPr="00A6019F">
        <w:t>1501 and DQA1</w:t>
      </w:r>
      <w:r w:rsidRPr="00A6019F">
        <w:rPr>
          <w:rFonts w:ascii="Cambria Math" w:hAnsi="Cambria Math" w:cs="Cambria Math"/>
        </w:rPr>
        <w:t>∗</w:t>
      </w:r>
      <w:r w:rsidRPr="00A6019F">
        <w:t xml:space="preserve"> 0102-DQB1</w:t>
      </w:r>
      <w:r w:rsidRPr="00A6019F">
        <w:rPr>
          <w:rFonts w:ascii="Cambria Math" w:hAnsi="Cambria Math" w:cs="Cambria Math"/>
        </w:rPr>
        <w:t>∗</w:t>
      </w:r>
      <w:r w:rsidRPr="00A6019F">
        <w:t xml:space="preserve">). In addition to MHC class II associations, genome-wide associa tion studies have identified &gt;60 additional genetic loci that contribute susceptibility to type 1 DM (e.g., polymorphisms in the promoter region of the insulin gene, the CTLA-4 gene, interleukin 2 receptor, and PTPN22). Combined assessment of HLA and non-HLA loci using genetic risk scores has been used to improve prediction of type 1 DM risk, with polygenic risk scores being applied in population based screening studies. Notably, among recent cohorts of individuals with new-onset type 1 DM, there is a decreased representation of the highest-risk HLA alleles and increasing penetrance of disease in geno types classically associated with lower risk, suggesting environmental factors may have an increasing role in disease pathogenesis. Although the risk of developing type 1 DM is increased in relatives of individuals with the disease, the risk is relatively low: 1–9% if the parent has type 1 DM and 6–7% in a sibling (depending on which HLA haplotypes are shared). Hence, the majority of individuals with type 1 DM (&gt;80%) do not have a relative with this disorder. Pathophysiology Pathologically, the pancreatic islets demonstrate a modest infiltration of lymphocytes (a process termed insulitis); however, the frequency of insulitis is heterogeneous both within and between individuals. Studies of the </w:t>
      </w:r>
      <w:r w:rsidRPr="00A6019F">
        <w:lastRenderedPageBreak/>
        <w:t xml:space="preserve">autoimmune process have identi fied the following abnormalities in the innate and adaptive arms of the immune system: (1) islet cell autoantibodies (ICAs); (2) activated lymphocytes in the islets and peripancreatic lymph nodes; (3) T lym phocytes that proliferate when stimulated with islet proteins; and (4) release of cytokines within the insulitis. ICAs are distinct autoanti bodies directed at pancreatic islet molecules such as insulin, glutamic acid decarboxylase (GAD), islet antigen 2 (IA-2), or zinc transporter 8 (ZnT8) and serve as a marker of the autoimmune process of type 1 DM. Testing for ICAs is useful in classifying the type of DM as type 1 as they are present in the majority of individuals (&gt;85%) diagnosed with new onset type 1 DM. ICAs can also identify nondiabetic individuals at risk for developing type 1 DM, although their use for this purpose has been restricted until recently mostly to research studies. In children with high genetic risk followed from birth as part of several cohort studies, the presence of two or more ICAs, which often appeared in the first 3 years of life, was associated with a nearly 70% risk of developing type 1 DM after 10 years of follow-up and a &gt; 80% risk of developing diabetes after 15 years of follow-up. These observations led to a revi sion in the staging system for type 1 DM (Fig. 415-5), in which the development of multiple autoantibodies is now defined as the onset of stage 1 type 1 DM. While ICAs can be detected in the serum, and their presence is an important biomarker of type 1 DM risk, the antibod ies do not have a direct role in beta cell death. Beta cell destruction is mostly likely mediated by direct CD8+ T cell–mediated cytotoxicity. Beta cells may exacerbate this process through the development of modified proteins or “neoantigens” and through increased presenta tion of these antigens on their cell surface via upregulation of MHC class I molecules. In addition, beta cells may be damaged by the toxic effects of cytokines (i.e., tumor necrosis factor α [TNF-α], interferon γ, and interleukin 1 [IL-1]) as well as reactive oxygen species generated by infiltrating immune cells. Efforts to suppress the autoimmune pro cess at the time of diagnosis of diabetes have partially slowed beta cell destruction as reflected by a slower decline in C-peptide levels. There is now an increased emphasis on identifying high-risk individuals who have multiple ICAs in first-degree relatives of individuals with type 1 DM or in the general population to allow interventions earlier in the disease course (i.e., during stage 1 and 2 disease; Fig. 415-5). An exam ple is a single 14-day course of teplizumab, an Fc receptor–nonbinding anti-CD3 monoclonal antibody, which delayed the onset of stage 3 type 1 DM in high-risk individuals with multiple autoantibodies and dysglycemia (i.e., stage 2 type 1 DM) by a median of 32.5 months. This treatment, recently approved by the U.S. Food and Drug Administra tion (FDA) for stage 2 type 1 DM, is being used by selected centers in some individuals with stage 2 type 1 DM. Screening for presymptom atic type 1 DM using ICAs is rapidly evolving and is becoming more widely available. If ICAs are detected, referral to a specialized center for testing for dysglycemia and possible treatment to delay clinical diabetes should be considered. Measurement of ICAs is recommended for adults who have pheno typic features similar to those in classic type 1 DM (e.g., younger age at diagnosis, ketoacidosis, or rapid need for insulin </w:t>
      </w:r>
      <w:r w:rsidRPr="00A6019F">
        <w:lastRenderedPageBreak/>
        <w:t xml:space="preserve">treatment) as these individuals may have adult-onset type 1 DM. See additional discussion below in the section “Classification of DM in an Individual Patient.” Although other islet cell types (alpha cells [glucagon-producing], delta cells [somatostatin-producing], or PP cells [pancreatic polypeptide producing]) are functionally and embryologically similar to beta cells, they are spared from the autoimmune destruction. However, altered patterns of hormone secretion from these other cell types in type 1 DM likely contribute to metabolic instability. Alpha cell dysfunction is reflected by fasting and postprandial hyperglucagonemia but an impaired glucagon response to hypoglycemia. Environmental Factors Numerous environmental events have been proposed to trigger the autoimmune process in genetically suscep tible individuals; however, none has been conclusively linked to diabe tes. Identification of an environmental trigger has been difficult because the event may precede the onset of DM by several years (Fig. 415-5). Putative environmental triggers include viruses (coxsackie, rubella, and enteroviruses most prominently), bovine milk proteins, nitrosourea 3201 compounds, vitamin D deficiency, and environmental toxins. There is increasing interest in the microbiome and type 1 DM (Chap. 484). </w:t>
      </w:r>
      <w:r w:rsidRPr="00A6019F">
        <w:rPr>
          <w:rFonts w:ascii="Arial" w:hAnsi="Arial" w:cs="Arial"/>
        </w:rPr>
        <w:t>■</w:t>
      </w:r>
      <w:r w:rsidRPr="00A6019F">
        <w:t xml:space="preserve">TYPE 2 DM Type 2 DM likely encompasses a range of disorders with the common phenotype of hyperglycemia. Insulin resistance and abnormal insulin secretion are central to the development of type 2 DM. Although the primary defect is controversial, most studies support the view that insulin resistance precedes an insulin secretory defect but that dia betes develops only when insulin secretion becomes inadequate for the degree of insulin resistance. Historically, our understanding of the pathophysiology and genetics is mostly based on studies of individuals of European descent. Studies in more diverse populations are begin ning to yield new insights into pathophysiologic differences among ethnic groups. In general, Latinos have greater insulin resistance and East Asians and South Asians have more beta cell dysfunction, but both defects are present in both populations. East and South Asians appear to develop type 2 DM at a younger age and a lower BMI. In some groups, DM that is ketosis prone (often in obese individuals) or ketosis resistant (often lean) is sometimes seen. For example, African Americans can be more prone to nonketotic hyperosmolar presenta tion of diabetes exacerbations. In many forms of type 2 DM around the world, the social determinants of health play a major role in the rates of type 2 DM. </w:t>
      </w:r>
      <w:r w:rsidRPr="00A6019F">
        <w:rPr>
          <w:rFonts w:ascii="Arial" w:hAnsi="Arial" w:cs="Arial"/>
        </w:rPr>
        <w:t>■</w:t>
      </w:r>
      <w:r w:rsidRPr="00A6019F">
        <w:t xml:space="preserve">GENETIC CONSIDERATIONS Type 2 DM has a strong genetic component. The concordance of type 2 DM in identical twins is between 70 and 90%. Individuals with a parent with type 2 DM have an increased risk of diabetes; if both parents have type 2 DM, the risk approaches 70%. Insulin resis tance, as demonstrated by reduced glucose utilization in skeletal muscle, is present in many nondiabetic, first-degree relatives of indi viduals with type 2 DM. The disease is polygenic and multifactorial, because in addition to genetic susceptibility, environmental factors (e.g., obesity, poor nutrition, reduced physical inactivity, increasing age, and socioeconomic status) modulate the frequency and the phe notype. Shared environmental and lifestyle factors also contribute to the high concordance in </w:t>
      </w:r>
      <w:r w:rsidRPr="00A6019F">
        <w:lastRenderedPageBreak/>
        <w:t xml:space="preserve">families. In addition, the in utero environ ment contributes, with either increased or reduced birth weight increasing the risk of type 2 DM in adult life. Children of pregnancies complicated by gestational hyperglycemia also exhibit an increased risk of type 2 DM. The genes that predispose to type 2 DM are incompletely identified, but genome-wide association studies have identified a large number of genetic loci (&gt;600) that convey a relatively small risk for type 2 DM (relative risk of 1.06–1.5). Most prominent is a variant of the transcription factor 7-like 2 gene that has been associated with both type 2 DM and IGT in several populations. The mechanisms by which these genetic loci, which are found mostly in noncoding regions of the genome, increase the susceptibility to type 2 DM are not clear, but most are predicted to alter islet function or development or insulin secretion. Although the genetic susceptibility to type 2 DM is under active inves tigation (it is estimated that 60 years of age) (Chap. 6) Abbreviation: HbA1c , glycated hemoglobin A1c . Patient-oriented websites also offer important resources for patients and their caregivers. Examples of these resources include: https://www. tidepool.org/about; https://diatribe.org/understanding-diabetes/diabetes technology; and https://pro.diabeteswise.org/en/. Lifestyle Management in Diabetes Care The patient with type 1 or type 2 DM should receive education about nutrition, physical activity, psychosocial support, care of diabetes during illness, medications used to control the glucose, methods for glucose monitoring, and strategies to prevent diabetes-related complications. Patient education allows and encourages individuals with DM to assume greater responsibility for their care, leading to improved compliance. Diabetes Self-Management Education and Support (DSMES) DSMES refers to ways to improve the patient’s knowl edge, skills, and abilities necessary for diabetes self-care and should also emphasize psychosocial issues and emotional well-being. Patient education is a continuing process with regular visits for reinforcement; it is not a process completed after one or two visits. It should receive special emphasis at the diagnosis of diabetes, annually, or at times when diabetes treatment goals are not attained, and during transitions in life or medical care. DSMES is delivered by a diabetes educator who is a health care professional (nurse, dietician, or pharmacist) with specialized patient-education skills and who is certified in diabetes education (e.g., Association of Diabetes Care and Education Specialists or Certification Board for Diabetes Care and Education). Education topics important for optimal diabetes self-care include continuous glucose monitoring (CGM) or blood glucose monitoring (BGM); urine or blood ketone monitoring (type 1 DM); insulin administra tion; guidelines for diabetes management during illnesses; prevention and management of hypoglycemia (Chap. 418); foot and skin care; diabetes management before, during, and after exercise; and risk factor–modifying activities. The focus is providing patient-centered, individualized education. More frequent contact between the patient CHAPTER 416 Diabetes Mellitus: Management and Therapies 3206 and the diabetes management team (e.g., electronic, telephone, video) improves glycemic control. PART 12 Endocrinology and Metabolism Nutrition Therapy Medical nutrition therapy (MNT) is a </w:t>
      </w:r>
      <w:r w:rsidRPr="00A6019F">
        <w:lastRenderedPageBreak/>
        <w:t xml:space="preserve">term used by the ADA to describe the optimal coordination of caloric intake with other aspects of diabetes therapy (e.g., insulin, exercise, and weight loss). Some aspects of MNT are directed at preventing or delaying the onset of type 2 DM in high-risk individuals (obese or with prediabetes) by promoting weight reduction. Other measures of MNT are directed at improving glycemic control through monitoring car bohydrate intake, avoiding simple sugars and fructose, and managing diabetes-related complications (atherosclerotic cardiovascular disease [ASCVD], nephropathy). Medical treatment of obesity, including phar macologic approaches that facilitate weight loss and metabolic surgery, should be considered in some patients (Chaps. 413 and 414). In general, the components of optimal MNT are similar for individ uals with type 1 or type 2 DM—high-quality, nutrient-dense foods with limits on carbohydrate intake and weight management (Table 416-2). The data are currently inconclusive about various eating patterns (e.g., intermittent fasting). Sleep deprivation and shift work are risk factors for weight gain and insulin resistance. Dietary advice should be individualized, acknowledging personal preferences, cultural, and religious traditions. Use of the glycemic index, an estimate of the post prandial rise in the blood glucose when a certain amount of that food is consumed, may reduce postprandial glucose excursions and improve glycemic control. The goal of MNT in type 1 DM is to coordinate and match the car bohydrate intake, both temporally and quantitatively, with the appro priate amount of insulin. MNT in type 1 DM is informed by CGM and/or BGM that should be integrated to define the optimal insulin regimen. Based on the patient’s estimate of the carbohydrate content of TABLE 416-2 Nutritional Recommendations for Adults with Diabetes or Prediabetesa General dietary guidelines • Vegetables, fruits, whole grains, legumes, low-fat dairy products and food higher in fiber and lower in glycemic content; optimal diet composition and eating pattens are not known. Fat in diet (optimal percentage of diet is not known; should be individualized) • Encourage Mediterranean-style diet rich in monounsaturated and polyunsaturated fatty acids. • Minimal or no trans fat consumption. Carbohydrate in diet (optimal percentage of diet is not known; should be individualized) • Monitor carbohydrate intake in regard to calories and set limits for meals to reduce postprandial glycemia. • Consider limiting overall carbohydrate intake in adults with diabetes as this may improve glycemia. • Avoid fructose- and sucrose-containing beverages and minimize consumption of foods with added sugar that may displace healthier, more nutrient-dense food choices and elevate postprandial glycemia. • Estimate grams of carbohydrate in diet for flexible insulin dosing (type 1 diabetes and insulin-dependent type 2 diabetes). • Consider using glycemic index to predict how consumption of a particular food may affect blood glucose. Protein in diet (optimal percentage of diet is not known; should be individualized) Other components • Reduced-calorie and nonnutritive sweeteners may be useful. • Routine supplements of vitamins, antioxidants, or trace elements not supported by evidence. • Vitamin D and calcium supplemental as recommended to promote bone health. • Sodium intake as advised for general population (14 mmol/L </w:t>
      </w:r>
      <w:r w:rsidRPr="00A6019F">
        <w:lastRenderedPageBreak/>
        <w:t xml:space="preserve">(250 mg/ dL) and ketones are present; (3) if the blood glucose is 180 mg/dL (10.0 mmol/L) Target Range: 70–180 mg/dL (3.9–10.0 mmol/L) PART 12 Endocrinology and Metabolism 70% 65 years) should be individualized and consider the over all clinical state of the individual. For example, in an elderly individual with robust cognition and few major health issues, the glycemic goal may be the same as in younger individuals (HbA1c target 54 mg/dL (&gt;3 mmol/L) indicating level 1 or mild hypoglycemia)c  Time below 70% within 3.9–10.0 mmol/L (70–180 mg/dL)c  70% within 4.4–10.0 mmol/L (80–180 mg/dL)c   50% within 5.5–10.0 mmol/L (100–200 mg/dL)c  0%           0%         N/A   &gt;40% within 6.7–12.2 mmol/L (120–220 mg/dL)c  0%           0%         N/A Preprandial capillary blood glucose 4.4–7.2 mmol/L (80–130 mg/dL) 4.4–7.2 mmol/L (80–130 mg/dL) 5.0–8.3 mmol/L (90–150 mg/dL) 5.6–10.0 mmol/L (100–180 mg/dL) Postprandial capillary blood glucosee 65 years. Some suggest different glycemic targets such as the American Association of Clinical Endocrinology (AACE), which suggests an HbA1c goal 42 h); it provides similar glycemic control as glargine but with less frequent nocturnal and severe hypoglycemia. Other modified insulins, such as one with a duration of action of 1 week, are in clinical trials and will likely soon be available. Basal insulin requirements, largely fine-tuning hepatic glucose metabolism, are provided by long-acting insulin formulations (NPH insulin, insulin glargine, or insulin degludec) (Fig. 416-1D; Table 416-5). These are usually prescribed with rapid-acting insulin in an attempt to mimic physiologic insulin release with meals (prandial insulin require ment). In the past, NPH and short-acting insulin formulations were mixed in the same syringe, but this is not common now. The miscibil ity of some insulins allows for the production of combination insulins that contain 70% NPH and 30% regular (70/30), or equal mixtures of NPH and regular (50/50). By including the insulin analogue mixed with protamine, several additional combinations have a rapid-acting and long-acting profile (Table 416-5; Fig. 416-1D). Although more convenient for the patient (only two injections a day), combination insulin formulations do not allow independent adjustment of short acting and long-acting activity and are not appropriate in type 1 DM management. Most insulin formulations are available as insulin “pens,” which are more convenient and accurate than syringes; “smart pens” can assist with insulin dose tracking. Insulin delivery by inhalation to provide mealtime insulin has a more rapid onset of action than insulin injected subcutaneously. Prior to its use, the forced expiratory volume in 1 s (FEV1 ) should be measured, and then monitored periodically during treatment. Inhaled insulin can cause bronchospasm and cough and should not be used by individuals with lung disease or those who smoke. Long-acting insulin/GLP-1RA combinations in fixed doses (degludec plus liraglutide or glargine plus lixisenatide) are effective and are associated with less weight gain. Insulin Regimens There is considerable patient-to-patient varia tion in the peak and duration. In all regimens, long-acting insulins (NPH, glargine, or degludec) supply basal insulin, whereas regular, insulin aspart, glulisine, or lispro provide prandial insulin (Fig. 416-1D; Table 416-5). Rapid-acting insulin analogues should be injected just before (177 μmol/L </w:t>
      </w:r>
      <w:r w:rsidRPr="00A6019F">
        <w:lastRenderedPageBreak/>
        <w:t>(2 mg/dL). This class of agents is not as potent as other oral agents in lowering the HbA1c but is unique because it reduces the postprandial glucose rise. If hypoglycemia from other diabetes treatments occurs while taking these agents, the patient should consume glucose because the degradation and absorption of complex carbohydrates will be slowed. OTHER THERAPIES FOR TYPE 2 DM •</w:t>
      </w:r>
      <w:r w:rsidRPr="00A6019F">
        <w:t> </w:t>
      </w:r>
      <w:r w:rsidRPr="00A6019F">
        <w:t xml:space="preserve">Bile Acid–Binding Resins Evidence indicates that bile acids, by signaling through nuclear recep tors, may have a role in metabolism. Bile acid metabolism is abnormal in type 2 DM. The bile acid–binding resin colesevelam has been approved for the treatment of type 2 DM (already approved for treat ment of hypercholesterolemia). The role of this class of drugs in the treatment of type 2 DM is not yet defined. Bromocriptine A formulation of the dopamine receptor agonist bro mocriptine (Cycloset) has been approved by the FDA for the treat ment of type 2 DM. However, its role in the treatment of type 2 DM is uncertain. INSULIN THERAPY IN TYPE 2 DM Insulin should be considered for ini tial therapy in type 2 DM, particularly in lean individuals or those with severe weight loss, in individuals with underlying renal or hepatic dis ease that precludes oral glucose-lowering agents, or in individuals who Because endogenous insulin secretion is capable of providing some coverage of mealtime caloric intake, insulin is usually initiated in a single dose of long-acting insulin (0.1–0.4 U/kg per day), given in the evening or just before bedtime (NPH, glargine, or degludec). Because fasting hyperglycemia and increased hepatic glucose production are prominent features of type 2 DM, bedtime insulin is more effective in clinical trials than a single dose of morning insulin. Glargine given at bedtime has less nocturnal hypoglycemia than NPH insulin. Some physicians prefer a relatively low, fixed starting dose of long-acting insulin (10–15 units) or a weight-based dose (0.1 units/kg). The insulin dose may then be adjusted in 10–20% increments as dictated by CGM or BGM results. Both morning and bedtime long-acting insulin may be used in combination with oral glucose-lowering agents. Initially, basal insulin may be sufficient, but often prandial insulin coverage with multiple insulin injections is needed as diabetes progresses (see insulin regimens used for type 1 DM). Other insulin formulations that have a combination of rapid-acting and long-acting insulin (Table 416-5) are sometimes used in patients with type 2 DM because of convenience but do not allow independent adjustment of rapid-acting and long-acting insulin dose and often do not achieve the same degree of glycemic control as basal/bolus regimens. AID in selected individuals with type 2 DM should be considered, especially in those who are insulin deficient. CGM should be used in all individuals taking insulin. CHOICE OF INITIAL GLUCOSE-LOWERING AGENT The level of hyper glycemia and the patient’s individualized goal (see “Establishment of Target Level of Glycemic Control”) should influence the initial choice of therapy. Patients with mild hyperglycemia (FPG 13.9 mmol/L [250 mg/dL]) may respond partially but are unlikely to achieve normoglycemia with oral therapy. Insulin can be used as initial therapy in individuals with severe hyperglycemia (FPG 200 units/day) can be treated with more concentrated forms of insulin to reduce the volume of injectate and improve absorption. </w:t>
      </w:r>
      <w:r w:rsidRPr="00A6019F">
        <w:rPr>
          <w:rFonts w:ascii="Arial" w:hAnsi="Arial" w:cs="Arial"/>
        </w:rPr>
        <w:t>■</w:t>
      </w:r>
      <w:r w:rsidRPr="00A6019F">
        <w:t xml:space="preserve">OTHER THERAPIES FOR DIABETES Metabolic </w:t>
      </w:r>
      <w:r w:rsidRPr="00A6019F">
        <w:lastRenderedPageBreak/>
        <w:t xml:space="preserve">(also referred to as bariatric) surgery for obese individuals with type 2 DM has shown considerable effectiveness, sometimes with dramatic resolution of diabetes or major reductions in the needed dose of glucose-lowering therapies (Chaps. 413 and 414). Several large, nonrandomized clinical trials have demonstrated a much greater efficacy of metabolic surgery compared to medical management in the treatment of type 2 DM, but these trials were conducted before the advent of recently available GLP-1RAs. The ADA clinical guide lines state that metabolic surgery should be considered in individuals with type 2 DM and a body mass index &gt;30 kg/m2 if hyperglycemia is inadequately controlled despite optimal medical therapy. Metabolic surgery is ideally performed in certified centers with experience with the procedures and associated nutritional support. Short-term intense caloric restriction (very-low-calorie diet, typi cally 800–1000 calories/d) can dramatically improve type 2 DM, sometimes leading to resolution of the diabetes. Such an approach is more effective in recent-onset type 2 DM and should be supervised by a provider with expertise and accompanied by a long-term, weight maintenance program. Whole-pancreas transplantation can normalize glucose control in type 1 DM and when performed simultaneously with or after kidney transplantation can prolong the life of the kidney transplant by offer ing protection against recurrent diabetic nephropathy. However, the number of whole-pancreas transplants is declining, likely reflecting the success with CGM and AID. Pancreatic islet transplantation is a less invasive form of beta-cell replacement therapy for type 1 DM; an islet product has received FDA approval. Despite the risks associated with chronic immunosuppression, whole-pancreas and pancreatic islet transplantation may be considered for patients with severe metabolic instability or already requiring immunosuppression in support of a kidney or other organ transplant. Patients with chronic pancreatitis and preserved islet function who require pancreatectomy for pain relief may benefit from autologous islet transplantation as this may prevent or ameliorate postsurgical DM. </w:t>
      </w:r>
      <w:r w:rsidRPr="00A6019F">
        <w:rPr>
          <w:rFonts w:ascii="Arial" w:hAnsi="Arial" w:cs="Arial"/>
        </w:rPr>
        <w:t>■</w:t>
      </w:r>
      <w:r w:rsidRPr="00A6019F">
        <w:t xml:space="preserve">EMERGING THERAPIES Recent clinical trials using transplantation of insulin-producing cells derived from human pluripotent stem cells have shown promise. Cost, durability, long-term safety, and patient selection remain to be determined. Many individuals with long-standing type 1 DM still produce very small amounts of insulin or have insulin-positive cells within the pancreas. This suggests that beta cells may slowly regen erate but are quickly destroyed by the autoimmune process. Efforts to suppress the autoimmune process, for example, with a monoclo nal antibody that targets T lymphocytes, may preserve beta cells when given at the time of new-onset hyperglycemia in type 1 DM. This agent, teplizumab, a humanized monoclonal antibody to CD3 on T cells, has been approved by the FDA to delay the onset of clinical type 1 DM (stage 3) in patients 8 years of age or older with preclinical (stage 2) disease. Agents that target thioredoxin-interacting protein (TXNIP), especially Ca2+ channel blockers, have shown promise in recent-onset type 1 DM and in rodent models of diabetes. ADVERSE EFFECTS OF THERAPY FOR DM The benefits of efforts directed toward glycemic control must be bal anced against the risks of treatment (Table 416-6). Side effects of inten sive </w:t>
      </w:r>
      <w:r w:rsidRPr="00A6019F">
        <w:lastRenderedPageBreak/>
        <w:t xml:space="preserve">treatment include an increased frequency of serious hypoglycemia, weight gain, and greater demands on the individual with diabetes. The most serious complication of therapy for DM is hypoglycemia, and its prevention and treatment with oral glucose or glucagon administered intra-nasally or by injection are discussed in Chap. 418. Severe, recur rent, or unexplained hypoglycemia warrants reassessment of the treat ment regimen and glycemic goal for the individual patient and possibly deintensification of insulin therapy (see categories of individuals for this would be appropriate in Table 416-4). Weight gain occurs with most (insulin, insulin secretagogues, thiazolidinediones) but not all (metformin, α-glucosidase inhibitors, GLP-1RAs, SGLT-1 inhibitors, DPP-4 inhibitors) therapies. The weight gain is partially due to the anabolic effects of insulin and the reduction in glucosuria. ACUTE DISORDERS RELATED TO SEVERE HYPERGLYCEMIA Individuals with type 1 or type 2 DM and severe hyperglycemia should be assessed for clinical stability, including mentation and hydration. The physician should determine if the individual with diabetes is stable or if DKA or a hyperglycemic hyperosmolar state (HHS) is present. In DKA, the hyperglycemia is accompanied by increased ketone concentration in blood and metabolic acidosis. In HHS, the hyperglycemia is usually greater, leading to hyperosmolality and marked dehydration but with out ketosis or acidosis. Ketones bodies, an indicator of DKA, should be measured in individuals with type 1 DM when the plasma glucose is persistently &gt;13.9 mmol/L (250 mg/dL). The possibility of DKA should always be considered in patients with type 1 DM during a concurrent illness or with symptoms such as nausea, vomiting, or abdominal pain. Measurement of β-hydroxybutyrate in the blood is preferred over urine testing with nitroprusside-based assays that measure only acetoacetate and acetone. Worldwide, the number of reported cases of DKA and HHS is increasing for unclear reasons. Both DKA and HHS are associ ated with potentially serious complications, including greater mortality. Most cases of DKA are in individuals with type 1 DM, while HHS occurs mostly in individuals with type 2 DM. DKA, formerly consid ered a hallmark of type 1 DM, can also occur at diabetes diagnosis in obese young adults, often of Hispanic or African descent, whose labo ratory values are similar to those seen in DKA associated with type 1 DM. However, after treatment of the DKA, these individuals recover their insulin secretory capacity, can gradually discontinue insulin treat ment after a few weeks or months, and remain normoglycemic with only diet or oral medication. The cause of this atypical form of diabetes is unknown; it is often termed ketosis-prone diabetes. DKA can also occur in the setting of treatment of type 2 DM with an SGLT-2 inhibi tor. Often the blood glucose is normal or just mildly elevated because of the glucosuria. Table 416-7 compares the features of DKA, HHS, and euglycemic DKA associated with SGLT-2 inhibitors. DKA and HHS exist along a continuum of hyperglycemia, with up to one-third of patients having features of both. </w:t>
      </w:r>
      <w:r w:rsidRPr="00A6019F">
        <w:rPr>
          <w:rFonts w:ascii="Arial" w:hAnsi="Arial" w:cs="Arial"/>
        </w:rPr>
        <w:t>■</w:t>
      </w:r>
      <w:r w:rsidRPr="00A6019F">
        <w:t xml:space="preserve">DIABETIC KETOACIDOSIS Clinical Features The symptoms and physical signs of DKA are listed in Table 416-8 and usually develop over 24 h. DKA may be the initial symptom complex that leads to a diagnosis of type 1 DM, but more frequently, it occurs in </w:t>
      </w:r>
      <w:r w:rsidRPr="00A6019F">
        <w:lastRenderedPageBreak/>
        <w:t xml:space="preserve">individuals with established diabetes. Nausea and vomiting are often prominent, and their presence in an individual with diabetes warrants laboratory evaluation for DKA. Abdominal pain may be severe and can resemble acute pancreatitis or ruptured viscus. Hyperglycemia leads to glucosuria, volume depletion, and tachycardia. Hypotension can occur because of volume depletion in combination with peripheral vasodilatation. Kussmaul respirations and a fruity odor on the patient’s breath (secondary to metabolic aci dosis and increased acetone) are classic signs of the disorder. Lethargy and central nervous system depression may evolve into coma with severe DKA but should also prompt evaluation for other reasons for altered mental status (e.g., infection, hypoxemia). Cerebral edema, an extremely serious complication of DKA, is seen most frequently in children. Signs of infection, which may precipitate DKA, should be sought on physical examination, even in the absence of fever. Failure to augment insulin therapy during physiologic stress often compounds 3217 TABLE 416-7 Laboratory Values in Diabetic Ketoacidosis (DKA), Hyperglycemic Hyperosmolar State (HHS), and Euglycemic DKA [Representative Ranges at Presentation; mmol/L ( mg/dL)] DKA Glucose,a mmol/L (mg/dL) Sodium, meq/L Potassiuma,b Magnesiuma Chloridea Phosphatea,b Creatinine Osmolality (mOsm/mL) Serum/urine ketonesa Serum β-hydroxybutyrate, mmol/L Serum bicarbonate,a meq/L 11.1–33.3 (250–600) 125–135 Normal to ↑ Normal Normal Normal Slightly to moderately ↑ &gt;300 &gt;++ HHS 33.3–66.6 (600–1200) 135–145 Normal Normal Normal Normal Moderately ↑ &gt;300 +/ &gt;3.0 18 &gt;7.3 Normal Normal to slightly ↑ EUGLYCEMIC DKAc 5.5-13.9 (100–250)c Normal Normal to ↑ Normal Normal Normal Slightly ↑ Normal &gt;++ &gt;3.0 13.9 mmol/L [250 mg/dL], ketosis, and metabolic acidosis [serum bicarbonate 15 meq/L), and other forms of increased anion-gap acidosis (Chap. 55). TREATMENT CHAPTER 416 Diabetes Mellitus: Management and Therapies Diabetic Ketoacidosis Abbreviation: UTI, urinary tract infection. Based on laboratory values and clinical exam, DKA can be classified as mild (pH 7.25–7.3, serum bicarbonate 15–18 meq/L, men tal status normal), moderate (pH 7.0–7.25, serum bicarbonate 10–15 meq/L, mildly reduced mental status), or severe (pH 3.5 mmol/L. If K+ 3.5–5 mmol/L, administer 10–20 mmol/L in each liter of IV fluid to keep serum K+ between 4 and 5 mmol/L. If K+ &gt;5.0 mmol/L, start insulin but hold K+. Recheck K+ every 2 h to determine when to start K+ replacement. 10. Continue above until patient is stable, glucose goal is 8.3–11.1 mmol/L (150–200 mg/dL), normal plasma ketone and pH, and bicarbonate ≥18 mmol/L. Insulin infusion may be decreased to 0.02–0.1 unit/kg per hour. Resolution of euglycemic DKA should be based on bicarbonate, not glucose, correction; see text. 11. Administer long-acting insulin as soon as patient is eating. Allow for a 2- to 4-h overlap in insulin infusion and SC long-acting insulin injection. Abbreviations: CXR, chest x-ray; ECG, electrocardiogram. Source: Adapted from multiple sources, including Nyenwe EA, Kitabchi AE: The evolution of diabetic ketoacidosis: An update of its etiology, pathogenesis and management. Metabolism 65:507, 2016; and Umpierrez GE et al: Hyperglycaemic crises in adults with diabetes: A consensus report. Diabetologia 67:1455, 2024. insulin. </w:t>
      </w:r>
      <w:r w:rsidRPr="00A6019F">
        <w:lastRenderedPageBreak/>
        <w:t xml:space="preserve">IV administration is usually preferred (0.1 units/kg of regu lar insulin per h) but uncomplicated DKA can also be treated with SC short-acting insulin analogues. As the acidosis and insulin resis tance associated with DKA resolve, the insulin infusion rate can be decreased (to 0.02–0.1 units/kg per h). Long-acting insulin, in combination with SC short-acting insulin, should be administered as soon as the patient resumes eating, because this facilitates transi tion to an outpatient insulin regimen and reduces length of hospital stay. Hyperglycemia usually improves at a rate of 4.2–5.6 mmol/L (50–100 mg/dL) per h as a result of insulin-mediated glucose disposal, reduced hepatic glucose release, and rehydration. Rehy dration reduces catecholamines, increases urinary glucose loss, and expands the intravascular volume. The decline in the plasma glucose within the first 1–2 h may be more rapid and is mostly related to volume expansion. Ketoacidosis begins to resolve as insulin reduces lipolysis, increases peripheral ketone body use, sup presses hepatic ketone body formation, and promotes bicarbonate regeneration. However, the acidosis and ketosis resolve more slowly than hyperglycemia. Depending on the rise of serum chloride, the anion gap (but not bicarbonate) will normalize more quickly. A hyperchloremic acidosis (serum bicarbonate of 15–18 mmol/L [15–18 meq/L]) often follows successful treatment and gradually resolves as the kidneys regenerate bicarbonate and excrete chloride. Potassium stores are depleted in DKA (estimated deficit 3–5 mmol/kg [3–5 meq/kg]). During treatment with insulin and fluids, various factors contribute to the development of hypokale mia. These include insulin-mediated potassium transport into cells, resolution of the acidosis (which also promotes potassium entry into cells), and urinary loss of potassium salts of organic acids. Thus, potassium repletion should commence as soon as adequate urine output and a normal serum potassium are documented (Table 416-9). Bicarbonate replacement has not been shown to improve out comes. However, in the presence of severe acidosis (arterial pH 7.0. Hypophosphatemia and hypomagnesemia may develop during DKA therapy, and if severe, may also require supplementation. With appropriate therapy, the mortality rate of DKA is low (55.5 mmol/L [1000 mg/dL]), hyperosmolality (&gt;300 mOsm/L), and prerenal azo temia. The measured serum sodium may be normal or slightly low despite the marked hyperglycemia. The corrected serum sodium is usually increased (add 1.6 meq to measured sodium for each 5.6-mmol/L [100-mg/dL] rise in the serum glucose). In contrast to DKA, acidosis and ketonemia are absent or mild. A small anion-gap metabolic acidosis may be present secondary to increased lactic acid. Moderate ketonuria, if present, is secondary to starvation. TREATMENT Hyperglycemic Hyperosmolar State Volume depletion and hyperglycemia are prominent features of both HHS and DKA. Consequently, the therapy of these disorders shares several elements (Table 416-9). In both disorders, careful monitoring of the patient’s fluid status, laboratory values, and insu lin infusion rate is crucial. Underlying or precipitating problems should be aggressively sought and treated. In HHS, fluid losses and dehydration are usually more pronounced than in DKA due to the longer duration of the </w:t>
      </w:r>
      <w:r w:rsidRPr="00A6019F">
        <w:lastRenderedPageBreak/>
        <w:t xml:space="preserve">illness. The patient with HHS is usually older, more likely to have mental status changes, and more likely to have a life-threatening precipitating event with accompanying comorbidi ties. Even with proper treatment, HHS has a substantially higher mortality rate than DKA (up to 15% in some clinical series). Fluid replacement should initially stabilize the hemodynamic status of the patient (1–3 L of 0.9% normal saline over the first 2–3 h). Because the fluid deficit in HHS is accumulated over a period of days to weeks, the rapidity of reversal of the hyperosmolar state must balance the need for free water repletion with the risk that too rapid a reversal may worsen neurologic function. If the serum sodium is &gt;150 mmol/L (150 meq/L), 0.45% saline should be used. After hemodynamic stability is achieved, the IV fluid administration is directed at reversing the free water deficit using hypotonic fluids (0.45% saline initially, then 5% dextrose in water [D5 W]). The calculated free water deficit (which can be as great as 9–10 L) should be reversed over the next 1–2 days (infusion rates of 200–300 mL/h of hypotonic solution). Potassium repletion is usu ally necessary and should be dictated by repeated measurements of the serum potassium. In patients taking diuretics, the potassium deficit can be quite large and may be accompanied by magnesium deficiency. Hypophosphatemia may occur during therapy and can be improved by using KPO4 and beginning nutrition. As in DKA, rehydration and volume expansion lower the plasma glucose initially, but insulin is also required. A reasonable regimen for HHS begins with an IV insulin bolus of 0.1 unit/kg followed by IV insulin at a constant infusion rate of 0.1 unit/kg per h. If the serum glucose does not fall, increase the insulin infusion rate by twofold. As in DKA, glucose should be added to IV fluid when the plasma glucose falls to 11.1–13.9 mmol/L (200–250 mg/dL), and the insulin infusion rate should be decreased to 0.02–0.1 unit/kg per h. The insulin infusion should be continued until the patient has resumed eating and can be transferred to an SC insulin regi men. The patient should be discharged from the hospital on insulin. Some patients can later switch to oral glucose-lowering agents. MANAGEMENT OF DIABETES IN A HOSPITAL OR FACILITY Virtually all medical and surgical subspecialties are involved in the care of hospitalized patients with diabetes or individuals with diabetes in the perioperative setting. Hyperglycemia, whether in a patient with known diabetes or in someone without known diabetes, appears to be a predictor of poor outcome in hospitalized patients. General anesthesia, surgery, infection, or concurrent illness raises the levels of counter regulatory hormones (cortisol, growth hormone, catecholamines, and glucagon) and cytokines that may lead to transient insulin resistance and hyperglycemia. These factors increase insulin requirements by increasing glucose production and impairing glucose utilization and thus may worsen glycemic control. The concurrent illness or surgical procedure may lead to variable insulin absorption and also prevent the patient with DM from eating normally and, thus, may promote hypoglycemia. Glycemic control should be assessed on admission using the HbA1c . Electrolytes, renal function, and intravascular volume status should be assessed as well. The high prevalence of ASCVD in individuals with DM (especially in type 2 DM) may </w:t>
      </w:r>
      <w:r w:rsidRPr="00A6019F">
        <w:lastRenderedPageBreak/>
        <w:t xml:space="preserve">necessitate pre operative cardiovascular evaluation (Chap. 417). CGM in the hospital or intensive care unit (ICU) setting is not FDA approved. Individuals using CGM and/or AID prior to admission should continue to use these devices if the provider, the nursing staff, and the patient agree that this can be safely done within the context of the patient’s current reason for hospitalization. The goals of diabetes management during hospitalization or in the perioperative periods are near-normoglycemia, avoidance of hypogly cemia, and transition back to the outpatient diabetes treatment regi men. Upon hospital admission, frequent glycemic monitoring should begin, as should planning for diabetes management after discharge. Glycemic control appears to improve clinical outcomes in a variety of settings, but optimal glycemic goals for the hospitalized patient are incompletely defined. In a number of cross-sectional studies of patients with diabetes, a greater degree of hyperglycemia was associated with worse cardiac, neurologic, and infectious outcomes. In some studies, patients who do not have preexisting diabetes but who develop modest blood glucose elevations during their hospitalization appear to benefit from achieving near-normoglycemia using insulin treatment. How ever, a large randomized clinical trial (Normoglycemia in Intensive Care Evaluation Survival Using Glucose Algorithm Regulation [NICE SUGAR]) of individuals in the ICU (most of whom were receiving mechanical ventilation) found an increased mortality rate and a greater number of episodes of severe hypoglycemia with very strict glycemic control (target blood glucose of 4.5–6 mmol/L or 81–108 mg/dL) com pared to individuals with a more moderate glycemic goal (target blood glucose of 5 mg of prednisone or equivalent), the DM may be called “steroid-induced diabetes.” The effects of glucocorticoids on glucose homeostasis are dose-related, usually reversible, most pronounced in the postprandial period, and dependent on the timing and type of glucocorticoid. If the FPG is near the normal range, oral diabetes agents (e.g., sulfonylureas, metformin) may be sufficient to reduce hyperglycemia. If the FPG is &gt;11.1 mmol/L (200 mg/dL), oral agents are usually not sufficient, and insulin therapy is required. If steroids are administered in the morning, then short acting insulin and/or NPH in the morning may be sufficient to control postprandial glucose excursions. </w:t>
      </w:r>
      <w:r w:rsidRPr="00A6019F">
        <w:rPr>
          <w:rFonts w:ascii="Arial" w:hAnsi="Arial" w:cs="Arial"/>
        </w:rPr>
        <w:t>■</w:t>
      </w:r>
      <w:r w:rsidRPr="00A6019F">
        <w:t xml:space="preserve">DIABETES MANAGEMENT IN OLDER ADULTS Diabetes is very common in older adults, being present in ~25% of individuals over the age of 65 years. Increasingly, individuals with many years of type 1 DM are part of this patient population. As discussed above (Table 416-4), individualized therapeutic goals and modalities in older adults should consider biologic age, other 3221 comorbidities and risk factors (e.g., hypertension, CVD), neurocogni tive and physical functional status, living arrangements, social sup port, and other medications. For example, the HbA1c goal for a highly functional 80-year-old should be different from that for an individual with diabetes in long-term care (skilled nursing facilities). In the for mer, the HbA1c goal (1400 individuals with type 1 DM to either intensive or conventional diabetes management and prospectively Mean HbA1c = 11% 20 16 12 8 4 0 1 10% 0 2 3 4 5 Length of follow-up, years 9% 8% 7% 6 7 8 9 FIGURE 417-1 Relationship of glycemic control and diabetes duration to diabetic </w:t>
      </w:r>
      <w:r w:rsidRPr="00A6019F">
        <w:lastRenderedPageBreak/>
        <w:t xml:space="preserve">retinopathy. The progression of retinopathy in individuals in the Diabetes Control and Complications Trial is graphed as a function of the length of follow-up with different curves for different hemoglobin A1c (HbA1c ) values. (Reproduced with permission from The relationship of glycemic exposure (HbA1c) to the risk of development and progression of retinopathy in the diabetes control and complications trial. Diabetes 44:968, 1995.) evaluated the development of diabetes-related complications during a mean follow-up of 6.5 years. Individuals in the intensive diabetes management group received insulin by multiple daily injections or pump delivery along with extensive educational, psychological, and medical support, and achieved a substantially lower HbA1c (7.3%) than individuals in the conventional diabetes management group (9.1%). After the DCCT results were reported in 1993, all study par ticipants were offered intensive therapy and continue to be followed in the Epidemiology of Diabetes Intervention and Complications (EDIC) trial, which has completed &gt;40 years of follow-up (DCCT + EDIC). When the DCCT phase ended at 6.5 years of follow-up, the initial separation in glycemic control disappeared with both arms maintaining a mean HbA1c of 8.0%, allowing assessment of the legacy effect of 6.5 years of near-normoglycemia on the development of long term complications. The DCCT phase demonstrated that improvement of glycemic control reduced nonproliferative and proliferative retinopathy (47% reduction), albuminuria (39% reduction), clinical nephropathy (54% reduction), and neuropathy (60% reduction). Improved glycemic control also slowed the progression of early diabetic complications. During the DCCT phase, weight gain (4.6 kg) and severe hypoglyce mia (requiring assistance of another person to treat) were more com mon in the intensive therapy group. The benefits of an improvement in glycemic control occurred over the entire range of elevated HbA1c values (Fig. 417-1). The results of the DCCT predicted that individuals in the intensive diabetes management group would gain 7.7 additional years of vision, 5.8 additional years free from end-stage renal disease, and 5.6 years free from lower extremity amputations. If all complica tions of DM were combined, individuals in the intensive diabetes management group would experience &gt;15.3 more years of life without significant microvascular complications of DM, compared to individu als who received standard therapy. This translates into an additional 5.1 years of life expectancy for individuals in the intensive diabetes management group. The 30-year follow-up data in the intensively treated group show a continued reduction in retinopathy, nephropathy, and cardiovascular disease. For example, individuals in the intensive therapy group had a 57% reduction in cardiovascular events (nonfatal myocardial infarction [MI], stroke, or death from a cardiovascular event) and a 33% reduction in the mortality rate, even though their subsequent glycemic control was the same as those in the conventional diabetes management group after the DCCT phase ended (year 6.5). During the EDIC phase, fewer in the intensely treated cohort became blind, lost a limb to amputation, or required dialysis. Other complica tions of diabetes, including autonomic neuropathy, bladder and sexual dysfunction, cardiac autonomic neuropathy, cheiroarthropathy and </w:t>
      </w:r>
      <w:r w:rsidRPr="00A6019F">
        <w:lastRenderedPageBreak/>
        <w:t xml:space="preserve">hearing loss, were reduced in the intensive therapy group. These results are even more impressive when one considers that initial DCCT results were reported in 1993 and diabetes therapy during the trial was quite 3223 different in terms of insulin formulations and delivery systems. Fin gerstick blood glucose meters were used for glucose monitoring as this was prior to the advent of continuous glucose monitoring. The United Kingdom Prospective Diabetes Study (UKPDS) studied the course of &gt;5000 individuals with type 2 DM for &gt;10 years. This study used multiple treatment regimens and monitored the effect of intensive glycemic control and risk factor treatment on the develop ment of diabetes-related complications. Newly diagnosed individuals with type 2 DM were randomized to (1) intensive management using various combinations of insulin, a sulfonylurea, or metformin or (2) conventional therapy using dietary modification and pharmacotherapy with the goal of symptom prevention. In addition, individuals were randomly assigned to different antihypertensive regimens. Individuals in the intensive treatment arm achieved an HbA1c of 7% compared to 7.9% in the standard treatment group. The UKPDS demonstrated that each percentage point reduction in HbA1c was associated with a 35% reduction in microvascular complications. As in the DCCT, there was a continuous relationship between glycemic control and development of complications. Improved glycemic control also reduced the cardio vascular event rate in the follow-up period of &gt;10 years. One of the major findings of the UKPDS was that strict blood pressure control significantly reduced both macro- and microvascular complications. In fact, the beneficial effects of blood pressure control were greater than the beneficial effects of glycemic control. Lowering blood pressure to moderate goals (144/82 mmHg) reduced the risk of DM-related death, stroke, microvascular endpoints, retinopathy, and heart failure (risk reductions between 32 and 56%). The American Diabetes Association (ADA) recommends blood pressure control 10 years, even though the improved glycemic control was not main tained. This legacy effect for a positive impact of a period of improved glycemic control on later diabetes complications has been termed metabolic memory, and this legacy effect was estimated to be 10 years or more. Of note, despite long-standing DM, some individuals never develop retinopathy or nephropathy, suggesting a genetic susceptibility for developing particular complications. </w:t>
      </w:r>
      <w:r w:rsidRPr="00A6019F">
        <w:rPr>
          <w:rFonts w:ascii="Arial" w:hAnsi="Arial" w:cs="Arial"/>
        </w:rPr>
        <w:t>■</w:t>
      </w:r>
      <w:r w:rsidRPr="00A6019F">
        <w:t xml:space="preserve">MECHANISMS OF COMPLICATIONS Chronic hyperglycemia is the important etiologic factor leading to complications of DM, but the mechanism(s) by which it leads to such diverse cellular and organ dysfunction is unknown. The complications are likely multifactorial with an emerging hypothesis that hypergly cemia leads to epigenetic changes (Chap. 479) that influence gene expression in affected cells. Chronic hyperglycemia leads to formation of advanced glycosylation end products (AGEs; e.g., pentosidine, glu cosepane, and carboxymethyllysine), which bind to specific cell surface receptor and/or the nonenzymatic glycosylation of intra- and extracel lular proteins, leading to cross-linking of proteins, glomerular dysfunc tion, endothelial dysfunction, altered extracellular matrix composition, and accelerated atherosclerosis. Growth factors may play an important role in some diabetes related </w:t>
      </w:r>
      <w:r w:rsidRPr="00A6019F">
        <w:lastRenderedPageBreak/>
        <w:t xml:space="preserve">microvascular complications. For example, vascular endothelial growth factor A (VEGF-A) is increased locally in diabetic prolifera tive retinopathy, decreases after laser photocoagulation, and is the target inhibited by intravitreous injection therapy. A possible unifying mechanism is that hyperglycemia leads to increased production of reactive oxygen species or superoxide in the mitochondria and this may activate several pathways. Although hyperglycemia serves as the initial trigger for complications of diabetes, it is still unknown whether the same pathophysiologic processes are operative in all complications or whether some pathways predominate in certain organs. The mechanisms of diabetes-related macrovascular complications including MI and stroke also include traditional cardiovascular risk factors (dyslipidemia, hypertension), insulin resistance, and inflamma tion. In T2DM, insulin resistance is present years prior to diagnosis and is associated with obesity and ectopic accumulation of lipids and fat in liver and muscle. Additionally, insulin fails to appropriately suppress lipolysis from adipose tissue, which results in increased delivery of fatty acids to liver, muscle, endothelial cells, and cardiac tissues, leading to tissue accumulation of triglycerides, diacylglycerol, and ceramides. </w:t>
      </w:r>
      <w:r w:rsidRPr="00A6019F">
        <w:rPr>
          <w:rFonts w:ascii="Arial" w:hAnsi="Arial" w:cs="Arial"/>
        </w:rPr>
        <w:t>■</w:t>
      </w:r>
      <w:r w:rsidRPr="00A6019F">
        <w:t xml:space="preserve">OPHTHALMOLOGIC COMPLICATIONS OF DIABETES MELLITUS DM is the leading cause of new cases of blindness between the ages of 20 and 74 in the United States. Glaucoma and cataracts occur earlier and more frequently in individuals with diabetes. Severe vision loss is primarily the result of progressive diabetic retinopathy, which leads to significant macular edema and new blood vessel formation. Diabetic retinopathy is classified into two stages: nonproliferative and prolifera tive. Nonproliferative diabetic retinopathy usually appears late in the first decade or early in the second decade of hyperglycemia and is marked by retinal vascular microaneurysms, blot hemorrhages, and cotton-wool spots (Fig. 417-2). Mild nonproliferative retinopathy may progress to more extensive disease, characterized by changes in venous vessel caliber, intraretinal microvascular abnormalities, and more numerous microan eurysms and hemorrhages. The pathophysiologic mechanisms invoked in nonproliferative retinopathy include loss of retinal pericytes, increased retinal vascular permeability, alterations in retinal blood flow, and abnor mal retinal microvasculature, all of which can lead to retinal ischemia. The appearance of neovascularization in response to retinal hypox emia is the hallmark of proliferative diabetic retinopathy (Fig. 417-2). These newly formed vessels appear near the optic nerve and/or macula and rupture easily, leading to vitreous hemorrhage, fibrosis, and ulti mately retinal detachment. Not all individuals with nonproliferative ret inopathy go on to develop proliferative retinopathy, but the more severe the nonproliferative disease, the greater is the chance of evolution to proliferative retinopathy within 5 years. This creates an important opportunity for early detection and treatment of diabetic retinopathy. Clinically significant macular edema can occur in the context of non proliferative or proliferative retinopathy. Fluorescein angiography and optical coherence tomography are useful to detect macular edema, which is associated with an increased chance of moderate visual loss over the next 3 years. Duration of DM and degree of </w:t>
      </w:r>
      <w:r w:rsidRPr="00A6019F">
        <w:lastRenderedPageBreak/>
        <w:t xml:space="preserve">glycemic control are the best predictors of the development of retinopathy; hypertension, nephropathy, and dyslipidemia are also risk factors. Although there is genetic susceptibility for retinopathy, it confers less influence than either the duration of DM or the degree of glycemic control. CHAPTER 417 Diabetes Mellitus: Complications FIGURE 417-2 Diabetic retinopathy results in scattered hemorrhages, yellow exudates, and neovascularization. This patient has neovascular vessels proliferating from the optic disc, requiring urgent panretinal laser photocoagulation. 3224 PART 12 Endocrinology and Metabolism TREATMENT Diabetic Retinopathy The most effective therapy for diabetic retinopathy is preven tion. Intensive glycemic and blood pressure control will delay the development and slow the progression of retinopathy in individu als with either type 1 or type 2 DM. Paradoxically, during the first 6–12 months of improved glycemic control, established diabetic retinopathy may transiently worsen. Fortunately, this progression is temporary, and in the long term, improved glycemic control is associated with less diabetic retinopathy. When associated with a marked glycemic improvement, glucagon-like peptide 1 (GLP-1) receptor agonists have been associated with an increased risk of worsening diabetic retinopathy; this should be considered when choosing agents to improve in glycemic control. Individuals with retinopathy may be candidates for prophylactic laser photocoagula tion when initiating intensive therapy, and especially prior to pan creas or islet transplantation that can rapidly normalize glycemia. Women with type 1 or type 2 DM who are planning pregnancy should be screened prior to and during pregnancy. Once advanced retinopathy is present, improved glycemic control imparts less ben efit. Appropriate ophthalmologic care can prevent most blindness. Lowering elevated levels of triglycerides with fenofibrate may also reduce the progression of retinopathy. Regular, comprehensive eye examinations are essential for all individuals with DM (see Table 416-1). Most diabetic eye disease can be successfully treated if detected early. Routine, nondilated eye examinations by the primary care provider or diabetes specialist are inadequate to detect diabetic eye disease, which requires a dilated eye exam performed by an optometrist or ophthalmologist or by retinal photography with remote reading. Subsequent management should be by a retinal specialist. Treatment of severe nonprolifera tive or proliferative retinopathy or macular edema with panretinal laser photocoagulation therapy and/or anti-VEGF therapy (intra vitreous injection) usually is successful in preserving vision. Aspirin therapy does not appear to influence the natural history of diabetic retinopathy, and antiplatelet agents and anticoagulation may be continued in patients receiving intravitreal injections of anti-VEGF agents. Patients with severe proliferative retinopathy with vitreous hemorrhage and/or traction involving the macula often require surgical vitrectomy. </w:t>
      </w:r>
      <w:r w:rsidRPr="00A6019F">
        <w:rPr>
          <w:rFonts w:ascii="Arial" w:hAnsi="Arial" w:cs="Arial"/>
        </w:rPr>
        <w:t>■</w:t>
      </w:r>
      <w:r w:rsidRPr="00A6019F">
        <w:t xml:space="preserve">RENAL COMPLICATIONS OF DIABETES MELLITUS Diabetic nephropathy is the leading cause of chronic kidney dis ease (CKD) and stage 5 CKD (e.g., end-stage renal disease; see Chap. 322) requiring renal replacement therapy. CKD in individuals with DM is associated with an increased risk of cardiovascular disease, and the prognosis of individuals with diabetes on dialysis is </w:t>
      </w:r>
      <w:r w:rsidRPr="00A6019F">
        <w:lastRenderedPageBreak/>
        <w:t xml:space="preserve">poor. Individuals with type 1 DM and diabetic nephropathy commonly also have diabetic retinopathy; this association is less pronounced in type 2 DM. The presence of CKD without retinopathy in type 1 DM should prompt investigation for alternative causes of kidney disease. Approximately 20–40% of patients with diabetes develop diabetic nephropathy. Known risk factors include a family history of diabetic nephropathy with additional genetic or environmental susceptibility factors likely contributing. Smoking accelerates the decline in renal Time from onset of diabetes, years function. Diabetic nephropathy and stage 5 CKD (e.g., end-stage renal disease; see Chap. 322) secondary to DM develop more commonly in Black, Native American, and Hispanic individuals. Like other microvascular complications, the pathogenesis of diabetic nephropathy is related to chronic hyperglycemia. The mechanisms by which chronic hyperglycemia leads to diabetic nephropathy are incom pletely defined but involve the effects of soluble factors (growth factors, angiotensin II, endothelin, AGEs), epigenetic changes, hemodynamic alterations in the renal microcirculation (glomerular hyperfiltration or hyperperfusion, increased glomerular capillary pressure), structural changes in the glomerulus (increased extracellular matrix, basement membrane thickening, mesangial expansion, fibrosis), and tubular dysfunction (tubulointerstitial damage, fibrosis). See Chap. 322 for additional discussion. The natural history of diabetic nephropathy is characterized by a sequence of events that was initially defined for individuals with type 1 DM but appears similar in type 2 DM (Fig. 417-3). Glomerular hyper perfusion and renal hypertrophy occur in the first years after the onset of DM and are associated with an increase of the estimated glomerular filtration rate (GFR). During the first 5 years of DM, thickening of the glomerular basement membrane, glomerular hypertrophy, and mesan gial volume expansion occur as the GFR returns to normal. Once there is marked albuminuria and a reduction in GFR, these pathologic changes are likely irreversible. As part of comprehensive diabetes care (Chap. 416), diabetic nephropathy should be detected at an early stage when effective thera pies can be instituted. Because some individuals with DM may have a decline in GFR in the absence of albuminuria, assessment should include both urinary albumin-to-creatinine ratio (UACR) on a spot specimen and an estimated GFR (eGFR). The urine protein measure ment by routine urinalysis does not detect low levels of albumin excre tion. Screening for albuminuria should commence 5 years after type 1 DM onset and at the time of diagnosis of type 2 DM and be performed annually. An elevated UACR should be confirmed on two to three occasions over a 3- to 6-month period since it can be falsely elevated by strenuous exercise at a time close to its measurement, infection, fever, congestive heart failure, marked hyperglycemia, marked hypertension, or prostate disease. The ADA defines albuminuria as a persistently increased UACR &gt;30 mg/g. Albuminuria should be quantified, with a moderate increase defined as 30–299 mg/g creatinine and severely elevated as &gt;300 mg/g creatinine. The UACR is a continuous variable, but the greater the degree of albuminuria the more likely there is a reduced GFR. Eleva tions in the UACR are associated with an increased risk of cardiovas cular </w:t>
      </w:r>
      <w:r w:rsidRPr="00A6019F">
        <w:lastRenderedPageBreak/>
        <w:t xml:space="preserve">disease. Once increased, the UACR should be measured more frequently (2–4 times/year). Type IV renal tubular acidosis (hyporeninemic hypoaldosteronism) may occur in type 1 or 2 DM. These individuals develop a propensity to hyperkalemia and acidemia, which may be exacerbated by medications (especially angiotensin-converting enzyme [ACE] inhibitors, angioten sin receptor blockers [ARBs], and mineralocorticoid receptor antago nists). Patients with DM are predisposed to radiocontrast-induced nephrotoxicity. Risk factors for radiocontrast-induced nephrotoxicity are preexisting nephropathy and volume depletion. Individuals with DM undergoing radiographic procedures with iodinated contrast dye should be well hydrated before and after dye exposure, and the serum creatinine should be monitored for 24–48 h following the procedure. 0 3 5 1 10 5 20 Albuminuria 25 GFR, mL/min 120 150 150 120 60 &lt; 20 mL/min/1.73 m2. Many individuals with type 1 or type 2 DM develop hyperten sion. Hypertension accelerates complications of DM, particularly ASCVD, nephropathy, and retinopathy. Blood pressure should be measured at every clinic visit; individuals should also be encour aged to monitor their blood pressure at home. The blood pressure goal should be 150/90 mmHg, initial treatment should consist of two antihyper tensive medications. Multiple agents are often required to control blood pressure. In pregnant individuals with diabetes and chronic hypertension, blood pressure control is associated with better preg nancy outcomes. In the absence of kidney disease, ACE inhibitors or ARBs are effective antihypertensives but are no more effective than other antihypertensive classes such as thiazide-like diuretics and dihydro pyridine calcium channel blockers. There is no benefit of interven tion prior to onset of albuminuria or using a combination of an ACE inhibitor and an ARB. If use of either ACE inhibitors or ARBs is not possible or the blood pressure is not controlled, then diuretics, cal cium channel blockers (nondihydropyridine class), or beta blockers (with caution in individuals at increased risk for experiencing hypo glycemia) may be used. Mineralocorticoid receptor antagonists can FIGURE 417-4 Diabetic glomerular changes in a patient with type 1 diabetes are reversed by 10 years of normoglycemia as a result of pancreas transplantation. Left panel shows diabetic glomerulosclerosis (arrow) and arteriolar hyalinosis (arrowhead) on kidney biopsy. Right panel shows a near-normal glomerulus in the same patient after 10 years of normoglycemia from pancreas transplantation. (Reproduced with permission from P Fioretto et al: Reversal of lesions of diabetic nephropathy after pancreas transplantation. N Engl J Med 339:69, 1998.) CHAPTER 417 Diabetes Mellitus: Complications 3226 help reduce blood pressure and albuminuria in refractory cases but require close monitoring of the serum potassium. ALBUMINURIA OR CKD PART 12 Endocrinology and Metabolism Either ACE inhibitors or ARBs should be used to reduce albu minuria and slow the decline in GFR in individuals with type 1 or type 2 DM. Most experts consider the two classes of drugs to be equivalent in patients with diabetes. ARBs can be used as an alter native in patients who develop ACE inhibitor–associated cough or angioedema. After initiation of therapy, one should increase to the maximum tolerated dose while monitoring the serum </w:t>
      </w:r>
      <w:r w:rsidRPr="00A6019F">
        <w:lastRenderedPageBreak/>
        <w:t xml:space="preserve">creatinine and potassium and repeating the UACR one to four times per year. A rise in the serum creatinine up to 30% is acceptable. A goal for individuals with a UACR &gt;300 mg/g creatinine is to reduce the UACR by 30%. To reduce CKD progression and cardiovascular events in indi viduals with CKD, type 2 DM, and an eGFR &gt;20 mL/min per 1.73 m2, the addition of an SGLT-2 inhibitor, while continuing an ACE inhibitor or ARB, is recommended with any level of albu minuria. A GLP-1 agonist or a nonsteroidal mineralocorticoid receptor antagonist like finerenone will also reduce cardiovascular risk in individuals with type 2 DM and CKD. The GLP-1 recep tor agonist semaglutide improves kidney outcomes and reduces death from cardiovascular causes in type 2 DM and CKD. SGLT-2 inhibitors are also discussed in Chap. 265, especially the use in heart failure treatment or prevention, and in Chap. 322, as related to CKD. Because of the elevated risk of euglycemic diabetic keto acidosis, SGLT-2 inhibitors in individuals with type 1 DM and insulin-deficient type 2 DM should be used with caution and include patient education about ketone monitoring and recogniz ing diabetic ketoacidosis. Nephrology consultation is indicated when the estimated GFR is 300 mg/g creatinine, or if there are atypical features such as hematuria or rapidly declining renal function. The ADA suggests a protein intake of 0.8 g/kg of body weight per day in individuals with diabetic kidney disease. Complications of ASCVD are the leading cause of death in diabetic individuals with nephropathy; hyperlipidemia should be treated aggressively. Preemptive (before dialysis) kidney transplantation from a living donor should be considered in those nearing stage 5 CKD (e.g., end-stage renal disease; see Chap. 333) and for those with type 1 DM or insulin deficient type 2 DM, simultaneous pancreas-kidney transplantation from a deceased donor may be an option. As compared with nondiabetic individuals, hemodialysis in patients with DM is associated with more frequent complications, such as hypotension (due to autonomic neuropathy or loss of reflex tachycardia), more difficult vascular access, accelerated progres sion of retinopathy, and greater mortality. </w:t>
      </w:r>
      <w:r w:rsidRPr="00A6019F">
        <w:rPr>
          <w:rFonts w:ascii="Arial" w:hAnsi="Arial" w:cs="Arial"/>
        </w:rPr>
        <w:t>■</w:t>
      </w:r>
      <w:r w:rsidRPr="00A6019F">
        <w:t xml:space="preserve">NEUROPATHY AND DIABETES MELLITUS Diabetic neuropathy, which occurs in ~50% of individuals with long standing type 1 and type 2 DM, manifests as a diffuse neuropathy (distal symmetrical polyneuropathy and/or autonomic neuropathy), a mononeuropathy, and/or a radiculopathy/polyradiculopathy. As with other complications of DM, the development of neuropathy correlates with the duration of diabetes and glycemic control. Additional risk factors are body mass index (BMI) (the greater the BMI, the greater the risk of neuropathy) and smoking. The presence of ASCVD, ele vated triglycerides, and hypertension is also associated with diabetic peripheral neuropathy. Both myelinated and unmyelinated nerve fibers are lost. Because the clinical features of diabetic neuropathy are similar to those of other neuropathies, the diagnosis of diabetic neuropathy should be made only after other possible etiologies are excluded (Chap. 457). Distal Symmetric Polyneuropathy (DSPN) DSPN, the most common form of diabetic neuropathy, most frequently presents with distal sensory loss and pain, but up to 50% of patients do not have symptoms of neuropathy. Symptoms may include a sensation of numbness, tingling, sharpness, or </w:t>
      </w:r>
      <w:r w:rsidRPr="00A6019F">
        <w:lastRenderedPageBreak/>
        <w:t xml:space="preserve">burning that begins in the feet and spreads proximally. Hyperesthesia, paresthesia, and dysesthe sia also may occur. Pain typically involves the lower extremities, is usually present at rest, and worsens at night. Both an acute (lasting 30 mL/min per 1.73 m2, reduced-dose metformin can be continued. Because of the elevated risk of euglycemic diabetic keto acidosis with SGLT-2 inhibitors, patients treated with an SGLT-2 inhibitor should be counseled about the risk and symptoms of dia betic ketoacidosis and educated about the importance of measuring ketones if the clinical scenario suggests this possibility. Antiplatelet therapy with aspirin (75–162 mg/d) as secondary prevention reduces cardiovascular events in individuals with DM who have ASCVD. Clopidogrel should be used in those with aspirin allergy or intolerance. The ADA recommends considering the use of aspirin for primary prevention of coronary events in individuals with diabetes with an increased cardiovascular risk (&gt;50 years old with at least one risk factor such as hypertension, dyslipidemia, smoking, family history, or albuminuria). Aspirin is not recom mended for primary prevention in those with a low cardiovascular risk (1.7 mmol/L [150 mg/dL]) or low HDL cholesterol (5.7 mmol/L (500 mg/dL) on a statin, icosapent or fenofibrate can be considered to reduce ASCVD risk. The addition of fenofibrate may require reduction in statin dose to minimize the risk of myopathy. In terms of pharmacologic therapy directed at LDL, the ADA rec ommends the following in addition to lifestyle: (1) all patients with diabetes and ASCVD should receive high-intensity statin therapy (atorvastatin 40–80 mg or rosuvastatin 20–40 mg) with a goal of &gt;50% reduction in LDL and a cholesterol goal of 75 years on a statin, continue statin or, if not on a statin, consider starting moderate-intensity statin therapy after discussion with the patient; and (6) in patients aged 20–39 years with additional risk factors, consider moderate-intensity statin therapy. If a patient with ASCVD cannot tolerate a statin, consider PCSK9 inhibitor therapy (monoclonal antibody or inclisiran, a small interfering RNA), or bempedoic acid. Statin therapy, when combined with fibrate or nia cin, for reduction of LDL does not provide additional benefit. HYPERTENSION Hypertension management is discussed above in the “Renal Complications of Diabetes Mellitus” section. </w:t>
      </w:r>
      <w:r w:rsidRPr="00A6019F">
        <w:rPr>
          <w:rFonts w:ascii="Arial" w:hAnsi="Arial" w:cs="Arial"/>
        </w:rPr>
        <w:t>■</w:t>
      </w:r>
      <w:r w:rsidRPr="00A6019F">
        <w:t xml:space="preserve">LOWER EXTREMITY COMPLICATIONS DM is the leading cause of nontraumatic lower extremity ampu tation in the United States. Foot ulcers and infections are also a major source of morbidity in individuals with DM. The reasons for the increased incidence of these disorders in DM involve the interaction of several pathogenic factors: neuropathy, abnormal foot biomechanics, PAD, and poor wound healing. The peripheral sen sory neuropathy interferes with normal protective mechanisms and allows the patient to sustain major or repeated minor trauma to the foot, often without knowledge of the injury. Disordered propriocep tion causes abnormal weight bearing while walking and subsequent formation of callus or ulceration. Motor and sensory neuropathy leads to abnormal foot muscle mechanics and to structural changes in the foot (hammer toe, claw toe deformity, prominent metatarsal heads, Charcot joint). Autonomic neuropathy results in anhidrosis and altered superficial blood flow in the foot, which promote dry ing of the skin and fissure </w:t>
      </w:r>
      <w:r w:rsidRPr="00A6019F">
        <w:lastRenderedPageBreak/>
        <w:t xml:space="preserve">formation. PAD and poor wound healing impede resolution of minor breaks in the skin, allowing them to enlarge and to become infected. 3229 Some individuals with DM will develop a foot ulcer (great toe or metatarsophalangeal areas are most common), and a significant sub set may ultimately undergo amputation (14–24% risk with that ulcer or subsequent ulceration). Risk factors for foot ulcers or amputation include male sex, diabetes for &gt;10 years, peripheral neuropathy, abnormal structure of foot (bony abnormalities, callus, thickened nails), PAD, smoking, history of previous ulcer or amputation, visual impairment, poor glycemic control, and diabetic nephropathy, especially dialysis. Large calluses are often precursors to or overlie ulcerations. TREATMENT Lower Extremity Complications The optimal therapy for foot ulcers and amputations is preven tion through identification of high-risk patients, education of the patient, and institution of measures to prevent ulceration. High risk patients should be identified during the routine, annual foot examination performed on all patients with DM (see “Ongoing Aspects of Comprehensive Diabetes Care” in Chap. 416). If the monofilament test or one of the other tests is abnormal, the patient is diagnosed with LOPS (Chap. 415). Providers should consider screening for asymptomatic PAD in individuals &gt;50 years of age who have diabetes and other risk factors using ankle-brachial index testing (Chap. 292). Patient education should emphasize (1) careful selection of footwear, (2) daily inspection of the feet to detect early signs of poor-fitting footwear or minor trauma, (3) daily foot hygiene to keep the skin clean and moist, (4) avoid ance of self-treatment of foot abnormalities and high-risk behavior (e.g., walking barefoot), and (5) prompt consultation with a health care provider if an abnormality arises. Involvement of a podiatrist is recommended for high-risk individuals (history of foot ulcers or amputation, those on dialysis, those with PAD, and those with foot deformities). Calluses and nail deformities should be treated by a podiatrist. Interventions directed at risk factor modification include orthotic shoes and devices, callus management, nail care, and prophylactic measures to reduce increased skin pressure from abnormal bony architecture. Attention to other risk factors for vas cular disease (smoking, dyslipidemia, hypertension) and improved glycemic control are also important, especially LDL management as described above. Despite preventive measures, foot ulceration and infection are common and represent a serious problem. Due to the multifacto rial pathogenesis of lower extremity ulcers, management of these lesions is multidisciplinary and often demands expertise in ortho pedics, vascular surgery, endocrinology, podiatry, and infectious diseases. The plantar surface of the foot is the most common site of ulceration. Ulcers may be primarily neuropathic (no accompany ing infection) or may have surrounding cellulitis or osteomyelitis. Cellulitis without ulceration should be treated with antibiotics that provide appropriate empiric coverage (see below). An infected ulcer is a clinical diagnosis, because superficial culture of any ulceration will likely find multiple bacterial species of unknown significance. The infection surrounding the foot ulcer may be due to multiple organisms, with aerobic gram-positive cocci (staphylococci including methicillin-resistant </w:t>
      </w:r>
      <w:r w:rsidRPr="00A6019F">
        <w:lastRenderedPageBreak/>
        <w:t xml:space="preserve">Staphylococcus aureus [MRSA], group A and B streptococci) being most common and with aerobic gram-negative bacilli and/or obligate anaerobes as co-pathogens. Gas gangrene may develop in the absence of clostridial infection. Cultures should be obtained from the debrided ulcer base or from purulent drainage or aspiration of the wound. Wound depth should be determined by inspection and probing with a blunt-tipped sterile instrument. A wound that probes to the bone is highly likely to have underlying osteomyelitis. Plain radiographs of the foot should be performed to assess the possibility of osteomyelitis in chronic ulcers that have not responded to therapy. Magnetic resonance imaging (MRI) is the most specific modality, with nuclear medicine scans (PET, CT/SPECT) and labeled white cell studies as an alternative. Surgical debridement is often necessary. Osteomyelitis is best treated by a combination of prolonged anti biotics and debridement of infected bone when possible. The pos sible contribution of vascular insufficiency should be considered in all patients. Peripheral arterial bypass procedures are often effective in promoting wound healing and in decreasing the need for ampu tation of the ischemic limb (Chap. 292). Interventions with demonstrated efficacy in diabetic foot ulcers or wounds include the following: (1) off-loading (complete avoid ance of weight bearing on the ulcer, which removes the mechani cal trauma that retards wound healing), (2) surgical debridement of nonviable tissue, (3) physiologic, topical wound dressings, (4) revascularization, and (5) treatment of infections with appro priate use of antibiotics. Amputation should be limited initially. If a wound fails to show significant improvement after 4 weeks of wound management with these five recommendations, one should consider advanced wound therapy that may include topi cal growth factors, acellular matrix tissues, bioengineered cellular therapies, negative-pressure wound therapy, electrical stimula tion, pulsed radiofrequency, extracorporeal shockwave, hyperbaric oxygen therapy, and topical oxygen therapy. These modalities require interdisciplinary expertise and must be individualized to the patient and clinical setting. Antiseptic agents should be avoided. Topical antibiotics are of limited value. Referral for physi cal therapy, orthotic evaluation, and rehabilitation should occur once the infection is controlled. Mild or non-limb-threatening infections can be treated with oral antibiotics directed predominantly at methicillin-susceptible staphy lococci and streptococci (e.g., dicloxacillin, early-generation cepha losporins, amoxicillin-clavulanate). However, in patients with a prior history of MRSA or in locations with a high prevalence of MRSA, treatment with trimethoprim-sulfamethoxazole, doxycycline, line zolid, or clindamycin is preferred, depending on local antibiogram data. Surgical debridement of necrotic tissue, local wound care, and avoidance of weight bearing over the ulcer are crucial. Optimization of glycemic control should be a goal. More severe infections may require IV antibiotics as well as offloading and local wound care. IV antibiotics should provide broad-spectrum coverage directed toward S. aureus, including MRSA, streptococci, gram-negative aerobes, and anaerobic bacteria. Initial empiric antimicrobial regimens may include vancomycin plus a β-lactam/β-lactamase inhibitor or car bapenem, or vancomycin plus </w:t>
      </w:r>
      <w:r w:rsidRPr="00A6019F">
        <w:lastRenderedPageBreak/>
        <w:t xml:space="preserve">a quinolone with metronidazole. In some cases, daptomycin, ceftaroline, or linezolid may be substituted for vancomycin in consultation with an infectious diseases expert. If the infection surrounding the ulcer is not improving with antibiot ics, reassessment of antibiotic coverage and reconsideration of the need for surgical debridement or revascularization are indicated. With clinical improvement, oral antibiotics and local wound care can be continued on an outpatient basis with close follow-up. </w:t>
      </w:r>
      <w:r w:rsidRPr="00A6019F">
        <w:rPr>
          <w:rFonts w:ascii="Arial" w:hAnsi="Arial" w:cs="Arial"/>
        </w:rPr>
        <w:t>■</w:t>
      </w:r>
      <w:r w:rsidRPr="00A6019F">
        <w:t xml:space="preserve">INFECTIONS Individuals with DM have a greater frequency and severity of infection. The reasons for this include incompletely defined abnormalities in cell mediated immunity and phagocyte function associated with hypergly cemia, as well as diminished vascularization. Hyperglycemia aids the colonization and growth of a variety of organisms (Candida and other fungal species). Many common infections are more frequent and severe in the diabetic population, whereas several rare infections are seen almost exclusively in the diabetic population. Examples of this latter category include rhinocerebral mucormycosis, emphysematous infections of the gallbladder and urinary tract, and “malignant” or invasive otitis externa. Invasive otitis externa is usually secondary to Pseudomonas aeruginosa infection in the soft tissue surrounding the external auditory canal, typically begins with pain and discharge, and may rapidly progress to osteomyelitis and meningitis. These infections should be considered, in particular, in patients presenting with severe hyperglycemia. CHAPTER 417 Diabetes Mellitus: Complications 3230 American Diabetes Association: Retinopathy, neuropathy, and foot care: Standards of Care in Diabetes—2024. Diabetes Care 2024; 47:S231, 2024. Drucker DJ: Diabetes, obesity, metabolism, and SARS-CoV-2 infec tion: The end of the beginning. Cell Metab 33:479, 2021. Mann JFE et al: Effects of semaglutide with and without concomitant SGLT2 inhibitor use in participants with type 2 diabetes and chronic kidney disease in the FLOW trial. Nat Med 30:2849, 2024. PART 12 Endocrinology and Metabolism Naaman S, Bakris G: Diabetic nephropathy: Update on pillars of therapy slowing progression. Diabetes Care 46:1574, 2023. Nathan DM: Realising the long-term promise of insulin therapy: The DCCT/EDIC study. Diabetologia 64:1049, 2021. Perkovic V et al: Effects of semaglutide on chronic kidney disease in patients with type 2 diabetes. N Engl J Med. 391:109, 2024. Pneumonia, urinary tract infections, and skin and soft tissue infec tions are all more common in the diabetic population. In general, the organisms that cause pulmonary infections are similar to those found in the nondiabetic population; however, gram-negative organ isms, S. aureus, and Mycobacterium tuberculosis are more frequent pathogens. Adults with DM should receive vaccination against pneu mococcus, respiratory syncytial virus, annually against influenza, and the coronavirus SARS-CoV-2, which causes increased morbidity and mortality in obese individuals and patients with DM (Chap. 204). In addition to early antibiotic therapy for presumed bacterial infections, patients with DM should be considered for early intervention with antiviral agents (e.g., against influenza in flu, varicella-zoster virus in shingles) or SARS-CoV-2 in COVID. Urinary tract infections (either lower tract or pyelonephritis) are the result of common bacterial agents such as </w:t>
      </w:r>
      <w:r w:rsidRPr="00A6019F">
        <w:lastRenderedPageBreak/>
        <w:t xml:space="preserve">Escherichia coli, although several yeast species (e.g., Candida albicans and C. glabrata) are sometimes observed. Complications of urinary tract infections include emphysematous pyelonephritis and emphysematous cystitis. Bacteriuria occurs frequently in individuals with diabetic cystopathy and does not require antibiotic therapy except in specific circumstances such as pregnancy or a planned urologic pro cedure. Susceptibility to furunculosis, superficial candidal infections, and vulvovaginitis are increased. Poor glycemic control is a common denominator in individuals with these infections. Individuals with diabetes have an increased rate of colonization of S. aureus in the skinfolds and nares. Individuals with diabetes also have a greater risk of postoperative wound infections that may be mitigated by periopera tive protocols for insulin administration to maintain glycemic control. </w:t>
      </w:r>
      <w:r w:rsidRPr="00A6019F">
        <w:rPr>
          <w:rFonts w:ascii="Arial" w:hAnsi="Arial" w:cs="Arial"/>
        </w:rPr>
        <w:t>■</w:t>
      </w:r>
      <w:r w:rsidRPr="00A6019F">
        <w:t xml:space="preserve">DERMATOLOGIC MANIFESTATIONS The most common skin manifestations of DM are xerosis and pruritus and are usually relieved by skin moisturizers. Protracted wound heal ing and skin ulcerations are also frequent complications. Diabetic der mopathy, sometimes termed pigmented pretibial papules, or “diabetic skin spots,” begins as an erythematous macule or papule that evolves into an area of circular hyperpigmentation. These lesions result from minor mechanical trauma in the pretibial region and are more com mon in elderly men with DM. Bullous diseases, such as bullosa dia beticorum (shallow ulcerations or erosions in the pretibial region), are also seen. Necrobiosis lipoidica diabeticorum is an uncommon disorder, accompanying diabetes in predominantly young women. This usually begins in the pretibial region as an erythematous plaque or papules that gradually enlarge, darken, and develop irregular margins, with atrophic centers and central ulceration. They are often painful. Vitiligo and alopecia areata occur at increased frequency in individuals with type 1 DM. Acanthosis nigricans (hyperpigmented velvety plaques seen on the neck, axilla, or extensor surfaces) is sometimes a feature of severe insulin resistance and accompanying diabetes. Generalized or local ized granuloma annulare (erythematous plaques on the extremities or trunk), lichen planus (violaceous papules on the cutaneous surface with or without erosions in the mouth and genitalia), and scleredema (areas of skin thickening on the back or neck at the site of previous superficial infections) are more common in the diabetic population. Lipoatrophy and lipohypertrophy can occur at insulin injection sites but are now unusual with the use of human insulin and avoided by rotating injection sites. </w:t>
      </w:r>
      <w:r w:rsidRPr="00A6019F">
        <w:rPr>
          <w:rFonts w:ascii="Arial" w:hAnsi="Arial" w:cs="Arial"/>
        </w:rPr>
        <w:t>■</w:t>
      </w:r>
      <w:r w:rsidRPr="00A6019F">
        <w:t xml:space="preserve">FURTHER READING Abel ED et al: Diabetes mellitus-progress and opportunities in the evolving epidemic. Cell 187:3789, 2024. Adler AI et al: Post-trial monitoring of a randomised controlled trial of intensive glycaemic control in type 2 diabetes extended from 10 years to 24 years (UKPDS 91). Lancet 404:145, 2024. American Diabetes Association: Cardiovascular disease and risk management: Standards of Medical Care in Diabetes-2024. Diabetes Care 47:S179, 2024. American Diabetes Association: Chronic kidney disease and risk management: Standards of Care in Diabetes—2024. Diabetes Care 47:S219, 2024. Pop-Busui R et al: Heart failure: An underappreciated complication of diabetes. A consensus report of the American </w:t>
      </w:r>
      <w:r w:rsidRPr="00A6019F">
        <w:lastRenderedPageBreak/>
        <w:t xml:space="preserve">Diabetes Association. Diabetes Care 45:1670, 2022. Senneville É et al: IWGDF/IDSA guidelines on the diagnosis and treatment of diabetes-related foot infections. Diabetes Metab Res Rev 40:e3687, 2024. van Netten JJ et al: The International Working Group on the Diabetic Foot: Stories and numbers behind three decades of evidence-based guidelines for the management of diabetes-related foot disease. Dia betes Ther 15:19, 2024. 418 Hypoglycemia Stephen N. Davis Hypoglycemia is most commonly caused by insulin or insulin-producing drugs used to treat diabetes mellitus or by exposure to other drugs, including alcohol. However, a number of other disorders, including critical organ failure, sepsis and inanition, hormone deficiencies, non β-cell tumors, insulinoma, inborn errors of metabolism, and prior gastric surgery, can cause hypoglycemia (Table 418-1). Hypoglycemia may be documented by Whipple’s triad: (1) symptoms consistent with hypoglycemia, (2) a low plasma glucose concentration measured with a precise method, and (3) relief of symptoms after the plasma glucose level is raised. The lower limit of the fasting plasma glucose concentra tion is normally ~70 mg/dL (~3.9 mmol/L), but lower venous glucose levels occur normally, late after a meal, during pregnancy, and during prolonged fasting (&gt;24 h). Severe hypoglycemia can cause serious morbidity and increase the risk for serious cardiovascular events and mortality during and after the initial hypoglycemic episode. It should be considered in any patient with episodes of confusion, an altered level of consciousness, or a seizure. </w:t>
      </w:r>
      <w:r w:rsidRPr="00A6019F">
        <w:rPr>
          <w:rFonts w:ascii="Arial" w:hAnsi="Arial" w:cs="Arial"/>
        </w:rPr>
        <w:t>■</w:t>
      </w:r>
      <w:r w:rsidRPr="00A6019F">
        <w:t>SYSTEMIC GLUCOSE BALANCE AND GLUCOSE COUNTERREGULATION Glucose is an obligate metabolic fuel for the brain under physiologic conditions. The brain cannot synthesize glucose or store more than a few minutes</w:t>
      </w:r>
      <w:r w:rsidRPr="00A6019F">
        <w:rPr>
          <w:rFonts w:ascii="Aptos" w:hAnsi="Aptos" w:cs="Aptos"/>
        </w:rPr>
        <w:t>’</w:t>
      </w:r>
      <w:r w:rsidRPr="00A6019F">
        <w:t xml:space="preserve"> supply as glycogen and therefore requires a continuous supply of glucose from the arterial circulation. As the arterial plasma glucose concentration falls below the physiologic range, blood-to-brain glucose transport becomes insufficient to support brain energy metab olism and function. However, multiple integrated glucose counterregu latory mechanisms normally prevent or rapidly correct hypoglycemia. Plasma glucose concentrations are normally maintained within a relatively narrow range—roughly 70–110 mg/dL (3.9–6.1 mmol/L) in the fasting state, with transient higher excursions after a meal— despite wide variations in exogenous glucose delivery from meals and in endogenous glucose utilization by, for example, exercising muscle. Between meals and during fasting, plasma glucose levels are maintained 3231 TABLE 418-1 Causes of Hypoglycemia Across the Life Span Ill or Medicated Individual 1. Drugs Insulin or insulin secretagogues Alcohol Others 2. Critical illness Hepatic, renal, or cardiac failure Sepsis Inanition 3. Hormone deficiency Cortisol Growth hormone Glucagon and epinephrine (in insulin-deficient diabetes) 4. Non–islet cell tumor (e.g., mesenchymal tumors) Seemingly Well Individual 5. Endogenous hyperinsulinism Insulinoma Functional β-cell disorders (nesidioblastosis) Noninsulinoma pancreatogenous hypoglycemia Post–gastric bypass hypoglycemia Insulin autoimmune hypoglycemia Antibody to insulin Antibody to insulin receptor GLP-1 receptor agonists in combination with insulin and/or insulin secretagogues Insulin secretagogues Other 6. Disorders of gluconeogenesis and fatty acid oxidation 7. </w:t>
      </w:r>
      <w:r w:rsidRPr="00A6019F">
        <w:lastRenderedPageBreak/>
        <w:t xml:space="preserve">Exercise 8. Accidental, surreptitious, or malicious hypoglycemia 9. Prolonged fasting 10. Pregnancy Source: Reproduced with permission from PE Cryer et al: Evaluation and management of adult hypoglycemic disorders: An Endocrine Society clinical practice guideline. J Clin Endocrinol Metab 94:709, 2009. Arterial glucose Pancreas Brain Sympathoadrenal outflow Pituitary Adrenal medullae by endogenous glucose production, hepatic glycogenolysis, and hepatic (and renal) gluconeogenesis (Fig. 418-1). Although hepatic glycogen stores are usually sufficient to maintain plasma glucose levels for ~8 h, this period can be shorter if glucose demand is increased by exercise or if glycogen stores are depleted by illness or starvation. Gluconeogenesis normally requires low insulin levels and the pres ence of anti-insulin (counterregulatory) hormones together with a coordinated supply of precursors from muscle and adipose tissue to the liver and kidneys. Muscle provides lactate, pyruvate, alanine, gluta mine, and other amino acids. Triglycerides in adipose tissue are broken down into fatty acids and glycerol, which is a gluconeogenic precursor. Fatty acids provide an alternative oxidative fuel to tissues other than the brain (which requires glucose). Systemic glucose balance, maintenance of the normal plasma glucose concentration, is accomplished by a network of hormones, neural signals, and substrate effects that regulate endogenous glucose production and glucose utilization by tissues other than the brain (Chap. 415). Among the regulatory factors, insulin plays a dominant role (Table 418-2; Fig. 418-1). As plasma glucose levels decline within the physiologic range, pancreatic β-cell insulin secretion decreases, thereby increasing hepatic glycogenolysis and hepatic (and renal) gluconeogenesis. Low insulin levels also reduce glucose utilization in peripheral tissues, inducing lipolysis and proteolysis and consequently releasing gluconeogenic precursors. Thus, a decrease in insulin secre tion is the first defense against hypoglycemia. As plasma glucose levels decline just below the physiologic range, glucose counterregulatory (plasma glucose–raising) hormones are released (Table 418-2; Fig. 418-1). Among these, pancreatic α-cell glu cagon and adrenomedullary epinephrine play a primary role. Glucagon stimulates hepatic glycogenolysis and gluconeogenesis. Adrenomedul lary epinephrine also stimulates hepatic glycogenolysis and gluconeo genesis (and renal gluconeogenesis) but limits peripheral uptake of glucose and stimulates lipolysis with production of glycerol and fatty acids. Epinephrine becomes critical when glucagon is deficient. When hypoglycemia is prolonged beyond ~4 h, cortisol and growth hormone also support glucose production and restrict glucose utilization to a limited amount (both mechanisms are reduced by ~80% compared to epinephrine). Thus, cortisol and growth hormone play no role in defense against acute hypoglycemia. CHAPTER 418 Hypoglycemia Liver Insulin Glucagon Kidneys Muscle Growth hormone (ACTH) Adrenal cortex Sympathetic postganglionic neurons Cortisol Epinephrine Norepinephrine Acetylcholine Gluconeogenic precursor (lactate, amino acids, glycerol) Glucose clearance Symptoms Glucose production Arterial glucose Fat (Ingestion) FIGURE 418-1 Physiology of glucose counterregulation: Mechanisms that normally prevent or rapidly </w:t>
      </w:r>
      <w:r w:rsidRPr="00A6019F">
        <w:lastRenderedPageBreak/>
        <w:t xml:space="preserve">correct hypoglycemia. In insulin-deficient diabetes, the key counterregulatory responses—suppression of insulin and increases in glucagon—are lost, and stimulation of sympathoadrenal outflow is attenuated. ACTH, adrenocorticotropic hormone. 3232 TABLE 418-2 Physiologic Responses to Decreasing Plasma Glucose Concentrations RESPONSE ↓ Insulin ↑ Glucagon ↑ Epinephrine PART 12 Endocrinology and Metabolism ↑ Cortisol and growth hormone Symptoms ↓ Cognition GLYCEMIC THRESHOLD, mmoL/L (mg/dL) 4.4–4.7 (80–85) 3.6–3.9 (65–70) 3.6–3.9 (65–70) 3.6–3.9 (65–70) 2.8–3.1 (50–55) 8%. In insulin requiring T2DM, severe hypoglycemia can occur at lower HbA1c values but also importantly at values of 8–10%. Severe hypoglycemia in T2DM carries an increased risk of severe cardiovascular and cerebrovascular morbidity and mortality for up to 1 year after the event. The risk of severe hypoglycemia and a subsequent cardiovascular adverse event is, in fact, relatively increased when trying to improve glucose control in some T2DM individuals with persistently raised HbA1c values. There fore, improvements in glycemic control in these individuals should be performed incrementally and carefully to avoid episodes of hypo glycemia. Insulin, sulfonylureas, or glinides can cause hypoglycemia in T2DM. Metformin, thiazolidinediones, α-glucosidase inhibitors, glucagon-like peptide 1 (GLP-1) receptor agonists, sodium-glucose cotransporter 2 inhibitors, and dipeptidyl peptidase IV (DPP-IV) inhibitors do not cause hypoglycemia. However, they increase the risk when combined with a sulfonylurea, glinide, or insulin. Notably, the frequency of hypoglycemia approaches that in T1DM as persons with T2DM develop absolute insulin deficiency and require more complex treatment with insulin. Conventional Risk Factors The conventional risk factors for hypoglycemia in diabetes are identified on the basis of relative or abso lute insulin excess. This occurs when (1) insulin (or insulin secreta gogue) doses are excessive, ill-timed, or of the wrong type; (2) the influx of exogenous glucose is reduced (e.g., during an overnight fast, periods of temporary fasting, or after missed meals or snacks); (3) insulin independent glucose utilization is increased (e.g., during exercise); (4) sensitivity to insulin is increased (e.g., with improved glycemic control, 3233 in the middle of the night, after exercise, or with increased fitness or weight loss); (5) endogenous glucose production is reduced (e.g., after alcohol ingestion); and (6) insulin clearance is reduced (e.g., in renal failure). However, these conventional risk factors alone explain a minority of episodes; other factors are typically involved. Hypoglycemia-Associated Autonomic Failure (HAAF) While marked insulin excess alone can cause hypoglycemia, iatrogenic hypo glycemia in diabetes (T1DM and/or T2DM) is typically the result of the interplay of relative or absolute therapeutic insulin excess and com promised physiologic and behavioral defenses against falling plasma glucose concentrations (Table 418-2; Fig. 418-2). Defective glucose counterregulation compromises physiologic defense (particularly dec rements in insulin and increments in glucagon and epinephrine), and hypoglycemia unawareness compromises behavioral defense (ingestion of carbohydrate). DEFECTIVE GLUCOSE COUNTERREGULATION In the setting of abso lute endogenous insulin deficiency, insulin levels do not decrease as </w:t>
      </w:r>
      <w:r w:rsidRPr="00A6019F">
        <w:lastRenderedPageBreak/>
        <w:t xml:space="preserve">plasma glucose levels fall; thus, the first defense against hypoglycemia is lost. After a few years of disease duration in T1DM, glucagon levels do not increase as plasma glucose levels fall; a second defense against hypoglycemia is lost. Reduced glucagon responses to hypoglycemia also occur in long-duration T2DM. However, pancreatic alpha cells that produce glucagon are present in the same number and size in T1DM as compared to age-matched nondiabetic individuals. Thus, the defect that restricts glucagon release during hypoglycemia in T1DM (and presumably in long-standing T2DM) appears to be a signaling defect, as glucagon responses to other physiologic stress in T1DM (e.g., exercise) are preserved. Finally, the increase in epinephrine lev els, the third critical defense against acute hypoglycemia, is typically attenuated. The glycemic threshold for the sympathoadrenal (adre nomedullary epinephrine and sympathetic neural norepinephrine) response is shifted to lower plasma glucose concentrations. That shift is typically the result of recent antecedent iatrogenic hypoglycemia. In Early T2DM (Relative β-cell failure) Marked absolute therapeutic hyperinsulinemia → Falling glucose levels Advanced T2DM and T1DM (Absolute β-cell failure) the setting of absent decrements in insulin and of absent increments in glucagon, the attenuated increment in epinephrine causes the clinical syndrome of defective glucose counterregulation. Affected patients are at ≥25-fold greater risk of severe iatrogenic hypoglycemia during intensive glycemic therapy for their diabetes than are patients with nor mal epinephrine responses. This functional—and potentially revers ible—disorder is distinct from classic diabetic autonomic neuropathy, which also includes all of the above pathophysiologic defects, and is a structural and irreversible disorder. HYPOGLYCEMIA UNAWARENESS The attenuated sympathoadrenal response (largely the reduced sympathetic neural response) to hypogly cemia causes the clinical syndrome of hypoglycemia unawareness—i.e., loss of the warning adrenergic and cholinergic symptoms that previ ously allowed the patient to recognize developing hypoglycemia and therefore to abort the episode by ingesting carbohydrates. Affected patients are at a sixfold increased risk of severe iatrogenic hypoglyce mia during intensive glycemic therapy of their diabetes. HAAF IN DIABETES The concept of HAAF in diabetes posits that recent antecedent iatrogenic hypoglycemia (or sleep or prior exercise) causes both defective glucose counterregulation (by reducing the epi nephrine response to a given level of subsequent hypoglycemia in the setting of absent insulin and glucagon responses) and hypoglycemia unawareness (by reducing the sympathoadrenal response to a given level of subsequent hypoglycemia). These impaired responses, which can occur in individuals with either T1DM or T2DM, create a vicious cycle of recurrent iatrogenic hypoglycemia (Fig. 418-2). Hypoglycemia unawareness and, to some limited extent, the reduced epinephrine component of defective glucose counterregulation can be reversible by as little as 2–3 weeks of scrupulous avoidance of hypoglycemia in most affected patients. CHAPTER 418 Hypoglycemia Relative or mild-moderate absolute therapeutic hyperinsulinemia → Falling glucose levels Isolated episodes of hypoglycemia β-cell failure → No ↓ insulin </w:t>
      </w:r>
      <w:r w:rsidRPr="00A6019F">
        <w:lastRenderedPageBreak/>
        <w:t xml:space="preserve">and no ↑ glucagon Episodes of hypoglycemia Exercise On the basis of this pathophysiology, additional risk factors for hypoglycemia in diabetes include (1) absolute insulin deficiency, indi cating that insulin levels will not decrease and glucagon levels will not increase as plasma glucose levels fall; (2) a history of severe hypoglycemia or of hypoglycemia unaware ness, implying recent antecedent hypoglycemia, as well as prior exercise or sleep, indicating that the sympathoadrenal response will be attenuated; (3) impaired renal function resulting in reduced clear ance of exogenous and endogenous insulin; (4) clas sical diabetic autonomic neuropathy; and (5) lower Sleep Attenuated sympathoadrenal responses to hypoglycemia (HAAF) ↓ Adrenomedullary epinephrine responses Defective glucose counterregulation ↓ Sympathetic neural responses Hypoglycemia unawareness Recurrent hypoglycemia FIGURE 418-2 Hypoglycemia-associated autonomic failure (HAAF) in insulin-deficient diabetes. T1DM, type 1 diabetes mellitus; T2DM, type 2 diabetes mellitus. (Reprinted with permission from The American Diabetes Association. Copyright 2012 by the American Diabetes Association.) HbA1c or lower glycemic goals even at elevated HbA1c levels (8–10%), as they represent an increased prob ability of recent antecedent hypoglycemia. Hypoglycemia Risk Factor Reduction Several multicenter, randomized controlled trials investigat ing the potential benefits of tight glucose control in either inpatient or outpatient settings have reported a high prevalence of severe hypoglycemia. In the NICE SUGAR study, attempts to control in-hospital plasma glucose values toward physiologic levels resulted in increased mortality risk. The ADVANCE and ACCORD studies and the Veterans Affairs Diabetes Trial (VADT) also found a significant incidence of severe hypoglycemia among T2DM patients. Severe hypoglycemia with accompanying serious cardio vascular morbidity and mortality also occurred in the standard (e.g., not receiving intensified treat ment) control group in all of the above studies and in another large study in prediabetic and T2DM individuals (ORIGIN). Thus, as stated above, severe hypoglycemia can and does occur at HbA1c values of 8–10% in both T1DM and T2DM. Somewhat sur prisingly, all three studies found little or no benefit of intensive glucose control to reduce macrovascular events in T2DM. In fact, the ACCORD study was ended early because of the increased mortality rate in the intensive glucose control arm. Whether iatrogenic 3234 </w:t>
      </w:r>
      <w:r w:rsidRPr="00A6019F">
        <w:rPr>
          <w:rFonts w:ascii="Arial" w:hAnsi="Arial" w:cs="Arial"/>
        </w:rPr>
        <w:t>■</w:t>
      </w:r>
      <w:r w:rsidRPr="00A6019F">
        <w:t>HYPOGLYCEMIA WITHOUT DIABETES There are many causes of hypoglycemia (Table 418-1). Because hypo glycemia is common in insulin- or insulin secretagogue</w:t>
      </w:r>
      <w:r w:rsidRPr="00A6019F">
        <w:rPr>
          <w:rFonts w:ascii="Aptos" w:hAnsi="Aptos" w:cs="Aptos"/>
        </w:rPr>
        <w:t>–</w:t>
      </w:r>
      <w:r w:rsidRPr="00A6019F">
        <w:t xml:space="preserve">treated diabe tes, it is often reasonable to assume that a clinically suspicious episode is the result of hypoglycemia. On the other hand, because hypoglyce mia is rare in the absence of relevant drug-treated diabetes (pregnancy and during severe episodes of morning sickness), it is reasonable to conclude that a hypoglycemic disorder is present only in patients in whom Whipple’s triad can be demonstrated. PART 12 Endocrinology and Metabolism hypoglycemia was the cause of the increased mortality risk is not known. In light of these findings, some new recommendations and par adigms have been formulated. Whereas there is little debate regarding the need to reduce hyperglycemia </w:t>
      </w:r>
      <w:r w:rsidRPr="00A6019F">
        <w:lastRenderedPageBreak/>
        <w:t xml:space="preserve">in the hospital, the glycemic mainte nance goals in critical care settings have been modified to stay between 140 and 180 mg/dL. Similar glycemic targets are also recommended in non–critically ill patients by a number of expert societies, although some recommend even more strict glucose control down to 108 mg/dL. Accordingly, the benefits of insulin therapy and reduced hyperglycemia can be obtained while the prevalence of hypoglycemia is reduced. Similarly, evidence exists that intensive glucose control can reduce the prevalence of microvascular disease in both T1DM and T2DM. These benefits need to be weighed against the increased prevalence of hypoglycemia. Certainly, the level of glucose control (i.e., the HbA1c value, symptoms of hyper- and hypoglycemia, and home glucose val ues) should be evaluated for each patient. Multicenter trials have dem onstrated that individuals with recently diagnosed T1DM or T2DM can have better glycemic control with less hypoglycemia. In addition, there is still long-term benefit in reducing HbA1c values from higher to lower, albeit still above recommended levels. Perhaps a reasonable therapeutic goal is the lowest HbA1c level that does not cause severe hypoglycemia and that preserves awareness of hypoglycemia. Recent studies have demonstrated the benefit of second-generation basal and prandial analogue insulins in reducing the risk of both nonsevere and severe hypoglycemia. The reduction of hypoglycemia occurred during both the day and night and was observed in T1DM and T2DM individuals. Addition of longer acting GLP-1 and dual GLP-1/gastric inhibitory polypeptide (GIP) receptor agonists to a basal insulin in the management of insulin-requiring T2DM has also resulted in lower hypoglycemic risk as compared to a basal insulin and a first-generation prandial insulin analogue. Pancreatic transplantation (both whole organ and islet cell) has been used in part as a treatment for severe hypoglycemia. Generally, rates of hypoglycemia are reduced after transplantation. This decrease appears to be due to increased physiologic insulin and glucagon responses during hypoglycemia. The use of continuous glucose monitors (CGMs), either alone or in combination with continuous subcutaneous infusion via a wearable pump, offers promise as a method of reducing hypoglycemia while improving HbA1c . Specifically, continuous glucose monitoring coupled with temporary discontinuation of subcutaneous insulin infusion when the monitor predicts a low glucose concentration is particularly promising. Studies investigating the use of CGM during inpatient care for both insulin-requiring pediatric and adult patients with diabetes are ongoing. Furthermore, progress utilizing a portable wearable closed loop automated “artificial pancreas” or sensor-augmented pump therapy incorporating continuous glucose modulation of either insulin alone or bi-hormonal delivery of both insulin and glucagon has been established. Additionally, stem cell–derived β cells also offer promise of novel therapeutic interventions to reduce hypoglycemia. Nonpharmacologic approaches of hypoglycemia risk reduction utilizing structured patient education have also been proven to be successful in T1DM and T2DM. Outpatient education consisting of adjustment of meal plans, exercise, and medications, combined with early recognition and treatment of hypoglycemia, have all </w:t>
      </w:r>
      <w:r w:rsidRPr="00A6019F">
        <w:lastRenderedPageBreak/>
        <w:t xml:space="preserve">been demonstrated to reduce hypoglycemic risk with even small improvements in HbA1c . Other interventions to stimulate counter regulatory responses, such as selective serotonin reuptake inhibitors, β-adrenergic receptor antagonists, opiate receptor antagonists, and fructose, remain experimental and have not been assessed in large scale clinical trials. Thus, intensive glycemic therapy (Chap. 416) needs to be applied along with the patient’s education and empowerment, frequent self monitoring of blood glucose, flexible insulin (and other drug) regimens (including the use of insulin analogues, both short- and longer-acting), individualized glycemic goals, and ongoing professional guidance, sup port, and consideration of both the conventional risk factors and those indicative of compromised glucose counterregulation. Given a history of hypoglycemia unawareness, a 2- to 3-week period of scrupulous avoidance of hypoglycemia is indicated. Particularly when patients are ill or medicated, the initial diag nostic focus should be on the possibility of drug involvement and then on critical illnesses, hormone deficiency, or non–islet cell tumor hypoglycemia. In the absence of any of these etiologic factors and in a seemingly well individual, the focus should shift to possible endog enous hyperinsulinism or accidental, surreptitious, or even malicious hypoglycemia. Drugs Insulin and insulin secretagogues suppress glucose produc tion and stimulate glucose utilization. Ethanol blocks gluconeogenesis but not glycogenolysis. Thus, alcohol-induced hypoglycemia typically occurs after a several-day ethanol binge during which the person eats little food, with consequent glycogen depletion. Ethanol is usually measurable in blood at the time of presentation, but its levels correlate poorly with plasma glucose concentrations. Because gluconeogenesis becomes the predominant route of glucose production during pro longed hypoglycemia, alcohol can contribute to the progression of hypoglycemia in patients with insulin-treated diabetes. Many other drugs have been associated with hypoglycemia. These include commonly used drugs such as angiotensin-converting enzyme inhibitors and angiotensin receptor antagonists, β-adrenergic recep tor antagonists, quinolone antibiotics, indomethacin, quinine, and sulfonamides. Critical Illness Among hospitalized patients, serious illnesses such as renal, hepatic, or cardiac failure; sepsis; and inanition are second only to drugs as causes of hypoglycemia. Rapid and extensive hepatic destruction (e.g., toxic hepatitis) causes fasting hypoglycemia because the liver is the major site of endogenous glucose production. The mechanism of hypoglycemia in patients with cardiac failure is unknown. Hepatic congestion and hypoxia may be involved. Although the kidneys are a source of glucose produc tion, hypoglycemia in patients with renal failure is also caused by the reduced clearance of insulin (thereby inappropriately increasing insu lin relative to the prevailing glucose levels) and the reduced mobiliza tion of gluconeogenic precursors in renal failure. Sepsis is a relatively common cause of hypoglycemia. Increased glucose utilization is induced by cytokine production in macrophage rich tissues such as the liver, spleen, and lung. Hypoglycemia develops if glucose production fails to keep pace. Cytokine-induced inhibition of gluconeogenesis in the setting of nutritional glycogen depletion, in </w:t>
      </w:r>
      <w:r w:rsidRPr="00A6019F">
        <w:lastRenderedPageBreak/>
        <w:t xml:space="preserve">combination with hepatic and renal hypoperfusion, may also contrib ute to hypoglycemia. Hypoglycemia can be seen with starvation. Due to brain conversion and utilization of alternative substrates, such as lactate, pyruvate, and ketone bodies, there is only a modest counterregulatory neuroendo crine and autonomic nervous system response. During periods of pro longed starvation (fasting), plasma glucose levels are lower in women as compared to men, perhaps because of loss of whole-body fat stores and subsequent depletion of gluconeogenic precursors (e.g., amino acids), necessitating increased glucose utilization. Hormone Deficiencies Neither cortisol nor growth hormone is critical to the prevention of hypoglycemia, at least in adults. Nonethe less, hypoglycemia can occur with prolonged fasting in patients with primary adrenocortical failure (Addison’s disease) or hypopituitarism. Anorexia and weight loss are typical features of chronic cortisol defi ciency and likely result in glycogen depletion. Cortisol deficiency is associated with impaired gluconeogenesis and low levels of gluco neogenic precursors; these associations suggest that substrate-limited gluconeogenesis, in the setting of glycogen depletion, is the cause of 3235 hypoglycemia. Growth hormone deficiency can cause hypoglycemia in young children. In addition to extended fasting, high rates of glucose utilization (e.g., during exercise or in pregnancy) or low rates of glucose production (e.g., after alcohol ingestion) can precipitate hypoglycemia in adults with previously unrecognized hypopituitarism. Hypoglycemia is not a feature of the epinephrine-deficient state that results from bilateral adrenalectomy when glucocorticoid replacement is adequate, nor does it occur during pharmacologic adrenergic block ade when other glucoregulatory systems are intact. Combined deficien cies of glucagon and epinephrine play a key role in the pathogenesis of iatrogenic hypoglycemia in people with insulin-deficient diabetes, as discussed earlier. Otherwise, deficiencies of these hormones are not usually considered in the differential diagnosis of a hypoglycemic disorder. Non–β-Cell Tumors Fasting hypoglycemia, often termed non islet cell tumor hypoglycemia, occurs occasionally in patients with large mesenchymal or epithelial tumors (e.g., hepatomas, adrenocortical carcinomas, carcinoids). The glucose kinetic patterns resemble those of hyperinsulinism (see next), but insulin secretion is suppressed appro priately during hypoglycemia. In most instances, hypoglycemia is due to overproduction of an incompletely processed form of insulin-like growth factor II (“big IGF-II”) that does not complex normally with circulating binding proteins and thus more readily gains access to tar get tissues. The tumors are usually apparent clinically, plasma ratios of IGF-II to IGF-I are high, and free IGF-II levels (and levels of pro-IGF-II [1–21]) are elevated. Curative surgery is seldom possible, but reduction of tumor bulk may ameliorate hypoglycemia. Therapy with a gluco corticoid, growth hormone, or both has also been reported to alleviate hypoglycemia. Hypoglycemia attributed to ectopic IGF-I production has been reported but is rare. Endogenous Hyperinsulinism Hypoglycemia due to endog enous hyperinsulinism can be caused by (1) a primary β-cell disorder— typically a β-cell tumor (insulinoma), sometimes multiple insulinomas, or a functional </w:t>
      </w:r>
      <w:r w:rsidRPr="00A6019F">
        <w:lastRenderedPageBreak/>
        <w:t xml:space="preserve">β-cell disorder with β-cell hypertrophy or hyperplasia; (2) an antibody to insulin or to the insulin receptor; (3) a β-cell secre tagogue such as a sulfonylurea; or perhaps (4) ectopic insulin secretion, among other very rare mechanisms. None of these causes are common. The fundamental pathophysiologic feature of endogenous hyperin sulinism caused by a primary β-cell disorder or an insulin secretagogue is the failure of insulin secretion to fall to very low levels during hypo glycemia. This feature is assessed by measurement of plasma insulin, C-peptide (the connecting peptide that is cleaved from proinsulin to produce insulin), proinsulin, and glucose concentrations during hypo glycemia. Insulin, C-peptide, and proinsulin levels need not be high rela tive to normal, euglycemic values; rather, they are inappropriately high in the setting of a low plasma glucose concentration. Critical diagnostic findings are a plasma insulin concentration ≥3 μU/mL (≥18 pmol/L), a plasma C-peptide concentration ≥0.6 ng/mL (≥0.2 nmol/L), and a plasma proinsulin concentration ≥5.0 pmol/L when the plasma glucose concentration is 25 mg/dL (&gt;1.4 mmol/L) after IV administration of glucagon (1.0 mg) indicate increased insulin (or IGF) actions. The diagnostic strategy is (1) to measure plasma glucose, insulin, C-peptide, proinsulin, and β-hydroxybutyrate concentrations and to screen for circulating oral hypoglycemic agents during an episode of hypoglycemia and (2) to assess symptoms during the episode and seek their resolution following correction of hypoglycemia by glucose (either oral or parenteral) or by IV injection of glucagon (i.e., to docu ment Whipple’s triad). This is straightforward if the patient is hypo glycemic when seen. Since endogenous hyperinsulinemic disorders usually, but not invariably, cause fasting hypoglycemia, a diagnostic episode may develop after a relatively short outpatient fast. Serial sampling during an inpatient diagnostic fast of up to 72 h or after a mixed meal is more problematic. An alternative is to give patients a detailed list of the required measurements and ask them to present to an ambulatory care center or emergency room, with the list, during a symptomatic episode. Obviously, a normal plasma glucose concentra tion during a symptomatic episode indicates that the symptoms are not the result of hypoglycemia. An insulinoma—an insulin-secreting pancreatic islet β-cell tumor— is the prototypical cause of endogenous hyperinsulinism and therefore should be sought in patients with a compatible clinical syndrome. However, insulinoma is not the only cause of endogenous hyperin sulinism. Some patients with fasting endogenous hyperinsulinemic hypoglycemia have diffuse islet involvement with β-cell hypertrophy and sometimes hyperplasia. This pattern is commonly referred to as nesidioblastosis, although β cells budding from ducts are not invariably found. Other patients have a similar islet pattern but with postpran dial hypoglycemia, a disorder termed noninsulinoma pancreatogenous hypoglycemia. Post–gastric bypass postprandial hypoglycemia, which most often follows Roux-en-Y gastric bypass, is also characterized by diffuse islet involvement and endogenous hyperinsulinism. Multiple pathophysiologic mechanisms have been suggested including exag gerated GLP-1 responses to meals resulting in hyperinsulinemia, hypoglucagonemia, and </w:t>
      </w:r>
      <w:r w:rsidRPr="00A6019F">
        <w:lastRenderedPageBreak/>
        <w:t xml:space="preserve">hypoglycemia. However, other mechanisms may be responsible for the relative hyperinsulinemia, such as reduced insulin clearance and reduced glucagon responses to hypoglycemia. The relevant pathogenesis has not been clearly established. However, if medical treatment with agents such as an α-glucosidase inhibitor, diazoxide, or octreotide fails, partial pancreatectomy may be required. Autoimmune hypoglycemias include those caused by an antibody to insulin that binds postmeal insulin and then gradually disassociates, with consequent late postprandial hypoglycemia. Alternatively, an insulin receptor antibody can function as an agonist. The presence of an insulin secretagogue, such as a sulfonylurea or a glinide, results in a clinical and biochemical pattern similar to that of an insulinoma but can be distinguished by the presence of the circulating secretagogue. Finally, there are reports of very rare phenomena such as ectopic insulin secretion, a gain-of-function insulin receptor mutation, and exercise-induced hyperinsulinemia. CHAPTER 418 Hypoglycemia Insulinomas are uncommon, with an estimated yearly incidence of 1 in 250,000. Because &gt;90% of insulinomas are benign, they are a treat able cause of potentially fatal hypoglycemia. The median age at presen tation is 50 years in sporadic cases, but the tumor usually presents in the third decade when it is a component of multiple endocrine neopla sia type 1 (Chap. 400). More than 99% of insulinomas are within the substance of the pancreas, and the tumors are usually small (12 carbons) are incorporated into TGs and packaged with apoB-48, phospholipids, cholesteryl esters, retinyl esters, and α-tocopherol (vitamin E) in a process that requires the action of the microsomal TG transfer protein (MTP) to form chylomicrons. Nascent chylomicrons are secreted into the intestinal lymph and delivered via Exogenous Dietary lipids Small intestines Bile acids + cholesterol LDLR Endogenous LDL Liver HL the thoracic duct directly to the systemic circulation, where they are extensively processed by peripheral tissues before reaching the liver. The particles encounter lipoprotein lipase (LPL), which is transported from parenchymal cells and anchored to the luminal surface of the endothelium by the protein GPIHBP1 of capillaries in tissues, par ticularly adipose, heart, and skeletal muscle (Fig. 419-2). ApoC-II and apoA-V are apolipoproteins that are transferred to circulating chylomicrons from HDL in the postprandial state; apoC-II acts as a required cofactor for LPL activation, and apoA-V serves as a facilitator of LPL activity. The TGs in chylomicrons are hydrolyzed by LPL, and free fatty acids are released and taken up by adjacent myocytes or adi pocytes and are either oxidized to generate energy or reesterified and stored as TG. Some of the released free fatty acids bind albumin before entering cells and are transported to other tissues, especially the liver. The chylomicron particle progressively shrinks in size as the hydro phobic TG core is hydrolyzed and the excess hydrophilic lipids (cho lesterol and phospholipids) and apolipoproteins on the particle surface are transferred to HDL, ultimately creating chylomicron remnants. Chylomicron remnants contain apoB-48, which lacks the region in apoB-100 that binds to the LDL receptor. Nevertheless, they are rapidly removed from the circulation by the liver through a process that critically requires apoE as a ligand for receptors in the liver. Few, if any, </w:t>
      </w:r>
      <w:r w:rsidRPr="00A6019F">
        <w:lastRenderedPageBreak/>
        <w:t xml:space="preserve">chylomicrons or chylomicron remnants are generally present in the blood after a 12-h fast, except in patients with certain disorders of lipoprotein metabolism as described below. </w:t>
      </w:r>
      <w:r w:rsidRPr="00A6019F">
        <w:rPr>
          <w:rFonts w:ascii="Arial" w:hAnsi="Arial" w:cs="Arial"/>
        </w:rPr>
        <w:t>■</w:t>
      </w:r>
      <w:r w:rsidRPr="00A6019F">
        <w:t xml:space="preserve">TRANSPORT OF HEPATICALLY DERIVED LIPIDS BY VLDL AND LDL Another key role of lipoproteins is the transport of hepatic lipids from the liver to the periphery (Fig. 419-2) to provide an energy source dur ing fasting and to deliver fat-soluble vitamins to key tissues. During the fasting state, lipolysis of adipose TGs generates fatty acids that are transported to the liver, and the liver is also capable of synthesizing fatty acids through de novo lipogenesis. These fatty acids are esterified by the liver into TGs, which are packaged into VLDL Peripheral tissues ApoC’s Chylomicron ApoB-100 ApoE ApoB-48 Chylomicron remnant Capillaries VLDL IDL Capillaries LPL Muscle Adipose FFA LPL FFA Muscle Adipose FIGURE 419-2 The exogenous and endogenous lipoprotein metabolic pathways. The exogenous pathway transports dietary lipids to the periphery and the liver. The endogenous pathway transports hepatic lipids to the periphery. FFA, free fatty acid; HL, hepatic lipase; IDL, intermediate-density lipoprotein; LDL, low-density lipoprotein; LDLR, low-density lipoprotein receptor; LPL, lipoprotein lipase; VLDL, very-low-density lipoprotein. particles along with apoB-100, phospholipids, choles teryl esters, and vitamin E in a process that also requires MTP. VLDL thus resemble chylomicrons in that they are “triglyceride-rich lipoproteins,” but they contain apoB 100 rather than apoB-48, are smaller and less buoyant, and have a higher ratio of cholesterol to TG (~1 mg of cholesterol for every 5 mg of TG, whereas in chylomi crons, this ratio is closer to ~1:8). After secretion by the liver into the plasma, the circulating TGs in VLDL are hydrolyzed by LPL. After the relatively TG-depleted VLDL remnants dissociate from LPL, they are referred to as IDLs, which contain roughly similar amounts of cholesterol and TG by mass. The liver removes ~40–60% of IDL by receptor-mediated endocytosis via binding to apoE, which is acquired through transfer of this protein from HDL. The remainder of IDL is further remodeled by hepatic lipase (HL) to form LDL. During this pro cess, phospholipids and TGs in the particle are hydro lyzed, and most of the remaining apolipoproteins except apoB-100 are transferred to other lipoproteins. LDL is primarily a by-product of fatty acid energy transport by VLDL with little true physiologic role; one exception is that LDL may be partially responsible for delivery of vitamin E to the retina and brain. LDL is ultimately removed from the circulation by receptor-mediated endocytosis (primarily via the LDL receptor) in the liver, with a region of apoB-100 serving as the specific ligand for binding to the LDL receptor. It should be noted that apoB-48 does not contain the LDL receptor binding ligand region, and therefore, clearance of apoB 48-containing chylomicron remnants is dependent on apoE-mediated clearance as noted above. Some LDL particles are lipolytically processed to small dense LDL particles that are believed to be especially atherogenic. 3239 Lp(a) is a lipoprotein similar to LDL in lipid and protein composi tion, but it contains an additional distinctive protein called apo(a). Apo(a) is synthesized in the liver and attached to apoB-100 by a disul fide linkage. The major site of clearance of Lp(a) is the liver, but the uptake pathway is not known. Lp(a) is now established as causal factor </w:t>
      </w:r>
      <w:r w:rsidRPr="00A6019F">
        <w:lastRenderedPageBreak/>
        <w:t xml:space="preserve">for ASCVD and aortic stenosis, and an elevated level of Lp(a) serves as an independent risk factor and merits more aggressive therapy to reduce LDL cholesterol levels (see below). </w:t>
      </w:r>
      <w:r w:rsidRPr="00A6019F">
        <w:rPr>
          <w:rFonts w:ascii="Arial" w:hAnsi="Arial" w:cs="Arial"/>
        </w:rPr>
        <w:t>■</w:t>
      </w:r>
      <w:r w:rsidRPr="00A6019F">
        <w:t xml:space="preserve">HDL METABOLISM AND REVERSE CHOLESTEROL TRANSPORT All nucleated cells synthesize cholesterol, but only hepatocytes and enterocytes can effectively excrete cholesterol from the body, into either the bile or the gut lumen, respectively. In the liver, cholesterol is secreted into the bile, either directly or after conversion to bile acids. Cholesterol in peripheral cells is transported from the plasma mem branes of peripheral cells to the liver and intestine by a process termed reverse cholesterol transport that is facilitated by HDL (Fig. 419-3). Nascent HDL particles are synthesized by the intestine and the liver. Newly secreted apoA-I rapidly acquires phospholipids and unesteri fied cholesterol from its site of synthesis (intestine or liver) via cellular efflux promoted by the membrane protein ATP-binding cassette pro tein A1 (ABCA1). This process results in the formation of discoidal HDL particles, which then recruit additional unesterified cholesterol from cells or circulating lipoproteins. Within the HDL particle, the cholesterol is esterified to cholesteryl ester (CE) through the addition of a fatty acid by lecithin-cholesterol acyltransferase (LCAT), a plasma enzyme associated with HDL; the hydrophobic CE forms the core of the mature HDL particle. As HDL acquires more CE, it becomes spherical, and additional apolipoproteins and lipids are transferred to the particles from the surfaces of chylomicrons and VLDLs during lipolysis. HDL cholesterol in the blood is transported to hepatocytes by two major pathways. HDL CE can be “selectively” taken up by hepatocytes via the scavenger receptor class B1 (SR-B1), a cell surface HDL receptor that mediates the selective transfer of CE from HDL with subsequent dissociation and “recycling” of the HDL particle. In addition, HDL CE can be transferred to apoB-containing lipoproteins in exchange for TG by the cholesteryl ester transfer protein (CETP). The CE esters are then removed from the circulation by LDL receptor–mediated endocytosis. HDL-derived CE taken up by the hepatocyte through these pathways is hydrolyzed, and much of the cholesterol is ultimately excreted directly into the bile or converted to bile acids with excretion to bile, providing CETP Free cholesterol Macrophage VLDL IDL LDL Liver ApoA-I ApoA-I a biliary route into the intestinal lumen. There is also evidence that, under certain conditions, HDL cholesterol can be transported directly into the intestinal lumen without requiring a transhepatobiliary route, a process known as transintestinal cholesterol excretion. HDL particles undergo extensive remodeling within the plasma compartment by a variety of lipid transfer proteins and lipases. The phospholipid transfer protein (PLTP) transfers phospholipids from other lipoproteins to HDL or among different classes of HDL par ticles and is a regulator of HDL metabolism. After CETP- and PLTP mediated lipid exchange, the TG-enriched HDL becomes a much better substrate for HL, which hydrolyzes the TGs and phospholipids to generate smaller HDL particles. A related enzyme called endothelial lipase (EL) hydrolyzes HDL phospholipids, generating smaller HDL particles that are catabolized faster. Remodeling of HDL influences the metabolism, function, and plasma concentrations of </w:t>
      </w:r>
      <w:r w:rsidRPr="00A6019F">
        <w:lastRenderedPageBreak/>
        <w:t xml:space="preserve">HDL. SCREENING Dyslipidemia is an important causal factor in ASCVD, and treatment has been proven to substantially reduce cardiovascular risk. Therefore, all adults (and many children) should be actively screened for plasma lipids. A lipid panel should be measured, preferably after an overnight fast. In most clinical laboratories, the total cholesterol and TGs in the plasma are measured enzymatically, and then after precipitation of apoB-containing lipoproteins, the cholesterol in the supernatant is measured to determine the HDL cholesterol (HDL-C). The LDL cho lesterol (LDL-C) is then estimated using the following equation (the Friedewald formula): LDL-C = total cholesterol – (TG/5) – HDL-C (The VLDL cholesterol content is estimated by dividing the plasma TG by 5, reflecting the ratio of TG to cholesterol in VLDL particles.) This formula is reasonably accurate if test results are obtained on fasting plasma and if the TG level does not exceed ~200 mg/dL; by convention, it cannot be used if the TG level is &gt;400 mg/dL. LDL-C can be directly measured by a number of methods. The non-HDL C can be easily calculated by subtracting the HDL-C from the total cholesterol. It has the advantage of incorporating the cholesterol contained within VLDL and IDL, which in most cases is also athero genic and associated with increased ASCVD risk. There is increasing evidence that measurement of plasma apoB levels may provide a better assessment of cardiovascular risk than the LDL-C level, and even the non-HDL-C level, and is recommended by some experts. While this has not yet become standard clinical practice, the data CHAPTER 419 Disorders of Lipoprotein Metabolism LDLR Small Nascent HDL intestines LCAT Mature HDL SR-BI Peripheral cells Chylomicrons CETP FIGURE 419-3 High-density lipoprotein (HDL) metabolism and reverse cholesterol transport. The HDL pathway transports excess cholesterol from the periphery back to the liver for excretion in the bile. The liver and the intestine produce nascent HDLs. Free cholesterol is acquired from macrophages and other peripheral cells and esterified by lecithin-cholesterol acyltransferase (LCAT), forming mature HDLs. HDL cholesterol can be selectively taken up by the liver via SR-BI (scavenger receptor class BI). Alternatively, HDL cholesteryl ester can be transferred by cholesteryl ester transfer protein (CETP) from HDLs to very-low-density lipoproteins (VLDLs) and chylomicrons, which can then be taken up by the liver. IDL, intermediate-density lipoprotein; LDL, low-density lipoprotein; LDLR, low density lipoprotein receptor. supporting the use of apoB as a risk marker and guide to therapeutic intervention are quite strong. There is also increasing interest in Lp(a), an independent ASCVD risk factor that is highly heritable and may be helpful in risk stratification. In patients with evidence of dyslip idemia, further evaluation and treatment are based on evidence of preexisting ASCVD and clinical assessment of cardiovascular risk using risk calculators such as the American Heart Association (AHA)/American College of Cardiology (ACC) risk calculator as well as, in some cases, based on additional approaches to risk assessment such as apoB and Lp(a) (see “Approach to the Patient” for more detailed discussion). DISORDERS ASSOCIATED WITH ELEVATED APOB-CONTAINING LIPOPROTEINS Disorders of lipoprotein metabolism that cause ele vated levels of apoB-containing lipoproteins are </w:t>
      </w:r>
      <w:r w:rsidRPr="00A6019F">
        <w:lastRenderedPageBreak/>
        <w:t xml:space="preserve">among the most common and clinically important of the dyslipoproteinemias. They are generally character ized by increased plasma levels of total cholesterol, accompanied by increased TGs, LDL-C, or both. Many patients with hyperlipidemia have some combination of genetic predisposition (often polygenic) and medical 3240 or environmental contribution (medical condition, diet, lifestyle, or drug). Many, but not all, patients with hyperlipidemia are at increased risk for ASCVD, which is the primary reason for making the diagnosis, as intervention can substantially reduce this risk. In addition, patients with severe hypertriglyceridemia may be at risk for acute pancreatitis and require intervention to reduce this risk. PART 12 Endocrinology and Metabolism Although hundreds of proteins influence lipoprotein metabolism, and genetic variants in most of the genes that encode them interact with each other and the environment to produce dyslipidemia, there are a limited number of discrete “nodes” or pathways that regulate lipo protein metabolism and are dysfunctional in specific dyslipidemias. These include (1) lipolysis of TG-rich lipoproteins by LPL; (2) recep tor-mediated uptake of apoB-containing lipoproteins by the liver; (3) cellular cholesterol metabolism in the hepatocyte and the enterocyte; (4) assembly and secretion of VLDLs by the liver; and (5) neutral lipid transfer and phospholipid hydrolysis in the plasma. Primary genetic disorders of lipoprotein metabolism caused by single-gene mutations (Table 419-2) have taught us a great deal about the physiologic roles of specific proteins in these pathways in humans and are clinically impor tant to diagnose and treat. </w:t>
      </w:r>
      <w:r w:rsidRPr="00A6019F">
        <w:rPr>
          <w:rFonts w:ascii="Arial" w:hAnsi="Arial" w:cs="Arial"/>
        </w:rPr>
        <w:t>■</w:t>
      </w:r>
      <w:r w:rsidRPr="00A6019F">
        <w:t xml:space="preserve">SEVERE HYPERTRIGLYCERIDEMIA Severe hypertriglyceridemia (HTG) is defined by fasting TG levels &gt;500 mg/dL and is usually accompanied by moderately elevated total cholesterol levels and reduced levels of HDL-C, usually without impor tant elevation in LDL-C or apoB. It is medically important because it is associated with risk of acute pancreatitis and, in some cases, is also associated with increased risk of ASCVD. Severe HTG is usually caused by impaired lipolysis of TGs in TG-rich lipoproteins (TRLs) by the enzyme LPL. LPL is synthesized by adipocytes, skeletal myo cytes, and cardiomyocytes, and its posttranslational maturation and folding require the action of lipase maturation factor 1 (LMF1). After secretion, it is transported from the subendothelial to the vascular endothelial surfaces by GPIHPB1, which docks it to the endothelial surface. ApoC-II is a required cofactor for LPL, and apoA-V promotes LPL activity, and both are transported to the bound LPL on the TRLs. Single-gene Mendelian disorders that reduce LPL have been described (Table 419-3) as reviewed below; the majority of patients with severe HTG have a polygenic predisposition to secondary factors like obesity or insulin resistance. Primary (Genetic) Causes of Severe Hypertriglyceridemia • FAMILIAL CHYLOMICRONEMIA SYNDROME (FCS) LPL is required for the hydrolysis of TGs in chylomicrons and VLDLs. Genetic deficiency or inactivity of LPL results in impaired lipolysis and profound elevations in plasma TGs, mostly in chylomicrons. While chylomicronemia predomi nates, in fact, these patients often have elevated plasma levels of VLDL as well. The fasting plasma is turbid, and if left undisturbed for several hours, the chylomicrons float to the top and form a creamy supernatant layer. Fasting </w:t>
      </w:r>
      <w:r w:rsidRPr="00A6019F">
        <w:lastRenderedPageBreak/>
        <w:t xml:space="preserve">TG levels are &gt;500 mg/dL and usually &gt;1000 mg/dL. Because chylomicrons contain cholesterol, fasting total cholesterol levels are also elevated. There are five genes in which mutations can result in FCS (Table 419-2). FCS has an estimated frequency of ~1 in 200,000–300,000, although its true prevalence is unknown. The most common molecular cause of FCS involves mutations in the LPL gene. LPL deficiency has autosomal recessive inheritance (loss-of-function mutations in both alleles). Heterozygotes with LPL mutations often have moderate elevations in plasma TG levels and increased risk for coronary heart disease (CHD). FCS can also be caused by mutations in genes that affect LPL processing or activity. For example, apoC-II is a required cofactor for LPL. APOC2 deficiency due to loss-of-function mutations in both APOC2 alleles results in functional lack of LPL activ ity and severe hyperchylomicronemia that is indistinguishable from LPL deficiency. It is also recessive in inheritance pattern and much rarer than LPL deficiency. Another apolipoprotein, apoA-V, facilitates the association of TRLs with LPL and promotes hydrolysis of the TGs. Individuals harboring loss-of-function mutations in both APOA5 alleles causing APOA5 deficiency develop a form of FCS. GPIHBP1 is required for transport and tethering of LPL to the endothelial luminal surface. Homozygosity for mutations in GPIHBP1 that interfere with its synthesis or folding causes FCS. Autoantibodies to GPIHBP1 have also been reported to cause severe hyperchylomicronemia. Finally, LMF1 is required for appropriate processing and folding of LPL, and biallelic loss-of-function mutations can cause FCS. FCS can present in childhood or adulthood with severe abdominal pain due to acute pancreatitis. In this setting, the diagnosis should be suspected if a fasting TG level is &gt;500 mg/dL. Eruptive xanthomas, which are small, yellowish-white papules, may appear in clusters on the back, buttocks, and extensor surfaces of the arms and legs. On funduscopic examination, the retinal blood vessels may be opalescent (lipemia retinalis). Hepatosplenomegaly is sometimes noted as a result of uptake of circulating chylomicrons by reticuloendothelial cells in the liver and spleen. Premature ASCVD is not generally a feature of FCS. The diagnosis of FCS is a clinical diagnosis based on persistence and severity of HTG, with a history of acute pancreatitis or eruptive xanthomas increasing the suspicion. While LPL activity can be mea sured in “postheparin plasma” obtained after an IV heparin injection to release the endothelial-bound LPL, this assay is not widely available. Genetic testing of a panel of candidate FCS genes can be used to con firm the diagnosis but is not required for making the clinical diagnosis. Because of the risk of pancreatitis, it is important to consider the diagnosis and institute therapeutic interventions in FCS. The goal is to prevent pancreatitis by reducing fasting TG levels to 500 mg/dL after a trial of diet and exercise should be considered for drug therapy with a fibrate or fish oil to reduce TGs in order to prevent pancreatitis. These patients should also be carefully evaluated for ASCVD risk and may be candidates for statin therapy to further reduce cholesterol and cardiovascular risk. </w:t>
      </w:r>
      <w:r w:rsidRPr="00A6019F">
        <w:rPr>
          <w:rFonts w:ascii="Arial" w:hAnsi="Arial" w:cs="Arial"/>
        </w:rPr>
        <w:t>■</w:t>
      </w:r>
      <w:r w:rsidRPr="00A6019F">
        <w:t xml:space="preserve">HYPERCHOLESTEROLEMIA (ELEVATED LDL-C) Elevated LDL-C is common and is medically important because it is associated with risk of premature </w:t>
      </w:r>
      <w:r w:rsidRPr="00A6019F">
        <w:lastRenderedPageBreak/>
        <w:t xml:space="preserve">ASCVD. Elevated LDL-C is often caused by impaired uptake of LDL by the liver. As discussed above, the LDL receptor is the major receptor responsible for uptake of LDL, and most causes of elevated LDL-C converge on reduced expression or activity of the LDL receptor in the liver. One major environmental factor that reduces LDL receptor activity is a diet high in saturated and trans fats. Other medical conditions that reduce LDL receptor activ ity include hypothyroidism and estrogen deficiency. The diagnosis of familial hypercholesterolemia involving several genes that influence LDL clearance should be considered in patients with LDL-C levels &gt;190 mg/dL (Table 419-2). However, the majority of patients with elevated LDL-C have a polygenic predisposition exacerbated by sec ondary factors like a diet high in saturated and trans fats. Primary (Genetic) Causes of Elevated LDL-C • FAMILIAL HYPERCHOLESTEROLEMIA (FH) FH is an autosomal dominant dis order characterized by elevated plasma levels of LDL-C usually with relatively normal TG levels. FH is caused by mutations that lead to reduced function of the LDL receptor, with the most common being mutations in the LDLR gene itself. The reduction in LDL receptor activity in the liver results in a reduced rate of clearance of LDL from the circulation. The plasma level of LDL increases to a level such that the rate of LDL production equals the rate of LDL clearance by residual LDL receptor as well as non-LDL receptor mechanisms. Individuals with two mutated LDLR alleles (homozygotes or compound hetero zygotes) have much higher LDL-C levels than those with one mutant allele, causing a condition known as homozygous FH. Although mutations in LDLR are the most common cause of FH (and originally the term FH was used specifically for patients with LDLR mutations), mutations in at least two other genes, APOB and PCSK9, can also cause FH. ApoB-100 is the critical structural protein in LDL and contains a domain that serves as the ligand for binding to the LDL receptor. Mutations in the LDL receptor–binding domain of apoB-100 reduce the affinity of apoB/LDL binding to the LDL receptor, such that LDL is removed from the circulation at a reduced rate. This condition has also been termed familial defective apoB (FDB). Of note, truncating mutations in APOB cause low LDL-C levels (see below). The proprotein convertase subtilisin/kexin type 9 (PCSK9) is a secreted protein that binds to the LDL receptor and targets it for lysosomal deg radation. Normally, after LDL binds to the LDL receptor, it is internal ized along with the receptor, and in the low pH of the endosome, the LDL receptor dissociates from the LDL and recycles to the cell surface. When circulating PCSK9 binds the receptor, the complex is internal ized and the receptor is directed to the lysosome, rather than to the cell surface, reducing the number of active LDL receptors. Gain-of-function mutations in PCSK9 that enhance the activity of PCSK9 cause a form of FH, also known as ADH type 3. Of note, loss-of-function mutations in PCSK9 reduce LDL-C levels (see below). The population frequency of heterozygous FH was originally esti mated to be 1 in 500 individuals, but recent data suggest it may be as high as ~1 in 250 individuals, making it one of the most common single-gene disorders in humans. FH has a much higher prevalence in certain founder populations, such as South African Afrikaners, Christian Lebanese, French Canadians, and Lancaster County </w:t>
      </w:r>
      <w:r w:rsidRPr="00A6019F">
        <w:lastRenderedPageBreak/>
        <w:t xml:space="preserve">Amish. 3243 Heterozygous FH is characterized by elevated plasma levels of LDL-C (usually &gt;190 mg/dL) and relatively normal levels of TGs. Patients with FH have hypercholesterolemia from birth, and FH diagnosis is often based on detection of hypercholesterolemia on routine lipid screen ing; this serves as the basis for the recommendation to screen children between the ages of 9 and 11. A family history of hypercholesterolemia or premature ASCVD should prompt targeted screening. Inheritance of FH is dominant, meaning that the condition is inherited from one parent, and ~50% of the patient’s siblings and children can be expected to have FH. For this reason, family-based “cascade screening” can be very effective in identifying additional persons with FH. Physical findings in some, but not all, patients with FH may include corneal arcus and/or tendon xanthomas, particularly involving the dorsum of the hands and the Achilles tendons. Untreated heterozygous FH is associated with a markedly increased risk of cardiovascular disease; untreated men with heterozygous FH have an ~50% chance of having a myocardial infarction before age 60 years, and women with hetero zygous FH are at substantially increased risk as well. The age of onset of cardiovascular disease is highly variable and depends on the specific molecular defect, the level of LDL-C, and coexisting cardiovascular risk factors. The diagnosis of FH is generally a clinical diagnosis based on hyper cholesterolemia with LDL-C &gt;190 mg/dL in the absence of a secondary etiology and ideally with a family history of hypercholesterolemia and/ or premature ASCVD. Secondary causes of significant hypercholester olemia such as hypothyroidism, nephrotic syndrome, and obstructive liver disease should be excluded. Sequencing of an FH gene panel (LDLR, APOB, PCSK9) to confirm the diagnosis is widely available and worthy of consideration; persons with molecularly confirmed FH are at higher risk of ASCVD and therefore may benefit from more aggressive treatment, and the finding of a specific causal variant has implications for family-based cascade screening. FH patients should be actively treated to lower plasma levels of LDL-C, preferably starting in childhood. Initiation of a diet low in saturated and trans fats is recommended, but heterozygous FH patients almost always require pharmacologic therapy for effective control of their LDL-C levels. Statins are the initial drug class of choice, and usually “high-intensity” statin therapy is needed. Many FH patients cannot achieve adequate control of their LDL-C levels even with high-intensity statin therapy, and a cholesterol absorption inhibitor (ezetimibe), a PCSK9 inhibitor, an ACL inhibitor (bempe doic acid), and a bile acid sequestrant are other classes of drugs that can be added to statins (Table 419-4). Some patients with severe het erozygous FH cannot be adequately managed using existing therapies and are candidates for LDL apheresis, a physical method of purging the blood of LDL in which the LDL particles are selectively removed from the circulation. Other novel approaches for these patients are under development. Homozygous FH (HoFH) is caused by loss-of-function mutations in both alleles of the LDL receptor or double heterozygosity for mutations in two FH genes. Patients with HoFH have been classified into those with virtually no detectable LDL receptor activity (receptor negative) and patients with </w:t>
      </w:r>
      <w:r w:rsidRPr="00A6019F">
        <w:lastRenderedPageBreak/>
        <w:t xml:space="preserve">markedly reduced but detectable LDL receptor activ ity (receptor defective). Untreated LDL-C levels in patients with HoFH range from ~400 to &gt;1000 mg/dL, with receptor-defective patients at the lower end and receptor-negative patients at the higher end of the range. TGs are usually relatively normal. Some patients with HoFH, particularly receptor-negative patients, present in childhood with cutaneous planar xanthomas on the hands, wrists, elbows, knees, heels, or buttocks. The devastating consequence of HoFH is accelerated ASCVD, which often presents in childhood or early adulthood. Ath erosclerosis often develops first in the aortic root, where it can cause aortic valvular or supravalvular stenosis, and typically extends into the coronary ostia, which become stenotic. Symptoms can be atypical, and sudden death is not uncommon. Untreated, receptor-negative patients with HoFH rarely survive beyond the second decade; patients with receptor-defective LDL receptor defects have a better prognosis but almost invariably develop clinically apparent atherosclerotic vascular disease by age 30 and often much sooner. HoFH should be suspected in a child or young adult with LDL &gt;400 mg/dL without secondary cause. Cutaneous xanthomas, evidence of ASCVD, and/or hypercholesterolemia in both parents all are sup portive of the diagnosis. While the diagnosis is usually made on clinical grounds, genetic testing should be performed to identify specific causal variants. Patients with HoFH must be treated aggressively to delay the onset and progression of cardiovascular disease (CVD). Although receptor-negative patients have no response to statins and PCSK9 inhibitors, receptor-defective patients can have modest responses to these medicines, and they should be tried in patients with HoFH. Two drugs that reduce the hepatic production of VLDL and thus LDL, a small-molecule inhibitor of MTP and an antisense oligonucleotide to apoB, and an antibody that inhibits ANGPLT3 are approved for the treatment of patients with HoFH and should be considered in HoFH patients. LDL apheresis should be considered in HoFH patients who have persistently elevated LDL-C levels despite drug therapy. Liver transplantation is effective in decreasing plasma LDL-C levels in this disorder and is sometimes used as a last resort. Liver-directed gene therapy is under development for HoFH, as are other new therapeutic approaches intended to address the remaining unmet medical need. FH is an autosomal dominant disorder. There are a few rare con ditions that cause an FH-like phenotype in an autosomal recessive manner and should be considered in patients with severe hypercholes terolemia who do not report a family history of hypercholesterolemia or premature CHD. AUTOSOMAL RECESSIVE HYPERCHOLESTEROLEMIA (ARH) ARH is a very rare autosomal recessive disorder that was originally reported in individuals of Sardinian descent. The disease is caused by mutations in the gene LDLRAP1 encoding the protein LDLR adaptor protein (also called the ARH protein), which is required for LDL receptor–mediated endocytosis in the liver. LDLRAP1 binds to the cytoplasmic domain of the LDL receptor and links the receptor to the endocytic machinery. In the absence of LDLRAP1, LDL binds to the extracellular domain of the LDL receptor, but the lipoprotein-receptor complex fails to be internal ized. ARH, like HoFH, is characterized by hypercholesterolemia, tendon xanthomas, </w:t>
      </w:r>
      <w:r w:rsidRPr="00A6019F">
        <w:lastRenderedPageBreak/>
        <w:t xml:space="preserve">and premature coronary artery disease (CAD). The levels of plasma LDL-C tend to be intermediate between the levels present in FH homozygotes and FH heterozygotes, and CAD is not usually symptom atic until the third decade. LDL receptor function in cultured fibroblasts is normal or only modestly reduced in ARH, whereas LDL receptor function in the liver is negligible. Unlike FH homozygotes, the hyper lipidemia responds to treatment with statins, but these patients often require additional therapy to lower plasma LDL-C to acceptable levels. CHAPTER 419 Disorders of Lipoprotein Metabolism SITOSTEROLEMIA Sitosterolemia is a rare autosomal recessive disease that is caused by biallelic loss-of-function mutations in either of two members of the ATP-binding cassette (ABC) half transporter family, ABCG5 and ABCG8. These genes are expressed in both enterocytes and hepatocytes. The proteins heterodimerize to form a functional complex that transports plant sterols such as sitosterol and campes terol, and animal sterols, predominantly cholesterol, across the apical biliary membrane of hepatocytes into the bile and across the apical luminal membrane of enterocytes into the gut lumen, thus reduc ing their (re)absorption and promoting their excretion. In normal individuals, 150 mg/dL and evidence of elevated cholesterol-containing lipoproteins (such as LDL-C &gt;130 mg/dL or non-HDL-C &gt;160 mg/dL). It is one of the most common types of lipid disorders seen in clinical practice, due both to genetic predisposition and influence of medical conditions and envi ronmental factors (see below). It is generally associated with elevated risk of ASCVD, and therefore, patients with mixed hyperlipidemia should be carefully evaluated and managed to reduce this risk. Primary (Genetic) Causes of Mixed Hyperlipidemia • FAMILIAL DYSBETALIPOPROTEINEMIA (FDBL) FDBL (also known as type III hyperlipoproteinemia) is a recessive disorder characterized by a mixed hyperlipidemia due to the accumulation of remnant lipoprotein par ticles (chylomicron remnants and VLDL remnants, or IDL). ApoE is present in multiple copies on chylomicron remnants and IDL and mediates their removal via hepatic lipoprotein receptors (Fig. 419-2). The APOE gene is polymorphic in sequence, resulting in the expression of three common isoforms: apoE3, which is the most common (~78% global allele frequency [AF]), apoE4 (~14% global AF), and apoE2 (~8% global AF). The apoE4 allele, which has an arginine instead of a cysteine at position 112, is widely known for being the major genetic risk factor for Alzheimer’s disease. It is associated with slightly higher LDL-C levels and increased ASCVD risk but is not associated with FDBL. The apoE2 allele, which has a cysteine at position 158 instead of an arginine, is the cause of FDBL when present on both alleles. ApoE2 has a lower affinity for the LDL receptor; therefore, chylomicron rem nants and IDL containing apoE2 are removed from plasma at a slower rate, leading to their accumulation in blood. Approximately 0.5% of the general population are apoE2/E2 homo zygotes, but only a small minority of these individuals actually develop hyperlipidemia characteristic of FDBL (which has a prevalence of ~1 in 10,000). Thus, an additional, sometimes identifiable, factor precipitates the development of overt dysbetalipoproteinemia in apoE2/E2 homo zygotes. The most common precipitating factors are a high-fat diet, sedentary lifestyle, </w:t>
      </w:r>
      <w:r w:rsidRPr="00A6019F">
        <w:lastRenderedPageBreak/>
        <w:t xml:space="preserve">obesity, alcohol use, menopause, diabetes mellitus, hypothyroidism, renal disease, HIV infection, or certain drugs. Certain dominant-negative mutations in apoE can cause a dominant form of FDBL where the hyperlipidemia is fully manifest in the heterozygous state, but these mutations are very rare. Patients with FDBL usually present in adulthood with hyperlip idemia, xanthomas, or premature coronary or peripheral vascular disease. In FDBL, in contrast to other disorders of elevated TGs, the plasma levels of cholesterol and TG are often elevated to a similar degree, and the level of HDL-C is usually normal. Two distinctive types of xanthomas, tuberoeruptive and palmar, are seen in FDBL patients. Tuberoeruptive xanthomas begin as clusters of small papules on the elbows, knees, or buttocks and can grow to the size of small grapes. Palmar xanthomas (alternatively called xanthomata striata palmaris) are orange-yellow discolorations of the creases in the palms and wrists. Both of these xanthoma types are virtually pathognomonic for FDBL. Subjects with FDBL have premature ASCVD and tend to have more peripheral vascular disease than is typically seen in FH. The definitive diagnosis of FDBL can be made either by the docu mentation of very high levels of remnant lipoproteins or by identifica tion of the apoE2/E2 genotype. A variety of methods are used to identify remnant lipoproteins in the plasma, including “β-quantification” by ultracentrifugation (ratio of directly measured VLDL cholesterol to total plasma TG &gt;0.30), lipoprotein electrophoresis (broad β band), or nuclear magnetic resonance lipoprotein profiling. The Friedewald formula for calculation of LDL-C is not valid in FDBL because the VLDL particles are depleted in TG and enriched in cholesterol. The plasma levels of LDL-C are actually low in this disorder due to defec tive metabolism of VLDL to LDL. DNA-based apoE genotyping can be performed to confirm homozygosity for apoE2, which is diagnostic for FDBL. However, absence of the apoE2/E2 genotype does not strictly rule out the diagnosis of FDBL, because other mutations in apoE can (rarely) cause this condition. CHAPTER 419 Disorders of Lipoprotein Metabolism Because FDBL is associated with increased risk of premature ASCVD, it should be treated aggressively. Other metabolic conditions that can exacerbate the hyperlipidemia (see above) should be man aged. Patients with FDBL are typically diet-responsive and can respond favorably to low-cholesterol, low-fat diets and weight reduction. Alcohol intake should be curtailed. Pharmacologic therapy is often required, and statins are the first line in management. In the event of statin intolerance or insufficient control of hyperlipidemia, cholesterol absorption inhibitors, PCSK9 inhibitors, and fibrates are also effective in the treatment of FDBL. HEPATIC LIPASE DEFICIENCY Hepatic lipase (HL; gene name LIPC) is a member of the same gene family as LPL and hydrolyzes TGs and phospholipids in remnant lipoproteins and HDL. Hydrolysis of lipids in remnant particles by HL contributes to their hepatic uptake via an apoE-mediated process. HL deficiency is a very rare autosomal reces sive disorder caused by biallelic loss-of-function mutations in LIPC. It is characterized by elevated plasma levels of cholesterol and TGs (mixed hyperlipidemia) due to the accumulation of lipoprotein rem nants, accompanied by elevated plasma level of HDL-C. The diagnosis </w:t>
      </w:r>
      <w:r w:rsidRPr="00A6019F">
        <w:lastRenderedPageBreak/>
        <w:t xml:space="preserve">is confirmed by confirmation of pathogenic mutations in both alleles of LIPC. Due to the small number of patients with HL deficiency, the association of this genetic defect with ASCVD is not entirely clear, although anecdotally, patients with HL deficiency who have premature CVD have been described. As with FDBL, statin therapy is recom mended to reduce remnant lipoproteins and cardiovascular risk. FAMILIAL COMBINED HYPERLIPIDEMIA (FCHL) FCHL is one of the most common familial lipid disorders; it is estimated to occur in ~1 in 100–200 individuals. FCHL is characterized by elevations in plasma levels of TGs (VLDL) and LDL-C (including especially a small dense form of LDL) and reduced plasma levels of HDL-C. This disorder is an important contributor to premature CHD; ~20% of patients who develop CHD under age 60 have FCHL. FCHL can manifest in child hood but is usually not fully expressed until adulthood. The disease clusters in families, and affected family members typically have one of three possible phenotypes: (1) elevated plasma levels of LDL-C, (2) 3246 as well as to increased production of the LPL inhibitor apoC-III by the liver. This reduction in LPL activity often exacerbates the effects of increased VLDL production and contributes to the dyslipidemia seen in these patients. The dyslipidemia in this setting is almost invariably associated with low HDL-C levels as well. A cluster of metabolic risk factors are often found together, including obesity, insulin resistance, hypertension, high TGs, and low HDL-C (the so-called “metabolic syndrome,” Chap. 420). PART 12 Endocrinology and Metabolism elevated plasma levels of TGs due to elevation in VLDL, or (3) elevated plasma levels of both LDL-C and TG. The lipoprotein profile can switch among these three phenotypes in the same individual over time and may depend on factors such as diet, exercise, weight, and insulin sensitivity. Patients with FCHL have substantially elevated plasma lev els of apoB, often disproportionately high relative to the plasma LDL-C concentration, indicating the presence of small dense LDL particles, which are characteristic of this syndrome. Individuals with this phenotype generally share the same metabolic defect, namely overproduction of VLDL and apoB by the liver. The molecular etiology of this condition remains poorly understood, and no single gene has been identified in which mutations convincingly cause this disorder in a simple Mendelian fashion. It is likely that defects in a combination of genes can cause the condition, suggesting that a more appropriate term for the disorder might be polygenic com bined hyperlipidemia. The presence of a mixed dyslipidemia (plasma TG levels between 150 and 500 mg/dL and total cholesterol levels between 200 and 400 mg/dL, usually with HDL-C levels 70% of total plasma cholesterol). Deficiency in this enzyme interferes with the maturation of HDL particles and results in rapid catabolism of circulating apoA-I. Two genetic forms of familial LCAT deficiency have been described in humans: complete deficiency (also called classic LCAT deficiency) and partial deficiency (also called fish eye disease). Progressive corneal opacification due to the deposition of free cholesterol in the cornea, very low plasma levels of HDL-C (usually 150 mg/dL), a fasting glucose and/or hemoglobin A1c should be obtained to rule out diabetes. In patients with elevated LDL-C levels (&gt;160 mg/dL), a TSH should be obtained </w:t>
      </w:r>
      <w:r w:rsidRPr="00A6019F">
        <w:lastRenderedPageBreak/>
        <w:t xml:space="preserve">to rule out hypothyroidism and consideration should be given to the possibility of liver or kidney disease. Once secondary causes have been ruled out, attempts should be made to diagnose a primary lipid disorder, because the underlying genetic defect can provide important prognostic information regarding the risk of pancreatitis in severe HTG and the risk of ASCVD in other dyslipidemias, as well as impact on the choice of drug therapy and the screening of other family members. Obtaining the correct diagnosis often requires a detailed family history, lipid analyses in family members, and sometimes specialized or genetic testing. Severe Hypertriglyceridemia If the fasting plasma TG level is &gt;500 mg/dL, the patient has severe HTG and may be at risk for pan creatitis. If the TG levels are persistently severely elevated, especially if they are &gt;1000 mg/dL, and the total cholesterol-to-TG ratio is &gt;8, FCS should be considered, and genetic testing of an FCS gene panel may be indicated (Table 419-2). If central obesity, insulin resistance, and/or fatty liver disease are also present, consideration should be given to the possibility of FPLD, and an FPLD gene panel may be indicated (Table 419-2). However, most individuals with severe HTG do not have a single-gene disorder but have increased poly genic risk for high TGs often exacerbated by secondary factors (e.g., diet, alcohol, obesity, insulin resistance, medications). Such patients are still at risk for acute pancreatitis and should be treated to reduce their TG levels and thus their risk of pancreatitis (see below). Hypercholesterolemia If the LDL-C levels are &gt;190 mg/dL, the patient has severe hypercholesterolemia and is at risk for premature ASCVD. In absence of secondary causes, FH should be considered, particularly if there is a family history of hypercholesterolemia and/ or premature CHD, and genetic testing of an FH gene panel may be indicated (Table 419-2). The Centers for Disease Control and Prevention has identified FH as a Tier 1 condition for implementa tion of public health genomics. While FH is ultimately a clinical diagnosis, a finding of a causal mutation may appropriately result in earlier and more aggressive therapy to lower LDL-C and should also promote family-based cascade screening. Recessive forms of severe hypercholesterolemia are rare, but if a patient with severe hyper cholesterolemia has parents with normal cholesterol levels, ARH, sitosterolemia, and LALD should be considered, and genetic test ing may be indicated (Table 419-2). Patients without an identified genetic variant or who have more moderate hypercholesterolemia are likely to have polygenic hypercholesterolemia but should still be considered at risk and eligible for treatment (see below). Mixed Hyperlipidemia Patients with elevations in fasting plasma levels of both TGs (&gt;150 mg/dL) and LDL-C (&gt;130 mg/dL), often accompanied by reduced levels of HDL-C (500 mg/dL in order to reduce the risk of pancreatitis. It remains uncertain whether chylo micronemia increases risk for ASCVD per se. Importantly, moder ate HTG (TG 150–500 mg/dL) is associated with increased ASCVD risk; management of these patients is focused on reducing risk of ASCVD and on reducing LDL-C, non-HDL-C, and apoB. LIFESTYLE AND MODIFIABLE FACTORS In patients with severe HTG, lifestyle modification can be associ ated with a significant reduction in plasma TG level. Importantly, certain medications can exacerbate HTG (Table 419-3). Patients who drink </w:t>
      </w:r>
      <w:r w:rsidRPr="00A6019F">
        <w:lastRenderedPageBreak/>
        <w:t xml:space="preserve">alcohol should be encouraged to decrease or preferably eliminate their intake. Patients with severe HTG often benefit from a formal dietary consultation with a dietician intimately familiar with counseling patients on the dietary management of high TGs. Dietary fat intake should be restricted to reduce the formation of chylomicrons in the intestine. The excessive intake of simple car bohydrates should be discouraged because insulin drives TG pro duction in the liver. Aerobic exercise and even increase in regular physical activity can have a positive effect in reducing TG levels and should be strongly encouraged. For patients who are overweight, weight loss can help to reduce TG levels. In extreme cases, bariatric surgery has been shown to not only produce effective weight loss but also substantially reduce plasma TG levels. Many patients with diabetes have HTG, and better control of diabetes can result in lowering of TGs. GLP-1 agonists prescribed for diabetes or obesity can reduce TG levels. PHARMACOLOGIC THERAPY Despite lifestyle interventions, many patients with severe HTG require pharmacologic therapy (Table 419-4). Patients who persist in having fasting TG &gt;500 mg/dL despite active lifestyle manage ment are candidates for pharmacologic therapy. The two major classes of drugs used for management of these patients are fibrates and omega-3 fatty acids (fish oils). In addition, statins can reduce plasma TG levels and also reduce ASCVD risk and should be used in patients with severe HTG who are at increased risk of ASCVD. Fibrates Fibric acid derivatives, or fibrates, are agonists of PPARα, a nuclear receptor involved in the regulation of lipid metabolism. Fibrates stimulate LPL activity (enhancing TG hydrolysis), reduce apoC-III synthesis (enhancing lipoprotein remnant clearance), pro mote β-oxidation of fatty acids, and may reduce VLDL TG produc tion. Fibrates reduce TG levels by ~30% in individuals with severe HTG and are often used as first-line therapy. They do not reduce and sometimes modestly raise LDL-C levels. Fibrates are generally well tolerated but can cause myopathy, especially when combined with statins, can raise creatinine, and are associated with an increase in gallstones. Fibrates can potentiate the effect of warfarin and cer tain oral hypoglycemic agents. Omega-3 Fatty Acids (Fish Oils) Omega-3 fatty acids, or omega-3 polyunsaturated fatty acids (n-3 PUFAs), commonly known as fish oils, are present in high concentration in fish and in flaxseed. The n-3 PUFAs used for the treatment of HTG are eicosapentaenoic acid (EPA) and docosahexaenoic acid (DHA). n-3 PUFAs have been concentrated into capsules and, in doses of 3–4 g/d, are effective at lowering fasting TG levels by ~30%. Fish oils can cause an increase in plasma LDL-C levels in some patients. Icosapent ethyl is an EPA only product that has been shown to reduce cardiovascular events in patients with HTG. In general, fish oils are well tolerated, with the major side effect being dyspepsia. They appear to be safe, at least at doses up to 3–4 g, but can be associated with a prolongation in the bleeding time. Fish oils can be first-line therapy for the treat ment of severe HTG or can be used in combination with fibrates. APOC3 Silencing ApoC-III inhibits LPL and TRL uptake, and genetic variants in the APOC3 gene reduce TG levels and risk of ASCVD. Volanesorsen is an antisense oligonucleotide (ASO) targeted to the APOC3 mRNA in the liver; it significantly reduces </w:t>
      </w:r>
      <w:r w:rsidRPr="00A6019F">
        <w:lastRenderedPageBreak/>
        <w:t xml:space="preserve">plasma apoC-III and TG levels and is approved in Europe for patients with FCS. It has been associated with severe thrombocy topenia. Additional therapeutic approaches to APOC3 and other targets for TG lowering (e.g., ANGPTL3) are in development. Hypercholesterolemia (Elevated LDL-C with or without Elevated TG) There are abundant and compelling data that intervention to reduce LDL-C substantially reduces the risk of ASCVD, including myocardial infarction and stroke, as well as total mortality. Thus, it is imperative that patients with hypercholesterolemia be carefully assessed for cardiovascular risk and need for intervention. It is also worth emphasizing that patients with or at high risk for ASCVD who have plasma LDL-C levels in the “normal” or average range also benefit from intervention to reduce LDL-C levels. LIFESTYLE AND MODIFIABLE FACTORS In patients with elevated LDL-C, lifestyle modifications can be effective but are often less effective than in HTG. Patients should receive dietary counseling to reduce the content of saturated fats and trans fats in the diet. Obese patients should make an effort to lose weight. Regular aerobic exercise has relatively little impact on reducing plasma LDL-C levels, although it has cardiovascular ben efits independent of LDL-C lowering. Patients with hypothyroidism should be optimally controlled. Finally, certain medications can elevate LDL-C levels (Table 419-3). PHARMACOLOGIC THERAPY The decision to use LDL-lowering drug therapy (Table 419-4)— with a statin being first-line therapy—depends on the presence of ASCVD or, if absent, the level of LDL-C as well as the level of cardiovascular risk. In patients with established ASCVD, drug therapy to reduce LDL-C is well supported by clinical trial data to reduce LDL-C as long as it remains &gt;70 mg/dL, using combination drug therapy if necessary. In the absence of ASCVD, patients with FH must be treated to reduce the very high lifetime risk of ASCVD, and treatment should be initiated as early as possible, ideally during childhood. Otherwise, the decision to initiate LDL-lowering drug therapy is generally determined by the level of cardiovascular risk. For patients &gt;40 years old without clinical CVD, the ASCVD pooled cohort risk calculator can be used to determine the 10-year absolute risk for CVD, and current guidelines suggest that a 10-year risk &gt;7.5% merits consideration of statin therapy regardless of plasma LDL-C level. For younger patients, the assessment of lifetime risk of CVD may help inform the decision to start a statin, as well as a care ful assessment of family history of ASCVD. In patients for whom the decision to start a statin is uncertain due to borderline ASCVD risk and/or borderline LDL-C levels, additional risk stratification might be considered. Blood tests that predict ASCVD risk beyond traditional risk factors include apoB, Lp(a), and high-sensitivity C-reactive protein (hs-CRP). In patients who are of a sufficient age (men &gt;40 years and women &gt;50 years), a coronary artery calcium (CAC) score has been shown to provide independent information about risk of future CAD. Elevated levels of one or more of these biomarkers or an elevated CAC score might be used to justify initia tion of statin therapy in primary prevention for patients who are in a borderline zone with regard to treatment. Finally, given the strong polygenic contribution to ASCVD, there is increasing interest in 3251 the concept that a polygenic risk score for CAD might </w:t>
      </w:r>
      <w:r w:rsidRPr="00A6019F">
        <w:lastRenderedPageBreak/>
        <w:t xml:space="preserve">eventually be of clinical utility in lifetime risk assessment and decision-making regarding statin therapy in primary prevention. HMG-CoA Reductase Inhibitors (Statins) Statins inhibit HMG CoA reductase, a key enzyme in cholesterol biosynthesis. By inhibiting cholesterol synthesis in the liver, statins lead to a coun terregulatory increase in the expression of the LDL receptor and thus accelerated clearance of circulating LDL, resulting in a dose- dependent reduction in plasma levels of LDL-C. The magnitude of LDL-C lowering associated with statin treatment (~30–55%) varies by statin and among individuals, but once a patient is on a statin, the doubling of the statin dose produces a ~6% further reduction in the level of plasma LDL-C. An extensive body of randomized clinical trials has clearly established that statin therapy significantly reduces major cardiovascular events (and in some cases total mortality) in both primary and secondary prevention settings. The seven statins currently available differ in their LDL-C–reducing potency (Table 419-4). Current recommendations are to use high-intensity statin therapy in patients with ASCVD or deemed at high risk of ASCVD. Statins also modestly reduce plasma TGs in a dose-dependent fash ion roughly proportional to their LDL-C–lowering effects. Statins, taken in tablet form once a day, are remarkably safe and well tolerated. The most important side effect associated with statin therapy is muscle pain, or myalgia, which occurs in 3–5% of patients, some of whom are unable to tolerate any statin. Severe myopathy (associated with an increase in plasma creatine kinase [CK]) and even rhabdomyolysis can occur rarely with statin treatment. The risk of statin-associated myalgia or myopathy is increased by the presence of older age, frailty, renal insufficiency, and coadministration of drugs that interfere with the metabolism of certain statins, such as erythromycin and related antibiotics, antifungal agents, immunosuppressive drugs, and fibric acid derivatives (particularly gemfibrozil). In the event of muscle symptoms, a plasma CK level may be obtained to differentiate myopathy from myalgia. Serum CK levels need not be monitored on a routine basis in patients taking statins because an elevated CK in the absence of symptoms does not predict the development of myopathy and does not necessarily suggest the need for discontinu ing the drug. Statins can result in elevation in liver transaminases (alanine aminotransferase [ALT] and aspartate aminotransferase [AST]), but it is usually mild and transient and generally does not require discontinuation. Finally, meta-analyses of large random ized controlled clinical trials with statins indicate a slight excess in incident type 2 diabetes, an observation as yet not fully under stood. However, the cardiovascular benefits associated with statin therapy far outweigh the slight increase in incident diabetes. Based on their safety and extensively documented benefit with regard to cardiovascular outcomes, statins are the clear drug class of choice for LDL-C reduction and are by far the most widely used class of lipid-lowering drugs. Cholesterol Absorption Inhibitor Cholesterol within the lumen of the small intestine is derived from the diet (about one-third) and the bile (about two-thirds) and is actively absorbed by the entero cyte through a process that involves the protein NPC1L1. Ezeti mibe (Table 419-4) is a cholesterol absorption inhibitor that binds directly to and inhibits NPC1L1 and </w:t>
      </w:r>
      <w:r w:rsidRPr="00A6019F">
        <w:lastRenderedPageBreak/>
        <w:t xml:space="preserve">blocks the intestinal absorp tion of cholesterol. Ezetimibe (10 mg taken once daily) inhibits cholesterol absorption by almost 60%, resulting in a reduction in delivery of dietary sterols in the liver and a compensatory increase in hepatic LDL receptor expression. The mean reduction in plasma LDL-C on ezetimibe (10 mg) is 18%, and the effect is additive when used in combination with a statin. Effects on TG and HDL-C levels are negligible. Ezetimibe added to a statin has been shown to sig nificantly reduce major cardiovascular events compared with statin alone. It is generally considered the second-line option for adding to a statin in order to achieve further LDL-C reduction. Ezetimibe is very safe and well-tolerated. When used in combination with a statin, monitoring of liver transaminases is recommended. The only roles for ezetimibe in monotherapy are in patients who do not toler ate statins and in some patients with sitosterolemia. PCSK9 Inhibitors Circulating PCSK9 targets the LDL receptor for lysosomal degradation, thus reducing its recycling and abundance at the surface of the hepatocyte. Genetic loss of function of PCSK9 results in low levels of LDL-C and protection from CAD. Antibod ies to PCSK9 (Table 419-4) sequester it and functionally increase the number of LDL receptors available to remove LDL from the blood. They are highly effective in lowering LDL-C, with an ~60% reduction in LDL-C. They also reduce plasma levels of Lp(a) mod estly. Both PCSK9 antibodies have been shown to significantly reduce cardiovascular events when added to a statin in patients with existing CAD. These antibodies are administered subcutane ously every 2 weeks. They are generally well tolerated, with a side effect being injection site reactions. They are generally indicated as second-line (added to statin) or third-line (added to statin plus ezetimibe) therapy in patients with FH or ASCVD in whom LDL-C is not reduced to acceptable levels with a statin (with or without ezetimibe) alone. An alternative approach to silencing PCSK9, inclisiran, is a therapeutic siRNA molecule that targets the PCSK9 mRNA in the liver. In contrast to the antibodies, it is administered subcutaneously every 6 months. It is effective in reducing LDL-C by ~60% and appears to be well tolerated and safe; cardiovascular outcomes trials are ongoing. ATP Citrate Lyase Inhibitor Bempedoic acid is a first-in-class competitive inhibitor of ATP citrate lyase (ACL), which acts on mitochondrial-derived citrate to generate production of acetyl CoA, which is subsequently used for cholesterol synthesis. Thus, it reduces cholesterol synthesis through a different mechanism than statins, ultimately upregulating the hepatic LDL receptor. Bempe doic acid is a prodrug that requires activation by very-long-chain acyl-CoA synthetase-1 (ASCVL1), which is not expressed in skel etal muscle, potentially explaining why it has less association with myalgias than statins; indeed, it has been shown to be relatively well tolerated in patients with statin-induced myalgias. In phase 3 trials, bempedoic acid 180 mg daily reduced LDL-C by ~18% when added to a statin and by ~23% as monotherapy. In a large cardiovascular outcomes trial in statin-intolerant patients, bempedoic acid 180 mg daily was shown to significantly reduce (by 13%) a four-component composite of major adverse cardiovascular events. It is also available in a fixed-dose combination with ezetimibe, </w:t>
      </w:r>
      <w:r w:rsidRPr="00A6019F">
        <w:lastRenderedPageBreak/>
        <w:t xml:space="preserve">which reduced LDL-C by ~36%, for patients who are statin intolerant. It can be used in combination with statins but should not be used with simvastatin in a dose &gt;20 mg. Bempedoic acid is associated with increased uric acid levels and gout as well as with increased liver enzymes and cholelithiasis. Unlike statins, it is not associated with increased incidence of diabetes. Bile Acid Sequestrants (Resins) Bile acid sequestrants (BAS) bind bile acids in the intestine and promote their excretion rather than reabsorption in the ileum. To maintain the bile acid pool size, the liver diverts cholesterol to bile acid synthesis. The decreased hepatic intracellular cholesterol content results in upregulation of the LDL receptor and enhanced LDL clearance from the plasma. BAS, including cholestyramine, colestipol, and colesevelam (Table 419-4), primarily reduce plasma LDL-C levels but can cause an increase in plasma TGs. Therefore, patients with HTG generally should not be treated with bile acid–binding resins. Cholestyramine and colestipol are insoluble resins that must be suspended in liquids. Colesevelam is available as tablets but generally requires up to six to seven tablets per day for effective LDL-C lowering. BAS are effec tive in combination with statins and in combination with ezetimibe. Side effects of resins are limited to the gastrointestinal tract and include bloating and constipation. Because BAS are not systemically absorbed, they are very safe and are the cholesterol-lowering drug CHAPTER 419 Disorders of Lipoprotein Metabolism 3252 of choice in children and in women who are pregnant, lactating, or actively trying to conceive. However, they are otherwise fourth- or fifth-line drugs for LDL-C reduction in other settings. PART 12 Endocrinology and Metabolism Specialized Drugs for HoFH Three “orphan” drugs are approved specifically for the management of HoFH, a rare condition caused by biallelic mutations in the major genes causing FH in which patients respond poorly to traditional LDL-lowering medications. Lomitapide is a small-molecule inhibitor of MTP that reduces LDL-C by ~50%, and mipomersen is an antisense oligonucleotide against apoB that reduces LDL-C by ~25%. Both of these drugs reduce hepatic VLDL production and thus LDL-C levels; however, due to their mechanism of action, each drug causes an increase in hepatic fat, the long-term consequences of which are unknown. In addition, lomitapide is associated with gastrointestinal-related side effects, and mipomersen is associated with skin reactions and flulike symptoms. Finally, an antibody inhibitor of ANGPTL3, evinacumab, was approved in 2021 for the treatment of HoFH. In a phase 3 trial, an intravenous infusion every 4 weeks reduced LDL-C levels in patients with HoFH by ~50% and was well toler ated. One of these three drugs should be strongly considered in HoFH patients after a trial of a high-intensity statin, and possibly a PCSK9 inhibitor, is shown to be insufficient to reduce LDL-C levels. LDL Apheresis Patients with severe hypercholesterolemia who cannot reduce their LDL-C to acceptable levels despite optimally tolerated combination drug therapy are candidates for LDL apher esis. In this process, the patient’s plasma is passed over a column that selectively removes the LDL, and the LDL-depleted plasma is returned to the patient. LDL apheresis is indicated for patients on maximally tolerated combination drug therapy (including a </w:t>
      </w:r>
      <w:r w:rsidRPr="00A6019F">
        <w:lastRenderedPageBreak/>
        <w:t xml:space="preserve">PCSK9 inhibitor) who have CHD and a plasma LDL-C level &gt;200 mg/dL or no CHD and a plasma LDL-C level &gt;300 mg/dL; LDL apher esis could be considered in high-risk patients who have an LDL-C &gt;160 mg/dL on maximal therapy. </w:t>
      </w:r>
      <w:r w:rsidRPr="00A6019F">
        <w:rPr>
          <w:rFonts w:ascii="Arial" w:hAnsi="Arial" w:cs="Arial"/>
        </w:rPr>
        <w:t>■</w:t>
      </w:r>
      <w:r w:rsidRPr="00A6019F">
        <w:t>FURTHER READING Cholesterol Treatment Trialists</w:t>
      </w:r>
      <w:r w:rsidRPr="00A6019F">
        <w:rPr>
          <w:rFonts w:ascii="Aptos" w:hAnsi="Aptos" w:cs="Aptos"/>
        </w:rPr>
        <w:t>’</w:t>
      </w:r>
      <w:r w:rsidRPr="00A6019F">
        <w:t xml:space="preserve"> (CTT) Collaboration: Effects of statin therapy on diagnoses of new-onset diabetes and worsening glycaemia in large-scale randomised blinded statin trials: An indi vidual participant data meta-analysis. Lancet Diabetes Endocrinol 12:306, 2024. Hernandez P et al: Clinical management of hypertriglyceridemia in the prevention of cardiovascular disease and pancreatitis. Curr Ath eroscler Reports 23:72, 2021. Klarin D, Natarajan P: Clinical utility of polygenic risk scores for coronary artery disease. Nat Rev Cardiol 19:291, 2022. Loh WJ, Watts GF: The inherited hypercholesterolemias. Endocrinol Metab Clin North Am 51:511, 2022. Mangione CM et al: Statin use for the primary prevention of cardio vascular disease in adults: US Preventive Services Task Force recom mendation statement. JAMA 328:746, 2022. Piccirillo F et al: Novel antidiabetic agents and their effects on lipid profile: A single shot for several cardiovascular targets. Int J Mol Sci 24:10164, 2023. Sakhuja S et al: Recurrent atherosclerotic cardiovascular disease events potentially prevented with guideline-recommended choles terol-lowering therapy following myocardial infarction. Cardiovasc Drugs Ther 38:937, 2024. Shamsudeen I, Hegele RA: Advances in the care of lipodystrophies. Curr Opin Endocrinol Diabetes Obesity 29:152, 2022. Virani SS et al: 2023 AHA/ACC/ACCP/ASPC/NLA/PCNA guideline for the management of patients with chronic coronary disease: A report of the American Heart Association/American College of Car diology Joint Committee on Clinical Practice Guidelines. Circulation 148:e9, 2023. Watts GF et al: International Atherosclerosis Society guidance for implementing best practice in the care of familial hypercholesterol aemia. Nat Rev Cardiol 20:845, 2023. 420 The Metabolic Syndrome Robert H. Eckel The metabolic syndrome (syndrome X, insulin resistance syndrome) consists of a constellation of metabolic abnormalities that confer increased risk of cardiovascular disease (CVD) and diabetes mellitus. Evolution of the criteria for the metabolic syndrome since the original definition by the World Health Organization in 1998 reflects growing clinical evidence and analysis by a variety of consensus conferences and professional organizations. The major features of metabolic syndrome include central obesity, hypertriglyceridemia, low levels of high density lipoprotein (HDL) cholesterol, hyperglycemia, and hyperten sion (Table 420-1). </w:t>
      </w:r>
      <w:r w:rsidRPr="00A6019F">
        <w:rPr>
          <w:rFonts w:ascii="Arial" w:hAnsi="Arial" w:cs="Arial"/>
        </w:rPr>
        <w:t>■</w:t>
      </w:r>
      <w:r w:rsidRPr="00A6019F">
        <w:t xml:space="preserve">GLOBAL HEALTH/EPIDEMIOLOGY The most challenging feature of the metabolic syndrome to define is waist circumference. Intraabdominal circumference (visceral adipose tissue) is most strongly related to insulin resistance and risk of diabetes and CVD, and for any given waist circumference, the distribution of adipose tissue between subcutaneous (SC) and visceral depots varies substantially. Thus, within and between populations, there is a lesser versus greater risk at the same waist circumference. These differences in populations reflect the range of waist circumferences considered to confer risk in different geographic locations (Table 420-1). The prevalence of the metabolic syndrome varies around the world, in part reflecting the age and ethnicity of </w:t>
      </w:r>
      <w:r w:rsidRPr="00A6019F">
        <w:lastRenderedPageBreak/>
        <w:t xml:space="preserve">the populations studied and the diagnostic criteria applied. In general, the prevalence of metabolic syndrome increases with age. The prevalence of metabolic syndrome in the U.S. adult population meeting the criteria of the National Cho lesterol Education Program (NCEP) and Adult Treatment Panel III (ATPIII) is ~35%. Greater global industrialization is associated with rising rates of obesity and related increase in the prevalence of the metabolic syndrome, especially as the population ages. Using National Health and Nutrition Examination Survey (NHANES) data from 1999–2018, the prevalence of metabolic syn drome in 28,049 adults in the United States was 33.4%. The highest prevalence was age-dependent with reduction by age 80 among all sub groups, i.e., from 19.5% among those aged 20–39 years to 48.6% among those aged ≥60 years. Importantly, the rising prevalence and severity of obesity among children reflect features of the metabolic syndrome in a younger population, now estimated to be 12 and 30% among obese and overweight children, respectively. The frequency distribution of different components of metabolic syndrome for the U.S. population (NHANES III) and the Guangdong Gut Microbiome Project of China is summarized in Fig. 420-1. Note the major differences in the U.S. population compared to Han Chinese. Moreover, within the United States, abdominal obesity appears equally prevalent in all U.S. races, whereas the prevalence of age-dependent other components differs as shown in Fig. 420-1. Increases in hyper glycemia were most evident in the 2017–2018 sample, whereas central obesity, low HDL cholesterol, and hypertension prevalence have been relatively constant, while levels of triglycerides (defined as &gt;150 mg/dL) have progressively decreased. </w:t>
      </w:r>
      <w:r w:rsidRPr="00A6019F">
        <w:rPr>
          <w:rFonts w:ascii="Arial" w:hAnsi="Arial" w:cs="Arial"/>
        </w:rPr>
        <w:t>■</w:t>
      </w:r>
      <w:r w:rsidRPr="00A6019F">
        <w:t xml:space="preserve">RISK FACTORS Overweight/Obesity Metabolic syndrome was first described in the early twentieth century; however, the worldwide overweight/ obesity epidemic has recently been the force driving its increasing recognition. Central adiposity is a key feature of the syndrome, and the syndrome’s prevalence reflects the strong relationship between waist circumference and increasing adiposity. However, despite the importance of obesity, patients who are of normal weight may also be insulin-resistant and may have metabolic syndrome. This phenotype is particularly evident for populations in India, Southeast Asia, and Central America. 3253 The Metabolic Syndrome CHAPTER 420 TABLE 420-1 NCEP:ATPIIIa 2001 and Harmonizing Definition Criteria for the Metabolic Syndrome NCEP:ATPIII 2001 HARMONIZING DEFINITIONb Three or more of the following: • Central obesity: waist circumference &gt;102 cm (males), &gt;88 cm (females) • Hypertriglyceridemia: triglyceride level ≥150 mg/dL or specific medication • Low HDLc cholesterol: 150 mg/dL or specific medication • HDL cholesterol level 130 mm systolic or &gt;85 mm diastolic or previous diagnosis or specific medication • Fasting plasma glucose level ≥100 mg/dL (alternative indication: drug treatment of elevated glucose levels) aNational Cholesterol Education Program and Adult Treatment Panel III. bIn this analysis, the following thresholds for waist circumference were used: white men, ≥94 cm; African-American men, ≥94 cm; Mexican-American men, ≥90 cm; white women, ≥80 cm; African-American women, ≥80 cm; Mexican-American women, ≥80 cm. For participants whose designation was “other </w:t>
      </w:r>
      <w:r w:rsidRPr="00A6019F">
        <w:lastRenderedPageBreak/>
        <w:t xml:space="preserve">race—including multiracial,” thresholds that were once based on Europid cutoffs (≥94 cm for men and ≥80 cm for women) and on South Asian cutoffs (≥90 cm for men and ≥80 cm for women) were used. For participants who were considered “other Hispanic,” the International Diabetes Federation thresholds for ethnic South and Central Americans were used. cHigh-density lipoprotein. Age (years) Prevalence (%) 20 30 40 50 60 70 80 MetS Abdominal Obesity 70 10 20 30 40 50 60 70 10 20 30 40 50 60 70 10 20 30 40 50 60 70 10 20 30 40 50 60 80 20 40 60 20 30 50 40 Elevated FPG Elevated BP Elevated TG Reduced HDL-C Age (years) 20 30 40 50 60 70 80 Age (years) 20 30 40 50 60 70 80 Age (years) 20 30 40 50 60 70 80 Age (years) 20 30 40 50 60 70 80 Age (years) Han Chinese Mexican American Non-Hispanic Black Non-Hispanic White 20 30 40 50 60 70 80 Prevalence (%) Prevalence (%) Prevalence (%) Prevalence (%) Prevalence (%) FIGURE 420-1 The frequency distribution of the metabolic syndrome for the U.S. population (National Health and Nutrition Examination Survey [NHANES] III) and the Guangdong Gut Microbiome Project of China. The prevalence of metabolic syndrome (MetS) and its components with age across different races. Prevalence was estimated using a SWAN algorithm (shown as dots). The trajectory of the prevalence of MetS with age was fitted by cubic regressions (shown as lines). BP, blood pressure; FPG, fasting plasma glucose; HDL-C, high-density lipid cholesterol; SWAN, sliding window–based algorithm; TG, triglycerides. (Reproduced from R Zhang et al: The racial disparities in the epidemic of metabolic syndrome with increased age: A study from 28,049 Chinese and American adults. Front Public Health 9:797183, 2022.) Sedentary Lifestyle Physical inactivity and less cardiorespiratory fitness are predictors of CVD events and the related risk of death. Many components of the metabolic syndrome are associated with a sedentary lifestyle, including increased adipose tissue (predominantly central), reduced HDL cholesterol, and increased triglycerides, blood pressure, and glucose in genetically susceptible persons. Compared with indi viduals who watch television or videos or use the computer 4 h daily have a twofold increased risk of the metabolic syndrome. Genetics No single gene explains the complex phenotype called metabolic syndrome. However, using genome-wide association and candidate gene approaches, several genetic variants are associated with metabolic syndrome. Although many of the loci have unknown function, many others relate to body weight and composition, insu lin resistance, and unfavorable disturbances in lipid and lipoprotein metabolism. In general, heritability estimates for each of the metabolic traits exceed 50%. Aging The metabolic syndrome affects nearly 50% of the U.S. population aged &gt;60, and at &gt;60 years of age, women are more often affected. The age dependency of the syndrome’s prevalence is seen in most populations around the world. 3254 </w:t>
      </w:r>
      <w:r w:rsidRPr="00A6019F">
        <w:rPr>
          <w:rFonts w:ascii="Arial" w:hAnsi="Arial" w:cs="Arial"/>
        </w:rPr>
        <w:t>■</w:t>
      </w:r>
      <w:r w:rsidRPr="00A6019F">
        <w:t xml:space="preserve">ETIOLOGY Diabetes Mellitus Diabetes mellitus can be included in both the NCEP and the Harmonizing Definitions of metabolic syndrome, but the greatest value of metabolic syndrome, and especially fast ing glucose, is predicting type 2 diabetes. The great majority (~75%) of patients with type 2 diabetes or impaired glucose tolerance have metabolic syndrome. The presence of metabolic syndrome in these populations relates to a higher </w:t>
      </w:r>
      <w:r w:rsidRPr="00A6019F">
        <w:lastRenderedPageBreak/>
        <w:t xml:space="preserve">prevalence of CVD than in patients who have type 2 diabetes or impaired glucose tolerance but do not have the syndrome. PART 12 Endocrinology and Metabolism Cardiovascular Disease Individuals with metabolic syndrome are twice as likely to die of CVD as those who do not, and their risk of acute myocardial infarction or stroke is threefold higher. The approxi mate prevalence of metabolic syndrome among patients with coronary heart disease (CHD) is up to 60% in persons &gt;75 years, with a preva lence of ~35% among patients with premature coronary artery disease (age ≤45) and a particularly higher prevalence among women. With appropriate cardiac rehabilitation and changes in lifestyle (e.g., nutrition, physical activity, weight reduction, and—in some cases—pharmacologic therapy), the prevalence of the syndrome can be reduced. Lipodystrophy Lipodystrophic disorders in general are associ ated with metabolic syndrome. Moreover, it is quite common for such patients to present with the metabolic syndrome. Both genetic lipodystrophy (e.g., Berardinelli-Seip congenital lipodystrophy, Dun nigan familial partial lipodystrophy) and acquired lipodystrophy (e.g., HIV-related lipodystrophy and in HIV patients receiving certain anti retroviral therapies) may give rise to severe insulin resistance and many of the components of metabolic syndrome. C-II C-III TG VLDL B-100 and HDL cholesterol Small dense LDL Glucose Insulin Resistance The most accepted and unifying hypothesis to describe the pathophysiology of metabolic syndrome is insulin resis tance, caused systemically by an incompletely understood defect in insulin action (Chap. 415). The onset of insulin resistance is heralded by postprandial hyperinsulinemia, which is followed by fasting hyper insulinemia and ultimately by hyperglycemia. An early major contributor to the development of insulin resistance is an overabundance of circulating fatty acids (Fig. 420-2). Plasma albumin-bound free fatty acids are derived predominantly from adi pose-tissue triglyceride stores released by intracellular lipolytic enzymes. The lipolysis of triglyceride-rich lipoproteins in tissues by lipoprotein lipase also produces free fatty acids. Insulin mediates both anti-lipolysis and the stimulation of lipoprotein lipase in adipose tissue. Of note, the inhibition of lipolysis in adipose tissue is the most sensitive pathway of insulin action. Thus, when insulin resistance develops, increased lipoly sis produces more fatty acids, which further decreases the anti-lipolytic effect of insulin. Excessive fatty acids enhance substrate availability and create insulin resistance by modifying downstream signaling. Fatty acids impair insulin-mediated glucose uptake and are associated with accu mulation of triglycerides in both skeletal and cardiac muscle, whereas increased fatty acid flux increases endogenous glucose production and triglyceride production, accumulation, and secretion in the liver. Reductions in leptin action may also be a pathophysiologic mecha nism to explain metabolic syndrome. Physiologically, leptin reduces appetite, promotes energy expenditure, and enhances insulin sensi tivity. In addition, leptin may regulate cardiac and vascular function through a nitric oxide–dependent mechanism. However, when obesity Hypertension FFA Insulin IL-6 SNS TNF-α IL-6 CRP FFA Fibrinogen PAI-1 Insulin FFA Adiponectin Glycogen CO2 Prothrombotic state Triglyceride (intramuscular droplet) </w:t>
      </w:r>
      <w:r w:rsidRPr="00A6019F">
        <w:lastRenderedPageBreak/>
        <w:t xml:space="preserve">FIGURE 420-2 Pathophysiology of the metabolic syndrome. Free fatty acids (FFAs) are released in abundance from an expanded adipose tissue mass. In the liver, FFAs result in increased production of glucose and triglycerides and secretion of very-low-density lipoproteins (VLDLs). Associated lipid/lipoprotein abnormalities include reductions in high-density lipoprotein (HDL) cholesterol and an increased low-density lipoprotein (LDL) particle number. FFAs also reduce insulin sensitivity in muscle by inhibiting insulin-mediated glucose uptake. Associated defects include a reduction in glucose partitioning to glycogen and increased lipid accumulation in triglyceride (TG). The increase in circulating glucose, and to some extent FFAs, increases pancreatic insulin secretion, resulting in hyperinsulinemia. Hyperinsulinemia may result in enhanced sodium reabsorption and increased sympathetic nervous system (SNS) activity and contribute to hypertension, as might higher levels of circulating FFAs. The proinflammatory state is superimposed and contributory to the insulin resistance produced by excessive FFAs. The enhanced secretion of interleukin 6 (IL-6) and tumor necrosis factor α (TNF-α) produced by adipocytes and monocyte-derived macrophages results in more insulin resistance and lipolysis of adipose tissue triglyceride stores to circulating FFAs. IL-6 and other cytokines also enhance hepatic glucose production, VLDL production by the liver, hypertension, and insulin resistance in muscle. Insulin resistance also contributes to increased triglyceride accumulation in the liver (nonalcoholic fatty liver disease). Cytokines and FFAs also increase hepatic production of fibrinogen and adipocyte production of plasminogen activator inhibitor 1 (PAI-1), resulting in a pro-thrombotic state. Higher levels of circulating cytokines stimulate hepatic production of C-reactive protein (CRP). Reduced production of the anti-inflammatory and insulin-sensitizing cytokine adiponectin is also associated with the metabolic syndrome. (Reproduced with permission from RH Eckel et al: The metabolic syndrome. Lancet 365:1415, 2005.) 3255 develops, hyperleptinemia ensues, with evidence of leptin resistance in the brain and other tissues resulting in insulin resistance and associ ated inflammation, hyperlipidemia, and a plethora of cardiovascular disorders, such as hypertension, atherosclerosis, CHD, and heart failure. Moreover, a series of adipokines relate to metabolic syndrome. Whereas adiponectin improves insulin sensitivity in adipose tissue and skeletal muscle, visfatin, fetuin-A, resistin, asprosin, and plasminogen activator inhibitor-1 contribute to insulin resistance and systemic glu cose intolerance. The oxidative stress hypothesis provides a unifying theory for aging and the predisposition to metabolic syndrome. In studies of insulin resistant individuals with obesity or type 2 diabetes, the offspring of persons with type 2 diabetes, and the elderly, a defect in mitochondrial oxidative phosphorylation leads to the accumulation of triglycer ides and related lipid molecules in muscle, liver, and other tissues, i.e., β-cells. The gut microbiome has emerged as an important contributor to the development of obesity and related metabolic disorders, includ ing inflammation and components of metabolic syndrome. Although the mechanisms remain uncertain, an increased ratio of Firmicutes/ Bacteroidetes species in addition to </w:t>
      </w:r>
      <w:r w:rsidRPr="00A6019F">
        <w:lastRenderedPageBreak/>
        <w:t xml:space="preserve">genetic predisposition, diet, and bile acid metabolism are associated with and may play an etiologic role in metabolic syndrome. Increased Waist Circumference Waist circumference is an impor tant component of the most recent and frequently applied diagnostic cri teria for metabolic syndrome. However, measuring waist circumference does not reliably distinguish increases in SC abdominal adipose tissue from that in intra-abdominal or visceral fat; this distinction requires dual X-ray absorptiometry (DEXA), computed tomography (CT), or magnetic resonance imaging (MRI) to discriminate. With increases in visceral adipose tissue, adipose tissue–derived free fatty acids reach the liver more readily. In contrast, increases in abdominal SC fat release lipolysis products into the systemic circulation and therefore have fewer direct effects on hepatic metabolism. Relative increases in visceral versus SC adipose tissue with increasing waist circumference in Asians and Asian Indians may explain the greater prevalence of metabolic syn drome in those populations than in African Americans, in whom SC fat predominates. It is also possible that visceral fat is a marker for—but not the source of—excess postprandial free fatty acids in obesity. Dyslipidemia (See also Chap. 419) In general, free fatty acid flux from adipose tissue to the liver results in increased production of apolipoprotein (apo) B–containing, triglyceride-rich, very-low-density lipoproteins (VLDLs). The direct effect of insulin on this process is complex, but hypertriglyceridemia is an excellent marker of the insulin-resistant condition. Not only is hypertriglyceridemia a feature of metabolic syndrome, but patients with metabolic syndrome have elevated levels of apoC-III carried on VLDLs and other lipoproteins. This increase in apoC-III is inhibitory to lipoprotein lipase, reducing triglyceride-rich lipoprotein remnant removal, further contributing to hypertriglyceridemia, and confers more risk for atherosclerotic cardio vascular disease (ASCVD). The other major lipoprotein disturbance in metabolic syndrome is a reduction in HDL cholesterol. This reduction is a consequence of changes in HDL composition and metabolism. In the presence of hypertriglyceridemia, a decrease in the cholesterol content of HDL is a consequence of reduced cholesteryl ester content of the lipoprotein core in combination with cholesteryl ester transfer protein–mediated alterations in triglycerides that make the HDL particle small and dense. This change in lipoprotein composition also results in increased clearance of HDL from the circulation. These changes in HDL have a relationship to insulin resistance that is probably indirect, occurring in concert with the changes in triglyceride-rich lipoprotein metabolism. In addition to HDLs, low-density lipoproteins (LDLs) have altera tions in composition in metabolic syndrome. With fasting serum triglycerides at &gt;2.0 mM (~180 mg/dL), there is usually a predomi nance of small dense LDLs, which are thought to be more atherogenic, although their association with hypertriglyceridemia and low HDLs makes their independent contribution to ASCVD difficult to assess. Individuals with hypertriglyceridemia often have increases in choles terol content of both VLDL1 and VLDL2 subfractions and in LDL par ticle number. Both lipoprotein changes may contribute to atherogenic risk in patients with metabolic syndrome. Glucose Intolerance (See also Chap. 415) Defects in </w:t>
      </w:r>
      <w:r w:rsidRPr="00A6019F">
        <w:lastRenderedPageBreak/>
        <w:t xml:space="preserve">insulin action in metabolic syndrome lead to impaired suppression of endoge nous glucose production by the liver (and kidney) and reduced glucose uptake and metabolism in insulin-sensitive tissues—i.e., muscle and adipose tissue. There is a strong relationship between impaired fasting glucose or impaired glucose tolerance and insulin resistance in stud ies of humans, nonhuman primates, and rodents. To compensate for defects in insulin action, insulin secretion and/or clearance increases or decreases, respectively, so that euglycemia remains. Ultimately, this compensatory mechanism fails because of defects in insulin secretion, resulting in progression from impaired fasting glucose and/or impaired glucose tolerance to type 2 diabetes mellitus. Hypertension The relationship between insulin resistance and hypertension is well established. Paradoxically, under normal physi ologic conditions, insulin-mediated increases in nitric oxide cause vaso dilation with secondary effects on sodium reabsorption in the kidney. However, in the setting of insulin resistance, the vasodilatory effect of insulin is lost but the renal effect on sodium reabsorption is preserved. Sodium reabsorption is increased in Caucasians with metabolic syn drome but not in Africans or Asians. Insulin also increases the activity of the sympathetic nervous system, an effect that is preserved in the setting of insulin resistance. Insulin resistance is also associated with pathway specific impairment in phosphatidylinositol-3-kinase signaling. In the endothelium, this impairment may cause an imbalance between the production of nitric oxide and the secretion of endothelin 1, with a consequent decrease in blood flow. In addition, increases in angioten sinogen gene expression in adipose tissue of obese subjects results in increases in circulating angiotensin II and vasoconstriction. Although these mechanisms are provocative, the inadequate evaluation of insulin action by measurement of fasting insulin levels or by homeostasis model assessment shows that insulin resistance contributes only partially to the increased prevalence of hypertension in metabolic syndrome. CHAPTER 420 The Metabolic Syndrome Another possible mechanism underlying hypertension in metabolic syndrome is the vasoactive role of perivascular adipose tissue. Reactive oxygen species released by NADPH oxidase impair endothelial func tion and result in local vasoconstriction. Other paracrine effects such as leptin or other proinflammatory cytokines released from adipose tis sue, such as tumor necrosis factor α (TNF-α), may also be important. Hyperuricemia is another consequence of insulin resistance in metabolic syndrome. There is growing evidence not only that uric acid is associated with hypertension but also that reduction of uric acid normalizes blood pressure in hyperuricemic adolescents with hyper tension. The mechanism appears to be in part related to an adverse effect of uric acid on nitric oxide synthase in the macula densa of the kidney and stimulation of the renin-angiotensin-aldosterone system. Proinflammatory Cytokines The increases in proinflammatory cytokines—including interleukins 1, 6, and 18; resistin; TNF-α; and the systemic biomarker C-reactive protein—reflect overproduction by the expanded adipose tissue mass (Fig. 420-2). Adipose tissue–derived macrophages may be the primary source of proinflammatory </w:t>
      </w:r>
      <w:r w:rsidRPr="00A6019F">
        <w:lastRenderedPageBreak/>
        <w:t xml:space="preserve">cytokines locally and in the systemic circulation. It remains unclear, however, how much of the insulin resistance is caused by the paracrine effects of these cytokines and how much by the endocrine effects. Adiponectin Adiponectin is an anti-inflammatory cytokine pro duced exclusively by adipocytes. Adiponectin enhances insulin sensi tivity and inhibits many steps in the inflammatory process. In the liver, adiponectin inhibits the expression of gluconeogenic enzymes and the rate of glucose production. In muscle, adiponectin increases glucose transport and enhances fatty acid oxidation, partially through the activation of AMP kinase. Reductions in adiponectin levels are com mon in metabolic syndrome. The relative contributions of adiponectin deficiency and overabundance of the proinflammatory cytokines are unclear. 3256 </w:t>
      </w:r>
      <w:r w:rsidRPr="00A6019F">
        <w:rPr>
          <w:rFonts w:ascii="Arial" w:hAnsi="Arial" w:cs="Arial"/>
        </w:rPr>
        <w:t>■</w:t>
      </w:r>
      <w:r w:rsidRPr="00A6019F">
        <w:t>CLINICAL FEATURES steatohepatitis (MASH). As the prevalence of overweight/obesity and metabolic syndrome increases, NASH may become one of the more common causes of end-stage liver disease and hepatocellular carci noma. Increasingly, studies have shown that MAFLD is related inde pendently to CVD, especially coronary artery disease. PART 12 Endocrinology and Metabolism Symptoms and Signs Metabolic syndrome typically is not associ ated with symptoms. On physical examination, waist circumference and blood pressure are often elevated. The presence of either or both signs should prompt the clinician to search for other biochemical abnormalities that may be associated with metabolic syndrome. Much less frequently, lipoatrophy or acanthosis nigricans is present on exami nation. Because these physical findings characteristically are associated with severe insulin resistance, other components of metabolic syn drome are much more common. Associated Diseases •</w:t>
      </w:r>
      <w:r w:rsidRPr="00A6019F">
        <w:t> </w:t>
      </w:r>
      <w:r w:rsidRPr="00A6019F">
        <w:t xml:space="preserve">CARDIOVASCULAR DISEASE The rela tive risk for new-onset CVD in patients with metabolic syndrome who do not have diabetes averages 1.5- to 3-fold. However, in INTERHEART, a study of 26,903 subjects from 52 countries, the risk for acute myocardial infarction in subjects with metabolic syndrome (World Health Organization or International Diabetes Federation definition) is comparable to that conferred by some, but not all, of the component risk factors. Diabetes mellitus (odds ratio [OR], 2.72) and hypertension (OR, 2.60) are stronger than other risk factors. Although congestive heart failure and metabolic syndrome can occur together, typically this consequence is secondary to metabolic syn drome–related ASCVD or hypertension. Metabolic syndrome is also associated with increases in the risk for stroke, peripheral vascular disease, and Alzheimer’s disease. However, as for myocardial infarc tion, the risk beyond the additive role of the components of metabolic syndrome remains debatable. In the Reasons for Geographic and Racial Differences in Stroke (REGARDS) cohort, an observational study of black and white adults ≥45 years old across the United States, there were 9741 participants, and 41% had metabolic syndrome. After adjustment for multiple confounders, metabolic syndrome was asso ciated with increases in high-sensitivity C-reactive protein (hsCRP), and this relationship was associated with a 1.34 relative risk for all cause mortality, but 10% weight loss. Common side effects are limited to the upper gastrointestinal tract, including nausea and, less frequently, </w:t>
      </w:r>
      <w:r w:rsidRPr="00A6019F">
        <w:lastRenderedPageBreak/>
        <w:t xml:space="preserve">emesis. Semaglutide (2.4 mg weekly) has been shown to produce an average weight loss of 14.9% over 68 weeks. Tirzepatide, a novel glucose dependent insulinotropic polypeptide (GIP) and GLP-1 receptor agonist, has been tested for 72 weeks in participants with a mean body weight of 104.8 kg and mean body mass index (BMI) of 38.0 kg/m2, with 94.5% of patients with a BMI of ≥30 kg/m2. Participants expe rienced a dose-dependent reduction in weight ranging from –15.0% with 5 mg of tirzepatide weekly to 20.9% with the 15-mg dose. Benefits of GLP-1 receptor agonists on MAFLD are also notewor thy, but not yet FDA approved. Orlistat inhibits fat absorption by ~30% and is moderately effec tive compared with placebo (~4% more weight loss). Moreover, orlistat reduced the incidence of type 2 diabetes, an effect that was especially evident among patients with impaired glucose tolerance at baseline. This drug is often difficult to take because of oily leak age per rectum. In general, for all weight-loss drugs, greater weight reduction leads to greater improvement in metabolic syndrome components, including the conversion from prediabetes to type 2 diabetes. Metabolic or bariatric surgery is an important option for patients with metabolic syndrome who have a BMI &gt;40 kg/m2 or &gt;35 kg/m2 with comorbidities. An evolving application for metabolic surgery includes patients with a BMI as low as 30 kg/m2 and type 2 diabetes. Gastric bypass or vertical sleeve gastrectomy results in dramatic weight reduction and improvement in most features of metabolic syndrome. A survival benefit with gastric bypass has also been realized. LDL CHOLESTEROL (SEE ALSO CHAP. 419) The rationale for the development of criteria for metabolic syn drome by NCEP was to go beyond LDL cholesterol in identifying and reducing the risk of ASCVD. The working assumption by the panel was that LDL cholesterol goals had already been achieved and that increasing evidence supports a linear reduction in ASCVD events because of progressive lowering of LDL cholesterol with statins with subsequent benefit using additional LDL cholesterol lowering agents. The 2019 American College of Cardiology (ACC)/ American Health Association (AHA) Cholesterol Guidelines have no specific recommendations for patients with metabolic syndrome; however, they recommend that patients aged 20–75 years with LDL cholesterol levels ≥190 mg/dL should use a high-intensity statin (e.g., atorvastatin 40–80 mg or rosuvastatin 20–40 mg daily) and those with type 2 diabetes aged 40–75 years should use a moderate intensity statin and, if or when risk estimate is high, a high-intensity statin. For patients with metabolic syndrome but without diabe tes, the 10-year ASCVD risk estimator should be employed, and patients with a risk ≥7.5% and ≤20% or persons aged 20–59 with elevated lifetime risk should have a discussion with their provider about initiating statin therapy for primary prevention of ASCVD. A coronary calcium score may help in making this decision. Diets restricted in saturated fats (300 mg/dL. Side effects include gastrointestinal symptoms (palatability, bloating, belching, constipation, anal irritation). Nico tinic acid has similar LDL cholesterol–lowering capabilities (500 mg/dL should be treated to prevent more serious hypertriglyceridemia and pancreatitis. Although a fasting triglyc eride value of &gt;150 mg/dL is a component of metabolic syndrome, post hoc analyses of multiple fibrate </w:t>
      </w:r>
      <w:r w:rsidRPr="00A6019F">
        <w:lastRenderedPageBreak/>
        <w:t xml:space="preserve">trials have not suggested a triglyceride-related reduction in the primary ASCVD outcome in patients (with or without concomitant statin therapy) with fasting triglycerides &gt;200 mg/dL, often in the setting of reduced levels of HDL cholesterol. It remains uncertain whether triglycerides cause ASCVD or if levels are just associated with increased ASCVD risk. A fibrate (gemfibrozil or fenofibrate) is one drug class of choice to lower fasting triglyceride levels, which are typically reduced by 30–45%. Concomitant administration with drugs metabolized by the 3A4 cytochrome P450 system (including some statins) increases the risk of myopathy. In these cases, fenofibrate may be preferable to gem fibrozil. In the Veterans Affairs HDL Intervention Trial, gemfibrozil was administered to men with known CHD and levels of HDL choles terol 140/90 mmHg), patients with prehypertension (&gt;120/80 mmHg but 100 mmol/d [&gt;4 g/d]), passive intestinal absorption continues to deliver calcium into the ECF despite maximally downregulated intestinal active transport and renal tubular calcium reabsorption. This can cause severe hypercalciuria, nephrocal cinosis, progressive renal failure, and hypercalcemia (e.g., “milk-alkali syndrome”). Deficiency or excess of PTH or vitamin D, intestinal disease, and renal failure represent other commonly encountered chal lenges to normal calcium homeostasis (Chap. 422). PHOSPHORUS METABOLISM Although 85% of the ~600 g of body phosphorus is present in bone mineral, phosphorus is also a major intracellular constituent both as the free anion(s) and as a component of numerous organophosphate compounds, including structural proteins, enzymes, transcription fac tors, carbohydrate and lipid intermediates, high-energy stores (ATP [adenosine triphosphate], creatine phosphate), and nucleic acids. Unlike calcium, phosphorus exists intracellularly at concentrations close to those present in ECF (e.g., 1–2 mmol/L). In cells and in the ECF, phosphorus exists in several forms, predominantly as H2 PO4– or NaHPO4–, with perhaps 10% as HPO4 2–. This mixture of anions will be referred to here as “phosphate.” In serum, ~12% of phosphorus is bound to proteins. Concentrations of phosphates in blood and ECF generally are expressed in terms of elemental phosphorus, with the normal range in adults being 0.75–1.45 mmol/L (2.5–4.5 mg/dL). 3263 Bone and Mineral Metabolism in Health and Disease CHAPTER 421 TABLE 421-1 Causes of Hypophosphatemia I. Reduced renal tubular phosphate reabsorption A. PTH/PTHrP-dependent 1. Primary hyperparathyroidism 2. Secondary hyperparathyroidism a. Vitamin D deficiency/resistance b. Calcium starvation/malabsorption c. Bartter’s syndrome d. Autosomal recessive renal hypercalciuria with hypomagnesemia 3. PTHrP-dependent hypercalcemia of malignancy 4. Familial hypocalciuric hypercalcemia B. PTH/PTHrP-independent 1. Excess FGF23 or other “phosphatonins” a. X-linked hypophosphatemic rickets (XLH) b. Autosomal recessive hypophosphatemia (ARHP) c. Autosomal dominant hypophosphatemic rickets (ADHR) (DMP1, ENPP1 deficiency) d. Tumor-induced osteomalacia syndrome (TIO) e. McCune-Albright syndrome (fibrous dysplasia) f. Epidermal nevus syndrome 2. Intrinsic renal disease a. Fanconi’s syndrome(s) b. Cystinosis c. Wilson’s disease d. NaPi-2a or NaPi-2c mutations 3. Other systemic </w:t>
      </w:r>
      <w:r w:rsidRPr="00A6019F">
        <w:lastRenderedPageBreak/>
        <w:t xml:space="preserve">disorders a. Poorly controlled diabetes mellitus b. Alcoholism c. Hyperaldosteronism d. Hypomagnesemia e. Amyloidosis f. Hemolytic-uremic syndrome g. Renal transplantation or partial liver resection h. Rewarming or induced hyperthermia 4. Drugs or toxins a. Ethanol b. Acetazolamide, other diuretics c. High-dose estrogens or glucocorticoids d. Heavy metals (lead, cadmium, saccharated ferric oxide) e. Toluene, N-methyl formamide f. Cisplatin, ifosfamide, foscarnet, rapamycin II. Impaired intestinal phosphate absorption A. Aluminum-containing antacids B. Sevalamer III. Shifts of extracellular phosphate into cells A. Intravenous glucose B. Insulin therapy for prolonged hyperglycemia or diabetic ketoacidosis C. Catecholamines (epinephrine, dopamine, albuterol) D. Acute respiratory alkalosis E. Gram-negative sepsis, toxic shock syndrome F. Recovery from starvation or acidosis G. Rapid cellular proliferation 1. Leukemic blast crisis 2. Intensive erythropoietin, other growth factor therapy IV. Accelerated net bone formation A. After parathyroidectomy B. Treatment of vitamin D deficiency, Paget’s disease C. Osteoblastic metastases Abbreviations: PTH, parathyroid hormone; PTHrP, parathyroid hormone–related peptide. Because the volume of the intracellular fluid compartment is twice that of the ECF, measurements of ECF phosphate may not accurately reflect phosphate availability within cells that follows even modest shifts of phosphate from one compartment to the other. Phosphate is widely available in foods and is absorbed efficiently (65%) by the small intestine even in the absence of vitamin D. However, gut phosphate absorptive efficiency may be enhanced (to 85–90%) via active transport mechanisms that are stimulated by 1,25(OH)2 D. These mechanisms involve activation of Na+/PO4 2– co-transporters, such as Npt2b, that move phosphate into intestinal cells against an unfavorable electrochemical gradient. Daily net intestinal phosphate absorption varies widely with the composition of the diet but is generally in the range of 500–1000 mg/d. Phosphate absorption can be inhibited by large doses of calcium salts or by sevelamer hydrochloride (Renagel), strategies commonly used to control levels of serum phosphate in chronic kidney disease. Aluminum hydroxide antacids also reduce phosphate absorption but are used less commonly because of the potential for aluminum toxicity. Low serum phosphate stimulates renal proximal tubular synthesis of 1,25(OH)2 D, perhaps by suppressing blood levels of FGF23 (see below). Serum phosphate levels vary by as much as 50% on a normal day. This reflects the effect of food intake but also an underlying circadian rhythm that produces a nadir between 7 and 10 A.M. Carbohydrate administration, especially as IV dextrose solutions in fasting subjects, can decrease serum phosphate by &gt;0.7 mmol/L (2 mg/dL) in common clinical settings including treatment of ketoacidosis or metabolic or respiratory alkalosis. Because of this wide variation in serum phos phate, it is best to perform measurements in the basal, fasting state. Control of serum phosphate is determined mainly by the rate of renal tubular reabsorption of the filtered load, which is ~4–6 g/d. Because intestinal phosphate absorption is highly efficient, urinary excretion is not constant but varies directly with dietary intake. The fractional excretion of phosphate (ratio of phosphate to </w:t>
      </w:r>
      <w:r w:rsidRPr="00A6019F">
        <w:lastRenderedPageBreak/>
        <w:t xml:space="preserve">creatinine clearance) is generally in the range of 10–15%. The proximal tubule is the principal site at which renal phosphate reabsorption is regulated. This is accomplished by changes in the levels of apical expression and activity of specific Na+/PO4 2– co-transporters (NaPi-2a and NaPi-2c) in the proximal tubule. Levels of these transporters at the apical surface of these cells are reduced rapidly by PTH, a major hormonal regulator of renal phosphate excretion. In addition, the circulating hormone FGF23 can inhibit phosphate reabsorption by a similar mechanism. FGF23 is synthesized by osteocytes. Activating FGF23 mutations cause the rare disorder autosomal dominant hypophosphatemic rickets (ADHR). In contrast to PTH, FGF23 reduces synthesis of 1,25(OH)2 D, which may worsen the resulting hypophosphatemia by lowering intestinal phosphate absorption. Renal reabsorption of phosphate is responsive to changes in dietary intake such that experimental dietary phosphate restriction leads to a dramatic lowering of urinary phosphate within hours, preceding any decline in serum phosphate (e.g., filtered load). This physiologic renal adaptation to changes in dietary phosphate availability occurs independently of PTH and may be mediated in part by changes in levels of serum FGF23. Findings in FGF23-deficient mice suggest that FGF23 normally acts to lower blood phosphate and 1,25(OH)2 D levels. In turn, elevation of blood phosphate and 1,25(OH)2 D increases blood levels of FGF23. Renal phosphate reabsorption is impaired by hypocalcemia, hypo magnesemia, and severe hypophosphatemia. Phosphate clearance is enhanced by ECF volume expansion and impaired by dehydration. Phosphate retention is an important pathophysiologic feature of renal insufficiency (Chap. 322). </w:t>
      </w:r>
      <w:r w:rsidRPr="00A6019F">
        <w:rPr>
          <w:rFonts w:ascii="Arial" w:hAnsi="Arial" w:cs="Arial"/>
        </w:rPr>
        <w:t>■</w:t>
      </w:r>
      <w:r w:rsidRPr="00A6019F">
        <w:t xml:space="preserve">HYPOPHOSPHATEMIA Causes Hypophosphatemia can occur by one or more of three primary mechanisms: (1) inadequate intestinal phosphate absorption, (2) excessive renal phosphate excretion, and (3) rapid redistribution of phosphate from the ECF into bone or soft tissue (Table 421-1). Because phosphate is so abundant in foods, inadequate intestinal absorption is almost never observed now that aluminum hydroxide antacids, which 3264 bind phosphate in the gut, are no longer widely used. Fasting or starva tion, however, may result in depletion of body phosphate and predis pose to subsequent hypophosphatemia during refeeding, especially if this is accomplished with IV glucose alone. PART 12 Endocrinology and Metabolism Chronic hypophosphatemia usually signifies the presence of a per sistent renal tubular phosphate-wasting disorder. Excessive activation of PTH/PTHrP receptors in the proximal tubule, as a result of primary or secondary hyperparathyroidism or because of the PTHrP-mediated hypercalcemia syndrome in malignancy (Chap. 422), is a common cause of renal hypophosphatemia. Familial hypocalciuric hypercalce mia and Jansen’s metaphyseal chondrodysplasia are rare examples of genetic disorders in this category (Chap. 422). Several genetic and acquired diseases cause PTH/PTHrP receptor independent tubular phosphate wasting with associated rickets and osteomalacia. All these diseases manifest severe hypophosphatemia; renal phosphate wasting, sometimes accompanied by aminoaciduria; inappropriately low blood levels of 1,25(OH)2 D; low-normal serum levels of calcium; and evidence of impaired cartilage </w:t>
      </w:r>
      <w:r w:rsidRPr="00A6019F">
        <w:lastRenderedPageBreak/>
        <w:t xml:space="preserve">or bone miner alization (osteomalacia). Analysis of these diseases in patients without generalized proximal tubular defects (Fanconi syndrome) led to the discovery of the hormone FGF23, which is an important physiologic regulator of phosphate metabolism. FGF23 decreases phosphate reab sorption in the proximal tubule and also suppresses the 1α-hydroxylase responsible for synthesis of 1,25(OH)2 D. FGF23 is synthesized by cells of the osteoblast lineage, primarily osteocytes. High-phosphate diets increase FGF23 levels, and low-phosphate diets decrease them. ADHR was the first disease linked to abnormalities in FGF23. ADHR results from activating mutations in the gene that encodes FGF23. These mutations alter a cleavage site that ordinarily allows for inactivation of intact FGF23. Several other genetic disorders lead to elevated FGF23, hypophosphatemia, and osteomalacia. The most common of these is X-linked hypophosphatemic rickets (XLH), which results from inactivating mutations in an endopeptidase termed PHEX (phosphate regulating gene with homologies to endopeptidases on the X chromo some) that is expressed most abundantly on the surface of osteocytes and mature osteoblasts. Patients with XLH usually have high FGF23 levels, and ablation of the FGF23 gene reverses the hypophosphatemia found in the mouse version of XLH. How inactivation of PHEX leads to increased levels of FGF23 has not been determined. Two rare auto somal recessive hypophosphatemic syndromes associated with elevated FGF23 are due to inactivating mutations of dentin matrix protein 1 (DMP1) and ectonucleotide pyrophosphatase/phosphodiesterase 1 (ENPP1), respectively, both of which normally are highly expressed in bone and presumably regulate FGF23 production. An unusual hypophosphatemic disorder, tumor-induced osteomalacia (TIO), is an acquired disorder in which tumors, usually of mesenchymal origin, secrete FGF23. The hypophosphatemic syndrome resolves completely within hours to days after successful resection of the responsible tumor. Such tumors typically express large amounts of FGF23 mRNA, and patients with TIO usually exhibit elevations of FGF23 in their blood. Neutralizing antibodies against FGF23 can be used to treat hypophos phatemia in patients with XLH and TIO. Dent’s disease is an X-linked recessive disorder caused by inac tivating mutations in CLCN5, a chloride transporter expressed in endosomes of the proximal tubule; features include hypercalciuria, hypophosphatemia, and recurrent kidney stones. Renal phosphate wasting is common among poorly controlled diabetic patients and alcoholics, who therefore are at risk for iatrogenic hypophosphatemia when treated with insulin or IV glucose, respectively. Diuretics and certain other drugs and toxins can cause defective renal tubular phos phate reabsorption (Table 421-1). In hospitalized patients, hypophosphatemia is often attributable to massive redistribution of phosphate from the ECF into cells. Insulin therapy for diabetic ketoacidosis is a paradigm for this phenomenon, in which the severity of the hypophosphatemia is related to the extent of antecedent depletion of phosphate and other electrolytes (Chap. 416). The hypophosphatemia is usually greatest at a point many hours after initiation of insulin therapy and is difficult to predict from baseline measurements of serum phosphate at </w:t>
      </w:r>
      <w:r w:rsidRPr="00A6019F">
        <w:lastRenderedPageBreak/>
        <w:t xml:space="preserve">the time of presentation, when prerenal azotemia can obscure significant phosphate depletion. Other factors that may contribute to such acute redistributive hypophospha temia include antecedent starvation or malnutrition, administration of IV glucose without other nutrients, elevated blood catecholamines (endogenous or exogenous), respiratory alkalosis, and recovery from metabolic acidosis. Hypophosphatemia also can occur transiently (over weeks to months) during the phase of accelerated net bone formation that fol lows parathyroidectomy for severe primary hyperparathyroidism or during treatment of vitamin D deficiency or lytic Paget’s disease. This is referred to as “hungry bone syndrome” and is most prominent in patients who preoperatively have evidence of very high bone turnover (e.g., elevated serum levels of alkaline phosphatase). Osteoblastic metastases can also lead to this syndrome. Clinical and Laboratory Findings The clinical manifestations of severe hypophosphatemia reflect a generalized defect in cellular energy metabolism because of ATP depletion, a shift from oxidative phos phorylation toward glycolysis, and associated tissue or organ dysfunc tion. Acute, severe hypophosphatemia occurs mainly or exclusively in hospitalized patients with underlying serious medical or surgical illness and preexisting phosphate depletion due to excessive urinary losses, severe malabsorption, or malnutrition. Chronic hypophospha temia tends to be less severe, with a clinical presentation dominated by musculoskeletal complaints such as bone pain, osteomalacia, pseudo fractures, and proximal muscle weakness or, in children, rickets and short stature. Neuromuscular manifestations of severe hypophosphatemia are variable but may include muscle weakness, lethargy, confusion, dysar thria, dysphagia, oculomotor palsies, nystagmus, ataxia, hyporeflexia, impaired sphincter control, paresthesia, generalized or Guillain Barré–like ascending paralysis, seizures, coma, and even death. Serious sequelae such as paralysis and seizures are likely only at phosphate concentrations 20 mmol/6 h reserved for those who have serum levels 3265 Bone and Mineral Metabolism in Health and Disease CHAPTER 421 TABLE 421-2 Intravenous Therapy for Hypophosphatemia CONSIDER Likely severity of underlying phosphate depletion Concurrent parenteral glucose administration Presence of neuromuscular, cardiopulmonary, or hematologic complications of hypophosphatemia Renal function (reduce dose by 50% if serum creatinine &gt;220 μmol/L [&gt;2.5 mg/dL]) Serum calcium level (correct hypocalcemia first; reduce dose by 50% in hypercalcemia) Guidelines SERUM PHOSPHORUS, MM (MG/DL) RATE OF INFUSION, MMOL/H DURATION, H TOTAL ADMINISTERED, MMOL 0.8 mmol/L (&gt;2.5 mg/dL); most formulations available in the United States provide 3 mmol/mL of sodium or potassium phosphate. TABLE 421-3 Causes of Hyperphosphatemia I. Impaired renal phosphate excretion A. Renal insufficiency B. Hypoparathyroidism 1. Developmental 2. Autoimmune 3. After neck surgery or radiation 4. Activating mutations of the calcium-sensing receptor C. Parathyroid suppression 1. Parathyroid-independent hypercalcemia a. Vitamin D or vitamin A intoxication b. Sarcoidosis, other granulomatous diseases c. Immobilization, osteolytic metastases d. Milk-alkali syndrome 2. Severe hypermagnesemia or </w:t>
      </w:r>
      <w:r w:rsidRPr="00A6019F">
        <w:lastRenderedPageBreak/>
        <w:t xml:space="preserve">hypomagnesemia D. Pseudohypoparathyroidism E. Acromegaly F. Tumoral calcinosis G. Heparin therapy II. Massive extracellular fluid phosphate loads A. Rapid administration of exogenous phosphate (intravenous, oral, rectal) B. Extensive cellular injury or necrosis 1. Crush injuries 2. Rhabdomyolysis 3. Hyperthermia 4. Fulminant hepatitis 5. Cytotoxic therapy 6. Severe hemolytic anemia C. Transcellular phosphate shifts 1. Metabolic acidosis 2. Respiratory acidosis 50 mg2/dL2 to reduce the risk of heterotopic calcification. Hypocalcemia, if present, should be corrected before administer ing IV phosphate. Less severe hypophosphatemia, in the range of 0.5–0.8 mmol/L (1.5–2.5 mg/dL), usually can be treated with oral phosphate in divided doses of 750–2000 mg/d as elemental phos phorus; higher doses can cause bloating and diarrhea. Management of chronic hypophosphatemia requires knowledge of the cause(s) of the disorder. Hypophosphatemia related to the secondary hyperparathyroidism of vitamin D deficiency usually responds to treatment with vitamin D and calcium alone. XLH, ADHR, TIO, and related renal tubular disorders usually are man aged with divided oral doses of phosphate, often with calcium and 1,25(OH)2 D supplements to bypass the block in renal 1,25(OH)2 D synthesis and prevent secondary hyperparathyroidism caused by suppression of ECF calcium levels. Care must be taken to be sure that oral calcium and phosphate are not administered at the same time, to avoid precipitation before absorption. Thiazide diuretics may be used to prevent nephrocalcinosis in patients who are man aged this way. Complete normalization of hypophosphatemia is generally not possible in these conditions. Burosumab, a human monoclonal antibody that inhibits FGF23, has been approved for the treatment of XLH and TIO. It corrects hypophosphatemia, improves bone pain, and heals fractures in both adults and children. Optimal therapy for TIO is surgical removal of the responsible tumor, which may be localized by radiographic skeletal survey or bone scan (many are located in bone) or by radionuclide scanning using sestamibi or labeled octreotide. Successful treatment of TIO induced hypophosphatemia with octreotide has been reported in a small number of patients. Burosumab treatment can be used to treat hypophosphatemia in patients with TIO in whom tumors cannot be localized or removed. </w:t>
      </w:r>
      <w:r w:rsidRPr="00A6019F">
        <w:rPr>
          <w:rFonts w:ascii="Arial" w:hAnsi="Arial" w:cs="Arial"/>
        </w:rPr>
        <w:t>■</w:t>
      </w:r>
      <w:r w:rsidRPr="00A6019F">
        <w:t xml:space="preserve">HYPERPHOSPHATEMIA Causes When the filtered load of phosphate and glomerular fil tration rate (GFR) are normal, control of serum phosphate levels is achieved by adjusting the rate at which phosphate is reabsorbed by the proximal tubular NaPi-2 co-transporters. Hyperphosphatemia, defined in adults as a fasting serum phosphate concentration &gt;1.8 mmol/L (5.5 mg/dL), usually results from impaired glomerular filtration, hypo parathyroidism, excessive delivery of phosphate into the ECF (from bone, gut, or parenteral phosphate therapy), or a combination of these factors (Table 421-3). The upper limit of normal serum phosphate concentrations is higher in children and neonates (2.4 mmol/L [7 mg/ dL]). It is useful to distinguish hyperphosphatemia caused by impaired renal phosphate excretion from that which results from excessive deliv ery of phosphate into the ECF (Table 421-3). In chronic renal insufficiency, reduced GFR leads to phosphate retention. Hyperphosphatemia, and </w:t>
      </w:r>
      <w:r w:rsidRPr="00A6019F">
        <w:lastRenderedPageBreak/>
        <w:t xml:space="preserve">progressive loss of nephron func tion, in turn further impairs renal synthesis of 1,25(OH)2 D, increases FGF23 levels, and stimulates PTH secretion and parathyroid gland hypertrophy both directly and indirectly (by lowering blood ionized calcium levels). Thus, hyperphosphatemia is a major cause of the secondary hyperparathyroidism of renal failure (Chaps. 322 and 422). Hypoparathyroidism leads to hyperphosphatemia via increased expression of NaPi-2 co-transporters in the proximal tubule. Hypo parathyroidism, or parathyroid suppression, has multiple potential causes, including autoimmune disease; developmental, surgical, or radiation-induced absence of functional parathyroid tissue; vitamin D intoxication or other causes of PTH-independent hypercalcemia; cellu lar PTH resistance (pseudohypoparathyroidism or hypomagnesemia); infiltrative disorders such as Wilson’s disease and hemochromatosis; and impaired PTH secretion caused by hypermagnesemia, severe hypomagnesemia, or activating mutations in the CaSR. Hypocalcemia may also contribute directly to impaired phosphate clearance, as cal cium infusion can induce phosphaturia in hypoparathyroid subjects. Increased tubular phosphate reabsorption also occurs in acromegaly, during heparin administration, and in tumoral calcinosis. Tumoral cal cinosis is caused by a rare group of genetic disorders in which FGF23 is processed in a way that leads to low levels of active FGF23 in the blood stream. This may result from mutations in the FGF23 sequence or via inactivating mutations in the GALNT3 gene, which encodes a galac tosaminyl transferase that normally adds sugar residues to FGF23 that slow its proteolysis. A similar syndrome results from FGF23 resistance due to inactivating mutations of the FGF23 co-receptor Klotho. These 3266 PART 12 Endocrinology and Metabolism abnormalities cause elevated serum 1,25(OH)2 D, parathyroid suppres sion, increased intestinal calcium absorption, and focal hyperostosis with large, lobulated periarticular heterotopic ossifications (especially at shoulders or hips) and are accompanied by hyperphosphatemia. In some forms of tumoral calcinosis, serum phosphorus levels are normal. When large amounts of phosphate are delivered rapidly into the ECF, hyperphosphatemia can occur despite normal renal function. Examples include overzealous IV phosphate therapy, oral or rectal administra tion of large amounts of phosphate-containing laxatives or enemas (especially in children), extensive soft tissue injury or necrosis (crush injuries, rhabdomyolysis, hyperthermia, fulminant hepatitis, cytotoxic chemotherapy), extensive hemolytic anemia, and transcellular phos phate shifts induced by severe metabolic or respiratory acidosis. Clinical Findings The clinical consequences of acute, severe hyperphosphatemia are due mainly to the formation of widespread calcium phosphate precipitates and resulting hypocalcemia. Thus, tetany, seizures, accelerated nephrocalcinosis (with renal failure, hyper kalemia, hyperuricemia, and metabolic acidosis), and pulmonary or cardiac calcifications (including development of acute heart block) may occur. The severity of these complications relates to the elevation of serum phosphate levels, which can reach concentrations as high as 7 mmol/L (20 mg/dL) in instances of massive soft tissue injury or tumor lysis syndrome. TREATMENT </w:t>
      </w:r>
      <w:r w:rsidRPr="00A6019F">
        <w:lastRenderedPageBreak/>
        <w:t xml:space="preserve">Hyperphosphatemia Therapeutic options for management of severe hyperphosphatemia are limited. Volume expansion may enhance renal phosphate clear ance. Aluminum hydroxide antacids or sevelamer may be helpful in chelating and limiting absorption of offending phosphate salts pres ent in the intestine. Hemodialysis is the most effective therapeutic strategy and should be considered early in the course of severe hyperphosphatemia, especially in the setting of renal failure and symptomatic hypocalcemia. MAGNESIUM METABOLISM Magnesium is the major intracellular divalent cation. Normal concen trations of extracellular magnesium and calcium are crucial for normal neuromuscular activity. Intracellular magnesium forms a key complex with ATP and is an important cofactor for a wide range of enzymes, transporters, and nucleic acids required for normal cellular function, replication, and energy metabolism. The concentration of magne sium in serum is closely regulated within the range of 0.7–1 mmol/L (1.5–2 meq/L; 1.7–2.4 mg/dL), of which 30% is protein-bound and another 15% is loosely complexed to phosphate and other anions. One-half of the 25 g (1000 mmol) of total body magnesium is located in bone, only one-half of which is insoluble in the mineral phase. Almost all extraskeletal magnesium is present within cells, where the total concentration is 5 mM, 95% of which is bound to proteins and other macromolecules. Because only 1% of body magnesium resides in the ECF, measurements of serum magnesium levels may not accurately reflect the level of total body magnesium stores. Dietary magnesium content normally ranges from 6 to 15 mmol/d (140–360 mg/d), of which 30–40% is absorbed, mainly in the jejunum and ileum. Intestinal magnesium absorptive efficiency is stimulated by 1,25(OH)2 D and can reach 70% during magnesium deprivation. Urinary magnesium excretion normally matches net intestinal absorp tion and is ~4 mmol/d (100 mg/d). Regulation of serum magnesium concentrations is achieved mainly by control of renal magnesium reabsorption. Only 20% of filtered magnesium is reabsorbed in the proximal tubule, whereas 60% is reclaimed in the cTAL and another 5–10% in the DCT. Magnesium reabsorption in the cTAL occurs via a paracellular route that requires both a lumen-positive potential, cre ated by NaCl reabsorption, and tight-junction proteins encoded by members of the Claudin gene family. Magnesium reabsorption in the cTAL is increased by PTH but inhibited by hypercalcemia or hyperma gnesemia, both of which activate the CaSR in this nephron segment. </w:t>
      </w:r>
      <w:r w:rsidRPr="00A6019F">
        <w:rPr>
          <w:rFonts w:ascii="Arial" w:hAnsi="Arial" w:cs="Arial"/>
        </w:rPr>
        <w:t>■</w:t>
      </w:r>
      <w:r w:rsidRPr="00A6019F">
        <w:t>HYPOMAGNESEMIA Causes Hypomagnesemia usually signifies substantial depletion of body magnesium stores (0.5</w:t>
      </w:r>
      <w:r w:rsidRPr="00A6019F">
        <w:rPr>
          <w:rFonts w:ascii="Aptos" w:hAnsi="Aptos" w:cs="Aptos"/>
        </w:rPr>
        <w:t>–</w:t>
      </w:r>
      <w:r w:rsidRPr="00A6019F">
        <w:t xml:space="preserve">1 mmol/kg). Hypomagnesemia can result from intestinal malabsorption; protracted vomiting, diarrhea, or intestinal drainage; defective renal tubular magnesium reabsorption; or rapid shifts of magnesium from the ECF into cells, bone, or third spaces (Table 421-4). Dietary magnesium deficiency is unlikely except possibly in the setting of alcoholism. Rare genetic disorders that cause selective intestinal magnesium malabsorption have been described (primary infantile hypomagnesemia types 1 and 2). Another rare TABLE 421-4 Causes of Hypomagnesemia I. Impaired intestinal absorption A. Hypomagnesemia with secondary hypocalcemia (TRPM6 mutations) B. </w:t>
      </w:r>
      <w:r w:rsidRPr="00A6019F">
        <w:lastRenderedPageBreak/>
        <w:t xml:space="preserve">Malabsorption syndromes C. Vitamin D deficiency D. Proton pump inhibitors II. Increased intestinal losses A. Protracted vomiting/diarrhea B. Intestinal drainage, fistulas III. Impaired renal tubular reabsorption A. Genetic magnesium-wasting syndromes 1. Gitelman’s syndrome 2. Bartter’s syndrome 3. Claudin 16 or 19 mutations 4. Potassium channel mutations (Kv1.1, Kir4.1) 5. Na+,K+-ATPase γ-subunit mutations (FXYD2) B. Acquired renal disease 1. Tubulointerstitial disease 2. Postobstruction, ATN (diuretic phase) 3. Renal transplantation C. Drugs and toxins 1. Ethanol 2. Diuretics (loop, thiazide, osmotic) 3. Cisplatin 4. Pentamidine, foscarnet 5. Cyclosporine 6. Aminoglycosides, amphotericin B 7. Cetuximab D. Other 1. Extracellular fluid volume expansion 2. Hyperaldosteronism 3. SIADH 4. Diabetes mellitus 5. Hypercalcemia 6. Phosphate depletion 7. Metabolic acidosis 8. Hyperthyroidism IV. Rapid shifts from extracellular fluid A. Intracellular redistribution 1. Recovery from diabetic ketoacidosis 2. Refeeding syndrome 3. Correction of respiratory acidosis 4. Catecholamines B. Accelerated bone formation 1. Post-parathyroidectomy 2. Treatment of vitamin D deficiency 3. Osteoblastic metastases C. Other 1. Pancreatitis, burns, excessive sweating 2. Pregnancy (third trimester) and lactation Abbreviations: ATN, acute tubular necrosis; SIADH, syndrome of inappropriate antidiuretic hormone. 3267 inherited disorder (hypomagnesemia with secondary hypocalcemia) is caused by mutations in the gene encoding TRPM6, a protein that, with TRPM7, forms a channel important for both intestinal and distal tubular renal transcellular magnesium transport. Malabsorptive states, often compounded by vitamin D deficiency, can critically limit magne sium absorption and produce hypomagnesemia despite the compensa tory effects of secondary hyperparathyroidism and of hypocalcemia and hypomagnesemia to enhance cTAL magnesium reabsorption. Diarrhea or surgical drainage fluid may contain ≥5 mmol/L of magne sium. Proton pump inhibitors (omeprazole and others) may produce hypomagnesemia by an unknown mechanism that does not involve renal wasting of magnesium. Several genetic magnesium-wasting syndromes have been described, including inactivating mutations of genes encoding the DCT NaCl co-transporter (Gitelman’s syndrome), proteins required for cTAL Na-K-2Cl transport (Bartter’s syndrome), claudin 16 or claudin 19 (autosomal recessive renal hypomagnesemia with hypercalciuria), a DCT Na+,K+-ATPase γ-subunit (autosomal dominant renal hypo magnesemia with hypocalciuria), DCT K+ channels (Kv1.1, Kir4.1), and a mitochondrial gene encoding a tRNA. Activating mutations of the CaSR can cause hypomagnesemia as well as hypocalcemia. ECF expansion, hypercalcemia, and severe phosphate depletion may impair magnesium reabsorption, as can various forms of renal injury, including those caused by drugs such as cisplatin, cyclosporine, ami noglycosides, and pentamidine as well as the epidermal growth factor (EGF) receptor inhibitory antibody cetuximab (EGF action is required for normal DCT apical expression of TRPM6) (Table 421-4). A rising blood concentration of ethanol directly impairs tubular magnesium reabsorption, and persistent glycosuria with osmotic diuresis leads to magnesium wasting and probably contributes to the high frequency of </w:t>
      </w:r>
      <w:r w:rsidRPr="00A6019F">
        <w:lastRenderedPageBreak/>
        <w:t xml:space="preserve">hypomagnesemia in poorly controlled diabetic patients. Magnesium depletion is aggravated by metabolic acidosis, which causes intracel lular losses as well. Hypomagnesemia due to rapid shifts of magnesium from ECF into the intracellular compartment can occur during recovery from diabetic ketoacidosis, starvation, or respiratory acidosis. Less acute shifts may be seen during rapid bone formation after parathyroidectomy, with treatment of vitamin D deficiency, or with osteoblastic metastases. Large amounts of magnesium may be lost with acute pancreatitis, extensive burns, or protracted and severe sweating and during preg nancy and lactation. Clinical and Laboratory Findings Hypomagnesemia may cause generalized alterations in neuromuscular function, including tetany, seizures, muscle weakness, ataxia, nystagmus, vertigo, depression, irri tability, and psychosis. Patients are usually asymptomatic when serum magnesium concentrations are &gt;0.5 mmol/L (1 meq/L; 1.2 mg/dL), although the severity of symptoms may not correlate well with serum magnesium levels. Cardiac arrhythmias may occur, including sinus tachycardia, other supraventricular tachycardias, and ventricular arrhythmias. Electrocardiographic abnormalities may include pro longed PR or QT intervals, T-wave flattening or inversion, and ST straightening. Sensitivity to digitalis toxicity may be enhanced. Other electrolyte abnormalities often seen with hypomagnesemia, including hypocalcemia (with hypocalciuria) and hypokalemia, may not be easily corrected unless magnesium is administered as well. The hypocalcemia may be a result of concurrent vitamin D defi ciency, although hypomagnesemia can cause impaired synthesis of 1,25(OH)2 D, cellular resistance to PTH, and, at very low serum mag nesium (2 mmol/L (&gt;4 meq/L; &gt;4.8 mg/dL). Hypotension that is refractory to vasopressors or volume expansion may be an early sign. Nausea, lethargy, and weakness may progress to respiratory failure, paralysis, TABLE 421-5 Causes of Hypermagnesemia I. Excessive magnesium intake A. Cathartics, urologic irrigants B. Parenteral magnesium administration II. Rapid mobilization from soft tissues A. Trauma, shock, sepsis B. Cardiac arrest C. Burns III. Impaired magnesium excretion A. Renal failure B. Familial hypocalciuric hypercalcemia IV. Other A. Adrenal insufficiency B. Hypothyroidism C. Hypothermia CHAPTER 421 Bone and Mineral Metabolism in Health and Disease 3268 and coma, with hypoactive tendon reflexes, at serum magnesium levels &gt;4 mmol/L. Other findings may include gastrointestinal hypomotility or ileus; facial flushing; pupillary dilation; paradoxical bradycardia; prolongation of PR, QRS, and QT intervals; heart block; and, at serum magnesium levels approaching 10 mmol/L, asystole. Hypermagnesemia, acting via the CaSR, causes hypocalcemia and hypercalciuria due to both parathyroid suppression and impaired cTAL calcium reabsorption. PART 12 TREATMENT Hypermagnesemia Endocrinology and Metabolism Successful treatment of hypermagnesemia generally involves iden tifying and interrupting the source(s) of magnesium and employing measures to increase magnesium clearance from the ECF. Use of magnesium-free cathartics or enemas may be helpful in clearing ingested magnesium from the gastrointestinal tract. Vigorous IV hydration should be attempted, if appropriate. </w:t>
      </w:r>
      <w:r w:rsidRPr="00A6019F">
        <w:lastRenderedPageBreak/>
        <w:t xml:space="preserve">Hemodialysis is effective and may be required in patients with significant renal insufficiency. Calcium, administered IV in doses of 100–200 mg over 1–2 h, has been reported to provide temporary improvement in signs and symptoms of hypermagnesemia. VITAMIN D </w:t>
      </w:r>
      <w:r w:rsidRPr="00A6019F">
        <w:rPr>
          <w:rFonts w:ascii="Arial" w:hAnsi="Arial" w:cs="Arial"/>
        </w:rPr>
        <w:t>■</w:t>
      </w:r>
      <w:r w:rsidRPr="00A6019F">
        <w:t xml:space="preserve">SYNTHESIS AND METABOLISM 1,25-Dihydroxyvitamin D [1,25(OH)2 D] is the major steroid hormone involved in regulation of mineral ion homeostasis. Vitamin D and its metabolites are hormones and hormone precursors rather than vitamins, since in the proper biologic setting, they can be synthesized endogenously (Fig. 421-4). In response to ultraviolet radiation of the skin, a photochemical cleavage results in the formation of vitamin D from 7-dehydrocholesterol. Cutaneous production of vitamin D is decreased by melanin and high solar protection factor sunblocks, which effectively impair skin penetration by ultraviolet light. The increased use of sunblocks in North America and Western Europe and a reduction in the magnitude of solar exposure of the general popula tion over the past several decades has led to an increased reliance on dietary sources of vitamin D. In the United States and Canada, these sources largely consist of fortified cereals and dairy products, in addi tion to fish oils and egg yolks. Vitamin D from plant sources is in the form of vitamin D2 , whereas that from animal sources is vitamin D3 . These two forms have equivalent biologic activity and are activated equally well by the vitamin D hydroxylases in humans. Vitamin D enters the circulation, whether absorbed from the intestine or synthe sized cutaneously, bound to vitamin D–binding protein, an α-globulin synthesized in the liver. Vitamin D is subsequently 25-hydroxylated in the liver by a cytochrome P450 oxidase in the mitochondria and microsomes. The activity of this hydroxylase is not tightly regulated, and the resultant metabolite, 25-hydroxyvitamin D [25(OH)D], is the major circulating and storage form of vitamin D. Approximately 88% of 25(OH)D circulates bound to the vitamin D–binding protein, 0.03% is free, and the rest circulates bound to albumin. The half-life of 25(OH) D is ~2–3 weeks, with that of 25(OH)D2 being shorter than that of 25(OH)D3 due to a lower affinity of vitamin D–binding protein for the former. The half-life of 25(OH)D is also greatly shortened when vita min D–binding protein levels are reduced, as can occur with increased urinary losses in the nephrotic syndrome. The second hydroxylation, required for the formation of the mature hormone, occurs in the kidney (Fig. 421-5). The 25-hydroxyvitamin D-1α-hydroxylase (encoded by the CYP27B1 gene) is a tightly regu lated cytochrome P450–like mixed-function oxidase expressed in the proximal convoluted tubule cells of the kidney. PTH and hypophospha temia are the major inducers of this microsomal enzyme in the kidney, whereas calcium, FGF23, and the enzyme’s product, 1,25(OH)2 D, repress it. The 25-hydroxyvitamin D-1α-hydroxylase is also present in numerous other cell types, where it is not subject to hormonal Vitamin D Skin 7-Dehydrocholesterol Vitamin D Gut Liver 25(OH)D Kidney 1,25(OH)2D FIGURE 421-4 Vitamin D synthesis and activation. Vitamin D is synthesized in the skin in response to ultraviolet radiation and also is absorbed from the diet. It is then transported to the liver, where it undergoes 25-hydroxylation. This metabolite is the major circulating form of vitamin D. The final step </w:t>
      </w:r>
      <w:r w:rsidRPr="00A6019F">
        <w:lastRenderedPageBreak/>
        <w:t xml:space="preserve">in hormone activation, 1α-hydroxylation, occurs in the kidney. regulation. It is expressed in epidermal keratinocytes, but keratinocyte production of 1,25(OH)2 D is not thought to contribute to circulating levels of this hormone. In addition to being present in the trophoblastic layer of the placenta, the 1α-hydroxylase is produced by macrophages associated with granulomas and lymphomas. In these latter pathologic states, the activity of the enzyme is induced by interferon γ and TNF-α but is not regulated by calcium or 1,25(OH)2 D; therefore, hypercalce mia, associated with elevated levels of 1,25(OH)2 D, may be observed. Treatment of sarcoidosis-associated hypercalcemia with glucocorti coids, ketoconazole, or chloroquine reduces 1,25(OH)2 D production and effectively lowers serum calcium. In contrast, chloroquine has not been shown to lower the elevated serum 1,25(OH)2 D levels in patients with lymphoma. The major pathway for inactivation of vitamin D metabolites is an additional hydroxylation step by the vitamin D 24-hydroxylase, an enzyme that is expressed in most tissues. 1,25(OH)2 D is the major inducer of this enzyme; therefore, this hormone promotes its own inactivation, thereby limiting its biologic effects. FGF23 also induces this hydroxylase, thereby reducing circulating 1,25(OH)2 D levels by increasing its inactivation, as well as by impairing its synthesis. Muta tions of the gene encoding this enzyme (CYP24A1) can lead to infan tile hypercalcemia, and in those less severely affected, long-standing hypercalciuria, nephrocalcinosis, and nephrolithiasis can occur. Polar metabolites of 1,25(OH)2 D are secreted into the bile and reabsorbed via the enterohepatic circulation. Impairment of this recir culation, which is seen with diseases of the terminal ileum, leads to accelerated losses of vitamin D metabolites. 3269 Vitamin D3 Vitamin D-25 hydroxylase Liver 25(OH)D3 P i and other factors Bone 25(OH)D-1α hydroxylase– / / + Kidney PTH PTH 2 4 O P H a t i o n Parathyroid glands Blood calcium FIGURE 421-5 Schematic representation of the hormonal control loop for vitamin D metabolism and function. A reduction in the serum calcium below ~2.2 mmol/L (8.8 mg/dL) prompts a proportional increase in the secretion of parathyroid hormone (PTH) and so mobilizes additional calcium from the bone. PTH promotes the + 2 a C C a l i c c f i synthesis of 1,25(OH)2 D in the kidney, which in turn stimulates the mobilization of calcium from bone and intestine and regulates the synthesis of PTH by negative feedback. </w:t>
      </w:r>
      <w:r w:rsidRPr="00A6019F">
        <w:rPr>
          <w:rFonts w:ascii="Arial" w:hAnsi="Arial" w:cs="Arial"/>
        </w:rPr>
        <w:t>■</w:t>
      </w:r>
      <w:r w:rsidRPr="00A6019F">
        <w:t xml:space="preserve">ACTIONS OF 1,25(OH)2 D 1,25(OH)2 D mediates its biologic effects by binding to a member of the nuclear receptor superfamily, the vitamin D receptor (VDR). This receptor belongs to the subfamily that includes the thyroid hormone receptors, the retinoid receptors, and the peroxisome proliferator activated receptors; however, in contrast to the other members of this subfamily, only one VDR isoform has been isolated. The VDR binds to target DNA sequences as a heterodimer with the retinoid X receptor, recruiting a series of coactivators that modify chromatin and approxi mate the VDR to the basal transcriptional apparatus, resulting in the induction of target gene expression. The mechanism of transcriptional repression by the VDR varies with different target genes but has been shown to involve either interference with the action of activating transcription factors or the recruitment of novel proteins to the VDR complex, resulting </w:t>
      </w:r>
      <w:r w:rsidRPr="00A6019F">
        <w:lastRenderedPageBreak/>
        <w:t xml:space="preserve">in transcriptional repression. The affinity of the VDR for 1,25(OH)2 D is approximately three orders of magnitude higher than that for other vitamin D metabo lites. Metabolites resulting from the 24-hydroxylation of vitamin D, including 1,24,25 trihydroxyvitamin D3 (1,24,35(OH)3 D3 ) and 24,25 dihydroxyvitamin D3 (24,25(OH)D3 ) have biologic effects that mimic 1,25(OH)2 D. In normal physiologic circumstances, these other 1 , metabolites are not thought to play significant roles in stimulating receptor-dependent actions. However, in states of vitamin D toxicity, the markedly elevated levels of 25(OH)D may lead to hypercalcemia by interacting directly with the VDR and by displacing 1,25(OH)2 D –– 1,25(OH)2D3 from vitamin D–binding protein, resulting in increased bioavailability of the active hormone. The VDR is expressed in a wide range of cells and tissues. The molecular actions of 1,25(OH)2 D have been studied most extensively in tissues involved in the regulation of mineral ion homeostasis. This hormone is a major inducer of calbindin 9K, a calcium-binding pro tein expressed in the intestine, which is thought to play an important role in the active transport of calcium across the enterocyte. The two major calcium transporters expressed by intestinal epithelia, TRPV5 and TRPV6 (transient receptor potential vanilloid), are also vitamin D responsive. By inducing the expression of these and other genes in the small intestine, 1,25(OH)2 D increases the efficiency of intes tinal calcium absorption, and it also has been shown to have several important actions in the skeleton. The VDR is expressed in osteoblasts and regulates the expression of several genes in this cell. These genes include the bone matrix proteins osteocalcin and osteopontin, which are upregulated by 1,25(OH)2 D, in addition to type I collagen, which is transcriptionally repressed by 1,25(OH)2 D. Both 1,25(OH)2 D and PTH induce the expression of RANK ligand in osteoblasts, which promotes osteoclast differentiation and increases osteoclast activity, by binding to RANK on osteoclast progenitors and mature osteoclasts. Intestine This is the mechanism by which 1,25(OH)2 D induces bone resorption. 1,25(OH)2 D regulates phosphate homeostasis, primarily by inducing the expression of FGF23 in osteocytes. The skeletal features associated with VDR-knockout mice (rickets, osteomalacia) are largely corrected by increasing calcium and phosphorus intake, underscoring the impor tance of vitamin D action in the gut. The VDR is expressed in the parathyroid gland, and 1,25(OH)2 D has been shown to have antiproliferative effects on parathyroid cells and to suppress the transcription of the parathyroid hormone gene. These effects of 1,25(OH)2 D on the parathyroid gland are an important part of the rationale for current therapies directed at preventing and treating hyperparathyroidism associated with renal insufficiency and complica tions of chronic oral phosphate therapy. CHAPTER 421 Bone and Mineral Metabolism in Health and Disease The VDR is also expressed in tissues and organs that do not play a role in mineral ion homeostasis. Notable in this respect is the obser vation that 1,25(OH)2 D has an antiproliferative effect on several cell 3 types, including keratinocytes, breast cancer cells, and prostate cancer cells. The effects of 1,25(OH)2 D and the VDR on keratinocytes are D 2 particularly intriguing, since the VDR is primarily a transcriptional repressor in these </w:t>
      </w:r>
      <w:r w:rsidRPr="00A6019F">
        <w:lastRenderedPageBreak/>
        <w:t xml:space="preserve">cells. Alopecia is seen in humans and mice with mutant VDRs but is not a feature of vitamin D deficiency; thus, the effects of the VDR on the hair follicle are ligand-independent. Vitamin D action is also important for regulating the normal maturation of the bone-tendon attachment site, called the enthesis. ) C </w:t>
      </w:r>
      <w:r w:rsidRPr="00A6019F">
        <w:rPr>
          <w:rFonts w:ascii="Arial" w:hAnsi="Arial" w:cs="Arial"/>
        </w:rPr>
        <w:t>■</w:t>
      </w:r>
      <w:r w:rsidRPr="00A6019F">
        <w:t xml:space="preserve">VITAMIN D DEFICIENCY a 2 H O ( The mounting concern about the relationship between solar exposure and the development of skin cancer has led to increased reliance on dietary sources of vitamin D. Although the prevalence of vitamin D deficiency varies, the third National Health and Nutrition Examination Survey (NHANES III) revealed that vitamin D deficiency is prevalent throughout the United States, with the prevalence being &gt;29% in obese children. The clinical syndrome of vitamin D deficiency can be a result of deficient production of vitamin D in the skin, lack of dietary intake, accelerated losses of vitamin D, impaired vitamin D activation, or resis 5 + 2 H P tance to the biologic effects of 1,25(OH)2 D (Table 421-6). The elderly O and nursing home residents are particularly at risk for vitamin D defi ciency, since both the efficiency of vitamin D synthesis in the skin and the absorption of vitamin D from the intestine decline with age. The presence of terminal ileal disease also results in impaired enterohepatic circulation of vitamin D metabolites. While intestinal malabsorption of dietary fats and short bowel syndrome, including that associated with intestinal bypass surgery, lead to vitamin D deficiency, the cause of vitamin D deficiency in obese individuals is poorly understood. 4 2 3270 TABLE 421-6 Causes of Impaired Vitamin D Action PART 12 Endocrinology and Metabolism Vitamin D deficiency Impaired cutaneous production Dietary absence Malabsorption (short gut syndrome, gastric bypass) Accelerated loss of vitamin D Increased metabolism (barbiturates, phenytoin, rifampin) Impaired enterohepatic circulation Nephrotic syndrome CYP3A4 mutation Impaired 25-hydroxylation Liver disease, isoniazid 25-Hydroxylase mutation Impaired 1α-hydroxylation Hypoparathyroidism Ketoconazole 1α-Hydroxylase mutation FGF23 excess Oncogenic osteomalacia Hypophosphatemic rickets Fibrous dysplasia Chronic kidney disease Target organ resistance Vitamin D receptor mutation Phenytoin Other Obesity In addition to intestinal diseases, accelerated inactivation of vitamin D metabolites can be seen with drugs that induce hepatic cytochrome P450 mixed-function oxidases such as barbiturates, phenytoin, and rifampin. Gain-of-function mutations in CYP3A4 accelerate the oxi dation and inactivation of vitamin D metabolites, thus resulting in decreased serum levels of 25OHD and 1,25(OH)2 D. This form of rickets is autosomal recessive and presents during early childhood and can be treated with high doses of calcitriol or vitamin D. Impaired 25-hydrox ylation, associated with severe liver disease or isoniazid, is an uncom mon cause of vitamin D deficiency. A mutation in the gene responsible for 25-hydroxylation has been identified in a few kindreds. Increased circulating FGF23 levels impair 1α-hydroxylation, preventing the pro duction of 1,25(OH)2 D. High levels of FGF23 are seen in those with genetic disorders associated with hypophosphatemic rickets, the most common of which is X-linked hypophosphatemia, and are prevalent in populations with profound renal dysfunction. </w:t>
      </w:r>
      <w:r w:rsidRPr="00A6019F">
        <w:lastRenderedPageBreak/>
        <w:t xml:space="preserve">Thus, therapeutic inter ventions should be considered in patients whose creatinine clearance is 50 nmol/L (&gt;20 ng/mL), although higher levels may be required to optimize intestinal calcium absorption in the elderly and those with underlying disease states, including obesity. Vitamin D deficiency leads to impaired intestinal absorption of calcium, resulting in decreased serum total and ionized calcium values. This hypocalcemia results in secondary hyperparathyroidism, a homeostatic response that initially maintains serum calcium levels at the expense of the skeleton. Due to the PTH-induced increase in bone turnover, alkaline phosphatase levels are often increased. In addition to increasing bone resorption, PTH decreases urinary calcium excretion while promoting phos phaturia. This results in hypophosphatemia, which exacerbates the mineralization defect in the skeleton. With prolonged vitamin D defi ciency resulting in osteomalacia, calcium stores in the skeleton become 3271 relatively inaccessible, since osteoclasts cannot resorb unmineralized osteoid, and frank hypocalcemia ensues. Since PTH is a major stimulus for the renal 25(OH)D 1α-hydroxylase, there is increased synthesis of the active hormone, 1,25(OH)2 D. Paradoxically, levels of this hormone are often normal in severe vitamin D deficiency. Therefore, measure ments of 1,25(OH)2 D are not accurate reflections of vitamin D stores and should not be used to diagnose vitamin D deficiency in patients with normal renal function. Radiologic features of vitamin D deficiency in children include a widened, expanded growth plate that is characteristic of rickets. These findings not only are apparent in the long bones but also are present at the costochondral junction, where the expansion of the growth plate leads to swellings known as the “rachitic rosary.” Impairment of intramembranous bone mineralization leads to delayed fusion of the calvarial sutures and a decrease in the radiopacity of cortical bone in the long bones. If vitamin D deficiency occurs after epiphyseal fusion, the main radiologic finding is a decrease in cortical thickness and relative radiolucency of the skeleton. A specific radiologic feature of osteomalacia, whether associated with phosphate wasting or vitamin D deficiency, is pseudofractures, or Looser’s zones. These are radiolucent lines that occur where large arteries are in contact with the underlying skeletal elements; it is thought that the arterial pulsations lead to the radiolucencies. As a result, these pseudofractures are usually a few mil limeters wide, are several centimeters long, and are seen particularly in the scapula, the pelvis, and the femoral neck. TREATMENT Vitamin D Deficiency Based on the National Academy of Medicine 2010 report, the rec ommended daily intake of vitamin D is 600 IU from 1 to 70 years of age, and 800 IU for those &gt;70. Based on the observation that 800 IU of vitamin D, with calcium supplementation, decreases the risk of hip fractures in elderly women, this higher dose is thought to be an appropriate daily intake for prevention of vitamin D defi ciency in adults. Multiple clinical trials, including the Vitamin D and Omega-3 Trial (VITAL), revealed that supplementation of vitamin D in older community-dwelling adults (&gt;50 years of age) with adequate vitamin D levels, at doses at or above the recom mended daily intake, does not further improve bone mineral density. The VITAL trial further showed that supraphysiologic doses of vitamin D </w:t>
      </w:r>
      <w:r w:rsidRPr="00A6019F">
        <w:lastRenderedPageBreak/>
        <w:t xml:space="preserve">in adults with normal vitamin D levels do not improve skeletal microarchitecture and do not prevent falls. Fur thermore, treating older adults with daily small doses of vitamin D3 , such as 400 IU, can prevent fractures and falls, as compared with large intermittent bolus doses of vitamin D3 , which can result in increased incidence of fractures and falls. The safety margin for vitamin D is large, and vitamin D toxicity usually is observed only in patients taking doses in the range of 40,000 IU daily. Treatment of vitamin D deficiency should be directed at the underlying dis order, if possible, and also should be tailored to the severity of the condition. Vitamin D should always be repleted in conjunction with calcium supplementation since most of the consequences of vitamin D deficiency are a result of impaired mineral ion homeostasis. In patients in whom 1α-hydroxylation is impaired, metabolites that do not require this activation step are the treatment of choice. They include 1,25(OH)2 D3 (calcitriol [Rocaltrol], 0.25 0.5 μg/d) and 1α-hydroxyvitamin D2 (doxercalciferol [Hectorol], 2.5–5 μg/d). Outside the United States, 1α-hydroxyvitamin D3 (alfacalcidol [One-Alpha], 0.25–1.0 μg/d) is also used. If the path way required for activation of vitamin D is intact, severe vitamin D deficiency can be treated with pharmacologic repletion initially (50,000 IU weekly for 3–12 weeks), followed by maintenance therapy (800 IU daily). Pharmacologic doses may be required for maintenance therapy in patients who are taking medications such as barbiturates or phenytoin that accelerate metabolism of or cause resistance to 1,25(OH)2 D. Polymorphisms in the 25-hydroxylase and the 24-hydroxylase genes can also lead to different responses to the normal recommended daily intake of vitamin D. The hepatic enzyme cytochrome P450 3A4 (CYP3A4) is a strong inducer of the catabolism of vitamin D metabolites. Polymorphisms of the CYP3A4 gene and certain drugs, such as phenytoin and rifampin, lead to strong induction of this enzyme; thus, those affected may also require higher doses of vitamin D supplementation. Calcium supplementation should include 1.5–2 g/d of elemental calcium. Normocalcemia is usually observed within 1 week of the institution of therapy, although increases in PTH and alkaline phosphatase levels may persist for 3–6 months. The most efficacious methods to monitor treatment and resolution of vitamin D deficiency are serum and urinary calcium measurements. In patients who are vitamin D replete and are taking adequate calcium supplementa tion, the 24-h urinary calcium excretion should be in the range of 100–250 mg/24 h. Lower levels suggest problems with adherence to the treatment regimen or with absorption of calcium or vitamin D supplements. Levels &gt;250 mg/24 h predispose to nephrolithiasis and should lead to a reduction in vitamin D dosage and/or calcium supplementation. Acknowledgment The authors acknowledge Marie Demay (also a former author of this chapter) and Michael Mannstadt for their valuable input into this chapter. </w:t>
      </w:r>
      <w:r w:rsidRPr="00A6019F">
        <w:rPr>
          <w:rFonts w:ascii="Arial" w:hAnsi="Arial" w:cs="Arial"/>
        </w:rPr>
        <w:t>■</w:t>
      </w:r>
      <w:r w:rsidRPr="00A6019F">
        <w:t xml:space="preserve">FURTHER READING Bikle D et al: Vitamin D metabolites in captivity? Should we measure free or total 25(OH)D to assess vitamin D status? J Steroid Biochem Mol Biol 173:105, 2017. Bouillon R et al: Health effects of vitamin D supplementation: Lessons learned from randomized controlled trials and mendelian randomization studies. J Bone Miner Res 38:1391, 2023. Carpenter TO et al: Burosumab therapy in </w:t>
      </w:r>
      <w:r w:rsidRPr="00A6019F">
        <w:lastRenderedPageBreak/>
        <w:t xml:space="preserve">children with X-linked hypophosphatemia. N Engl J Med 378:1987, 2018. Christakos S et al: Vitamin D: Metabolism, molecular mechanism of action, and pleiotropic effects. Physiol Rev 96:365, 2016. De Baaij JH et al: Magnesium in man: Implications for health and disease. Physiol Rev 95:1, 2015. Kim JM et al: Osteoblast-osteoclast communication and bone homeo stasis. Cells 10:2073, 2020. Kovacs CS et al: The role of biomineralization in disorders of skeletal development and tooth formation. Nat Rev Endocrinol 17:336, 2021. Robling AG, Bonewald LF: The osteocyte: New insights. Ann Rev Physiol 82:485, 2020. CHAPTER 422 Disorders of the Parathyroid Gland and Calcium Homeostasis Schlingmann KP, de Baaij JHF: The genetic spectrum of Gitelman (-like) syndromes. Curr Opin Nephrol Hypertens 31:508, 2022. Zofkova I: Hypercalcemia. Pathophysiological aspects. Phys Res 65:1, 2016. 422 Disorders of the Parathyroid Gland and Calcium Homeostasis Michael Mannstadt, Harald Jüppner Four parathyroid glands are located posterior to the thyroid gland. They produce parathyroid hormone (PTH), which is the primary regulator of calcium homeostasis. PTH acts directly on bone, where it induces calcium (and phosphate) release, and on the kidney, where it enhances calcium reabsorption in the distal tubules. In the proximal renal tubules, PTH increases excretion of phosphate and the synthesis of 1,25-dihydroxyvitamin D (1,25(OH)2 D), a hormone that increases 3272 tubules expression of CYP27B1, the enzyme that encodes the 25(OH) D-1α-hydroxylase. Every day, up to 12 mmol (500 mg) of calcium is transferred between the ECF and bone, which is a significant amount in relation to the total ECF calcium pool, and PTH plays a crucial role in regulating this transfer. PART 12 Endocrinology and Metabolism gastrointestinal calcium absorption. Serum PTH levels are tightly regulated by a negative feedback loop. Calcium, acting through the calcium-sensing receptor, and vitamin D, acting through its nuclear receptor, reduce PTH release and synthesis. Additional evidence indicates that fibroblast growth factor 23 (FGF23), a phosphaturic hormone, can suppress PTH secretion. Understanding the hormonal pathways that regulate calcium and phosphate levels as well as bone metabolism is essential for effective diagnosis and management of a wide array of hyper- and hypocalcemic disorders. Primary hyperparathyroidism, characterized by excess production of PTH, is a common cause of hypercalcemia and is usually the result of autonomously functioning adenomas or hyperplasia. Surgery for this disorder is highly effective and has been shown to reverse some of the deleterious effects of long-standing PTH excess on bone density. Humoral hypercalcemia of malignancy (HHM) is also a common cause of hypercalcemia, which is usually due to the overproduction of parathyroid hormone–related peptide (PTHrP) by cancer cells. The similarities in the biochemical characteristics of hyperparathyroidism and HHM, first noted by Albright in 1941, are now known to reflect the actions of PTH and PTHrP through the same G protein–coupled PTH/PTHrP receptor (PH1R). The converse, namely hypocalcemia, can be caused by the lack of functional PTH, i.e., hypoparathyroidism, or by reduced PTH responsiveness of the proximal renal tubules, i.e., pseudohypoparathyroidism (PHP). The genetic basis of numerous calcium and </w:t>
      </w:r>
      <w:r w:rsidRPr="00A6019F">
        <w:lastRenderedPageBreak/>
        <w:t xml:space="preserve">phosphate disorders, and the molecular characterization of parathyroid cell biology, have provided new insights into the regulation of calcium and phosphate homeostasis. In addition, PTH(1-34) and possibly some of its ana logues are promising agents for the treatment of postmenopausal osteoporosis and as replacement therapy for hypoparathyroidism. Cal cimimetic agents, which activate the calcium-sensing receptor (CaSR), have provided new approaches for PTH suppression, and calcilytics, which are negative allosteric modulators of the CaSR, show promis ing results in early clinical trials of patients with autosomal dominant hypocalcemia type 1, a rare dominant disease that is caused by activat ing CaSR mutations. </w:t>
      </w:r>
      <w:r w:rsidRPr="00A6019F">
        <w:rPr>
          <w:rFonts w:ascii="Arial" w:hAnsi="Arial" w:cs="Arial"/>
        </w:rPr>
        <w:t>■</w:t>
      </w:r>
      <w:r w:rsidRPr="00A6019F">
        <w:t>PTH Structure and Physiology PTH is an 84-amino-acid single-chain peptide. The amino-terminal portion, PTH(1</w:t>
      </w:r>
      <w:r w:rsidRPr="00A6019F">
        <w:rPr>
          <w:rFonts w:ascii="Aptos" w:hAnsi="Aptos" w:cs="Aptos"/>
        </w:rPr>
        <w:t>–</w:t>
      </w:r>
      <w:r w:rsidRPr="00A6019F">
        <w:t>34), is highly conserved and is critical for the biologic actions of the molecule. Modified syn thetic fragments of the amino-terminal sequence as small as PTH(1</w:t>
      </w:r>
      <w:r w:rsidRPr="00A6019F">
        <w:rPr>
          <w:rFonts w:ascii="Aptos" w:hAnsi="Aptos" w:cs="Aptos"/>
        </w:rPr>
        <w:t>–</w:t>
      </w:r>
      <w:r w:rsidRPr="00A6019F">
        <w:t xml:space="preserve">11) are sufficient to activate the PTH/PTHrP receptor, if provided at high enough concentrations (see below). C-terminal portions of full-length PTH(1–84) were shown to bind to a separate binding protein/receptor; however, the properties and biologic role(s), if any, of this presumed receptor for C-terminal PTH remain undefined. The primary function of PTH is to maintain ionized calcium con centration in the extracellular fluid (ECF) within a narrow normal range. The hormone acts directly on bone and kidney and indirectly on the intestine through its effects on synthesis of 1,25(OH)2 D to increase serum calcium concentrations; in turn, PTH production is closely regulated by the concentration of serum ionized calcium. This feedback system is the critical homeostatic mechanism for mainte nance of ECF calcium. Any tendency toward hypocalcemia, as might be induced by calcium- or vitamin D–deficient diets, is counteracted by increased PTH secretion. This in turn (1) increases bone turnover, thereby increasing the flow of calcium (and phosphate) from bone into blood; (2) increases calcium reabsorption in the distal tubules; and (3) indirectly increases the efficiency of calcium absorption in the intes tine by stimulating the renal production of 1,25(OH)2 D. Immediate control of blood calcium is due to PTH effects on bone and, to a lesser extent, on renal calcium clearance. Maintenance of calcium balance over a longer timescale, on the other hand, probably results from the effects of 1,25(OH)2 D on intestinal calcium absorption (Chap. 421). The renal actions of PTH are exerted at multiple sites; in the proximal tubules, it increases urinary phosphate excretion, it augments calcium reabsorption in the distal tubules, and it enhances in the proximal PTH has multiple actions on bone and integrates its calcemic actions (bone resorption to protect against hypocalcemia) with stimu lation of bone formation. PTH-mediated changes in bone calcium release can be seen within minutes. The chronic effects of PTH are to increase the number of bone cells, both osteoblasts and osteoclasts, and to increase the remodeling of bone; these effects are apparent within hours after the hormone is given and persist for hours after PTH is withdrawn. Continuous exposure to elevated PTH (as in primary hyperparathyroidism or long-term PTH infusions in animals) leads to increased osteoclast-mediated bone resorption. However, the intermit tent </w:t>
      </w:r>
      <w:r w:rsidRPr="00A6019F">
        <w:lastRenderedPageBreak/>
        <w:t xml:space="preserve">administration of relatively small amounts of PTH that elevate hormone levels minimally for 1–2 h each day lead to a net increase of bone mass rather than bone loss. Striking increases, especially in trabecular bone in the spine and hip, have been reported with the intermittent use of PTH for osteoporosis, and large clinical trials with PTH(1–34) as monotherapy revealed a highly significant increase in bone density and reduction in fracture incidence. Osteoblasts (or their stromal cell precursors), which have PTH/ PTHrP receptors, are crucial to this bone-forming effect of PTH. When PTH activates PTH/PTHrP receptors on osteocytes, release of calcium from the matrix surrounding these cells is enhanced; osteoclasts, which mediate bone breakdown, lack such receptors. PTH-mediated stimula tion of osteoclasts is indirect, acting in part through RANKL released from osteoblasts to activate RANK on osteoclasts; in experimental studies of bone resorption in vitro, osteoblasts must be present for PTH to activate osteoclasts to resorb bone (Chap. 421). Synthesis, Secretion, and Metabolism • SYNTHESIS Para thyroid cells have multiple methods of adapting to increased needs for PTH production. Most rapid (within minutes) is secretion of pre formed hormone in response to hypocalcemia. Second, within hours, PTH mRNA expression is induced by sustained hypocalcemia. Finally, protracted challenge leads within days to cellular replication to increase parathyroid gland mass. PTH is initially synthesized as a larger molecule (preproPTH, consisting of 115 amino acids). After a first cleavage step to remove the “pre” sequence of 25 amino acid residues, a second cleavage step removes the “pro” sequence of 6 amino acid residues before secretion of the mature peptide comprising 84 residues. Homozygous or heterozy gous mutations in the prepro-region can cause hypoparathyroidism by interfering with hormone synthesis, transport, or secretion. Thus far, only three homozygous mutations have been identified in the secreted PTH(1–84) that reduce its biological activity and are detected in some, but not all, PTH assays (see below). Transcriptional suppression of the PTH gene by calcium is nearly maximal at physiologic calcium concentrations. Hypocalcemia increases transcriptional activity within hours. 1,25(OH)2 D also strongly sup presses PTH gene transcription. In patients with chronic kidney dis ease (CKD), administration of supraphysiologic doses of 1,25(OH)2 D or analogues of this active metabolite can dramatically suppress PTH overproduction and is thus used clinically to control severe secondary hyperparathyroidism. Regulation of proteolytic destruction of pre formed PTH (posttranslational regulation of hormone production) is an important mechanism for mediating rapid (within minutes) changes in hormone availability. High calcium increases and low calcium inhib its the proteolytic destruction of stored hormone. REGULATION OF PTH SECRETION PTH secretion increases steeply to a maximum value of about five times the basal rate of secretion as the cal cium concentration falls from normal to 1.9–2.0 mmol/L (7.6–8.0 mg/dL; measured as total calcium). Severe intracellular magnesium deficiency impairs PTH secretion (see below). ECF calcium controls PTH secretion by interaction with a CaSR, a G protein–coupled receptor (GPCR) for which Ca2+ ions act as the primary ligand (see below). This receptor, which </w:t>
      </w:r>
      <w:r w:rsidRPr="00A6019F">
        <w:lastRenderedPageBreak/>
        <w:t xml:space="preserve">also has phosphate 3273 binding sites, is a member of the class C GPCR superfamily and func tions as an obligate homodimer. Characterized by a large extracellular domain that effectively clamps the small-molecule ligand, the CaSR is expressed in many tissues and cell types. The CaSR can couple to all four classes of G proteins in a cell-dependent context. In the parathy roids, the CaSR mediates its actions by coupling to two closely related G protein alpha-subunits, namely Gαq and Gα11, as well as Gαi. Acti vation of the CaSR by high calcium levels negatively regulates PTH secretion in the parathyroids and reduces calcium reabsorption in the distal renal tubules. Genetic evidence further reinforced the essential role for the CaSR in maintaining calcium balance. Heterozygous loss-of-function CaSR mutations cause familial hypocalciuric hypercalcemia (FHH) type 1, a benign disease in which the blood calcium abnormality resembles that observed in hyperparathyroidism but with hypocalciuria; other more recently defined variants of FHH, namely FHH2 and FHH3, are caused either by heterozygous loss-of-function mutations in Gα11, the alpha subunit of one of the signaling proteins downstream of the CaSR, or by heterozygous mutations in the adaptor protein AP2S1, which is key in the intracellular trafficking of the CaSR. Homozygous loss-of-function mutations in the CaSR are the cause of severe neonatal hyperparathy roidism, a disorder that is typically lethal if not treated within the first days of life. On the other hand, heterozygous gain-of-function mutations cause a form of hypocalcemia resembling hypoparathyroidism (see below). METABOLISM PTH undergoes intraglandular proteolysis, which is regulated by extracellular calcium, and further degradation occurs after secretion into the circulation, mainly by liver and kidney. Removal of the critically important amino-terminus (as little as the first amino acid) produces biologically inactive PTH fragments, such as PTH(7–84), which can be detected equally well as PTH(1–84) by several commonly used immunometric PTH assays that employ two antibodies directed against portions of the N- and C-terminus, respectively. Earlier assays, now used only infrequently, measure pre dominantly middle and carboxyl-terminal fragments that have no or incompletely defined biological activity and are cleared more slowly from blood than the secreted PTH(1–84). Although the problems inherent in PTH measurements have been largely circumvented by use of double-antibody immunometric assays, some evidence suggests that the PTH(7–84) (and probably related amino-terminally truncated fragments) can act, through yet unde fined mechanisms, as an inhibitor of PTH action and may therefore be of clinical significance, particularly in patients with CKD. In this group of patients, efforts to prevent secondary hyperparathyroidism by a variety of measures (vitamin D analogues, higher calcium intake, higher dialysate calcium, phosphate-lowering strategies, and calcimi metic drugs) can lead to oversuppression of the parathyroid glands since some amino-terminally truncated PTH fragments can react in some immunometric PTH assays, thus overestimating the levels of bio logically active PTH(1–84). Excessive parathyroid gland suppression in CKD can lead to adynamic bone disease (see below), which has been associated in children with further impaired growth and increased bone </w:t>
      </w:r>
      <w:r w:rsidRPr="00A6019F">
        <w:lastRenderedPageBreak/>
        <w:t xml:space="preserve">fracture rates in adults and can furthermore lead to significant 1 hypercalcemia. The measurement of PTH with newer third-generation immunometric assays, which use detection antibodies directed against extreme amino-terminal PTH epitopes and thus detect only full-length PTH(1–84), has not yet clearly shown to be advantageous in the clini cal setting. </w:t>
      </w:r>
      <w:r w:rsidRPr="00A6019F">
        <w:rPr>
          <w:rFonts w:ascii="Arial" w:hAnsi="Arial" w:cs="Arial"/>
        </w:rPr>
        <w:t>■</w:t>
      </w:r>
      <w:r w:rsidRPr="00A6019F">
        <w:t xml:space="preserve">PTHRP Structure and Physiology PTHrP is responsible for most instances of HHM (Chap. 98), a syndrome that resembles primary hyperparathyroidism but without elevated PTH levels. Most cell types normally produce PTHrP, including brain, pancreas, heart, lung, mam mary tissue, placenta, endothelial cells, and smooth muscle. In fetal animals, PTHrP directs transplacental calcium transfer, and high con centrations of PTHrP are produced in mammary tissue and secreted into milk, but the biologic significance of this peptide in breast milk is unknown. PTHrP has paracrine and autocrine functions and it plays an essential role in diverse functions such as endochondral bone forma tion, branching morphogenesis of the breast, and possibly in uterine contraction. PTH and PTHrP, although products of different genes, exhibit con siderable functional and structural homology (Fig. 422-1) and have evolved from a shared ancestral gene. The structure of the gene encod ing human PTHrP, however, is more complex than that of PTH, con taining multiple additional exons, which can undergo alternate splicing patterns during formation of the mature mRNA. Protein products of 139, 141, and 173 amino acids are produced, and other molecular forms may result from tissue-specific degradation at accessible internal cleavage sites. The biologic roles of these various molecular species and the nature of the circulating forms of PTHrP are unclear. In fact, it is uncertain whether PTHrP circulates at any significant level in healthy children and adults. As a paracrine factor, PTHrP may be produced, act, and be destroyed locally within tissues. In adults, PTHrP appears to have little influence on calcium homeostasis, except in disease states, when large tumors, especially of the squamous cell type as well as renal cell carcinomas, lead to massive overproduction of the hormone and hypercalcemia. Both PTH and PTHrP bind to and activate the PTH/PTHrP recep tor. The PTH/PTHrP receptor (also known as the PTH-1 receptor [PTH1R]) belongs to the class B GPCRs that includes the receptors for calcitonin, glucagon, secretin, vasoactive intestinal peptide, and a few other peptides. Although both ligands activate the PTH1R, the two peptides induce distinct responses by the receptor, which explains how a single receptor without isoforms can serve different biologic roles. The extracellular regions of the receptor are involved in hormone binding, and the intracellular domains, after hormone activation, bind G protein subunits to transduce hormone signaling into cellular responses through the stimulation of second messenger formation. A second receptor that binds PTH, originally termed the PTH-2 receptor (PTH2R), is primarily expressed in brain, pancreas, and tes tis. Different mammalian PTH1Rs respond equivalently to PTH and PTHrP, at least when tested with traditional assays, whereas the human PTH2R responds efficiently only to PTH, but not to PTHrP. PTH2Rs from other species show little or no stimulation of second-messenger CHAPTER 422 Disorders of the Parathyroid Gland and Calcium Homeostasis 5 10 15 20 </w:t>
      </w:r>
      <w:r w:rsidRPr="00A6019F">
        <w:lastRenderedPageBreak/>
        <w:t xml:space="preserve">2 5 30 hPTH SER VAL SER GLU ILE GLN LEU MET HIS ASN LEU GLY LYS HIS LEU ASN SER MET GLU ARG VAL GLU TRP LEU ARG LYS LYS LEU GLN ASP hPTHrp ALA – – – HIS – – LEU – ASP LYS – hPTH– SER ILE GLN ASP LEU ARG – ARG PHE PHE – HIS HIS LEU ILE ALA GLU hPTHrP 1 30 8 4 Amino acid residues 1 30 8 4 Amino acid residues 139 FIGURE 422-1 Schematic diagram to illustrate similarities and differences in structure of human parathyroid hormone (hPTH) and human PTH-related peptide (hPTHrP). Close structural (and functional) homology exists between the first 30 amino acids of hPTH and hPTHrP. The PTHrP sequence may be ≥139 amino acid residues in length. PTH is only 84 residues long; after residue 30, there is little structural homology between the two. Dashed lines in the PTHrP sequence indicate identity; underlined residues, although different from those of PTH, still represent conservative changes (charge or polarity preserved). Ten amino acids are identical, and a total of 20 of 30 are homologues. 3274 some bone deformities, reduced growth, and delayed tooth eruption; recently, a few cases were described with symptomatic hypocalcemia and considerably elevated PTH levels. </w:t>
      </w:r>
      <w:r w:rsidRPr="00A6019F">
        <w:rPr>
          <w:rFonts w:ascii="Arial" w:hAnsi="Arial" w:cs="Arial"/>
        </w:rPr>
        <w:t>■</w:t>
      </w:r>
      <w:r w:rsidRPr="00A6019F">
        <w:t xml:space="preserve">CALCITONIN PART 12 Endocrinology and Metabolism (See also Chap. 400) Calcitonin is a peptide hormone with hypocal cemic properties that in several mammalian species acts as an indirect antagonist to the calcemic actions of PTH. Calcitonin seems to be of limited physiologic significance in humans, at least with regard to calcium homeostasis. It is of medical significance because of its role as a tumor marker in sporadic and hereditary cases of medullary thyroid carcinoma and its medical use as an adjunctive treatment in severe hypercalcemia and in Paget’s disease of bone at pharmacologic doses. Levels can also be elevated in patients with pseudohypoparathyroidism (PHP); the significance of this observation is unclear. formation in response to PTH or PTHrP. In fact, the endogenous ligand of the PTH2R was shown to be a hypothalamic peptide referred to as tubular infundibular peptide of 39 residues, TIP39, that is only distantly related to PTH and PTHrP. The PTH1R and the PTH2R can be traced backward in evolutionary time to fish, which express also a third receptor, the PTH3R, that is more closely related to the fish PTH1R than to the fish PTH2R. The evolutionary conservation of structure and function suggests important biologic roles for these receptors, even in fish, which lack discrete parathyroid glands but pro duce two molecules that are closely related to mammalian PTH. Studies using the cloned PTH1R confirm that it can be coupled to more than one G protein and second-messenger pathway, thus contrib uting to the multiplicity of pathways stimulated by PTH. Activation of protein kinases (A and C) and calcium transport channels is associated with a variety of hormone-specific tissue responses. These responses include inhibition of phosphate and bicarbonate transport, stimulation of calcium transport, and activation of renal 1α-hydroxylase in the kidney. The responses in bone include effects on collagen synthesis, alkaline phosphatase, ornithine decarboxylase, citrate decarboxyl ase, and glucose-6-phosphate dehydrogenase activities; phospholipid synthesis; and calcium and phosphate transport. Ultimately, these biochemical events lead to an integrated hormonal response in bone turnover </w:t>
      </w:r>
      <w:r w:rsidRPr="00A6019F">
        <w:lastRenderedPageBreak/>
        <w:t xml:space="preserve">and calcium homeostasis. PTH also activates Na+/Ca2+ exchangers at renal distal tubular sites and stimulates translocation of preformed calcium transport channels, moving them from the interior to the apical surface to increase tubular uptake of calcium. PTH dependent stimulation of phosphate excretion involves reduced expres sion of two sodium-dependent phosphate co-transporters, NPT2a and NPT2c, at the apical membrane, thereby reducing phosphate reab sorption in the proximal renal tubules. Similar mechanisms may be involved in other renal tubular transporters that are influenced by PTH. PTHrP exerts important developmental influences on fetal bone development and in adult physiology. Homozygous ablation of the gene encoding PTHrP (or disruption of the PTH1R gene) in mice causes a lethal phenotype in which animals are born with pronounced acceleration of chondrocyte maturation that resembles a human dis ease, Blomstrand lethal chondrodysplasia (BLC), that is caused by homozygous or compound heterozygous, inactivating PTH1R muta tions (Fig. 422-2). Heterozygous inactivating PTH1R mutations in humans furthermore can be a cause of delayed tooth eruption, while heterozygous inactivating PTHrP mutations lead to premature growth plate closure and reduced adult heights. Besides the lethal, biallelic PTH1R mutations that cause BLC, several homozygous mutations in this gene have now been identified in a rare recessive disease referred to as Eiken syndrome. Affected patients typically have normal min eral ion regulation, yet delayed growth plate maturation resulting in Many organs PTHrP Growth Plate Breast Brain Smooth muscle Skin Parathyroids PTH Ca2+ Paracrine Actions Kidney Bone Calcium Homeostasis FIGURE 422-2 Dual role for the actions of the PTH/PTHrP receptor (PTH1R). Parathyroid hormone (PTH; endocrine-calcium homeostasis) and PTH-related peptide (PTHrP; paracrine–multiple tissue actions including growth plate cartilage in developing bone) use the single receptor for their disparate functions mediated by the amino-terminal 34 residues of either peptide. Other regions of both ligands interact with other receptors (not shown). The hypocalcemic activity of calcitonin is accounted for primarily by inhibition of osteoclast-mediated bone resorption and secondarily by stimulation of renal calcium clearance. These effects are mediated by receptors on osteoclasts and renal tubular cells. Calcitonin exerts additional effects through receptors present in the brain, the gastro intestinal tract, and the immune system. The hormone, for example, exerts analgesic effects directly on cells in the hypothalamus and related structures, possibly by interacting with receptors for related peptide hormones such as calcitonin gene–related peptide (CGRP) or amylin. Both of these ligands have specific high-affinity receptors that share considerable structural similarity with the PH1R and can also bind to and activate calcitonin receptors. The calcitonin receptor shares considerable structural similarity with the PTH1R. The naturally occurring calcitonins consist of a peptide chain of 32 amino acids. There is considerable sequence variability among species. Calcitonin from salmon, which is used therapeutically, is 10–100 times more potent than mammalian forms in lowering serum calcium. The circulating level of calcitonin in humans is lower than that in many other species. In humans, even extreme </w:t>
      </w:r>
      <w:r w:rsidRPr="00A6019F">
        <w:lastRenderedPageBreak/>
        <w:t xml:space="preserve">variations in calcito nin production do not change calcium and phosphate metabolism; no definite effects are attributable to calcitonin deficiency (totally thyroidectomized patients receiving only replacement thyroxine) or excess (patients with medullary carcinoma of the thyroid, a calcitonin secreting tumor) (Chap. 400). Calcitonin has been a useful pharmaco logic agent to suppress bone resorption in Paget’s disease (Chap. 424) and osteoporosis (Chap. 423) and in the treatment of hypercalcemia of malignancy (see below). However, bisphosphates are usually more effective, and the physiologic role, if any, of calcitonin in humans is uncertain. On the other hand, ablation of the calcitonin gene (com bined with ablation of the CGRP gene because both genes are in close proximity) in mice leads to reduced bone mineral density, suggesting that its biologic role in mammals is still not fully understood. </w:t>
      </w:r>
      <w:r w:rsidRPr="00A6019F">
        <w:rPr>
          <w:rFonts w:ascii="Arial" w:hAnsi="Arial" w:cs="Arial"/>
        </w:rPr>
        <w:t>■</w:t>
      </w:r>
      <w:r w:rsidRPr="00A6019F">
        <w:t xml:space="preserve">HYPERCALCEMIA Introduction (See also Chap. 57) Hypercalcemia can be a mani festation of a serious illness such as malignancy or can be detected coincidentally by laboratory testing in a patient with no obvious illness. The number of patients recognized with asymptomatic hypercalcemia, usually primary hyperparathyroidism, increased in the late twentieth century when wider testing became readily available. Whenever hypercalcemia is confirmed, a definitive diagnosis must be established. Although hyperparathyroidism, a frequent cause of asymptomatic hypercalcemia, is a chronic disorder in which manifes tations, if any, may be expressed only after months or years, hypercal cemia can also be the earliest manifestation of malignancy, the second most common cause of hypercalcemia in the adult. The causes of hypercalcemia are numerous (Table 422-1), but hyperparathyroidism and cancer account for 90% of all cases. Before initiating a diagnostic workup, confirm the presence of true hypercalcemia, not a false-positive laboratory test from factors like hemoconcentration during blood collection or elevation in serum proteins such as albumin. Since hypercalcemia is typically chronic, it is cost-effective to obtain several serum calcium and concomitant albumin measurements, which do not require fasting. </w:t>
      </w:r>
      <w:r w:rsidRPr="00A6019F">
        <w:rPr>
          <w:rFonts w:ascii="Arial" w:hAnsi="Arial" w:cs="Arial"/>
        </w:rPr>
        <w:t>■</w:t>
      </w:r>
      <w:r w:rsidRPr="00A6019F">
        <w:t xml:space="preserve">PRIMARY HYPERPARATHYROIDISM 3275 TABLE 422-1 Classification of Causes of Hypercalcemia I. Parathyroid-Related A. Primary hyperparathyroidism 1. Adenoma(s) 2. Multiple endocrine neoplasia 3. Parathyroid carcinoma 4. Ectopic production of parathyroid hormone (PTH) 5. Exogenous administration of PTH or analogues B. Lithium therapy C. Familial hypocalciuric hypercalcemia II. Malignancy-Related A. Tumors with osteolytic metastases (breast, multiple myeloma, lymphoma, etc.) B. Solid tumor with humoral mediation of hypercalcemia (squamous cell carcinoma of the lung, kidney, breast, and others) C. 1,25(OH)2 D-mediated hypercalcemia of malignancies (lymphoma, ovarian dysgerminoma, etc.) III. Vitamin D–Related A. Vitamin D intoxication B. ↑ 1,25(OH)2 D; sarcoidosis and other granulomatous diseases, lymphoma C. ↑ 1,25(OH)2 D; impaired 1,25(OH)2 D metabolism due to biallelic 24-hydroxylase mutations or increased 1,25(OH)2 D synthesis due to inactivating biallelic mutations involving the renal sodium-dependent phosphate co-transporters IV. Associated with High Bone Turnover A. Hyperthyroidism B. Immobilization C. Thiazides D. Vitamin A intoxication E. Fat </w:t>
      </w:r>
      <w:r w:rsidRPr="00A6019F">
        <w:lastRenderedPageBreak/>
        <w:t xml:space="preserve">necrosis V. Associated with Renal Failure A. Tertiary hyperparathyroidism B. Aluminum intoxication and adynamic bone disease C. Milk-alkali syndrome Clinical features are helpful in differential diagnosis. Hypercal cemia in an adult who is asymptomatic is usually due to primary hyperparathyroidism. In malignancy-associated hypercalcemia, the disease is usually not occult; rather, symptoms of malignancy bring the patient to the physician, and hypercalcemia is discovered during the evaluation. If asymptomatic hypercalcemia can be documented for more than a year, malignancy is unlikely. Nevertheless, differentiating primary hyperparathyroidism from occult malignancy can occa sionally be difficult, and careful evaluation is required, particularly when the duration of the hypercalcemia is unknown. Other causes of hypercalcemia may include excessive intake of vitamin D or activated analogues, impaired metabolism of 1,25(OH)2 D, high bone turnover from any of several causes, or renal failure (Table 422-1). Immuno metric PTH assays serve as the principal laboratory test in establishing the diagnosis. Hypercalcemia from any cause can result in fatigue, depression, mental confusion, anorexia, nausea, vomiting, constipation, revers ible renal tubular defects, increased urine output, a short QT interval in the electrocardiogram, and, in some patients, cardiac arrhythmias. Generally, symptoms are more common at calcium levels &gt;2.9–3.0 mmol/L (11.6–12.0 mg/dL), but some patients, even at this level, are asymptomatic. When the calcium level is &gt;3.2 mmol/L (12.8 mg/dL), calcification in kidneys, skin, vessels, lungs, heart, and stomach occurs, and renal insufficiency may develop, particularly if blood phosphate levels are normal or elevated due to impaired renal excre tion. Severe hypercalcemia, usually defined as ≥3.7–4.5 mmol/L (14.8–18.0 mg/dL), can be a medical emergency; coma and cardiac arrest can occur. Acute management of the hypercalcemia is usually successful. The type of treatment is based on the severity of the hypercalcemia and the nature of associated symptoms, as outlined below. Pathophysiology • NATURAL HISTORY AND INCIDENCE Primary hyperparathyroidism, which is typically a disease of postmenopausal women, results from excessive secretion of PTH that is disproportion ate to serum calcium levels. This typically causes hypercalcemia and hypophosphatemia. There is great variation in the manifestations. Patients may present with multiple signs and symptoms, including recurrent nephrolithiasis, peptic ulcers, mental changes, and, less fre quently, extensive bone resorption. However, with greater awareness of the disease and wider use of multiphasic screening tests, including measurements of blood calcium, the diagnosis is frequently made in patients who have no symptoms and minimal, if any, signs of the dis ease other than hypercalcemia and elevated levels of PTH. The mani festations may be subtle, and the disease may have a benign course for many years or a lifetime. This milder form of the disease is usually termed asymptomatic hyperparathyroidism and can present with or without end-organ involvement. Rarely, hyperparathyroidism develops or worsens abruptly and causes severe complications such as marked dehydration and coma, so-called hypercalcemic parathyroid crisis. The annual incidence of the disease varies globally and has changed over the decades likely </w:t>
      </w:r>
      <w:r w:rsidRPr="00A6019F">
        <w:lastRenderedPageBreak/>
        <w:t xml:space="preserve">reflecting changes in the usage of laboratory screening panels that include serum calcium. The current incidence in the United States is calculated to be about 50 per 100,000 person-years. ETIOLOGY Parathyroid tumors are most often encountered as isolated monoclonal adenomas without other endocrinopathy. They may also arise in hereditary syndromes such as multiple endocrine neoplasia (MEN) syndromes. As many as 10% of patients with hyperparathyroid ism have a genetic basis for the disease (see below). Parathyroid tumors may also arise as secondary to underlying disease (excessive stimu lation in secondary hyperparathyroidism, especially chronic renal failure) or after other forms of excessive stimulation such as lithium therapy. These etiologies are discussed below. Solitary Adenomas A single abnormal gland is the cause in ~80% of patients; the abnormality in the gland is usually a benign neoplasm or adenoma and extremely rarely a parathyroid carcinoma. More than one adenoma has been reported, and genetic causes of the disease often underlies chief cell hyperplasia of all four glands. Hereditary Syndromes and Multiple Parathyroid Tumors Hereditary hyperpara CHAPTER 422 Disorders of the Parathyroid Gland and Calcium Homeostasis thyroidism can occur without other endocrine abnormalities but is usually part of a MEN syndrome (Chap. 400). MEN 1 (Wermer’s syn drome) consists of hyperparathyroidism and tumors of the pituitary and pancreas, often associated with gastric hypersecretion and peptic ulcer disease (Zollinger-Ellison syndrome). MEN 2A is characterized by pheochromocytoma and medullary carcinoma of the thyroid, as well as hyperparathyroidism; MEN 2B has additional associated fea tures such as multiple neuromas but usually lacks hyperparathyroid ism. MEN4, caused by mutations in the p27 cyclin-dependent kinase inhibitor (encoded for by CDKN1B), has similar clinical manifestations as MEN 1. Mutations in the MAX gene are associated with familial forms of pheochromocytoma/paraganglioma, and a few family mem bers have also been reported to have primary hyperparathyroidism. Each of these MEN syndromes is transmitted in an apparent autosomal dominant manner. The hyperparathyroidism jaw tumor (HPT-JT) syndrome occurs in families with parathyroid tumors (sometimes carcinomas) in asso ciation with benign jaw tumors. This disorder is caused by mutations in CDC73 (HRPT2), and mutations in this gene are also observed in sporadic parathyroid cancers. Some kindreds exhibit hereditary hyperparathyroidism without other endocrinopathies, which has been referred to as nonsyndromic familial isolated hyperparathyroidism (FIHP). In some of these familial cases, the disease co-segregated with heterozygous mutations in GCM2. Inactivating or dominant-negative mutations in this parathyroid-specific transcription factor had initially been identified in familial forms of hypoparathyroidism. However, GCM2 variants that are predicted to cause a gain-of-function of GCM2 have been reported in a subset of patients with FIHP. Because the prevalence of these GCM2 variants is much higher than the prevalence 3276 of primary hyperparathyroidism, they might be a risk factor for devel oping the disease. Furthermore, there is speculation that some FIHP cases may be examples of variable expression of the other syndromes such as MEN 1, MEN 2, or the HPT-JT syndrome, but </w:t>
      </w:r>
      <w:r w:rsidRPr="00A6019F">
        <w:lastRenderedPageBreak/>
        <w:t xml:space="preserve">they may also have distinctive, still unidentified genetic causes. Genetic Defects Associated with Hyperparathyroidism As PART 12 Endocrinology and Metabolism in many other types of neoplasia, two fundamental types of genetic defects have been identified in parathyroid gland tumors: (1) overac tivity of protooncogenes and (2) loss of function of tumor-suppressor genes. The former, by definition, can lead to uncontrolled cellular growth and function by activation (gain-of-function mutation) of a single allele of the responsible gene, whereas the latter requires loss of function of both allelic copies. Biallelic loss of function of a tumor suppressor gene is usually characterized by a germline defect (all cells) of one allele (autosomal-dominant mode of inheritance) and an additional somatic deletion/mutation in the second allele of the tumor (Fig. 422-3). Mutations in the MEN1 gene, which encodes the tumor suppressor MENIN, on chromosome 11q13 are responsible for causing MEN 1. Inheritance of one mutated allele in this hereditary syndrome, followed by loss of the other allele via somatic cell mutation, leads to monoclo nal expansion and tumor development. Also, in ~15–20% of sporadic parathyroid adenomas, both alleles of the MEN1 locus on chromosome 11 are somatically deleted, implying that the same defect responsible for MEN 1 can also cause the sporadic disease (Fig. 422-3A). Con sistent with the Knudson hypothesis for two-step neoplasia in certain inherited cancer syndromes (Chap. 76), the earlier onset of hyperpara thyroidism in the hereditary syndromes reflects the need for only one mutational event to trigger the monoclonal outgrowth. In sporadic adenomas, typically occurring later in life, two different somatic events must occur before the MEN1 gene is silenced. MEN 2 is an example for a mutation in a protooncogene and is asso ciated with gain-of-function mutations in the Ret oncogene. Chromosome 11 Normal copy Mutant copy Somatic deletion/mutation of remaining normal allele Mutant copy of putative tumor suppressor gene on 11q13 is inherited in MEN1 and present in all parathyroid cells Mutation of one allele of same gene may occur somatically in other patients, present in specific parathyroid cell(s) A more complex pattern, still incompletely resolved, arises with genetic defects and carcinoma of the parathyroids. This appears to be due to biallelic loss of a functioning copy of a gene, CDC73 (or HRPT2), originally identified as the cause of the HPT-JT syndrome. Several inactivating mutations have been identified in CDC73 (located on chromosome 1q21-31), which encodes a 531-amino-acid protein called parafibromin. The discovery of the genetic mutations that lead to multiple endo crine neoplasias allows genetic testing of suspected probands and fam ily members. Benefits of genetic testing include the ability to verify the clinical diagnosis, identify affected family members, and rule out the genetic variant in family members, who seem to be unaffected. An important contribution from studies on the genetic origin of parathyroid carcinoma has been the realization that the mutations involve a different pathway than that involved with the benign gland enlargements. Unlike the pathogenesis of genetic alterations seen in colon cancer, where lesions evolve from benign adenomas to malignant disease by progressive genetic changes, the alterations commonly seen in most parathyroid </w:t>
      </w:r>
      <w:r w:rsidRPr="00A6019F">
        <w:lastRenderedPageBreak/>
        <w:t xml:space="preserve">cancers (HRPT2 mutations) are infrequently seen in sporadic parathyroid adenomas. Study of the parathyroid cancers found in some patients with the HPT-JT syndrome has led to identification of a much larger role for HRPT2 mutations in most parathyroid carcinomas, including those that arise sporadically, without apparent association with the HPT-JT syndrome. Mutations in the coding region have been identified in 75–80% of all parathyroid cancers analyzed, leading to the conclusion that, with addition of presumed mutations in the noncoding regions, this genetic defect may be seen in essentially all parathyroid carcino mas. Of special importance was the discovery that, in some sporadic parathyroid cancers, germline mutations have been found; this, in turn, has led to careful investigation of the families of these patients and a new clinical indication for genetic testing in this setting. Abnormalities at the Rb gene were the first to be noted in para thyroid cancer. The Rb gene, a tumor-suppressor gene located on Benign tumor Clonal progenitor cell lacks functional gene product Chromosome 1 Normal copy Mutant copy Somatic deletion/mutation of remaining normal allele Somatic mutation of one copy of the HRPT2 tumor suppressor gene on 1q21–31 no adverse consequences to parathyroid cell Parathyroid carcinoma Clonal progenitor cell lacks functional HRPT2 gene product PTH  Coding Break Break PTH 5'   Regulatory Centromere PRAD1 Normal PTH   Coding PTH 5'   Regulatory PRAD1 Inverted B A FIGURE 422-3 A. Schematic diagram indicating molecular events in tumor susceptibility. The patient with the hereditary abnormality (multiple endocrine neoplasia [MEN]) is envisioned as having one defective gene inherited from the affected parent on chromosome 11, but one copy of the normal gene is present from the other parent. In the monoclonal tumor (benign tumor), a somatic event, here partial chromosomal deletion, removes the remaining normal gene from a cell. In nonhereditary tumors, two successive somatic mutations must occur, a process that takes a longer time. By either pathway, the cell, deprived of growth-regulating influence from this gene, has unregulated growth and becomes a tumor. A different genetic locus also involving loss of a tumor-suppressor gene termed HRPT2 is involved in the pathogenesis of parathyroid carcinoma. (Reproduced with permission from A Arnold: Genetic basis of endocrine disease 5. Molecular genetics of parathyroid gland neoplasia. J Clin Endocrinol Metab 77:1108, 1993.) B. Schematic illustration of the mechanism and consequences of gene rearrangement and overexpression of the PRAD1 protooncogene (pericentromeric inversion of chromosome 11) in parathyroid adenomas. The excessive expression of PRAD1 (a cell cycle control protein, cyclin D1) by the highly active PTH gene promoter in the parathyroid cell contributes to excess cellular proliferation. (Reproduced with permission from J Habener, in L DeGroot, JL Jameson (eds): Endocrinology, 4th ed. Philadelphia, PA: Saunders; 2001.) 3277 chromosome 13q14, was initially associated with retinoblastoma but has since been implicated in other neoplasias, including parathyroid carcinoma. Early studies implicated allelic deletions of the Rb gene in many parathyroid carcinomas and decreased or absent expression of the Rb protein. However, because there are often </w:t>
      </w:r>
      <w:r w:rsidRPr="00A6019F">
        <w:lastRenderedPageBreak/>
        <w:t xml:space="preserve">large deletions in chromosome 13 that include many genes in addition to the Rb locus (with similar findings in some pituitary carcinomas), it remains pos sible that other tumor-suppressor genes on chromosome 13 may be playing a role in parathyroid carcinoma. Overall, it seems there are multiple factors in parathyroid cancer, in addition to the HRPT2 and Rb gene, although the HRPT2 gene muta tion is the most invariant abnormality. RET encodes a tyrosine kinase type receptor; specific inherited germline mutations lead to a constitu tive activation of the receptor, thereby explaining the autosomal domi nant mode of transmission and the relatively early onset of neoplasia. In the MEN 2 syndrome, the RET protooncogene may be responsible for the earliest disorder detected, the polyclonal disorder C-cell hyper plasia, which then is transformed into a clonal outgrowth—a medul lary carcinoma with the participation of other, still uncharacterized genetic defects. In some parathyroid adenomas, activation of a protooncogene occurs (Fig. 422-3B). A reciprocal translocation involving chromo some 11 was identified as a somatic event that juxtaposes the PTH gene promoter upstream of CCND1, which encodes a cyclin D protein that plays a key role in normal cell division. This translocation plus other mechanisms that cause an equivalent overexpression of cyclin D1 are found in 20–40% of parathyroid adenomas. Mouse models have confirmed the role of several of the major iden tified genetic defects in parathyroid disease and the MEN syndromes. Loss of the MEN1 gene locus and overexpression of the CCND1 pro tooncogene or the mutated RET protooncogene have been analyzed by genetic manipulation in mice, with the expected onset of parathyroid tumors or medullary thyroid carcinoma, respectively. Pathology Adenomas are most often located in the inferior para thyroid glands, but in 6–10% of patients, parathyroid adenomas may be located in the thymus, the thyroid, the pericardium, or behind the esophagus. Adenomas are usually 0.5–5 g in size but may be as large as 10–20 g (normal glands weigh 25 mg on average). Chief cells are pre dominant in both hyperplasia and adenoma. With chief cell hyperpla sia, the enlargement may be so asymmetric that some involved glands appear grossly normal. If generalized hyperplasia is present, however, histologic examination reveals a uniform pattern of chief cells and disappearance of fat even in the absence of an increase in gland weight. Thus, microscopic examination of biopsy specimens of several glands is essential to interpret findings at surgery. Parathyroid carcinoma is often not aggressive. Long-term survival without recurrence is common if at initial surgery the entire gland is removed without rupture of the capsule. Recurrent parathyroid carcinoma is usually slow growing with local spread in the neck, and surgical correction of recurrent disease may be feasible. Occasion ally, however, parathyroid carcinoma is more aggressive, with distant metastases (lung, liver, and bone) found at the time of initial operation. It may be difficult to appreciate initially that a primary tumor is carci noma; increased numbers of mitotic figures and increased fibrosis of the gland stroma may precede invasion. The diagnosis of carcinoma is often made in retrospect when metastasis occur. Hyperparathyroidism from a parathyroid carcinoma may be indistinguishable from other </w:t>
      </w:r>
      <w:r w:rsidRPr="00A6019F">
        <w:lastRenderedPageBreak/>
        <w:t xml:space="preserve">forms of primary hyperparathyroidism but is usually more severe clinically. A potential clue to the diagnosis is offered by the degree of calcium elevation. Calcium values of 3.5–3.7 mmol/L (14–15 mg/dL) are frequent with carcinoma and may alert the surgeon to remove the abnormal gland with care to avoid capsular rupture. Recent findings concerning the genetic basis of some patients with parathyroid carci noma (distinct from that of benign adenomas) indicate the need, in these kindreds, for family screening (see below). Signs and Symptoms Many patients with primary hyperpara thyroidism are asymptomatic. Manifestations of hyperparathyroid ism involve primarily the kidneys and the skeletal system. Kidney involvement, due either to deposition of calcium in the renal paren chyma or to recurrent nephrolithiasis, was present in 60–70% of patients prior to 1970. With earlier detection, renal complications occur in 1 mg/dL above normal Creatinine clearance 300 mg/d in men or &gt;250 mg/d in women and increased stone risk by biochemical stone risk analysis Presence of nephrolithiasis or nephrocalcinosis by x-ray, ultrasound, or other imaging modalities BMD by DXA: T score 8 years) deterioration in bone mineral density after a decade of relative stability. There is concern that this late-onset deterioration in bone density in nonoperated patients could contribute significantly to the well-known age-dependent fracture risk (osteopo rosis). Significant and sustained improvements in bone mineral density are seen after successful parathyroidectomy, and there is some evidence for reduction in fractures. Cardiovascular disease, including left ventricular hypertrophy, car diac functional defects, and endothelial dysfunction, has been reported as reversible in European patients with more severe symptomatic dis ease after surgery, leading to numerous studies of these cardiovascular features in those with milder disease. There are reports of endothelial dysfunction in patients with mild asymptomatic hyperparathyroidism, but the expert panels concluded that more observation is needed, espe cially regarding whether there is reversibility with surgery. A topic of considerable interest and some debate is assessment of neuropsychiatric status and health-related quality of life status in hyperparathyroid patients both before surgery and in response to parathyroidectomy. Several observational studies have suggested improvements in symptom score after surgery. Randomized studies of surgery versus observation, however, have yielded inconclusive results, especially regarding benefits of surgery. Many studies report that hyperparathyroidism is associated with increased neuropsychiatric symptoms, but it is not possible at present to determine which patients might improve after surgery. Diagnosis The diagnosis is typically made by detecting an elevated or inappropriately normal immunoreactive PTH level in a patient with asymptomatic hypercalcemia (Fig. 422-4) (see “Differential Diagnosis: TABLE 422-3 Guidelines for Monitoring in Patients with Primary Hyperparathyroidism Who Do Not Undergo Parathyroidectomy PARAMETER Serum calcium and 25OHD Renal Creatinine clearance Skeletal GUIDELINE Annually eGFR, annually; serum creatinine, annually. Abdominal imaging (x-ray, ultrasound, or CT), if clinically indicated. 24-h urine for calcium, if indicated Annually DXA every 1–2 years (3 sites) (unless BMD is normal). X-ray or VFA of spine if </w:t>
      </w:r>
      <w:r w:rsidRPr="00A6019F">
        <w:lastRenderedPageBreak/>
        <w:t xml:space="preserve">clinically indicated (e.g., height loss, back pain) Abbreviations: BMD, bone mineral density; CT, computed tomography; DXA, dual energy x-ray absorptiometry; eGFR, estimated glomerular filtration rate; VFA, vertebral fracture assessment. Source: Data from JP Bilezikian et al: Evaluation and management of primary hyperparathyroidism: Summary statement and guidelines from the Fifth International Workshop. JBMR 37:2293, 2022. 1000 800 600 500 400 300 Parathyroid hormone 1–84 (pg/mL) 200 100 20 1 0 Hyperparathyroidism Hypercalcemia of malignancy Hypoparathyroidism 0 6 7 8 9 10 11 12 13 14 15 16 1 18 Calcium (mg/dL) 9 FIGURE 422-4 Levels of immunoreactive parathyroid hormone (PTH) detected in patients with primary hyperparathyroidism, hypercalcemia of malignancy, and hypoparathyroidism. Boxed area represents the upper and normal limits of blood calcium and/or immunoreactive PTH. (Reproduced with permission from SR Nussbaum et al (eds): Endocrinology, 4th ed. Philadelphia, PA: Saunders; 2001.) Special Tests,” below). Serum phosphate is usually low but may be nor mal, especially if renal failure has developed. Several modifications in PTH assays have been introduced in efforts to improve their utility in light of information about metabolism of PTH (as discussed above). First-generation assays were based on dis placement of radiolabeled PTH from anti-PTH antibodies that often reacted with PTH fragments. Second-generation, double-antibody, or immunometric assays (one antibody that is usually directed against the carboxyl-terminal portion of intact PTH to capture the hormone and a second enzyme-labeled antibody that is usually directed against the amino-terminal portion of intact PTH) greatly improved the diagnostic discrimination of the tests by eliminating interference from circulating biologically inactive fragments, detected by the original first-generation assays. Third-generation assays, which detect even fewer inactive fragments, may be useful for clinical research studies as in management of chronic renal disease but have not replaced second generation assays, which reliably help make the diagnosis of hypo- and hyperparathyroidism and differentiate this disease from other condi tions of hypo- and hypercalcemia TREATMENT Primary Hyperparathyroidism Surgical excision of the abnormal parathyroid tissue is the defini tive therapy for this disease. As noted above, medical surveillance without operation for patients with mild, asymptomatic disease is, however, still preferred by some physicians and patients, par ticularly when the patients are more elderly. Evidence favoring surgery, if medically feasible, is growing because of concerns about skeletal, cardiovascular, and neuropsychiatric disease, even in mild hyperparathyroidism. Two surgical approaches are generally practiced. The conven tional parathyroidectomy procedure is neck exploration with general anesthesia; however, an outpatient procedure with local anesthesia, 3279 termed minimally invasive parathyroidectomy, is gaining traction though it has not yet replaced the traditional surgical approach. Parathyroid exploration is challenging and should be undertaken by a surgeon experienced in this procedure. Certain features, like multiple abnormal glands in familial cases along with presurgical identification of one enlarged gland using several different imaging methods, can assist in determining the surgical </w:t>
      </w:r>
      <w:r w:rsidRPr="00A6019F">
        <w:lastRenderedPageBreak/>
        <w:t xml:space="preserve">approach. However, some critical decisions regarding management can be made only during the operation. Preoperative imaging, such as neck ultrasounds, 99mTc sestamibi scans with single-photon emission CT (SPECT), C(11) choline PET/CT, and four-dimensional (4D) CT are used to predict the location of an abnormal gland. Intraoperative monitoring of PTH levels by rapid PTH immunoassays may be useful in guiding the surgery and a rapid fall (&gt;50%) to normal levels of PTH is used in many centers to predict successful removal of the culprit gland(s). Multiple-gland hyperplasia, as predicted in familial cases, and reoperation pose more difficult questions of surgical management and increase the risk of developing permanent hypoparathyroid ism. Immediate transplantation of a portion of a removed, minced parathyroid gland into the muscles of the forearm is sometimes performed, with the view that surgical excision is easier from the ectopic site in the arm if there is recurrent hyperfunction. In a minority of cases, if no abnormal parathyroid glands are found in the neck, the issue of further exploration must be decided. There are documented cases of five or six parathyroid glands and of unusual locations for adenomas such as in the mediastinum. A decline in serum calcium often occurs within 24 h after suc cessful surgery; usually, blood calcium falls to low-normal values for 3–5 days until the remaining parathyroid tissue resumes full hormone secretion. Risk factors for acute postoperative hypocalce mia is undermineralized bone matrix leading to “hungry bone” and vitamin D deficiency. With unexpected hypocalcemia, coexistent hypomagnesemia should be considered, as it interferes with PTH secretion and impairs response to PTH (Chap. 421). Transient hypoparathyroidism can occur but typically resolves within days; protracted recovery over several months can occur. Patients are unlikely to develop permanent hypoparathyroidism (often defined as hypoparathyroidism that persists 12 months after surgery) if their PTH levels tested within 12–24 h after surgery are &gt;15 pg/mL. Signs of hypocalcemia include symptoms such as muscle twitch ing, a general sense of anxiety, and positive Chvostek’s and Trous seau’s signs coupled with hypocalcemia. Therapy with oral calcium and sometimes low-dose calcitriol is often sufficient. Parenteral calcium therapy should be instituted when severe hypocalcemia is present. The rate and duration of IV therapy are determined by the severity of the symptoms and the response of the serum calcium to treatment. An infusion of 0.5–2 mg/kg per hour or 30–100 mL/h of a 1-mg/mL solution usually suffices to relieve symptoms. Usu ally, parenteral therapy is required for only a few days. If symptoms worsen or if parenteral calcium is needed for &gt;2–3 days, therapy with a vitamin D analogue and/or oral calcium (2–4 g/d) should be started (see below). It is cost-effective to use calcitriol (doses of 0.5–1 μg/d) because of the rapidity of onset of effect and prompt cessation of action when stopped, in comparison to other forms of vitamin D. A rise in blood calcium after several months of treat ment with calcium and calcitriol may indicate restoration of para thyroid function to normal. It is also appropriate to monitor serum PTH serially to estimate gland function in such patients. If magnesium deficiency is present, it can complicate the postop erative course since significant magnesium </w:t>
      </w:r>
      <w:r w:rsidRPr="00A6019F">
        <w:lastRenderedPageBreak/>
        <w:t xml:space="preserve">deficiency impairs the secretion of PTH. Hypomagnesemia should be corrected whenever detected, typically with oral magnesium replacement, but paren teral repletion may be necessary. MEDICAL MANAGEMENT Medical monitoring rather than corrective surgery is still accept able, but it is clear that surgical intervention is the more frequently recommended option for the reasons noted above. Despite the use fulness of the guidelines, the importance of individual patient and physician judgment and preference is clear in all recommendations. There is no long-term experience regarding specific clinical outcomes such as fracture prevention, but it has been established that bisphosphonates increase bone mineral density significantly without changing serum calcium. Calcimimetics reduce PTH secre tion and thus lower serum calcium but do not affect bone mineral density (BMD). A Scandinavian randomized clinical trial of para thyroidectomy versus observation in patients with mild primary hyperparathyroidism revealed no differences in morbidity or mor tality after 10 years. </w:t>
      </w:r>
      <w:r w:rsidRPr="00A6019F">
        <w:rPr>
          <w:rFonts w:ascii="Arial" w:hAnsi="Arial" w:cs="Arial"/>
        </w:rPr>
        <w:t>■</w:t>
      </w:r>
      <w:r w:rsidRPr="00A6019F">
        <w:t xml:space="preserve">OTHER PARATHYROID CAUSES OF HYPERCALCEMIA Lithium Therapy Lithium, used in the management of bipolar depression and other psychiatric disorders, causes hypercalcemia in ~10% of treated patients. The hypercalcemia is dependent on con tinued lithium treatment, remitting and recurring when lithium is stopped and restarted. The parathyroid adenomas reported in some hypercalcemic patients with lithium therapy may reflect the presence of an independently occurring parathyroid tumor; a permanent effect of lithium on parathyroid gland growth need not be implicated as most patients have complete reversal of hypercalcemia when lithium is stopped. However, long-standing stimulation of parathyroid cell replication by lithium may predispose to development of adenomas (as is documented in secondary hyperparathyroidism and renal failure). At the levels achieved in blood in treated patients, lithium can be shown in vitro to shift the PTH secretion curve to the right in response to calcium; i.e., higher calcium levels are required to lower PTH secre tion, probably acting at the calcium sensor (see below). This effect can cause elevated PTH levels and consequent hypercalcemia in otherwise normal individuals. Cinacalcet has been used successfully in these patients. Fortunately, there are usually alternative medications for the underlying psychiatric illness. Parathyroid surgery should not be rec ommended unless hypercalcemia and elevated PTH levels persist after lithium is discontinued. </w:t>
      </w:r>
      <w:r w:rsidRPr="00A6019F">
        <w:rPr>
          <w:rFonts w:ascii="Arial" w:hAnsi="Arial" w:cs="Arial"/>
        </w:rPr>
        <w:t>■</w:t>
      </w:r>
      <w:r w:rsidRPr="00A6019F">
        <w:t xml:space="preserve">GENETIC DISORDERS CAUSING CHAPTER 422 Disorders of the Parathyroid Gland and Calcium Homeostasis HYPERPARATHYROIDISM-LIKE SYNDROMES Familial Hypocalciuric Hypercalcemia FHH (also called famil ial benign hypercalcemia) is inherited as an autosomal dominant trait. Affected individuals are discovered because of asymptomatic hypercal cemia. Most cases of FHH are caused by an inactivating heterozygous CaSR mutations; this disorder, designated as FHH type 1, leads to inappropriately normal or even increased PTH secretion. Other forms of FHH are caused either by heterozygous loss-of-function mutations in GNA11 (encoding Gα11), one of the signaling proteins at the CaSR (FHH2), or by heterozygous mutations in AP2S1 (FHH3). In FHH1, the primary defect is abnormal sensing of the blood cal cium by the parathyroid gland and renal tubule, causing </w:t>
      </w:r>
      <w:r w:rsidRPr="00A6019F">
        <w:lastRenderedPageBreak/>
        <w:t xml:space="preserve">inappropriate secretion of PTH and excessive reabsorption of calcium in the distal renal tubules. Many different inactivating CaSR mutations have been identified in patients with FHH1. These mutations lower the capacity of the sensor to bind calcium and the mutant receptors function as though blood calcium levels were low; thus, inappropriate secretion of PTH occurs from an otherwise normal gland. Approximately two thirds of patients with FHH have mutations within the protein-coding region of the CaSR gene (FHH1). Others have mutations in GNA11, the gene encoding the alpha-subunit of G11, a G-protein through which the CaSR signals (FHH2). These loss-of-function mutations have simi lar consequences to the loss-of-function mutations in the CaSR. FHH3 is caused by heterozygous mutations of the adaptor protein-2δ subunit (AP2S1), which is a component of clathrin-coated vesicles, and critical in clathrin-mediated endocytosis. Since FHH is a life-long disease that cannot be cured by parathy roidectomy, it is critical to distinguish this rare disease from the more common primary hyperparathyroidism. One striking exception to the 3280 FHH1, NSHPT ADH1 Ca2+ PART 12 PLC Gq/11 PIP2 IP3 CaSR Proto-oncogenes and tumor-supressor genes Endocrinology and Metabolism Transcription factors, e.g. GATA3, GCM2, FAM111A Blomstrand’s lethal chondrodysplasia Jansen’s metaphyseal chondrodysplasia Pseudo hypoparathyroidism McCune-Albright syndrome AC cAMP AMP Gs PDE G PTH/PTHrP receptor PTH Catalytic subunit ATP Regulatory subunit (PRKAR1A) cAMP Active PKA Acrodysostosis (with or without hormonal resistance) C R R PIP2 C C Inactive PKA PTHrP PARATHYROID CELL Brachydactyly short stature Gq/11 PLC IP3 + DAG R R C Acrodysostosis with hormonal resistance TARGET CELL (e.g. kidney, bone, or cartilage) Cellular events, including HDAC4 activation FIGURE 422-5 Illustration of some genetic mutations that alter calcium metabolism by effects on the parathyroid cell or target cells of parathyroid hormone (PTH) action. Alterations in PTH production by the parathyroid cell can be caused by changes in the response to extracellular fluid calcium (Ca2+) that are detected by the calcium-sensing receptor (CaSR). Furthermore, PTH (or PTH-related peptide [PTHrP]) can show altered efficacy in target cells such as in proximal tubular cells, by altered function of its receptor (PTH/PTHrP receptor) or the signal transduction proteins, G proteins such as Gsα that is linked to adenylate cyclase (AC), the enzyme responsible for producing cyclic AMP (cAMP) (also illustrated are Gαq/Gα11, which activate an alternate pathway of receptor signal transmission involving the generation of inositol triphosphate [IP3 ] or diacylglycerol [DAG]). Heterozygous loss-of-function mutations in the CaSR cause familial benign hypocalciuric hypercalcemia (FBHH) and homozygous mutations (both alleles mutated) and neonatal severe hyperparathyroidism (NSHPT); heterozygous gain-of-function causes autosomal dominant hypercalciuric hypocalcemia (ADH1). Other defects in parathyroid cell function that occur at the level of gene regulation (oncogenes or tumor-suppressor genes) or transcription factors are discussed in the text. Blomstrand’s lethal chondrodysplasia is due to homozygous or compound heterozygous loss-of-function mutations in the PTH/PTHrP receptor, a neonatally lethal disorder, while </w:t>
      </w:r>
      <w:r w:rsidRPr="00A6019F">
        <w:lastRenderedPageBreak/>
        <w:t xml:space="preserve">pseudohypoparathyroidism involves inactivation at the level of the G proteins, specifically mutations that eliminate or reduce Gsα activity in the kidney (see text for details). Acrodysostosis can occur with (mutant regulatory subunit of PKA) or without hormonal resistance (mutant PDE4D or PDE3A). Jansen’s metaphyseal chondrodysplasia and McCune-Albright syndrome represent gain-of-function mutations in the PTH/PTHrP receptor and Gsα protein, respectively. rule against parathyroid surgery in this syndrome is the occurrence, usually in consanguineous marriages (due to the rarity of the gene mutation), of a homozygous or compound heterozygote state, result ing in severe impairment of CaSR function. In this condition, neonatal severe hypercalcemia, total parathyroidectomy is mandatory, but calci mimetics have been used as a temporary measure. Patients with FHH have lifelong hypercalcemia, which is typi cally mild and about 11 mg/dL. PTH values are often within normal laboratory range (which is inappropriate for hypercalcemia) or mildly elevated. Family history is often positive but can be negative because the patient has a de novo mutation or the penetrance of the disease is not 100%. Patients with primary hyperparathyroidism have 99% reabsorption. The calcium–to–creatine clearance ratio (CCCR), determined on spot or 24-hour urine, can be used to help differentiate the two disorders, with the CCCR typically 0.02 in primary hyperparathyroidism. This distinction is far from perfect, and genetic testing is helpful in establishing the diagnosis. Panel testing for hypercalcemic disorders allows the simultaneous sequencing of all genes known to be implicated in hypercalcemia, including the genes causing FHH. Rare but well-documented cases of acquired hypocalciuric hypercal cemia are reported due to antibodies against the CaSR. They appear to be a complication of an underlying autoimmune disorder and respond to therapies directed against the underlying disorder. Jansen’s Disease Activating mutations in the PTH/PTHrP recep tor (PTH1R) have been identified as the cause of this rare autosomal dominant syndrome. Because the mutations lead to constitutive activa tion of receptor function, one abnormal copy of the mutant receptor is sufficient to cause the disease, thereby accounting for its dominant mode of transmission. Besides often severe hypercalcemia, patients affected by Jansen’s disease have short-limbed dwarfism due to abnor mal regulation of chondrocyte maturation in the growth plates of the bone that are formed through the endochondral process. In adult life, there are numerous abnormalities in bone, including multiple cystic resorptive areas resembling those seen in severe hyperparathyroidism. Hypercalcemia and hypophosphatemia with undetectable or low PTH levels are typically observed. The pathogenesis of the growth plate abnormalities in Jansen’s disease has been confirmed by transgenic experiments in which targeted expression of the mutant PTH/PTHrP receptor to the proliferating chondrocyte layer of growth plate emu lated several features of the human disorder. Other genetic mutations in the parathyroid gland or PTH target cells that affect Ca2+ metabolism are illustrated in Fig. 422-5. </w:t>
      </w:r>
      <w:r w:rsidRPr="00A6019F">
        <w:rPr>
          <w:rFonts w:ascii="Arial" w:hAnsi="Arial" w:cs="Arial"/>
        </w:rPr>
        <w:t>■</w:t>
      </w:r>
      <w:r w:rsidRPr="00A6019F">
        <w:t xml:space="preserve">MALIGNANCY-RELATED HYPERCALCEMIA Clinical Syndromes and Mechanisms of Hypercalcemia Hypercalcemia due to malignancy is common </w:t>
      </w:r>
      <w:r w:rsidRPr="00A6019F">
        <w:lastRenderedPageBreak/>
        <w:t xml:space="preserve">(occurring in as many as 20% of cancer patients, especially with certain types of tumors such as lung carcinoma), often severe and difficult to manage, and, typically easy to distinguish from primary hyperparathyroidism by a suppressed PTH. Although malignancy is usually clinically obvious or readily detectable by medical history, hypercalcemia can occasionally be due to an occult tumor. Three main mechanisms of hypercalcemia are operative in cancer hypercalcemia. Humoral hypercalcemia of malignancy (HHM) is caused by tumors producing and secreting PTHrP that causes a clinical picture similar to primary hyperparathyroidism with increased bone resorption and hypercalcemia. However, PTH is suppressed. Patients with HHM may have low to normal levels of 1,25(OH)2 D, instead of elevated levels as in true hyperparathyroidism probably reflecting sub tle differences in the activation of the PTH1R by PTHrP versus PTH. Squamous cell carcinomas and renal, bladder, and colorectal cancer are examples of tumors that can cause HHM. Several different assays (single- or double-antibody, different epitopes) have been developed to detect PTHrP and do not cross-react with PTH. Most data indicate that 3281 circulating PTHrP levels are undetectable or low in normal individuals except in pregnancy (high in human milk) and elevated in most cancer patients with the humoral syndrome. Alternatively, local osteolysis leading to release of cytokines (e.g., interleukin 1 and tumor necrosis factor) that activate osteoclasts occurs with hematologic malignancies such as leukemia, lymphoma, and mul tiple myeloma, but also with breast cancer. A third mechanism leading to malignancy-associated hypercalcemia is an increased production and blood level of 1,25(OH)2 D, produced by abnormal lymphocytes or adjacent macrophages in lymphoma but also in ovarian dysgerminomas. The etiologic mechanisms in cancer hypercalcemia may be multiple, even in the same patient. For example, in breast carcinoma (metastatic to bone) and in a distinctive type of T-cell lymphoma/leukemia initi ated by human T-cell lymphotropic virus 1, hypercalcemia is caused by direct local lysis of bone as well as by a humoral mechanism involving excess production of PTHrP. Hyperparathyroidism has been reported to coexist with the humoral cancer syndrome, and rarely, ectopic hyperparathyroidism due to tumor elaboration of true PTH is reported. TREATMENT Malignancy-Related Hypercalcemia Treatment of the hypercalcemia of malignancy is first directed to control of tumor; reduction of tumor mass usually corrects hypercalcemia. If a patient has severe hypercalcemia yet has a good chance for effective tumor therapy, treatment of the hypercalcemia should be vigorous while awaiting the results of definitive therapy (see “General Approach to Hypercalcemic States” below). If hyper calcemia occurs in the late stages of a tumor that is resistant to antitumor therapy, the treatment of the hypercalcemia should be judicious as high calcium levels can have a mild sedating effect. Standard therapies for hypercalcemia (discussed below) are appli cable to patients with malignancy. </w:t>
      </w:r>
      <w:r w:rsidRPr="00A6019F">
        <w:rPr>
          <w:rFonts w:ascii="Arial" w:hAnsi="Arial" w:cs="Arial"/>
        </w:rPr>
        <w:t>■</w:t>
      </w:r>
      <w:r w:rsidRPr="00A6019F">
        <w:t>VITAMIN D</w:t>
      </w:r>
      <w:r w:rsidRPr="00A6019F">
        <w:rPr>
          <w:rFonts w:ascii="Aptos" w:hAnsi="Aptos" w:cs="Aptos"/>
        </w:rPr>
        <w:t>–</w:t>
      </w:r>
      <w:r w:rsidRPr="00A6019F">
        <w:t>RELATED HYPERCALCEMIA Vitamin D</w:t>
      </w:r>
      <w:r w:rsidRPr="00A6019F">
        <w:rPr>
          <w:rFonts w:ascii="Aptos" w:hAnsi="Aptos" w:cs="Aptos"/>
        </w:rPr>
        <w:t>–</w:t>
      </w:r>
      <w:r w:rsidRPr="00A6019F">
        <w:t xml:space="preserve">mediated hypercalcemia can be due to excessive inges tion of vitamin D analogues or abnormal metabolism of the vitamin. Abnormal metabolism of the vitamin is usually acquired in association with a </w:t>
      </w:r>
      <w:r w:rsidRPr="00A6019F">
        <w:lastRenderedPageBreak/>
        <w:t xml:space="preserve">widespread granulomatous disorder. Vitamin D metabolism is carefully regulated, particularly the activity of renal 1α-hydroxylase, the enzyme responsible for the production of 1,25(OH)2 D (Chap. 421). The regulation of 1α-hydroxylase in sites other than the renal tubule differs and lacks the negative feedback regulations; these phenomena may explain the occurrence of hypercalcemia secondary to excessive 1,25(OH)2 D production in patients with sarcoidosis or lymphoma. Vitamin D Intoxication Chronic ingestion of &gt;10 times the normal physiologic requirement of vitamin D (amounts &gt;10,000 U/d) is usually required to produce significant hypercalcemia in otherwise healthy individuals. The stated upper limit of safe dietary intake is 2000 U/d (50 μg/d) in adults because of concerns about potential toxic effects of cumulative supraphysiologic doses. These recommendations are now regarded as too restrictive, since some estimates are that, in elderly individuals in northern latitudes, ≥2000 U/d may be necessary to avoid vitamin D insufficiency. Hypercalcemia in vitamin D intoxication is due to an excessive bio logic action of the vitamin, perhaps the consequence of increased levels of 25(OH)D rather than merely increased levels of the active metabo lite 1,25(OH)2 D (the latter may not be frankly elevated in vitamin D intoxication). These actions lead to both increased intestinal absorp tion of calcium and increased release of calcium from bone. 25(OH) D has definite, if low, biologic activity in the intestine and bone. The production of 25(OH)D is less tightly regulated than is the production of 1,25(OH)2 D. Hence, concentrations of 25(OH)D can be elevated severalfold in patients with excess vitamin D intake. The diagnosis is substantiated by documenting elevated levels of 25(OH)D &gt;100 ng/mL. Hypercalcemia is usually controlled by restric tion of dietary calcium intake and appropriate attention to hydration. These measures, plus discontinuation of vitamin D, usually lead to resolution of hypercalcemia. However, because of the increased bone resorption caused by high levels of vitamin D, simple cessation of cal cium intake is often insufficient therapy. Further, 25(OH)D stores in fat may be substantial, and vitamin D intoxication may persist for weeks after vitamin D ingestion is terminated. Such patients are responsive to glucocorticoids, which in doses of 40–100 mg/d of prednisone or its equivalent, usually return serum calcium levels to normal over several days; severe intoxication may require intensive therapy. Sarcoidosis and Other Granulomatous Diseases In patients with sarcoidosis and other granulomatous diseases, such as tuberculo sis and fungal infections, excess 1,25(OH)2 D is synthesized in macro phages or other cells in the granulomas. Indeed, increased 1,25(OH)2 D levels have been reported in anephric patients with sarcoidosis and hypercalcemia. Macrophages obtained from granulomatous tissue convert 25(OH)D to 1,25(OH)2 D at an increased rate. There is a posi tive correlation in patients with sarcoidosis between 25(OH)D levels (reflecting vitamin D intake) and the circulating concentrations of 1,25(OH)2 D, whereas normally, there is no increase in 1,25(OH)2 D with increasing 25(OH)D levels due to multiple feedback controls on renal 1α-hydroxylase (Chap. 421). The usual regulation of active metabolite production by calcium and phosphate or by PTH does not operate in these </w:t>
      </w:r>
      <w:r w:rsidRPr="00A6019F">
        <w:lastRenderedPageBreak/>
        <w:t xml:space="preserve">patients. Instead, macrophages increase their produc tion of the vitamin D receptor and of the 1α-hydroxylase in response to tumor necrosis factor and other inflammatory stimuli. PTH levels are usually low and 1,25(OH)2 D levels are elevated, but primary hyper parathyroidism and sarcoidosis may coexist in some patients. Management of the hypercalcemia can often be accomplished by avoiding excessive sunlight exposure and limiting vitamin D and cal cium intake. Presumably, however, the abnormal sensitivity to vitamin D and abnormal regulation of 1,25(OH)2 D synthesis will persist as long as the disease is active. Alternatively, glucocorticoids in the equivalent of 100 mg/d of hydrocortisone or equivalent doses of glucocorticoids may help control hypercalcemia. Glucocorticoids appear to act by blocking excessive production of 1,25(OH)2 D, as well as the response to it in target organs. CHAPTER 422 Disorders of the Parathyroid Gland and Calcium Homeostasis Hypercalcemia of Infancy Several variants of this rare abnor mality of calcium homeostasis are now known. For example, Williams’ syndrome is an autosomal dominant disorder characterized by multiple congenital development defects, including supravalvular aortic steno sis, intellectual disability, and an elfin facies, in association with hyper calcemia due to abnormal sensitivity to vitamin D. The hypercalcemia associated with the syndrome was first recognized in England, where it was thought, incorrectly, to be caused by the fortification of milk with vitamin D. The cardiac and developmental abnormalities were independently described, but the connection between these defects and hypercalcemia was not described until later. Levels of 1,25(OH)2 D can be elevated, ranging from 46 to 120 nmol/L (150–500 pg/mL). The mechanism of the abnormal sensitivity to vitamin D and of the increased circulating levels of 1,25(OH)2 D is still unclear. Studies suggest that genetic mutations involving microdeletions at the elastin locus and perhaps other genes on chromosome 7 may play a role in the pathogenesis. Another genetic cause of hypercalcemia that starts in infancy is 24-hydroxylase deficiency that impairs catabolism of 1,25(OH)2 D caused by biallelic inactivating mutations in CYP24A1. Another rare cause of hypercalcemia involves mutation in the renal sodium dependent phosphate transporters that lead to increased production of 1,25(OH)2 D leading to hypercalcemia (NPT2a mutations lead to more severe hypercalcemia than NPT2c mutations). </w:t>
      </w:r>
      <w:r w:rsidRPr="00A6019F">
        <w:rPr>
          <w:rFonts w:ascii="Arial" w:hAnsi="Arial" w:cs="Arial"/>
        </w:rPr>
        <w:t>■</w:t>
      </w:r>
      <w:r w:rsidRPr="00A6019F">
        <w:t xml:space="preserve">HIGH-BONE-TURNOVER STATES Hyperthyroidism As many as 20% of hyperthyroid patients have high-normal or mildly elevated serum calcium concentrations; 3282 hypercalciuria is even more common. The hypercalcemia is due to increased bone turnover, with bone resorption exceeding bone forma tion. Usually, the diagnosis is obvious, but signs of hyperthyroidism may occasionally be occult, particularly in the elderly (Chap. 396). Hypercalcemia is managed by treatment of the hyperthyroidism. PART 12 Endocrinology and Metabolism Immobilization Immobilization is a rare cause of hypercalcemia in adults in the absence of an associated disease but may cause hyper calcemia in children and adolescents, particularly after spinal cord injury and paraplegia or quadriplegia. With resumption of ambulation, the hypercalcemia in children usually returns to normal. The mechanism appears to involve a disproportion between bone </w:t>
      </w:r>
      <w:r w:rsidRPr="00A6019F">
        <w:lastRenderedPageBreak/>
        <w:t xml:space="preserve">formation and bone resorption; the former decreased and the latter increased. Hypercalciuria and increased mobilization of skeletal cal cium can develop in normal volunteers subjected to extensive bed rest, although hypercalcemia is unusual. Immobilization of an adult with a disease associated with high bone turnover, however, such as Paget’s disease, may cause hypercalcemia. Thiazides Administration of thiazides can cause hypercalcemia in patients with high rates of bone turnover. Commonly, thiazides are associated with aggravation of hypercalcemia in primary hyperparathy roidism, but this effect can be seen in other high-bone-turnover states as well. The mechanism of thiazide action is complex. Chronic thiazide administration leads to reduction in urinary calcium; the hypocalciuric effect appears to reflect the enhancement of proximal tubular resorp tion of sodium and calcium in response to sodium depletion. Some of this renal effect is due to augmentation of PTH action and is more pronounced in individuals with intact PTH secretion. However, thia zides cause hypocalciuria in hypoparathyroid patients if sodium intake is restricted. This finding is the rationale for the use of thiazides as an adjunct to therapy in hypoparathyroid patients, as discussed below. Thi azide administration to normal individuals causes a transient increase in blood calcium (usually within the high-normal range) that reverts to preexisting levels after a week or more of continued administration. If hormonal function and calcium and bone metabolism are normal, homeostatic controls are reset to counteract the mild calcium-elevating effect of the thiazides. In the presence of hyperparathyroidism or increased bone turnover from another cause, homeostatic mechanisms are ineffective. The abnormal effects of the thiazide on calcium metabo lism disappear within days of cessation of the drug. Vitamin A Intoxication Vitamin A intoxication is a rare cause of hypercalcemia and is most commonly a side effect of dietary faddism (Chap. 344). Calcium levels can be elevated into the 3- to 3.5-mmol/L (12–14 mg/dL) range after the ingestion of 50,000–100,000 units of vitamin A daily (10–20 times the minimum daily requirement). Typi cal features of severe hypercalcemia include fatigue, anorexia, and, in some, severe muscle and bone pain. Excess vitamin A intake is pre sumed to increase bone resorption. The diagnosis can be established by history and by measurement of vitamin A levels in serum. Diagnostic challenges may arise in CKD where mildly elevated vitamin A levels are often seen with no asso ciation to hypercalcemia. Occasionally, skeletal x-rays reveal periosteal calcifications, particularly in the hands. Withdrawal of the vitamin is usually associated with prompt disappearance of the hypercalcemia and reversal of the skeletal changes. As in vitamin D intoxication, administration of 100 mg/d hydrocortisone or its equivalent leads to a rapid return of the serum calcium to normal. </w:t>
      </w:r>
      <w:r w:rsidRPr="00A6019F">
        <w:rPr>
          <w:rFonts w:ascii="Arial" w:hAnsi="Arial" w:cs="Arial"/>
        </w:rPr>
        <w:t>■</w:t>
      </w:r>
      <w:r w:rsidRPr="00A6019F">
        <w:t xml:space="preserve">HYPERCALCEMIA ASSOCIATED WITH CHRONIC KIDNEY DISEASE The pathogenesis of secondary hyperparathyroidism in CKD is mul tifactorial and includes resistance to PTH and an increase in FGF23, which, in turn, inhibits the renal 1α-hydroxylase, thus reducing 1,25(OH)2 D levels and leading to further increases of PTH. Occasional patients develop severe manifestations of secondary hyperparathyroidism, including hypercalcemia, pruritus, extraskeletal </w:t>
      </w:r>
      <w:r w:rsidRPr="00A6019F">
        <w:lastRenderedPageBreak/>
        <w:t xml:space="preserve">calcifications, and painful bones, despite aggressive medical efforts to suppress the hyperparathyroidism. It is now recognized that a true clonal outgrowth (irreversible) can arise in long-standing, inad equately treated CKD. PTH hypersecretion no longer responsive to medical therapy, a state of severe hyperparathyroidism in patients with CKD that requires surgery, has been referred to as tertiary hyperparathyroidism. TREATMENT Hypercalcemia in Tertiary Hyperparathyroidism Medical therapy to reverse secondary hyperparathyroidism in CKD includes reduction of excessive blood phosphate by restriction of dietary phosphate, the use of nonabsorbable phosphate binders, and careful, selective addition of calcitriol (0.25–2 μg/d) or related analogues. Calcium carbonate became preferred over aluminum containing antacids to prevent aluminum-induced bone disease. However, synthetic gels that also bind phosphate (such as sevelamer; Chap. 322) are now widely used, with the advantage of avoiding not only aluminum retention but also excess calcium loading, which may contribute to cardiovascular calcifications. Intravenous cal citriol (or related analogues), administered as several pulses each week, helps control secondary hyperparathyroidism. Aggressive but carefully administered medical therapy can often, but not always, reverse hyperparathyroidism and its symptoms and manifestations. Parathyroid surgery is necessary to control tertiary hyperpara thyroidism. Based on genetic evidence from examination of tumor samples in these patients, the emergence of autonomous parathy roid function is due to a monoclonal outgrowth of one or more previously hyperplastic parathyroid glands. The adaptive response has become an independent contributor to disease; this finding seems to emphasize the importance of optimal medical manage ment to reduce the proliferative response of the parathyroid cells that enables the irreversible genetic change. </w:t>
      </w:r>
      <w:r w:rsidRPr="00A6019F">
        <w:rPr>
          <w:rFonts w:ascii="Arial" w:hAnsi="Arial" w:cs="Arial"/>
        </w:rPr>
        <w:t>■</w:t>
      </w:r>
      <w:r w:rsidRPr="00A6019F">
        <w:t xml:space="preserve">OTHER CAUSES OF HYPERCALCEMIA Aluminum Intoxication Aluminum intoxication (and often hypercalcemia as a complication of medical treatment) in the past occurred in patients on chronic dialysis; manifestations included acute dementia and unresponsive and severe osteomalacia. Bone pain, multiple nonhealing fractures, particularly of the ribs and pelvis, and a proximal myopathy occur. Hypercalcemia develops when these patients are treated with vitamin D or calcitriol because of impaired skeletal responsiveness. Aluminum is present at the site of osteoid min eralization, osteoblastic activity is minimal, and calcium incorporation into the skeleton is impaired. The disorder is now rare because of the avoidance of aluminum-containing antacids or aluminum excess in the dialysis regimen. Milk-Alkali Syndrome The milk-alkali syndrome is due to exces sive ingestion of calcium and absorbable antacids such as milk or cal cium carbonate. It is much less frequent since proton pump inhibitors and other treatments became available for peptic ulcer disease. For a time, the increased use of calcium carbonate in the management of secondary hyperparathyroidism led to reappearance of the syndrome. Several clinical presentations—acute, subacute, and chronic—have been described, all of which feature hypercalcemia, alkalosis, and renal failure. The chronic form of the disease, termed Burnett’s syndrome, is associated with </w:t>
      </w:r>
      <w:r w:rsidRPr="00A6019F">
        <w:lastRenderedPageBreak/>
        <w:t xml:space="preserve">irreversible renal damage. The acute syndromes reverse if the excess calcium and absorbable alkali are stopped. Individual susceptibility is important in the pathogenesis, as some patients are treated with calcium carbonate and alkali regimens with out developing the syndrome. One variable is the fractional calcium absorption as a function of calcium intake. Some individuals absorb a high fraction of calcium, even with intakes ≥2 g of elemental calcium per day, instead of reducing calcium absorption with high intake, as occurs in most normal individuals. Resultant mild hypercalcemia after meals in such patients is postulated to contribute to the generation of alkalosis. Development of hypercalcemia causes increased sodium excretion and some depletion of total-body water. These phenomena 3283 and perhaps some suppression of endogenous PTH secretion due to mild hypercalcemia lead to increased bicarbonate resorption and to alkalosis in the face of continued calcium carbonate ingestion. Alkalo sis per se selectively enhances calcium resorption in the distal nephron, thus aggravating the hypercalcemia. The cycle of mild hypercalcemia → bicarbonate retention → alkalosis → renal calcium retention → severe hypercalcemia perpetuates and aggravates hypercalcemia and alkalosis as long as calcium and absorbable alkali are ingested. </w:t>
      </w:r>
      <w:r w:rsidRPr="00A6019F">
        <w:rPr>
          <w:rFonts w:ascii="Arial" w:hAnsi="Arial" w:cs="Arial"/>
        </w:rPr>
        <w:t>■</w:t>
      </w:r>
      <w:r w:rsidRPr="00A6019F">
        <w:t xml:space="preserve">DIFFERENTIAL DIAGNOSIS OF HYPERCALCEMIA Differential diagnosis of hypercalcemia is best achieved by using clinical criteria, but immunometric assays to measure PTH are especially useful in distinguishing among major causes (Fig. 422-6). The clinical features that deserve emphasis are the presence or absence of symptoms or signs of disease and evidence of chronicity. If one discounts fatigue or depression, &gt;90% of patients with primary hyperparathyroidism have asymptomatic hypercalcemia; symptoms of malignancy are usually present in cancer-associated hypercalcemia. Disorders other than hyperparathyroidism and malignancy cause 1 year, malignancy as the underlying cause is very unlikely. A striking feature of malignancy-associated hypercalcemia is the rapidity of the course, whereby signs and symptoms of the underlying malignancy are evident within months of the detection of hypercalcemia. Although clinical considerations are helpful in arriving at the correct diagnosis of the cause of hypercalcemia, appropriate laboratory testing is essential for definitive diagnosis. The immunoassay for PTH usually separates primary hyperparathyroidism from all other causes of hypercalce mia (exceptions are very rare reports of ectopic production of excess PTH by nonparathyroid tumors). Patients with hyperparathyroidism have elevated (or nonsuppressed) PTH levels despite hypercalcemia, whereas patients with malignancy and the other causes of hyper calcemia (except for disorders mediated by PTH such as lithium induced hypercalcemia) have very low or undetectable levels. Intact PTH assays, based on the double-antibody method for PTH, exhibit very high sensitivity (especially if serum calcium is simultaneously Hypercalcemia evaluated) and specificity for the diagnosis of primary hyperparathy roidism (Fig. 422-4). In summary, PTH values are elevated in &gt;90% of parathyroid-related causes of hypercalcemia, undetectable or low in malignancy-related, vitamin D–related and high-bone-turnover causes of hypercalcemia. In view of the specificity of the PTH </w:t>
      </w:r>
      <w:r w:rsidRPr="00A6019F">
        <w:lastRenderedPageBreak/>
        <w:t xml:space="preserve">immunoassay and the high frequency of hyperparathyroidism in hypercalcemic patients, it is cost-effective to measure the PTH level in all hypercalcemic patients unless malignancy or a specific nonparathyroid disease is obvious. False-positive PTH assay results are rare but can be due to heterotopic antibodies. Immunoassays for PTHrP are helpful in diagnosing cer tain types of malignancy-associated hypercalcemia. Although FHH is parathyroid-related, the disease should be managed distinctively from primary hyperparathyroidism. Clinical features, family history, and the low urinary calcium excretion can help make the distinction, and genetic testing confirms the diagnosis. Because the incidence of malignancy and hyperparathyroidism both increase with age, they can coexist as two independent causes of hypercalcemia. 1,25(OH)2 D levels are in the upper range of normal or frankly ele vated in many (but not all) patients with primary hyperparathyroidism. In other disorders associated with hypercalcemia, concentrations of 1,25(OH)2 D are low or, at the most, normal. However, this test is of low specificity and is not cost-effective, as not all patients with hyperpara thyroidism have elevated 1,25(OH)2 D levels and not all nonparathyroid hypercalcemic patients have suppressed 1,25(OH)2 D. Measurement of 1,25(OH)2 D is, however, critically valuable in establishing the cause of hypercalcemia in sarcoidosis and certain lymphomas. A useful general approach is outlined in Fig. 422-6. If the patient is asymptomatic and there is evidence of chronicity to the hypercalcemia, hyperparathyroidism is likely the cause and FHH needs to be excluded. If PTH levels (usually measured at least twice) are elevated, the clinical impression is confirmed, and little additional diagnostic evaluation is necessary. If there is only a short history or no data as to the duration of the hypercalcemia, occult malignancy must be considered; if the PTH levels are suppressed then a thorough workup must be undertaken for malignancy, which may include chest x-ray, CT of chest and abdomen, and bone scan. Immunoassays for PTHrP may be especially useful in such situations. Attention should also be paid to clues for underlying hematologic disorders such as anemia, increased plasma globulin, and abnormal serum immunoelectrophoresis; bone scans can be negative CHAPTER 422 Disorders of the Parathyroid Gland and Calcium Homeostasis Key historical considerations • Confirm if ↑Ca2+ chronic • Clues from history and physical findings Acute (or unknown) duration PTH high 1˚ Hyperpara thyroidism Consider MEN syndromes PTH low Consider malignancy PTHrP assay Clinical evaluation Screen Chronic duration (months) PTH low negative Other causes Granulomatous disease FHH Milk-alkali syndrome Medications (lithium, thiazides) Immobilization Vit D or Vit A intoxication Adrenal insufficiency Hyperthyroidism PTH high Hyperpara thyroidism or MEN syndromes (consider FHH) FIGURE 422-6 Algorithm for the evaluation of patients with hypercalcemia. PTH levels (high or low) should be interpreted in the context of serum calcium levels, as they may be inappropriately high or low for the level of serum calcium. See text for details. FHH, familial hypocalciuric hypercalcemia; MEN, multiple endocrine neoplasia; PTH, parathyroid hormone; PTHrP, parathyroid hormone–related peptide; Vit, vitamin. 3284 PART 12 Endocrinology and </w:t>
      </w:r>
      <w:r w:rsidRPr="00A6019F">
        <w:lastRenderedPageBreak/>
        <w:t xml:space="preserve">Metabolism in some patients with metastases such as in multiple myeloma. Finally, if a patient with chronic hypercalcemia is asymptomatic and malig nancy therefore seems unlikely on clinical grounds, but PTH values are not elevated, it is useful to search for other chronic causes of hypercalcemia such as occult sarcoidosis. A careful history of dietary supplements and drug use may suggest intoxication with vitamin D or vitamin A or the use of thiazides. TREATMENT General Approach to Hypercalcemic States The approach to medical treatment of hypercalcemia varies with its severity. Mild hypercalcemia, 3 weeks Same as for pamidronate (lasts longer) Same as pamidronate above Denosumab 1–2 days &gt;3 weeks Strongest antiresorptive Occasional severe hypocalcemia, rarely jaw necrosis, skin infections Special Use Therapies   Calcitonin Hours 1–2 days Rapid onset of action; useful as adjunct in severe hypercalcemia Rapid tachyphylaxis Phosphate oral 24 h During use Chronic management (with hypophosphatemia); low toxicity if P 10 million individuals in the United States, but only a minority are currently diagnosed and treated. DEFINITION Osteoporosis is defined as a reduction in the strength of bone that leads to skeletal fragility and fractures. Despite bone mineral density being used to define osteoporosis, other important factors such as micro architectural deterioration and misalignment of bone components also contribute. Thus, relying solely on the measure of bone mineral density may underestimate bone fragility. The World Health Organiza tion (WHO) operationally defined osteoporosis as a bone density that falls 2.5 standard deviations (SDs) or more below the mean for young healthy adults (age 30 years) of the same sex and race—also referred to as a T-score of –2.5. Postmenopausal women in the lower end of the young normal range (a T-score 50% of fractures among postmenopausal women, including hip fractures, occur in individu als with osteopenia because the size of that population is much larger than the group defined as having osteoporosis by bone density T-score. This has led to a greater emphasis on absolute fracture risk, incorpo rating age, sex, and other major clinical risk factors with or without bone mineral density (BMD) to calculate the 10-year risk of hip or major osteoporotic fractures. The calculation of absolute fracture risk with tools such as FRAX® or the Garvan Fracture Risk Calculator has allowed the development of intervention thresholds for osteoporosis treatment that may be country specific and may differ from diagnostic thresholds (e.g., T-score 1,000,000 vertebral fractures may occur annually since only one-third are recognized clinically. The vast majority are clinically “silent” vertebral fractures identified incidentally during spinal radiography (Fig. 423-2) or may be suggested by significant height loss (&gt;4 cm). However, even asymptomatic vertebral fractures are a major sign of skeletal fragility and increase the risk for subse quent fracture. Vertebral fractures, like other fragility fractures, are also associated with long-term morbidity and an increase in mortality. The occurrence of the first fracture greatly increases the risk of further fractures, especially in the first year. The consequence is height loss, FIGURE 423-2 Lateral spine x-ray showing severe osteopenia and a severe wedge type deformity (severe anterior compression). Aging Hip Vertebrae Menopause Increased bone loss </w:t>
      </w:r>
      <w:r w:rsidRPr="00A6019F">
        <w:lastRenderedPageBreak/>
        <w:t xml:space="preserve">Propensity to fall Other risk factors Low bone density Fractures FIGURE 423-3 Factors leading to osteoporotic fractures. Colles’ 35–39 ≥85 Age group, year Low peak bone mass Poor bone quality kyphosis, and secondary pain and discomfort related to altered spinal biomechanics. Thoracic fractures can be associated with restrictive lung disease, whereas lumbar fractures are associated with abdominal symptoms including distention, early satiety, and constipation. Approximately 400,000 wrist fractures occur in the United States each year. Fractures of other bones (including ~150,000 pelvic frac tures and &gt;100,000 proximal humerus fractures) also occur due to osteoporosis. The threshold for fracture is reduced in osteoporotic bone (Fig. 423-3) due to increased skeletal fragility. Traumatic frac tures are also increased in patients at risk of osteoporosis. Fewer than 20% of patients with a fracture are currently either investigated for osteoporosis or started on treatment within 6 months. A number of clinical risk factors for fracture exist; the common ones are sum marized in Table 423-1. Prior fragility fractures, a family history of hip fracture, low body mass index, cigarette smoking, and exces sive alcohol consumption are all independent predictors. Chronic inflammatory diseases, such as rheumatoid arthritis, increase the risk of osteoporosis, as do diseases associated with malabsorption (e.g., celiac disease) and male hypogonadism. Chronic diseases that increase the risk of falling or frailty, including dementia, Parkinson’s disease, and multiple sclerosis, also increase fracture risk (Table 423-1). Many other risk factors for osteoporosis have been described including glucocorticoids, aromatase inhibitors, androgen deprivation therapy, air pollution, triclosan, bariatric surgery, diabetes mellitus, cerebrovascular accidents, dementia (including Alzheimer’s), the death of a spouse, depression and its treatment with selective serotonin reup take inhibitors (SSRIs), and proton pump inhibitors, to name a few. Increasing frailty with age is a potent risk factor for fracture, as is sensory inattention (e.g., walking while looking at mobile phone). Globally, fragility fractures are more common among women than men, presumably due to a lower peak bone mass as well as rapid post menopausal bone loss in women. However, this sex difference in bone density and hip fracture incidence is not apparent in all countries, pos sibly due to genetics, physical activity levels, or diet. Fragility fractures increase the risk for future fractures (Table 423-1). Vertebral fractures increase the risk of other vertebral fractures as well TABLE 423-1 Risk Factors for Osteoporosis Fracture NONMODIFIABLE Personal history of fracture as an adult History of fracture in first-degree relative Female gender Advanced age White race Dementia POTENTIALLY MODIFIABLE Current cigarette smoking Estrogen deficiency Early menopause (1 year) Poor nutrition especially low calcium and vitamin D intake Alcoholism Impaired eyesight despite adequate correction Recurrent falls Inadequate physical activity Poor health/frailty 3293 as fractures of the peripheral skeleton such as the hip and wrist. Wrist fractures also increase the risk of vertebral and hip fractures. Among individuals aged &gt;50 years, any fracture (except those of the fingers, toes, face, and skull) should be considered as fragility fractures. Any fracture in a woman aged &gt;50 years or a man aged &gt;60 years </w:t>
      </w:r>
      <w:r w:rsidRPr="00A6019F">
        <w:lastRenderedPageBreak/>
        <w:t xml:space="preserve">should trigger investigations for osteoporosis. However, this does not occur in the majority as postfracture care is fragmented. Recent attempts to coordinate care using fracture liaison services to guide patients with fragility fractures through health care systems and ensure their investigation and initiate treatment for osteoporosis have been shown to improve outcomes but may be difficult to implement in countries without single-payor systems or closed health care systems. The risk for future fracture after a first fracture is exponentially increased in the first 12–24 months, leading to the concept of immi nent fracture risk. A recent large Medicare database study indicated that almost 20% of women will have a second fracture within 2 years after the first. Risk diminishes to less than half of that rate in the sub sequent 3 years but remains persistently elevated after a vertebral or hip fracture. PATHOPHYSIOLOGY </w:t>
      </w:r>
      <w:r w:rsidRPr="00A6019F">
        <w:rPr>
          <w:rFonts w:ascii="Arial" w:hAnsi="Arial" w:cs="Arial"/>
        </w:rPr>
        <w:t>■</w:t>
      </w:r>
      <w:r w:rsidRPr="00A6019F">
        <w:t xml:space="preserve">BONE REMODELING A low peak bone mass may underlie the development of osteoporo sis due to hormonal, genetic, or nutritional influences. Age-related changes in bone remodeling as well as extrinsic and intrinsic factors may then be superimposed. Consequently, an appreciation of bone remodeling is fundamental to developing an understanding of both the pathophysiology of bone loss (Chap. 421) and mechanisms of phar macologic intervention. During growth, the skeleton increases in size by linear growth and by apposition of new bone tissue on the cortical periosteum (Fig. 423-4). The latter process is called modeling, a process that also allows the long bones to adapt in shape to the stresses placed on them. Increased sex hormone production at puberty is required for skeletal maturation, with peak bone mass being achieved by early adulthood. Recent data suggest delayed puberty may be associated with low bone peak mass that persists into adulthood in both sexes. Sexual dimorphism in skeletal size occurs after puberty with larger bones in males, although true bone mineral density remains similar in both sexes. Nutrition and exercise also play an important role in growth, although genetic factors primarily determine peak bone mass. Numerous genes control skeletal growth, peak bone mass, and body size, as well as skeletal structure and density. Heritability estimates of 50–80% for bone mineral density and size have been derived from twin studies. Though peak bone mass is often lower among individuals with a family history of osteoporosis, association studies of candidate genes (vitamin D receptors; type I collagen, estrogen receptors [ERs], and interleukin 6 [IL-6]; and insulin-like growth factor I [IGF-I]) and bone mass, bone turnover, and fracture prevalence have been inconsistent. There is no panel of genetic markers that can be used to diagnose osteo porosis. Linkage studies suggest that a genetic locus on chromosome 11 is associated with high bone mass. Families with high bone mass and lacking age-related bone loss have been shown to have an activating mutation in LRP5, low-density lipoprotein receptor–related protein 5. Conversely, an inactivating mutation results in osteoporosis-pseudogli oma syndrome, and LRP5 signaling is important in controlling bone for mation. Genome-wide scans for low bone mass suggest multiple genes are involved, many of which are also implicated in control of body size. In adults, bone remodeling, not modeling, is the principal metabolic skeletal process. Bone </w:t>
      </w:r>
      <w:r w:rsidRPr="00A6019F">
        <w:lastRenderedPageBreak/>
        <w:t xml:space="preserve">remodeling has two critical functions: (1) to repair bone microdamage to maintain skeletal strength and (2) to supply calcium from the skeleton when required to maintain serum calcium. Remodeling may be activated by bone microdamage due to excessive or accumulated mechanical stress. Acute demands for calcium involve osteoclast-mediated resorption as well as calcium transport by osteocytes. Chronic demands for calcium can result in secondary hyperparathyroidism, increased bone remodeling, and bone loss. Bone remodeling occurs through the well-coordinated activity of osteocytes, osteoblasts, and osteoclasts. Osteocytes are the terminal-differentiated Preosteoclast BMU A B C D E F Preosteoblast Osteoclast Osteoblasts Osteoid FIGURE 423-4 Mechanism of bone remodeling. The basic molecular unit (BMU) moves along the trabecular surface at a rate of ~10 μm/d. The figure depicts remodeling over ~120 days. A. Origination of BMU-lining cells contracts to expose collagen and attract preosteoclasts. B. Osteoclasts fuse into multinucleated cells that resorb a cavity. Mononuclear cells continue resorption, and preosteoblasts are stimulated to proliferate. C. Osteoblasts align at bottom of cavity and start forming osteoid (black). D. Osteoblasts continue formation and mineralization. Previous osteoid starts to mineralize (horizontal lines). E. Osteoblasts begin to flatten. F. Osteoblasts turn into lining cells; bone remodeling at initial surface (left of drawing) is now complete, but BMU is still advancing (to the right). (Reproduced with permission from SM Ott, in JP Bilezikian, LG Raisz, GA Rodan: Principles of Bone Biology, vol. 18. San Diego, CA: Academic Press; 1996.) cells derived from osteoblasts after incorporation into newly formed bone tissue. Osteoblasts derive from mesenchymal cell lineage and osteoclasts from monocyte/macrophage lineage. Remodeling sites are discrete units with osteoclasts initiating the process by removal of dam aged bone tissue and osteoblasts synthesizing new organic bone that becomes gradually mineralized. Bone remodeling is regulated by multiple hormones, including estrogens (in both sexes), androgens, vitamin D, and parathyroid hor mone (PTH), as well as locally produced bone-derived growth factors, such as IGF-I, transforming growth factor β (TGF-β), PTH-related peptide (PTHrP), interleukins (ILs), prostaglandins, and members of the tumor necrosis factor (TNF) superfamily. These factors primar ily modulate the rate at which new remodeling sites are activated, a process that results initially in bone resorption by osteoclasts, followed by a period of repair during which new bone tissue is synthesized by osteoblasts (Chap. 421). The cytokine responsible for communication CHAPTER 423 Osteoporosis 3294 CFU-GM OPG RANKL RANK PART 12 Endocrinology and Metabolism Activated dendritic cells T Activated T lymphocytes Activated synovial fibroblasts Preosteoclast Multinucleated osteoclast M-CSF M-CSF T Osteoblasts or bone marrow stromal cells Proresorptive and calciotropic factors Bone Activated osteoclast 1,25(OH)2 vitamin D3. PTH, PTHrP, PGE2, IL-1, IL-6, TNF, prolactin, corticosteroids, oncostatin M, LIF A Apoptotic osteoclast Anabolic or anti resorptive factors B Estrogens, calcitonin, BMP 2/4, TGF-β, TPO, IL-17, PDGF, calcium FIGURE 423-5 Hormonal control of bone resorption. A. Proresorptive and calciotropic factors. B. Anabolic and </w:t>
      </w:r>
      <w:r w:rsidRPr="00A6019F">
        <w:lastRenderedPageBreak/>
        <w:t xml:space="preserve">antiosteoclastic factors. RANKL expression is induced in osteoblasts, activated T cells, synovial fibroblasts, and bone marrow stromal cells. It binds to membrane-bound receptor RANK to promote osteoclast differentiation, activation, and survival. Conversely, osteoprotegerin (OPG) expression is induced by factors that block bone catabolism and promote anabolic effects. OPG binds and neutralizes RANKL, leading to a block in osteoclastogenesis and decreased survival of preexisting osteoclasts. CFU-GM, colony-forming units, granulocyte macrophage; IL, interleukin; LIF, leukemia inhibitory factor; M-CSF, macrophage colony-stimulating factor; OPG-L, osteoprotegerin ligand; PDGF, platelet-derived growth factor; PGE2 , prostaglandin E2 ; PTH, parathyroid hormone; RANKL, receptor activator of nuclear factor-κB; TGF-β, transforming growth factor β; TNF, tumor necrosis factor; TPO, thrombospondin. (Reproduced with permission from WJ Boyle et al: Osteoclast differentiation and activation. Nature 423:337, 2003.) between the osteoblasts, other marrow cells, and osteoclasts is recep tor activator of nuclear factor-κB (RANK) ligand (RANKL). RANKL, a member of the TNF family, is secreted by osteocytes, osteoblasts, and certain immune cells. The osteoclast receptor for this protein is referred to as RANK. Activation of RANK by RANKL is a final common path in osteoclast development and activation. A humoral decoy for RANKL, also secreted by osteoblasts, is referred to as osteoprotegerin (Fig. 423-5). Modulation of osteoclast recruitment and activity appears to be related to the interplay among these three factors (RANKL, RANK, and osteoprotegerin). Additional influences include nutrition (particularly calcium intake) and physical activity level. RANKL production is in part regulated by the canonical Wnt signaling pathway. Wnt activation through mechanical loading or by hormonal or cytokine factors stimulates bone formation by increasing formation and activity of osteoblasts and decreases RANKL secretion, which inhibits osteoclast formation and activity. Sclerostin, also an osteocyte protein, is a major inhibitor of Wnt activation and bone formation. Its secretion is inhibited by weight-bearing physical activity and PTH. Both the RANKL and Wnt pathways have become major targets for osteoporosis treatment (see below). In young adults, bone remodeling is balanced with resorbed bone being replaced by an equal amount of new bone. Thus, the mass of the skeleton remains constant after peak bone mass is achieved. However, after age 30–45 years, bone resorption exceeds formation, resulting in bone loss. This imbalance may begin at different ages, varies at differ ent skeletal sites, and becomes exaggerated in women due to estrogen deficiency. Bone loss can be due to an increase in osteoclastic activity and/or a decrease in osteoblastic activity. In addition, an increase in remodeling activation frequency, and thus the number of remodeling sites, can magnify small imbalances seen at the individual remodeling unit. Increased bone remodeling can result in permanent bone loss and disrupted skeletal microarchitecture, with an imbalance between resorption and formation within each cycle. In trabecular bone, if the osteoclasts penetrate trabeculae, rapid bone loss ensues and cancel lous connectivity is reduced. A higher number of remodeling sites increases the likelihood of this event. In cortical bone, </w:t>
      </w:r>
      <w:r w:rsidRPr="00A6019F">
        <w:lastRenderedPageBreak/>
        <w:t xml:space="preserve">increased activation of bone remodeling creates more porous bone. The effect of this increased cortical porosity on cortical bone strength may be modest if the overall diameter of the bone is not changed. However, decreased apposition of new bone on the periosteal surface coupled with increased endocortical resorption of bone decreases the biome chanical strength of long bones. Even a slight exaggeration in normal bone loss increases the risk of osteoporosis-related fractures because of microarchitectural changes, and osteoporosis is largely a disease of dis ordered skeletal microarchitecture. Currently the predominant clinical tool (dual-energy x-ray absorptiometry [DXA]) measures bone mass rather than bone microarchitecture. Several additional tools are avail able to estimate bone microarchitecture (including the trabecular bone score [TBS], a noninvasive addition to spinal DXA measurements, and high-resolution peripheral quantitative computerized tomography [HR-pQCT], which has limited availability). </w:t>
      </w:r>
      <w:r w:rsidRPr="00A6019F">
        <w:rPr>
          <w:rFonts w:ascii="Arial" w:hAnsi="Arial" w:cs="Arial"/>
        </w:rPr>
        <w:t>■</w:t>
      </w:r>
      <w:r w:rsidRPr="00A6019F">
        <w:t xml:space="preserve">CALCIUM NUTRITION Peak bone mass may be impaired by inadequate dietary calcium intake during growth among other nutritional factors (calories, protein, and other minerals), leading to increased risk of osteoporosis later in life. During the adult phase of life, insufficient calcium intake contributes to secondary hyperparathyroidism and an increase in bone remodel ing rate. PTH stimulates the 1-alpha hydroxylation of vitamin D in the kidney, leading to increased levels of 1,25-dihydroxyvitamin D [1,25(OH)2 D] and enhanced gastrointestinal calcium absorption. PTH also reduces renal calcium loss. Although these are appropriate com pensatory homeostatic responses for improving calcium economy, the long-term effects are detrimental to the skeleton because the increased remodeling rates and the ongoing imbalance between resorption and formation at remodeling sites combine to accelerate bone loss. Total daily calcium intakes 75 nmol/L (30 ng/mL). To achieve this level for most adults requires limited skin exposure to sunlight (estimated to be exposure of face and arms for at least one-half hour each day) or an intake of at least 800–1000 units/d, or even higher in individuals with risk factors (as above), particularly obesity. Vitamin D insufficiency leads to compensatory secondary hyper parathyroidism and is an important risk factor for osteoporosis and fractures. Some studies have shown that &gt;50% of inpatients on a general medical service exhibit biochemical features of vitamin D defi ciency, including increased levels of PTH and alkaline phosphatase and lower levels of ionized calcium. Among those living in northern and southern latitudes, vitamin D levels decline during the winter months without supplementation due to insufficient ultraviolet B radiation. This is associated with seasonal bone loss, reflecting increased bone turnover. Even among healthy ambulatory individuals, mild vitamin D deficiency is increasing in prevalence. In part, this is due to decreased exposure to sunlight. Treatment with vitamin D can return levels to normal (&gt;75 nmol/L [30 ng/mL]) and prevent the associated increase in bone remodeling, bone loss, and fractures. Reduced falls and frac ture rates also have been documented among individuals in northern latitudes who have greater vitamin D intake and have higher 25(OH)D levels (though one study suggested an increased fall risk with 25[OH] D levels &gt;70 ng/mL or </w:t>
      </w:r>
      <w:r w:rsidRPr="00A6019F">
        <w:lastRenderedPageBreak/>
        <w:t xml:space="preserve">&gt;175 nmol/L). Although vitamin D levels are suspected to affect risk and/or severity of other diseases, including can cers (colorectal, prostate, and breast), autoimmune diseases, multiple sclerosis, and cardiovascular disease, most controlled clinical trials have not confirmed these effects. However, vitamin D does prevent progression of prediabetes to diabetes in those with vitamin D defi ciency (25[OH]D levels 50% of fractures occur in individuals with osteopenia (e.g., a T-score between –1.0 and –2.5), it is important to consider absolute fracture risk in addition to BMD. The most com monly used absolute fracture risk assessment tool is FRAX, which includes age, sex, height, weight, fracture history, hip fracture in a parent, glucocorticoid use, rheumatoid arthritis, and other secondary causes, with or without bone density of the femoral neck. The pro gram calculates the estimated risk over a 10-year time frame for major osteoporosis-related fractures (clinical spine, hip, wrist, and proximal humerus) and for hip fracture. Computed tomography (CT) can also be used to measure the spine and hip but is rarely used clinically, in part because the radiation exposure and cost are both much higher than with DXA. HR-pQCT measures cortical and trabecular bone variables in the forearm or tibia and provides information on skeletal microarchitecture noninvasively. Magnetic resonance imaging (MRI) can also be used to obtain some architectural information on the forearm and perhaps the hip but is primarily a research tool. Ultrasound can be used to measure bone mass by calculating the attenuation of the signal as it passes through bone or the speed with which it traverses the bone. Although the ultrasound technique was purported to assess properties of bone other than mass (e.g., quality), this has not been confirmed. Because of its relatively low cost and mobility, ultrasound bone density measurement is amenable for use as a screening tool. All these techniques for measuring BMD have been approved by the U.S. Food and Drug Administration (FDA) based on their capacity to predict fracture risk. The total hip is the preferred site of measure ment, since it allows the best prediction of hip fracture risk. When hip measurements are performed by DXA, the spine is usually measured at the same time. In younger individuals such as perimenopausal or early TABLE 423-4 Indications for Bone Mineral Density Testing • Women aged ≥65 and men aged ≥70; regardless of clinical risk factors • Younger postmenopausal women, women in the menopausal transition, and men aged from 50 to 69 with clinical risk factors for fracture • Adults who have a fracture at or after age 50 T-Score = –2.5 Z-Score = –1 20 30 40 50 Age 60 70 80 90 • Adults with a condition (e.g., rheumatoid arthritis) or taking a medication (e.g., glucocorticoids at a daily dose &gt;5 mg prednisone or equivalent for &gt;3 months associated with low bone mass or bone loss +1 SD 0–1 SD postmenopausal women, spine measurements may be more sensitive. When the spine or hip is not measurable due to severe degenerative spine disease or scoliosis, or prior spine or hip surgery, wrist BMD is often measured. </w:t>
      </w:r>
      <w:r w:rsidRPr="00A6019F">
        <w:rPr>
          <w:rFonts w:ascii="Arial" w:hAnsi="Arial" w:cs="Arial"/>
        </w:rPr>
        <w:t>■</w:t>
      </w:r>
      <w:r w:rsidRPr="00A6019F">
        <w:t xml:space="preserve">INDICATIONS FOR BONE MASS MEASUREMENT Several clinical guidelines have been developed for the use of bone den sitometry in clinical practice (Table 423-4). The National Osteoporosis Foundation (NOF) guidelines recommend bone mass measurements in postmenopausal women who have one or </w:t>
      </w:r>
      <w:r w:rsidRPr="00A6019F">
        <w:lastRenderedPageBreak/>
        <w:t xml:space="preserve">more risk factors for osteo porosis in addition to age, sex, and estrogen deficiency. The guidelines further recommend that bone mass measurement be considered in all women by age 65, a position ratified by the U.S. Preventive Health Services Task Force. In males, the use of bone density determination is not recommended until the age of 70 years in the absence of multiple risk factors or the occurrence of a fragility fracture. The FRAX score incorporates clinical risk factors (age, prior frac ture, family history of hip fracture, low body weight, tobacco use, excessive alcohol use, glucocorticoid use, and rheumatoid arthritis) with or without BMD to assess the 10-year fracture probabilities for major osteoporotic (hip, clinical spine, wrist, or humerus) and hip fractures. Fracture risk probability calculators are available as part of the report from all DXA machines and available online (https://www .sheffield.ac.uk/FRAX/) (Fig. 423-7). In the United States, cost-effective treatment thresholds occur if the 10-year major osteoporotic fracture risk from FRAX is ≥20% and/or the 10-year risk of hip fracture is ≥3%. FRAX is an imperfect tool, as it does not include any assessment of fall risk, and secondary causes are excluded when BMD is entered. It also does not account for glucocorticoid dose or diabetes. Most importantly, it does not increase the absolute fracture risk conferred by a recent fracture versus the lesser risk conferred by a more remote fracture. Moreover, there is no mandate for vertebral fracture diagnosis and no additional fracture probability estimated for patients who have had multiple fragility fractures. Many of these deficiencies are likely to be corrected in the next version of FRAX (FRAX Plus and FRAX 2.0). </w:t>
      </w:r>
      <w:r w:rsidRPr="00A6019F">
        <w:rPr>
          <w:rFonts w:ascii="Arial" w:hAnsi="Arial" w:cs="Arial"/>
        </w:rPr>
        <w:t>■</w:t>
      </w:r>
      <w:r w:rsidRPr="00A6019F">
        <w:t xml:space="preserve">VERTEBRAL IMAGING DXA equipment can also be used to obtain lateral images of the tho racic and lumbar spine, a technique called vertebral fracture assess ment (VFA). While not as definitive as a radiograph, it is an excellent screening tool for vertebral abnormality in both women and men. It is an important assessment as the majority of vertebral fractures are asymptomatic (70%). Furthermore, VFA can detect vertebral abnor malities causing height loss or back pain that may be indicative of an undiagnosed vertebral fracture. Because most vertebral fractures are asymptomatic, the diagnosis of vertebral fracture is rarely made when they first occur. However, ver tebral fractures, whether symptomatic or asymptomatic, are associated with the same clinical sequelae, so it is critical they are identified. Ver tebral fracture prevalence in the United States based on the National Health and Nutrition Evaluation Studies (NHANES) population appears to be 20% in the 1980s, when the strictest criteria for diagnosis are utilized. It is recommended that women aged 65 years or older and men aged 70 years or older undergo vertebral imaging if there is a T-score is ≤–1.5 at the spine, hip, or femoral neck. Vertebral imaging is also recommended for women by the age of 70 years and men by the age of 80 years if a T-score is 300 mg/24 h) during normal calcium intake (excluding calcium supplements for at least a week before the urine collection) is indicative of hypercalciuria. Hypercalciuria occurs primarily in three situations: (1) a renal cal cium leak; more common in males with osteoporosis; (2) absorptive hypercalciuria, which can be idiopathic or associated with increased 1,25(OH)2 D in granulomatous disease; or (3) hematologic malig nancies or conditions associated with </w:t>
      </w:r>
      <w:r w:rsidRPr="00A6019F">
        <w:lastRenderedPageBreak/>
        <w:t xml:space="preserve">excessive bone turnover such as Paget’s disease, hyperparathyroidism, hyperthyroidism, and iron chelation therapy (desferoxamine) for thalassemia. Renal hypercal ciuria is treated with thiazide diuretics, which lower urine calcium and help improve calcium economy. In this setting, thiazides alone can improve bone mass and possibly reduce risk of fracture. They might also reduce renal stone risk. Individuals who have fragility fractures or bone density in the osteoporotic range should have a measurement of serum 25(OH) D level since serum 25(OH)D levels 75 μmol/L [30 ng/mL]). Vitamin D is synthesized from a precursor in the skin under the influence of heat and ultraviolet light (Chap. 421). Production is blocked by sunscreen and sun avoidance. However, large segments of the population do not obtain sufficient vitamin D from either skin production or dietary sources. Since vitamin D supplemen tation at doses that would achieve these serum levels is safe and inexpensive, the National Academy of Medicine recommends daily intakes of 200 IU for adults 70 years (based on obtaining a serum level of 20 ng/mL, lower than the level recommended by most other guidelines). Multivitamin tablets usually contain 400 IU, and many calcium supplements also contain vitamin D. Some data suggest that higher doses (≥1000 IU) may be required, particularly in the obese, elderly, and chronically ill. A daily intake of up to 4000 IU/d is safe. For those with osteoporosis or those at risk, 1000–2000 IU/d can usually maintain serum 25(OH)D above 30 ng/mL. Recent large randomized controlled trials show vitamin D supplementation by itself at doses equivalent to 2000 IU/d does not appear to reduce fracture risk in older individuals with normal baseline vitamin D levels. However, the combination of adequate calcium intake and vitamin D does decrease fracture risk in those with vitamin D deficiency, particularly the institutionalized elderly population. Although low vitamin D levels appear associated with more serious outcomes in response to COVID-19, trials of vitamin D supplementation have been inconsistent and largely negative. Other Nutrients Other nutrients such as salt, high animal protein intakes, and caffeine may have modest effects on calcium excretion or absorption. Adequate vitamin K status is required for optimal carboxylation of osteocalcin. States in which vitamin K nutrition or metabolism is impaired, such as with long-term war farin therapy, have been associated with reduced bone mass. How ever, a recent trial showed no benefit of vitamin K2 on BMD when added to calcium and vitamin D supplementation. Research concerning cola-based soda beverage intake is controversial but suggests a possible link to reduced bone mass through factors that appear independent of caffeine. Magnesium is abundant in foods, and magnesium deficiency is quite rare in the absence of a serious chronic disease. Magnesium supplementation may be warranted in patients with inflammatory bowel disease, celiac disease, chemotherapy, severe diarrhea, mal nutrition, or alcoholism. Dietary phytoestrogens, which are derived primarily from soy products and legumes (e.g., garbanzo beans [chickpeas] and lentils), exert some estrogenic activity but are insuf ficiently potent to justify their use in place of a pharmacologic agent in the treatment of osteoporosis. Patients with hip fractures are </w:t>
      </w:r>
      <w:r w:rsidRPr="00A6019F">
        <w:lastRenderedPageBreak/>
        <w:t>often frail and relatively malnour ished. Some data suggest an improved outcome in such patients when they are provided calorie and protein supplementation. Excessive protein intake can increase renal calcium excretion, but this can be corrected by an adequate calcium intake. Exercise Exercise in young individuals prior to and at the time of puberty increases the likelihood that they will attain the maximal genetically determined peak bone mass. Meta-analyses of studies performed in postmenopausal women indicate that progressive high-intensity resistance training results in small gains in bone mass of 3–4%. However, this beneficial effect wanes if exercise is discon tinued. Most of the studies are relatively short term, and a more substantial effect on bone mass is likely if exercise is continued over a long period. Exercise also has beneficial effects on neuromuscu lar function, and it improves coordination, balance, and strength, CHAPTER 423 Osteoporosis 3302 with agents that inhibit resorption directly leading to a reduction in bone formation like bisphosphonates. PART 12 Endocrinology and Metabolism Antiresorptive Agents •</w:t>
      </w:r>
      <w:r w:rsidRPr="00A6019F">
        <w:t> </w:t>
      </w:r>
      <w:r w:rsidRPr="00A6019F">
        <w:t xml:space="preserve">Estrogens A large body of clinical trial data indicates that various types of estrogens (conjugated equine estrogens, estradiol, estrone, esterified estrogens, ethinyl estradiol, and mestranol) reduce bone turnover, prevent bone loss, and induce small increases in bone mass of the spine, hip, and total body. The effects of estrogen are seen in women with natural or surgical menopause and in late postmenopausal women with or without established osteoporosis. Estrogens are efficacious when administered orally, transdermally, or by subcutaneous implant. For both oral and transdermal routes of administration, combined estrogen/progestin preparations are now available in many coun tries, obviating the problem of taking two tablets or using a patch and oral progestin. thereby reducing the risk of falling. A walking program is a practical way to start. Other activities such as dancing, racquet sports, cross country skiing, and progressive high-intensity resistance training are also recommended, depending on the patient’s personal prefer ence and general condition. Even women who cannot walk benefit from swimming or water exercises, not so much for the effects on bone, which are quite minimal, but because of effects on muscle. Exercise habits should be consistent, optimally at least three times a week. For most patients, participation in exercise regimens that the patient enjoys is recommended in order to improve adherence. We also emphasize the importance of making exercise a social activity, again to improve adherence. Many individuals experience a fear of falling that can lead to social isolation and depression. Group exer cise can help to alleviate this problem by providing a sense of social connectivity among participants. Tai chi is a traditional Chinese martial art that utilizes a series of gentle, flowing movements to promote and maintain flexibil ity, balance, endurance, proprioception, and strength. It involves constant movement through all three spatial dimensions. As a three-dimensional exercise, tai chi may be incorporated as part of balance training program for individuals with osteoporosis. Tai chi is generally considered a safe activity. The evidence for fall preven tion in tai chi has been evaluated in randomized controlled trials, and systematic reviews indicate tai chi can significantly </w:t>
      </w:r>
      <w:r w:rsidRPr="00A6019F">
        <w:lastRenderedPageBreak/>
        <w:t>reduce the risk of falls in older adults, particularly when it is practiced with increased frequency. It is recommended that individuals with osteoporosis or osteo porotic vertebral fractures participate in exercise programs that involve both high-intensity progressive resistance and balance training. Slow, controlled movements are recommended in order to avoid injuries. Exercise modifications and avoidance of certain postures (such as spinal flexion) may be advised. Caution should be taken to avoid activities that can lead to potential fractures, such as performing activities on slippery surfaces, or twisting or bending the spine quickly while transitioning between different positions. Precautions should be taken to avoid injury when exercising with loads and performing exercises that challenge balance. For individ uals with osteoporosis who have a high risk for fracture, vertebral fractures, sedentary lifestyle, or comorbid conditions that impact exercise tolerance, consultation with physical therapists to learn safe exercise programs is recommended. PHARMACOLOGIC TREATMENT OF OSTEOPOROSIS Several international osteoporosis management guidelines have been published. They recommend patients with fractures of the hip and spine should be evaluated for treatment. Patients with minimal trauma fractures in the setting of a BMD in the osteopenia or osteo porosis range should be treated with pharmacologic agents. Most guidelines also suggest that patients be considered for treatment when BMD T-score is ≤–2.5, a level consistent with the diagnosis of osteoporosis. Treatment should also be considered in postmeno pausal women with a minimal trauma fracture or multiple risk factors even if BMD is not in the osteoporosis range. Treatment thresholds depend on cost-effectiveness analyses but, in the United States, are a &gt;20% 10-year major fracture probability and &gt;3% 10-year hip fracture probability. It must be emphasized, however, that as with other diseases, risk assessment is an inexact science when applied to the individual. As a result, patients often accept fracture risks that are higher than the physician might like out of concern for the usually considerably lower but better publicized risks of adverse events of drugs. Pharmacologic therapies for osteoporosis are either antiresorp tive or anabolic. The antiresorptive agents include medications that have broad effects such as hormone/estrogen therapy and selective estrogen receptor modulators (SERMS) as well as specific agents for osteoporosis treatment (bisphosphonates, denosumab, and cal citonin). The anabolic agents are teriparatide, abaloparatide, and romosozumab. Denosumab allows bone formation to continue, and thus, there is an increase in bone density beyond that occurring For oral estrogens, the standard recommended doses have been 0.3 mg/d for esterified estrogens, 0.625 mg/d for conjugated equine estrogens, and 5 μg/d for ethinyl estradiol. For transdermal estro gen, the commonly used dose supplies 50 μg of estradiol per day, but a lower dose may be appropriate for some individuals. Dose response data for conjugated equine estrogens indicate that lower doses (0.3 and 0.45 mg/d) are also effective. Doses even lower have also been shown to slow bone loss. Fracture Data Epidemiologic databases indicate that women who take estrogen replacement have a 50% reduction, on average, of osteoporosis-</w:t>
      </w:r>
      <w:r w:rsidRPr="00A6019F">
        <w:lastRenderedPageBreak/>
        <w:t xml:space="preserve">related fractures, including hip fractures. The ben eficial effect of estrogen is greatest among those who start replace ment early and continue the treatment; the benefit declines after discontinuation to the extent that there is no residual protective effect against fracture by 10 years after discontinuation. The first clinical trial evaluating fractures as secondary outcomes, the Heart and Estrogen-Progestin Replacement Study (HERS) trial, showed no effect of hormone therapy on hip or other clinical fractures in women with established coronary artery disease. These data made the results of the Women’s Health Initiative (WHI) exceedingly important (Chap. 395). The estrogen-progestin arm of the WHI in &gt;16,000 postmenopausal healthy women not selected based on low bone mass indicated that hormone therapy reduces the risk of hip and clinical spine fracture by 34% and that of all clinical fractures by 24%. A few smaller clinical trials have evaluated spine fracture occur rence as an outcome with estrogen therapy. They have consistently shown that estrogen treatment reduces vertebral fracture incidence. The WHI has provided a vast amount of data on the multisys temic effects of hormone therapy. Although earlier observational studies suggested that estrogen replacement might reduce heart disease, the WHI showed that combined estrogen-progestin treat ment increased risk of fatal and nonfatal myocardial infarction by ~29%, confirming data from the HERS study. Other important relative risks included a 40% increase in stroke, a 100% increase in venous thromboembolic disease, and a 26% increase in risk of breast cancer. Subsequent analyses have confirmed the increased risk of stroke and, in a substudy, showed a twofold increase in dementia. Benefits other than the fracture reductions noted above included a 37% reduction in the risk of colon cancer. These relative risks must be interpreted in light of absolute risk (Fig. 423-8). For example, out of 10,000 women treated with estrogen-progestin for 1 year, there will be 8 excess heart attacks, 8 excess breast cancers, 18 excess venous thromboembolic events, 5 fewer hip fractures, 44 fewer clinical fractures, and 6 fewer colorectal cancers. These numbers must be multiplied by the number of years of hormone treatment. There was no effect of combined hormone treatment on the risk of uterine cancer or total mortality. It is important to note that these WHI findings apply specifically to hormone treatment in the form of conjugated equine estrogen plus medroxyprogesterone acetate. The relative benefits and risks of unopposed estrogen in women who had hysterectomies vary somewhat. They still show benefits against fracture occurrence Risks 3303 Benefits 60 Number of cases in 10,000 women/year 50 40 30 20 10 Additional events 7 8 8 18 Neutral Reduced events 6 5 0 CHD Stroke Breast cancer VTE Colorectal cancer Hip fracture Endometrial cancer Deaths FIGURE 423-8 Effects of hormone therapy on event rates: green, placebo; purple, estrogen and progestin. CHD, coronary heart disease; VTE, venous thromboembolic events. (Adapted from Women’s Health Initiative. WHI HRT Update.) and increased risk of venous thrombosis and stroke, similar in magnitude to the risks for combined hormone therapy. In contrast, though, the estrogen-only arm of WHI indicated no increased risk of heart attack and a decreased risk of breast cancer. The data suggest that at least some of the </w:t>
      </w:r>
      <w:r w:rsidRPr="00A6019F">
        <w:lastRenderedPageBreak/>
        <w:t xml:space="preserve">detrimental effects of combined therapy are related to the progestin component. In addition, there is the possibility, suggested by primate data, that the risk accrues mainly to women who have some years of estrogen deficiency before initiating treatment. Therefore, the benefit/risk ratio of hormone therapy is improved if it is commenced before the age of 60 years or within 10 years of menopause. Nonetheless, there has been marked reluctance among women for estrogen therapy/ hormone therapy, and the U.S. Preventive Services Task Force has specifically suggested that estrogen therapy/hormone therapy not be used for disease prevention. Mode of Action Two subtypes of ERs, α and β, have been identified in bone and other tissues. Cells of monocyte lineage express both ERα and ERβ, as do osteoblasts. Estrogen-mediated effects vary with the receptor type. Using ER knockout mouse models, elimination of ERα produces a modest reduction in bone mass, whereas mutation of ERβ has less of an effect on bone. A man with a homozygous mutation of ERα had markedly decreased bone density as well as abnormalities in epiphyseal closure, con firming the important role of ERα in bone biology. The mecha nism of estrogen action in bone is an area of active investigation (Fig. 423-5). Although data are conflicting, estrogens may inhibit osteoclasts directly. However, most estrogen (and androgen) effects on bone resorption are mediated indirectly through paracrine fac tors produced by osteoblasts. These actions include (1) increasing the inhibitor of RANK-L, osteoprotegerin, production by osteo blasts, (2) increasing IGF-I and TGF-β, and (3) suppressing IL-1 (α and β), IL-6, TNF-α, and osteocalcin synthesis. These indirect estrogen actions primarily decrease bone resorption. Progestins In women with a uterus, daily progestin or cyclical progestins at least 12 days per month are prescribed in combination with estrogens to reduce the risk of uterine cancer. Medroxypro gesterone acetate and norethindrone acetate blunt the high-density lipoprotein response to estrogen, but micronized progesterone does not. Neither medroxyprogesterone acetate nor micronized pro gesterone appears to have an independent effect on bone; at lower doses of estrogen, norethindrone acetate may have an additive ben efit. In breast tissue, progestins may account for the increased risk of breast cancer with combination treatment. SERMs Two SERMs are used currently in postmenopausal women: raloxifene, which is approved by the FDA for the preven tion and treatment of osteoporosis as well as the prevention of breast cancer, and tamoxifen, which is approved for the prevention and treatment of breast cancer. A third SERM, bazedoxifene, is marketed in combination with conjugated estrogen for treatment of menopausal symptoms and prevention of bone loss. Bazedoxifene protects the uterus and breast from effects of estrogen and makes the use of progestin unnecessary. Tamoxifen reduces bone turnover and bone loss in postmeno pausal women compared with placebo groups. These findings support the concept that tamoxifen acts as an estrogenic agent in bone. There are limited data on the effect of tamoxifen on fracture risk, but the Breast Cancer Prevention study indicated a possible reduction in clinical vertebral, hip, and Colles’ fractures. Tamoxifen is not FDA approved for prevention or treatment of osteoporosis. The major benefit of </w:t>
      </w:r>
      <w:r w:rsidRPr="00A6019F">
        <w:lastRenderedPageBreak/>
        <w:t xml:space="preserve">tamoxifen is on breast cancer occurrence and recurrence in women with ER-positive tumors. The breast can cer prevention trial indicated that tamoxifen administration over 4–5 years reduced the incidence of new invasive and noninvasive breast cancer by ~45% in women at increased risk of breast cancer. The incidence of ER-positive breast cancers was reduced by 65%. Tamoxifen increases the risk of uterine cancer in postmenopausal women, limiting its use for breast cancer prevention in women at low or moderate risk. Raloxifene (60 mg/d) has effects on bone turnover and bone mass that are very similar to those of tamoxifen, indicating that this agent is also estrogenic on the skeleton. The effect of raloxifene on bone density (+1.4–2.8% vs. placebo in the spine, hip, and total body) is somewhat less than that seen with standard doses of estrogens. Raloxifene reduces the occurrence of vertebral fracture by 30–50%, depending on the population; however, there are no data confirm ing that raloxifene can reduce the risk of nonvertebral fractures after 8 years of observation. Raloxifene, like tamoxifen and estrogen, has effects on other organ systems. The most beneficial effect appears to be a reduction in invasive breast cancer (mainly decreased ER-positive) occurrence of ~65% in women who take raloxifene compared with placebo. In a head-to-head study, raloxifene was as effective as tamoxifen in preventing breast cancer in high-risk women, and raloxifene is FDA approved for this indication. In a further study, raloxifene had no effect on heart disease in women with increased risk for this outcome. In contrast to tamoxifen, raloxifene is not associated with an increase in the risk of uterine cancer or benign uterine disease. Raloxifene increases the occurrence of hot flashes but reduces serum total and low-density lipoprotein cholesterol, lipoprotein(a), and fibrinogen. Raloxifene, with its positive effects on breast cancer and vertebral fractures, has become a useful agent for the treatment of the younger asymptomatic postmenopausal woman. In some women, a recurrence of menopausal symptoms may occur. Usually this is evanescent but occasionally is sufficiently impactful on daily life and sleep that the drug must be withdrawn. Raloxifene increases the risk of deep-vein thrombosis and may increase the risk of death from stroke among older women. Consequently, it is not usually recommended for women over age 70 years. MODE OF ACTION OF SERMS All SERMs bind to the ER, but each agent produces a unique recep tor-drug conformation. As a result, specific coactivator proteins or co-repressor proteins are bound to the receptor (Chap. 389), result ing in differential effects on gene transcription that vary depending on other transcription factors present in the cell. Another aspect of selectivity is the affinity of each SERM for the different ERα and ERβ subtypes, which are expressed differentially in various tissues. These tissue-selective effects of SERMs offer the possibility of tailoring estrogen therapy to best meet the needs and risk factor profile of an individual patient. Bisphosphonates Bisphosphonates have become the mainstay of osteoporosis treatment globally, in part related to cost as they have become generic. Alendronate, risedronate, ibandronate, and zole dronic acid are approved for the prevention and treatment of post menopausal osteoporosis. Alendronate, risedronate, and zoledronic acid are also approved for the treatment of glucocorticoid-induced </w:t>
      </w:r>
      <w:r w:rsidRPr="00A6019F">
        <w:lastRenderedPageBreak/>
        <w:t xml:space="preserve">osteoporosis, and risedronate and zoledronic acid are approved for prevention of glucocorticoid-induced osteoporosis. Alendronate, CHAPTER 423 Osteoporosis 3304 risedronate, and zoledronic acid are also approved for treatment of osteoporosis in men. PART 12 Endocrinology and Metabolism Alendronate decreases bone turnover and increases bone mass by up to 8 and 6% versus placebo in the spine and hip, respectively. Multiple trials have evaluated its effect on fracture occurrence. The Fracture Intervention Trial provided evidence in &gt;2000 women with prevalent vertebral fractures that daily alendronate treatment (5 mg/d for 2 years and 10 mg/d for 9 months afterward) reduces vertebral fracture risk by ~50%, multiple vertebral fractures by up to 90%, and hip fractures by up to 50%. Several subsequent trials have confirmed these findings (Fig. 423-9). For example, in a study of &gt;1900 women with low bone mass treated with alendronate (10 mg/d) versus placebo, the incidence of all nonvertebral fractures was reduced by ~47% after only 1 year. In the United States, the 70-mg weekly dose is approved for treatment of osteoporosis and the dose of 35 mg per week is approved for prevention, with those doses showing equivalence to daily dosing based on bone turnover and bone mass response. Consequently, once-weekly therapy generally is preferred because of lower incidence of gastrointestinal side effects, ease of adminis tration, and improved persistence with therapy. Alendronate should be taken with a full glass of water before breakfast after an over night fast, as bisphosphonates are poorly absorbed. Because of the potential for esophageal irritation, alendronate is contraindicated in patients who have stricture, achalasia, or inadequate emptying of the esophagus. It is recommended that patients remain upright (standing or sitting) for at least 30 min after taking the medication to avoid esophageal irritation and that food and fluids (other than water) be avoided for the same duration. In clinical trials, overall gastrointestinal symptomatology was no different with alendronate than with placebo, but in practice, all oral bisphosphonates have been associated with esophageal irritation and inflammation. Risedronate also reduces bone turnover and increases bone mass. Controlled clinical trials have demonstrated 40–50% reduction in vertebral fracture risk over 3 years, accompanied by a 40% reduc tion in clinical nonspine fractures. The only clinical trial specifically designed to evaluate hip fracture outcome (HIP) indicated that risedronate reduced hip fracture risk in women in their seventies with confirmed osteoporosis by 40%. In contrast, risedronate was not effective at reducing hip fracture occurrence in older women (80+ years) without proven osteoporosis. Studies have shown that 35 mg of risedronate administered once weekly is therapeutically equivalent to 5 mg/d. The instructions for oral administration noted for alendronate apply to all three oral bisphosphonates. There is also a preparation of risedronate with an enteric coating (35 mg) that can be taken after breakfast. Risedronate is the only bisphos phonate that has this dosing flexibility. Ibandronate is the third amino-bisphosphonate approved in the United States. Ibandronate (2.5 mg/d) has been shown in clinical trials to reduce vertebral fracture risk by ~40% but with no overall effect on nonvertebral fractures. In a post hoc analysis of subjects with a femoral </w:t>
      </w:r>
      <w:r w:rsidRPr="00A6019F">
        <w:lastRenderedPageBreak/>
        <w:t xml:space="preserve">neck T-score of ≤–3, ibandronate reduced the risk of nonvertebral fractures by ~60%. In clinical trials, ibandronate doses of 150 mg per month PO or 3 mg every 3 months IV had greater effects on turnover and bone mass than did 2.5 mg/d. Patients should take oral ibandronate in the same way as other bisphospho nates but with 1 h elapsing before other food or drink (other than plain water). Zoledronic acid is a potent bisphosphonate with a unique admin istration regimen (5 mg by 30-min IV infusion at most annually). Zoledronic acid data confirm that it is highly effective in fracture risk reduction. In a study of &gt;7000 women followed for 3 years, zoledronic acid (5 mg IV annually) reduced the risk of vertebral fractures by 70%, nonvertebral fractures by 25%, and hip fractures by 40%. These results were associated with less height loss and disability. In the treated population, there was an increased risk of almost 25% of an acute phase response (APR) in patients with no prior bisphosphonate exposure (fever, myalgias, headache, malaise), but effects were short-lived (2–3 days). A recent study shows the APR can be eliminated by the administration of dexamethasone (4 mg) for 3 days commencing 90 min before the infusion. Although there was also an increased risk of atrial fibrillation in this trial, detailed evaluation of all bisphosphonates has failed to confirm a risk of atrial fibrillation. Zoledronic acid has also been studied in a placebo-controlled trial of older women and men within 3 months of an acute hip fracture. The risk of recurrent fracture was reduced by 35%, and there was a 28% reduction in mortality that was asso ciated with a reduction in infections and cardiovascular events. In older postmenopausal women with osteopenia, the risk of non vertebral, vertebral, or clinical fragility fractures was significantly lower in women with osteopenia who received zoledronate every 18 months for 6 years than in women who received placebo. In an extension study of the women who had received zoledronic acid infusions for 6 years, the risk of nonvertebral fractures remained low for up to 3.5 years after the last dose but increased after that time. This suggests less frequent dosing may be required after an initial course of three or four zoledronic acid infusions. Common Bisphosphonate Adverse Events All bisphospho nates have been associated with some musculoskeletal and joint pains of unclear etiology, which are occasionally severe. There is poten tial for renal toxicity, particularly in women with stage 3 chronic kidney disease (CKD), and bisphosphonates are contraindicated in those with an estimated glomerular filtration rate 12–24 &gt;12–36 Month Cumulative incidence (%) Calcitonin Calcitonin is a polypeptide hormone produced in the thyroid gland (Chap. 422). Its physiologic role is unclear as no skeletal disease has been described in association with calcitonin deficiency or excess. Calcitonin preparations are approved by the FDA for Paget’s disease, hypercalcemia, and osteoporosis in women &gt;5 years past menopause. B Time to first nonvertebral fracture 9 8 7 6 5 4 3 2 1 0 Placebo Denosumab 0 6 12 18 Month No. at risk Injectable calcitonin produces small increments in bone mass of the lumbar spine. However, difficulty of administration and frequent reactions, including nausea and facial flushing, make gen eral use limited. A nasal spray containing calcitonin (200 IU/d) is available for treatment of osteoporosis in postmenopausal women. One study suggests that nasal </w:t>
      </w:r>
      <w:r w:rsidRPr="00A6019F">
        <w:lastRenderedPageBreak/>
        <w:t xml:space="preserve">calcitonin produces small increments in bone mass and a small reduction in new vertebral fractures in calcitonin-treated patients (at one dose) versus those on calcium alone. There has been no proven effectiveness against nonvertebral fractures. Calcitonin is not indicated for prevention of osteoporosis and is not sufficiently potent to prevent bone loss in early post menopausal women. Calcitonin might have an analgesic effect on bone pain, both in the subcutaneous and possibly in the nasal form. Concerns have been raised about an increase in the incidence of cancer associated with calcitonin use. Initially, the cancer noted was of the prostate, but an analysis of all data suggested a more general increase in cancer risk. In Europe, the European Medicines Agency has removed the osteoporosis indication, and an FDA Advisory Committee has voted for a similar change in the United States. Placebo Denosumab Cumulative incidence (%) 3906 3902 3750 3759 C Time to first hip fracture 1. 4 1. 2 1. 0 0.8 0.6 0.4 0.2 0.0 3578 3594 3410 3453 24 3264 3337 30 3121 3228 Placebo 36 3009 3130 Denosumab 0 6 12 18 Month No. at risk Placebo Denosumab Mode of Action Calcitonin suppresses osteoclast activity by direct action on the osteoclast calcitonin receptor. Osteoclasts exposed to calcitonin cannot maintain their active ruffled border, which normally maintains close contact with underlying bone. 3906 3902 3799 3796 3672 3676 3538 3566 24 3430 3477 30 3311 3397 36 3221 3311 FIGURE 423-10 Effects of denosumab on the following: A. new vertebral fractures; and B. and C. times to nonvertebral and hip fracture. RR, relative risk. (From SR Cummings et al: Denosumab for prevention of fractures in postmenopausal women with osteoporosis. N Engl J Med 361:756, 2009. Copyright © 2009 Massachusetts Medical Society. Reprinted with permission from Massachusetts Medical Society.) Denosumab Denosumab is a human monoclonal antibody that inhibits RANKL, a potent stimulus of osteoclast activity. It is administered twice yearly by subcutaneous injection. In a random ized controlled trial in postmenopausal women with osteoporosis, it has been shown to increase BMD at the spine, hip, and forearm and reduce vertebral, hip, and nonvertebral fractures over a 3-year period by 68, 40, and 20%, respectively (Fig. 423-10). Unlike bisphosphonates in which BMD plateaus after 4–5 years of treat ment, bone density continues to increase as long as denosumab treatment is continued. In a long-term extension of the pivotal fracture trial, BMD increased by 21.7 and 9.2% at the spine and hip, respectively, after 10 years of denosumab treatment. Over the 10 years, fracture rates also remained at least as low as those seen with denosumab during the active placebo-controlled portion of the trial. Other clinical trials indicate ability to increase bone mass in postmenopausal women with osteopenia and in postmenopausal women with breast cancer treated with aromatase inhibitors. In the oncology literature, denosumab reduces the risk of fractures in women on aromatase inhibitors. In a study of men with prostate cancer treated with androgen deprivation therapy, denosumab increased bone mass and reduced vertebral fracture incidence over 3 years. An analysis of five placebo-controlled studies has also 3307 suggested reduced risk of falls in patients with osteoporosis treated with denosumab. Denosumab was approved by the FDA in 2010 </w:t>
      </w:r>
      <w:r w:rsidRPr="00A6019F">
        <w:lastRenderedPageBreak/>
        <w:t xml:space="preserve">for the treatment of postmenopausal women who have a high risk for osteoporotic fractures, including those with a history of fracture or multiple risk factors for fracture, and those who have failed or are intolerant to other osteoporosis therapy. Denosumab is also approved for the treatment of osteoporosis in men at high risk for fracture, women with breast cancer on aromatase inhibitors, and men with prostate cancer on androgen deprivation treatment. Denosumab may increase the risk of MRONJ and atypical femur fractures similarly to bisphosphonates. Estimated incidence is 5/10,000 patient-years for MRONJ and 1/10,000 patient-years for atypical femur fractures. Denosumab can cause hypersensitivity reactions, hypocalcemia, and skin reactions including dermatitis, rash, and eczema. Early concerns about an imbalance in infections with denosumab have largely been allayed. Severe hypocalcemia may occur in patients with CKD and an estimated glomerular filtration rate 40%. During the second year of the FRAME study, both groups transitioned to denosumab. Over 24 months, women who had received romosozumab during the first 12 months and then denosumab had 75% fewer new vertebral fractures than those who had received placebo for a year followed by denosumab. There were also nearly significant trends toward reduced clinical and nonvertebral fractures in the romosozumab/denosumab group. Compared with baseline, BMD increased by 17.6% in the spine and 8.8% in the total hip in the romosozumab/denosumab group. Safety and tolerability of the two drugs were similar, with a slightly higher incidence of injection site reactions in the denosumab group. There was no increase of cardiovascular events in patients treated with romosozumab. The FRAME extension study where all participants received continued denosumab for an additional year (2 years in total) showed significant decreases in vertebral, clinical, and non vertebral fractures with a trend for hip fracture reduction. Comparison with Antiresorptive Therapy The ARCH trial of very-high-risk patients, all of whom have prevalent vertebral fractures, compared romosozumab with alendronate for 1 year, followed by transition to, or continuation of, alendronate for at least 2 additional years. This study showed increases in bone den sity that were comparable with the FRAME study and significant reductions in vertebral, nonvertebral, clinical, and hip fractures compared with alendronate (Fig. 423-14). In this study, there was an increase in cardiovascular adverse events in patients treated with romosozumab, prompting a warning on the label and avoidance of this medication in patients with a past history of acute myocardial infarction or stroke. Comparison with Other Anabolic Therapy No studies have compared romosozumab with other anabolic drugs with frac tures as the primary outcome. One study compared the effects of romosozumab with teriparatide in postmenopausal women with osteoporosis who had been previously treated with bisphospho nates, including 12 months of alendronate immediately prior to the study. Effects of both anabolic drugs on BMD were attenuated by prior bisphosphonate therapy, but the increases in spine, total hip, and femoral neck BMD were greater with romosozumab than with teriparatide. Increases in cortical bone mineral content and bone strength at the hip were also greater with romosozumab than </w:t>
      </w:r>
      <w:r w:rsidRPr="00A6019F">
        <w:lastRenderedPageBreak/>
        <w:t xml:space="preserve">with teriparatide. Sequence of Therapy Because teriparatide and romosozumab have greater efficacy at reducing vertebral and clinical fractures, and vertebral, clinical, nonvertebral, and hip fractures, respectively, compared with bisphosphonates, they are now being considered as first-line therapy for patients with severe osteoporosis. Increases in BMD also occur more rapidly and to a greater extent with ana bolic drugs than with antiresorptive drugs, although the relative risk reduction for vertebral fractures is similar for zoledronic acid, denosumab, teriparatide, and romosozumab at about 70%. When their use is second-line following antiresorptive drugs, improve ments in BMD are attenuated, particularly following denosumab therapy. In response to these clinical data, initiatives have been made to identify patients at very high risk for fracture who would derive the most benefit from these greater improvements in BMD and more rapid reductions in fracture risk. Both U.S. and inter national guidelines have therefore focused on defining a group of individuals at very high fracture risk who could be selected for ana bolic therapy as first-line treatment. The definitions vary between these guidelines, but the criteria showing the most agreement are a recent fracture within the last 12–24 months, multiple fragility fractures (two or more), fractures while on antiresorptive therapy, or high absolute fracture risk (FRAX-derived 10-year risks of &gt;4.5% or &gt;30% for hip and major osteoporotic fractures, respectively). There has also been a focus on a goal-directed approach to long-term management of fracture risk. This helps ensure the most appropriate initial treatment and treatment sequence is selected for individual patients. Importantly, the selection of initial treatment should focus on reducing fracture risk rapidly for patients at very high and/or imminent risk, such as in those with recent fractures. Initial treatment selection should also consider the likelihood that a BMD treatment target can be attained relatively rapidly and needs to consider differences in fracture risk reduction and BMD increases with anabolic versus antiresorptive therapy. In conclusion, for those patients with a very high and/or imminent fracture risk, the ideal treatment sequence would be anabolic followed by anti resorptive therapy. However, reimbursement considerations may limit the implementation of this approach. OTHER PHARMACOLOGIC AGENTS NOT APPROVED IN THE UNITED STATES Testosterone has been used to treat osteoporosis associated with low testosterone levels in men. There are data that indicate that testos terone can increase bone density, but there are no data indicating reductions in fractures. In fact, a recent large study showed fracture incidence was numerically higher among men who received tes tosterone than among those who received placebo. Since there are many other effects of testosterone, especially in older men (includ ing prostate hypertrophy), decisions to use it for treatment of osteoporosis must take these multisystemic effects into account. In hypogonadal men with a high or very high fracture risk, anti-osteo porosis therapy should be used in addition to testosterone therapy. Sodium fluoride was tested in two large parallel clinical trials in the late 1980s. Although BMD increased substantially, the increase was in part due to fluoride incorporation in the hydroxyapatite crystal. Fracture risk was not reduced and, in fact, was increased in </w:t>
      </w:r>
      <w:r w:rsidRPr="00A6019F">
        <w:lastRenderedPageBreak/>
        <w:t xml:space="preserve">nonvertebral sites. Therefore, fluoride is no longer considered a viable option for osteoporosis treatment. Several small studies of growth hormone, alone or in combina tion with other agents, have not shown consistent or substantial positive effects on bone mass. NONPHARMACOLOGIC APPROACHES Protective pads worn around the outer thigh, which cover the trochanteric region of the hip, can prevent hip fractures in elderly residents in nursing homes. They are only effective when worn, and their use is limited largely by issues of compliance and comfort, but CHAPTER 423 Osteoporosis 3310 Incidence of new vertebral fracture 12 Months 15 10 PART 12 Endocrinology and Metabolism Patients (%) A 5 0 Risk ratio, 0.63 P=0.003 6.3 (128/2047) 4.0 (82/2046) Alendronate Romosozumab First clinical fracture in time-to-event analysis 20 Cumulative incidence (%) 15 10 5 0 Alendronate→ Alendronate Alendronate P~3% or ~6% at the spine and or hip, respectively) should prompt a change in therapy, as it is expected that some individuals will not show responses greater than the detection limits of the cur rent measurement techniques. Biochemical markers of bone turnover can help in treatment monitoring, with significant changes seen within 3 months of initi ating treatment with approved medications and the possible benefit of improving adherence. It remains unclear which endpoint is most useful. If bone turnover markers are used, a determination should be made before therapy is started and repeated ≥3–4 months after therapy is initiated. In general, a change in bone turnover markers must be 30–40% lower than the baseline, or in the lower part of the standardized premenopausal range, to be significant because of the biologic and analytic variability in these tests. Because markers change more rapidly than bone density, they are often early signs of treatment effect. Currently collagen C-telopeptide (CTX) measured on a fasting serum sample in the morning is the preferred marker of bone resorption, and the propeptide of type 1 collagen (P1NP) is the preferred marker for bone formation. GLUCOCORTICOID-INDUCED OSTEOPOROSIS Osteoporotic fractures are a well-characterized consequence of the hypercortisolism associated with Cushing’s syndrome. However, the therapeutic use of glucocorticoids is by far the most common form of glucocorticoid-induced osteoporosis (GCIOP). Glucocorticoids are used widely in the treatment of a variety of disorders, including chronic lung disorders, rheumatoid arthritis and other connective tissue diseases, and inflammatory bowel disease, and after transplantation. Acknowledgment 3311 Osteoporosis and related fractures are serious side effects of chronic glucocorticoid therapy. Because the effects of glucocorticoids on the skeleton are often superimposed on the consequences of aging and menopause, it is not surprising that postmenopausal women and older men are most frequently affected. The skeletal response to glucocorti coids is remarkably heterogeneous, however, and even young, growing individuals treated with glucocorticoids can present with fractures. The risk of fractures depends on the dose and duration of gluco corticoid therapy, although recent data suggest that there may be no completely safe dose. Bone loss is more rapid during the early months of treatment, and trabecular bone is affected more severely than corti cal bone. As a result, fractures </w:t>
      </w:r>
      <w:r w:rsidRPr="00A6019F">
        <w:lastRenderedPageBreak/>
        <w:t xml:space="preserve">have been shown to increase within 3 months of glucocorticoid treatment. There is an increase in fracture risk in both the axial skeleton and the appendicular skeleton, including risk of hip fracture. Bone loss can occur with any route of glucocorti coid administration, including high-dose inhaled glucocorticoids and intra-articular injections. Alternate-day delivery does not appear to ameliorate the skeletal effects of glucocorticoids. </w:t>
      </w:r>
      <w:r w:rsidRPr="00A6019F">
        <w:rPr>
          <w:rFonts w:ascii="Arial" w:hAnsi="Arial" w:cs="Arial"/>
        </w:rPr>
        <w:t>■</w:t>
      </w:r>
      <w:r w:rsidRPr="00A6019F">
        <w:t>PATHOPHYSIOLOGY Glucocorticoids increase bone loss by multiple mechanisms, includ ing (1) inhibition of osteoblast function and an increase in osteoblast apoptosis, resulting in impaired synthesis of new bone; (2) stimula tion of bone resorption, probably as a secondary effect; (3) impair ment of the absorption of calcium across the intestine, probably by a vitamin D</w:t>
      </w:r>
      <w:r w:rsidRPr="00A6019F">
        <w:rPr>
          <w:rFonts w:ascii="Aptos" w:hAnsi="Aptos" w:cs="Aptos"/>
        </w:rPr>
        <w:t>–</w:t>
      </w:r>
      <w:r w:rsidRPr="00A6019F">
        <w:t xml:space="preserve">independent effect; (4) increase of urinary calcium loss and perhaps induction of some degree of secondary hyperparathyroidism; (5) reduction of adrenal androgens and suppression of ovarian and testicular secretion of estrogens and androgens; and (6) induction of glucocorticoid myopathy, which may exacerbate effects on skeletal and calcium homeostasis as well as increase the risk of falls. </w:t>
      </w:r>
      <w:r w:rsidRPr="00A6019F">
        <w:rPr>
          <w:rFonts w:ascii="Arial" w:hAnsi="Arial" w:cs="Arial"/>
        </w:rPr>
        <w:t>■</w:t>
      </w:r>
      <w:r w:rsidRPr="00A6019F">
        <w:t xml:space="preserve">EVALUATION OF THE PATIENT Because of the high prevalence of GCIOP, it is important to evaluate the status of the skeleton in all patients starting or already receiving long-term glucocorticoid therapy. Modifiable risk factors should be identified, including those for falls. Examination should include testing of height and muscle strength. Laboratory evaluation should include an assessment of 24-h urinary calcium. All patients on long-term (&gt;3 months) glucocorticoids should have measurement of bone mass at both the spine and the hip using DXA. If only one skeletal site can be measured, it is best to assess the spine in individuals 60 years. </w:t>
      </w:r>
      <w:r w:rsidRPr="00A6019F">
        <w:rPr>
          <w:rFonts w:ascii="Arial" w:hAnsi="Arial" w:cs="Arial"/>
        </w:rPr>
        <w:t>■</w:t>
      </w:r>
      <w:r w:rsidRPr="00A6019F">
        <w:t xml:space="preserve">PREVENTION Bone loss caused by glucocorticoids can be prevented, and the risk of fractures significantly reduced. Strategies must include using the lowest dose of glucocorticoid for disease management. Topical and inhaled routes of administration are preferred, where appropriate. Risk factor reduction is important, including smoking cessation, limitation of alcohol consumption, and participation in weight-bearing and resis tance exercise, when appropriate. All patients should receive an ade quate calcium and vitamin D intake from the diet or from supplements. TREATMENT Glucocorticoid-Induced Osteoporosis Several bisphosphonates (alendronate, risedronate, and zoledronic acid) have been demonstrated in large clinical trials to reduce the risk of fractures in patients being treated with glucocorticoids and are FDA approved for the treatment of GCIOP. Teriparatide is also approved for treatment of GCIOP. In one trial comparing teripara tide with alendronate, BMD increases were much greater and verte bral fracture risk reduction was greater with teriparatide compared with alendronate. A study of denosumab indicates greater efficacy of denosumab compared with risedronate for treatment of GCIOP. There are no data for romosozumab in GCIOP. The American Col lege of Rheumatology has published guidelines for the management of GCIOP. The author gratefully acknowledges the foundational contributions of Drs. Robert Lindsay, Felicia Cosman, and Blossom Samuels to this chap ter in previous editions of Harrison’s. </w:t>
      </w:r>
      <w:r w:rsidRPr="00A6019F">
        <w:rPr>
          <w:rFonts w:ascii="Arial" w:hAnsi="Arial" w:cs="Arial"/>
        </w:rPr>
        <w:t>■</w:t>
      </w:r>
      <w:r w:rsidRPr="00A6019F">
        <w:t xml:space="preserve">FURTHER READING Black DM et al: Atypical </w:t>
      </w:r>
      <w:r w:rsidRPr="00A6019F">
        <w:lastRenderedPageBreak/>
        <w:t xml:space="preserve">femur fracture risk versus fragility fracture prevention with bisphosphonates. N Engl J Med 383:743, 2020. Compston J: Glucocorticoid-induced osteoporosis: An update. Endo crine 61:7, 2018. Cosman F et al: Spine fracture prevalence in a nationally representa tive sample of US women and men aged &gt;/=40 years: results from the National Health and Nutrition Examination Survey (NHANES) 2013–2014. Osteoporos Int 28:2319, 2017. Cosman F et al: Treatment sequence for osteoporosis. Endocr Pract S1530, 2024. Kendler DL et al: Effects of teriparatide and risedronate on new frac tures in post-menopausal women with severe osteoporosis (VERO): A multicentre, double-blind, double-dummy, randomised controlled trial. Lancet 391:230, 2018. Khosla S, Hofbauer LC: Osteoporosis treatment: Recent develop ments and ongoing challenges. Lancet Diabetes Endocrinol 5:898, 2017. Reid IR, Billington EO: Drug therapy for osteoporosis in older adults. Lancet 399:1080, 2022. Reid IR et al: Fracture prevention with zoledronate in older women with osteopenia. N Engl J Med 379:2407, 2018. Roux C, Briot K: Imminent fracture risk. Osteoporos Int 28:1765, 2017. Saag KG et al: Romosozumab or alendronate for fracture prevention in women with osteoporosis. N Engl J Med 377:1417, 2017. Sing CW et al: Global epidemiology of hip fractures: Secular trends in incidence rate, post-fracture treatment, and all-cause mortality. J Bone Miner Res 38:1064, 2023. Snyder PJ et al: Testosterone treatment and fractures in men with hypogonadism. N Engl J Med 390:203, 2024. CHAPTER 424 Paget’s Disease and Other Dysplasias of Bone 424 Paget’s Disease and Other Dysplasias of Bone Rajesh K. Jain, Tamara J. Vokes PAGET’S DISEASE OF BONE Paget’s disease is a localized bone-remodeling disorder that affects widespread, noncontiguous areas of the skeleton. The pathologic pro cess is initiated by overactive osteoclastic bone resorption followed by a compensatory increase in osteoblastic new bone formation, resulting in a structurally disorganized mosaic of woven and lamellar bone. Pagetic bone is expanded, less compact, and more vascular; thus, it is more susceptible to deformities and fractures. Although most patients are asymptomatic, symptoms resulting directly from bony involvement (bone pain, secondary arthritis, fractures) or secondarily from the expansion of bone causing compression of surrounding neural tissue are not uncommon. Epidemiology There is a marked geographic variation in the frequency of Paget’s disease, with high prevalence in Western Europe (Great Britain, France, and Germany, but not Switzerland or Scandinavia) and among those who have immigrated to Australia, New Zealand, South Africa, and North and South America. The disease is rare in native populations of the Americas, Africa, Asia, and the Middle East; when it does occur, the affected subjects usually have evidence of 3312 European ancestry, supporting the migration theory. For unclear rea sons, the prevalence and severity of Paget’s disease are decreasing, and the age of diagnosis is increasing. The prevalence is greater in males and increases with age. Autopsy series reveal Paget’s disease in ~3% of those over age 40. Prevalence of positive skeletal radiographs in patients aged &gt;55 years is 2.5% for men and 1.6% for women. Elevated alkaline phosphatase (ALP) levels in asymptomatic patients have an age-adjusted incidence of 12.7 and 7 per 100,000 </w:t>
      </w:r>
      <w:r w:rsidRPr="00A6019F">
        <w:lastRenderedPageBreak/>
        <w:t xml:space="preserve">person-years in men and women, respectively. PART 12 Endocrinology and Metabolism Etiology The etiology of Paget’s disease of bone remains unknown, but evidence supports both genetic and viral etiologies. A positive family history is found in 15–25% of patients and, when present, raises the prevalence of the disease seven- to tenfold among first-degree relatives. A clear genetic basis has been established for several rare familial bone disorders that clinically and radiographically resemble Paget’s disease but have more severe presentation and earlier onset. A homo zygous deletion of the TNFRSF11B gene, which encodes osteoprotegrin (Fig. 424-1), causes juvenile Paget’s disease, also known as familial idiopathic hyperphosphatasia, a disorder characterized by uncontrolled osteoclastic differentiation and resorption. Familial patterns of disease in several large kindred are consistent with an autosomal dominant pattern of inheritance with variable penetrance. Familial expansile osteolysis, expansile skeletal hyperphosphatasia, and early-onset Paget’s disease are associated with mutations in the TNFRSF11A gene, which encodes RANK (receptor activator of nuclear factor-κB), a member of the tumor necrosis factor superfamily critical for osteoclast differentia tion (Fig. 424-1). A mutation in profilin 1, a small actin protein that acts as a tumor suppressor, also causes early-onset Paget’s disease with a predisposition for the development of osteosarcoma. Finally, muta tions in the gene for valosin-containing protein cause a rare syndrome with autosomal dominant inheritance and variable penetrance known as inclusion body myopathy with Paget’s disease and frontotemporal Mesenchymal cell IGF-1 IGF-2 Osteoblasts M-CSF OPG + RANK L c-fms Osteoclast precursor IL-1, IL-6 RANK Osteoclast Osteoblasts Collagen osteocalcin FIGURE 424-1 Diagram illustrating factors that promote differentiation and function of osteoclasts and osteoblasts and the role of the RANK pathway. Stromal bone marrow (mesenchymal) cells and differentiated osteoblasts produce multiple growth factors and cytokines, including macrophage colony-stimulating factor (M-CSF), to modulate osteoclastogenesis. RANKL (receptor activator of nuclear factor-κB [NF-κB] ligand) is produced by osteoblast progenitors and mature osteoblasts and can bind to a soluble decoy receptor known as osteoprotegerin (OPG) to inhibit RANKL action. Alternatively, a cell-cell interaction between osteoblast and osteoclast progenitors allows RANKL to bind to its membrane bound receptor, RANK, thereby stimulating osteoclast differentiation and function. RANK binds intracellular proteins called tumor necrosis factor receptor–associated factors (TRAFs) that mediate receptor signaling through transcription factors such as NF-κB. M-CSF binds to its receptor, c-fms, which is the cellular homologue of the fms oncogene. See text for the potential role of these pathways in disorders of osteoclast function such as Paget’s disease and osteopetrosis. IGF, insulin-like growth factor; IL, interleukin. dementia (IBMPFD). The role of genetic factors is less clear in the more common form of late-onset Paget’s disease. The most common mutations identified in familial and sporadic cases of Paget’s disease have been in the SQSTM1 gene (sequestasome-1 or p62 protein) in the C-terminal ubiquitin-binding domain. The other candidate genes include CSF1 (1p13), which encodes </w:t>
      </w:r>
      <w:r w:rsidRPr="00A6019F">
        <w:lastRenderedPageBreak/>
        <w:t xml:space="preserve">macrophage colony-stimulating factor (M-CSF), a cytokine that is required for osteoclast differentia tion; RIN3 (14q32), which encodes a guanine exchange factor called Rab and Ras interactor 3; OPTN (10p13), which is involved in regu lating nuclear factor (NF)-κB; TNFRSF11A, mentioned earlier; and TM7SF4, which encodes dendritic cell–specific transmembrane protein (DC-STAMP), a molecule that is essential for fusion of the osteoclast. The phenotypic variability in patients with SQSTM1 mutations sug gests that additional factors, such as other genetic influences or viral infection, may influence clinical expression of the disease. Several lines of evidence suggest that a viral infection may contrib ute to the clinical manifestations of Paget’s disease, including (1) the presence of cytoplasmic and nuclear inclusions resembling paramyxo viruses (measles, respiratory syncytial virus, canine distemper virus) in pagetic osteoclasts and (2) viral mRNA in precursor and mature osteoclasts. The viral etiology is further supported by conversion of osteoclast precursors to pagetic-like osteoclasts by vectors containing the measles virus nucleocapsid or matrix genes. The decline in the incidence of Paget’s disease coincides with the widespread vaccination against measles, also consistent with the potential role of virus in the development of the disease. However, the viral etiology has been ques tioned by the inability to culture a live virus from pagetic bone and by failure to clone the full-length viral genes from material obtained from patients with Paget’s disease. Furthermore, patients with Paget’s disease do not have higher antibody levels against paramyxoviruses or measles as compared to controls, nor do antibody levels correlate with disease severity in those with Paget’s disease. Pathophysiology The principal abnormality in Paget’s disease is the increased number and activity of osteoclasts. Pagetic osteoclasts are large, increased 10- to 100-fold in number, and have a greater number of nuclei (as many as 100 compared to 3–5 nuclei in the normal osteoclast). The overactive osteoclasts may create a sevenfold increase in resorptive surfaces and an erosion rate of 9 μg/d (normal is 1 μg/d). Several causes for the increased number and activity of pagetic osteoclasts have been identified: (1) osteoclastic precursors are hyper sensitive to 1,25(OH)2 D3 ; (2) osteoclasts are hyperresponsive to RANK ligand (RANKL), the osteoclast stimulatory factor that mediates the effects of most osteotropic factors on osteoclast formation; (3) marrow stromal cells from pagetic lesions have increased RANKL expression; (4) osteoclast precursor recruitment is increased by interleukin (IL) 6, which is increased in the blood of patients with active Paget’s disease and is overexpressed in pagetic osteoclasts; (5) expression of the proto oncogene c-fos, which increases osteoclastic activity, is increased; and (6) the antiapoptotic oncogene Bcl-2 in pagetic bone is overexpressed. Numerous osteoblasts are recruited to active resorption sites and pro duce large amounts of new bone matrix. As a result, bone turnover is high, and bone mass is normal or increased, not reduced, unless there is concomitant deficiency of calcium and/or vitamin D. The characteristic feature of Paget’s disease is increased bone resorp tion accompanied by accelerated bone formation. An initial osteolytic phase involves prominent bone resorption and marked hypervascular ization. </w:t>
      </w:r>
      <w:r w:rsidRPr="00A6019F">
        <w:lastRenderedPageBreak/>
        <w:t xml:space="preserve">Radiographically, this manifests as an advancing lytic wedge, or “blade of grass” lesion. The second phase is a period of very active bone formation and resorption that replaces normal lamellar bone with haphazard (woven) bone. Fibrous connective tissue may replace nor mal bone marrow. In the final sclerotic phase, bone resorption declines progressively and leads to a hard, dense, less vascular pagetic or mosaic bone, which represents the so-called burned-out phase of Paget’s disease. All three phases may be present at the same time at different skeletal sites. Clinical Manifestations Diagnosis is often made in asymptom atic patients because they have elevated ALP levels on routine blood chemistry testing or an abnormality on a skeletal radiograph obtained 3313 for another indication. The skeletal sites most commonly involved are the pelvis, vertebral bodies, skull, femur, and tibia. Familial cases with an early presentation often have numerous active sites of skeletal involvement. The most common presenting symptom is pain, which may result from increased bony vascularity, expanding lytic lesions, fractures, bowing, or other deformities. Bowing of the femur or tibia causes gait abnormalities and abnormal mechanical stresses with secondary osteoarthritis of the hip or knee joints. Long bone bowing also causes extremity pain by stretching the muscles attached to the bone softened by the pagetic process. Back pain results from enlarged pagetic ver tebrae, vertebral compression fractures, spinal stenosis, degenerative changes of the joints, and altered body mechanics with kyphosis and forward tilt of the upper back. Rarely, spinal cord compression may result from bone enlargement or from the vascular steal syndrome. Skull involvement may cause headaches, symmetric or asymmetric enlargement of the parietal or frontal bones (frontal bossing), and increased head size. Cranial expansion may narrow cranial foramens and cause neurologic complications including hearing loss from cochlear nerve damage from temporal bone involvement, cranial nerve palsies, and softening of the base of the skull (platybasia) with the risk of brainstem compression. Pagetic involvement of the facial bones may cause facial deformity; loss of teeth and other dental conditions; and, rarely, airway compression. Fractures are serious complications of Paget’s disease and usually occur in long bones at areas of active or advancing lytic lesions. Com mon fracture sites are the femoral shaft and subtrochanteric regions. Neoplasms arising from pagetic bone are rare (90%) than oral bisphos phonates with the therapeutic effect persisting for months or even years. It is given at a dose of 5 mg as an intravenous infusion over 20 min, although slower rates of infusion are recommended for elderly or those with mild impairment of renal function. More sig nificant renal impairment (glomerular filtration rate 75. The initial calcium phosphate deposition is in the form of small, poorly organized crystals, which subsequently organize into hydroxyapatite crystals. Calcifications that occur in hypercalcemic states with normal or low phosphate have a predilection for kidney, lungs, and gastric mucosa. Hyperphosphatemia with nor mal or low serum calcium may promote soft tissue calcification with predilection for the kidney and arteries. The disturbances of calcium and phosphate in renal failure and hemodialysis are common causes of soft tissue </w:t>
      </w:r>
      <w:r w:rsidRPr="00A6019F">
        <w:lastRenderedPageBreak/>
        <w:t xml:space="preserve">(metastatic) calcification. </w:t>
      </w:r>
      <w:r w:rsidRPr="00A6019F">
        <w:rPr>
          <w:rFonts w:ascii="Arial" w:hAnsi="Arial" w:cs="Arial"/>
        </w:rPr>
        <w:t>■</w:t>
      </w:r>
      <w:r w:rsidRPr="00A6019F">
        <w:t xml:space="preserve">TUMORAL CALCINOSIS This is a rare genetic disorder characterized by masses of metastatic calcifications in soft tissues around major joints, most often shoulders, hips, and ankles. Tumoral calcinosis differs from other disorders in that the periarticular masses contain hydroxyapatite crystals or amorphous calcium phosphate complexes, whereas in fibrodysplasia ossificans pro gressiva (below), true bone is formed in soft tissues. About one-third of tumoral calcinosis cases are familial, with both autosomal recessive and autosomal dominant modes of inheritance reported. The disease is also associated with a variably expressed abnormality of dentition marked TABLE 424-2 Diseases and Conditions Associated with Ectopic Calcification and Ossification Metastatic calcification Hypercalcemic states Primary hyperparathyroidism Sarcoidosis Vitamin D intoxication Milk-alkali syndrome Renal failure Hyperphosphatemia Tumoral calcinosis Secondary hyperparathyroidism Pseudohypoparathyroidism Renal failure Hemodialysis Cell lysis following chemotherapy Therapy with vitamin D and phosphate Dystrophic calcification Inflammatory disorders Scleroderma Dermatomyositis Systemic lupus erythematosus Trauma-induced Ectopic ossification Myositis ossificans Postsurgery Burns Neurologic injury Other trauma Fibrodysplasia ossificans progressiva 3319 by short bulbous roots, pulp calcification, and radicular dentin depos ited in swirls. The disorder is caused by gene mutations in GALNT3, FGF23, or α-Klotho, leading to FGF23 deficiency or resistance. The reduced activity of FGF23 leads to increased renal tubular reabsorption of phosphate, elevated serum phosphate, and spontaneous soft tissue calcification from elevated calcium-phosphate concentration product. The disease usually presents in childhood and continues throughout the patient’s life. The calcific masses are typically painless and grow at variable rates, sometimes becoming large and bulky. The masses are often located near major joints but remain extracapsular. Joint range of motion is not usually restricted unless the tumors are very large. Com plications include compression of neural structures and ulceration of the overlying skin with drainage of chalky fluid and risk of secondary infection. Small deposits not detected by standard radiographs may be detected by 99mTc bone scanning. The most common laboratory findings are hyperphosphatemia and elevated serum 1,25-dihydroxyvitamin D levels. Serum calcium, parathyroid hormone, and ALP levels are usually nor mal. Renal function is also usually normal. Urine calcium and phosphate excretions are low, and calcium and phosphate balances are positive. An acquired form of the disease may occur with other causes of hyperphosphatemia, such as secondary hyperparathyroidism associ ated with hemodialysis, hypoparathyroidism, pseudohypoparathyroid ism, and massive cell lysis following chemotherapy for leukemia. Tissue trauma from joint movement may contribute to the periarticular cal cifications. Metastatic calcifications are also seen in conditions associ ated with hypercalcemia, such as in sarcoidosis, vitamin D intoxication, milk-alkali syndrome, and primary hyperparathyroidism. In these con ditions, however, mineral deposits are more likely to occur in proton transporting organs such as kidney, lungs, and gastric </w:t>
      </w:r>
      <w:r w:rsidRPr="00A6019F">
        <w:lastRenderedPageBreak/>
        <w:t xml:space="preserve">mucosa in which an alkaline milieu is generated by the proton pumps. TREATMENT Tumoral Calcinosis Therapeutic successes have been achieved with surgical removal of subcutaneous calcified masses, which tend not to recur if all calci fication is removed from the site. Reduction of serum phosphate by chronic phosphorus restriction may be accomplished using low dietary phosphorus intake alone or in combination with oral phos phate binders. The addition of the phosphaturic agent acetazol amide may be useful. Limited experience using the phosphaturic action of calcitonin deserves further testing. </w:t>
      </w:r>
      <w:r w:rsidRPr="00A6019F">
        <w:rPr>
          <w:rFonts w:ascii="Arial" w:hAnsi="Arial" w:cs="Arial"/>
        </w:rPr>
        <w:t>■</w:t>
      </w:r>
      <w:r w:rsidRPr="00A6019F">
        <w:t xml:space="preserve">DYSTROPHIC CALCIFICATION Posttraumatic calcification may occur with normal serum calcium and phosphate levels and normal ion-solubility product. The depos ited mineral is either in the form of amorphous calcium phosphate or hydroxyapatite crystals. Soft tissue calcification complicating con nective tissue disorders such as scleroderma, dermatomyositis, and systemic lupus erythematosus may involve localized areas of the skin or deeper subcutaneous tissue and is referred to as calcinosis circum scripta. Mineral deposition at sites of deeper tissue injury including periarticular sites is called calcinosis universalis. </w:t>
      </w:r>
      <w:r w:rsidRPr="00A6019F">
        <w:rPr>
          <w:rFonts w:ascii="Arial" w:hAnsi="Arial" w:cs="Arial"/>
        </w:rPr>
        <w:t>■</w:t>
      </w:r>
      <w:r w:rsidRPr="00A6019F">
        <w:t xml:space="preserve">ECTOPIC OSSIFICATION True extraskeletal bone formation that begins in areas of fasciitis following surgery, trauma, burns, or neurologic injury is referred to as myositis ossificans. The bone formed is organized as lamellar or trabecular, with normal osteoblasts and osteoclasts conducting active remodeling. Well-developed haversian systems and marrow elements may be present. A second cause of ectopic bone formation occurs in an inherited disorder, fibrodysplasia ossificans progressiva. </w:t>
      </w:r>
      <w:r w:rsidRPr="00A6019F">
        <w:rPr>
          <w:rFonts w:ascii="Arial" w:hAnsi="Arial" w:cs="Arial"/>
        </w:rPr>
        <w:t>■</w:t>
      </w:r>
      <w:r w:rsidRPr="00A6019F">
        <w:t xml:space="preserve">FIBRODYSPLASIA OSSIFICANS PROGRESSIVA This is also called myositis ossificans progressiva; it is a rare autosomal dominant disorder characterized by congenital deformities of the hands and feet and episodic soft tissue swellings that ossify. The disor der is caused by an activating mutation in activin receptor A type 1. Ectopic bone formation occurs in fascia, tendons, ligaments, and connective tissue within voluntary muscles. Tender, rubbery induration, some times precipitated by trauma, develops in the soft tissue and gradually calcifies. Eventually, heterotopic bone forms at these sites of soft tissue trauma. Morbidity results from heterotopic bone interfering with nor mal movement and function of muscle and other soft tissues. Mortality is usually related to restrictive lung disease caused by an inability of the chest to expand. Laboratory tests are unremarkable. Until recently, there was no effective approved medical therapy. Bisphosphonates, glucocorticoids, and a low-calcium diet have largely been ineffective in halting progression of the ossification. Palovaro tene has been shown to reduce new heterotopic ossification by 60% versus historical controls but increased premature epiphyseal closure in children. In 2023, the therapy was approved in the United States for females over age 8 and males over age 10. Another potential therapeu tic option, REGN2477 (also known as garetosmab), an anti–activin A antibody, is in clinical trials. Surgical removal of ectopic bone is not recommended because the trauma of surgery may precipitate forma tion of new areas of heterotopic bone. Dental complications, including frozen jaw, may occur following injection of local anesthetics. </w:t>
      </w:r>
      <w:r w:rsidRPr="00A6019F">
        <w:lastRenderedPageBreak/>
        <w:t xml:space="preserve">Acknowledgment The authors acknowledge the contribution of Dr. Murray J. Favus to this chapter in previous editions of Harrison’s. </w:t>
      </w:r>
      <w:r w:rsidRPr="00A6019F">
        <w:rPr>
          <w:rFonts w:ascii="Arial" w:hAnsi="Arial" w:cs="Arial"/>
        </w:rPr>
        <w:t>■</w:t>
      </w:r>
      <w:r w:rsidRPr="00A6019F">
        <w:t>FURTHER READING Boyce AM, Collins MT: Fibrous dysplasia/McCune-Albright syn drome: A rare, mosaic disease of G</w:t>
      </w:r>
      <w:r w:rsidRPr="00A6019F">
        <w:rPr>
          <w:rFonts w:ascii="Aptos" w:hAnsi="Aptos" w:cs="Aptos"/>
        </w:rPr>
        <w:t>α</w:t>
      </w:r>
      <w:r w:rsidRPr="00A6019F">
        <w:t xml:space="preserve">s activation. Endocr Rev 41:345, 2020. De Castro LF et al: Safety and efficacy of denosumab for fibrous dys plasia of bone. N Eng J Med 388:8, 2023. Pognolo RJ et al: Reduction of new heterotopic ossification (HO) in the open-label, phase 3 MOVE trial of palovarotene for fibrodysplasia ossificans progressive (FOP). J Bone Miner Res 38:3, 2022. Ralston SH et al: Diagnosis and management of Paget’s disease of bone in adults: A clinical guideline. J Bone Miner Res 34:579, 2019. Shapiro JR, Lewiecki EM: Hypophosphatasia in adults: Clinical assessment and treatment considerations. J Bone Miner Res 32:1977, 2017. CHAPTER 425 Heritable Disorders of Connective Tissue Singer FR et al: Paget’s disease of bone: An endocrine society clinical practice guideline. J Clin Endocrinol Metab 99:4408, 2014. Tan A et al: Long-term randomized trial of intensive versus symptom atic management in Paget’s disease of the bone: The PRISM-EZ Study. J Bone Miner Res 32:1165, 2017. Wu CC et al: Diagnosis and management of osteopetrosis: Consensus guidelines from the osteopetrosis working group. J Clin Endocrinol Metab 102:3111, 2017. Section 5 Disorders of Intermediary Metabolism 425 Heritable Disorders of Connective Tissue Joan C. Marini, Fransiska Malfait CLASSIFICATION OF CONNECTIVE TISSUE DISORDERS Some of the most common conditions that are transmitted genetically in families are disorders that produce clinically obvious changes in the bone, cartilage, skin, or relatively acellular tissues such as tendons 3320 involvement of similar parts of the skeleton. A simpler system of clas sification proved feasible for one rare heritable disorder of skin, epider molysis bullosa. The disorder was first defined clinically into subtypes based on the layers of the skin that were cleaved in friction-induced blisters. Most patients in each subtype were subsequently shown to have mutations in genes expressed in the corresponding layer of skin. Even with these patients, the strength of the genotype-phenotype cor relation varies and mutations have not yet been found in every patient. The best pathway through this maze of information is probably to PART 12 Endocrinology and Metabolism that have been loosely defined as connective tissues. Because of their heritability, some of the disorders were recognized as potentially traceable to mutated genes soon after the principles of genetics were introduced into medicine by Garrod and others. About half a century later, McKusick emphasized the specificity of many of the diseases for selective connective tissues and suggested that they were probably caused by mutations in genes coding for the major proteins found in those tissues. In the past several decades, mutations in several hundred different genes expressed in connective tissues have been identified as the cause of many connective tissue disorders. However, classifying the disorders on the basis of either their clinical presentations or the mutations causing them continues to present a challenge for both the clinician and the molecular biologist. Information on the disorders has continued to develop on two levels. The initial clinical classifications suggested by McKusick and </w:t>
      </w:r>
      <w:r w:rsidRPr="00A6019F">
        <w:lastRenderedPageBreak/>
        <w:t xml:space="preserve">many others had to be refined as more patients were examined. For example, some patients had skin changes similar to those commonly seen in Ehlers-Danlos syndrome (EDS), but this feature was overshad owed by other features such as extreme hypotonia or sudden rupture of large blood vessels. To account for the full spectrum of presentations in patients and families, many of the disorders have been reclassified several times, dividing each into a series of subtypes. The identification of mutations causing the diseases has developed on a parallel track. The first genes cloned for connective tissues were the two genes coding for type I collagen (COL1A1 and COL1A2), the most abundant protein in bones, skin, tendons, and several other tis sues. This facilitated early studies in patients with osteogenesis imper fecta (OI) that revealed mutations in type I collagen genes. Biochemical data, developed primarily with cultures of skin fibroblasts from affected individuals, demonstrated that the mutations dramatically altered the synthesis of collagen α-chains or the structure of collagen fibers. The results stimulated efforts to identify additional mutations in genes cod ing for structural proteins. Genes for collagens provided an attractive paradigm to search for mutations, since a series of different types of collagens were found in different connective tissues and the collagen genes were readily isolated by their unique signature sequences. Also, the collagen genes were vulnerable to a large number of different muta tions because of unusual structural requirements of the protein. The search for mutations in collagen genes proved fruitful in that mutations were found in most patients with OI, in many patients with hyperex tensible skin and hypermobile joints, in some patients with dwarfism, and in patients with other disorders, including some such as Alport syndrome (AS) that were not initially classified as disorders of con nective tissue. Also, mutations in collagen genes were found in subset of patients presenting with osteoarthritis (OA) or osteoporosis, likely representing the mildest end of the syndromic spectrum. However, the search for mutations quickly expanded to hundreds of other genes that included genes for other structural proteins, for the posttranslational modification and processing of the structural proteins, for chaperones, and for growth factors and their receptors and other genes whose func tions are still not fully understood. In many instances, the mutations helped to define the clinical sub type of the disorder, while in others, they revealed the genetic hetero geneity of the same clinical presentations. Conversely, some patients with different manifestations were found to have mutations in the same genes. In noncollagenous genes, it was sometimes difficult to establish whether a change in the structure of a gene caused the phenotypic changes in the patients or was simply a neutral polymorphism. There fore, there has been a continuing debate as to whether the disorders should be classified by their clinical presentations or by the causative genes. As an illustration of the problems, mutations in 552 genes have now been found associated with 771 defined disorders of the skeleton. The latest (2023) nosology for the disorders, which adopted a dyadic naming system, systematically associating a phenotypic entity with the gene it arises from, remains “hybrid” in nature in the sense </w:t>
      </w:r>
      <w:r w:rsidRPr="00A6019F">
        <w:lastRenderedPageBreak/>
        <w:t xml:space="preserve">that the classification is not always based on the same criteria. Some dis eases are grouped based on the causal gene, others are listed together, because they share common radiographic features, and still others are brought together because of a similar clinical course (lethality) or begin by matching the signs and symptoms in a patient with the pre sentations that define each clinical classification. A major focus should be on the most common disorders, recognizing that the signs and symptoms may vary among different individuals and family members with the same diagnosis. Then, attempt to reach a decision, in consul tation with the patient, parents, and specialist, as to whether a DNA analysis for the probable mutation is indicated. Among the consider ations are the cost, the rigor with which the clinical classification has been linked to mutated genes, the reassurance the diagnosis can bring to patients and their families, the use of the genetic information for prenatal diagnosis, and the possibility that mutation-specific therapies may be developed in the future. For individuals affected with these dis orders, consulting a specialist in the disease is highly recommended to determine a multidisciplinary program for management and therapy. Patient support groups have formed for many of the diseases and are an important source of information. Patients with the most common forms of the disorders have muta tions in a limited number of genes. This chapter will focus primarily on these. Also, it will provide a brief summary of biosynthesis and structure of connective tissues that may help guide the physician from the nature of the mutations to their clinical presentations. </w:t>
      </w:r>
      <w:r w:rsidRPr="00A6019F">
        <w:rPr>
          <w:rFonts w:ascii="Arial" w:hAnsi="Arial" w:cs="Arial"/>
        </w:rPr>
        <w:t>■</w:t>
      </w:r>
      <w:r w:rsidRPr="00A6019F">
        <w:t xml:space="preserve">COMPOSITION OF CONNECTIVE TISSUES Connective tissues such as skin, bone, cartilage, ligaments, and ten dons are the critical structural frameworks of the body. They consist of a complex interacting extracellular matrix network of collagens, proteoglycans, and a large number of noncollagenous glycoproteins and proteins. While these precise combinations of up to ~500 potential extracellular matrix building blocks, collectively called “the matri some,” provide tissue-specific function, there are many overarching similarities in composition such as the role of composite collagen fibrils in providing strength and form, elastin fibrils and proteoglycans and other interacting proteins, and glycoproteins that fine-tune function (Table 425-1). The most abundant components of many connective tissues are three similar fibrillar collagens (types I, II, and III). They have a similar tensile strength that is comparable to that of steel wires. The three fibrillar collagens are distributed in a tissue-specific manner: type I collagen accounts for most of the protein of dermis, ligaments, tendons, and demineralized bone; type I and type III are the most abundant proteins of large blood vessels; and type II is the most abun dant protein of cartilage. </w:t>
      </w:r>
      <w:r w:rsidRPr="00A6019F">
        <w:rPr>
          <w:rFonts w:ascii="Arial" w:hAnsi="Arial" w:cs="Arial"/>
        </w:rPr>
        <w:t>■</w:t>
      </w:r>
      <w:r w:rsidRPr="00A6019F">
        <w:t xml:space="preserve">BIOSYNTHESIS AND TURNOVER OF CONNECTIVE TISSUES Connective tissues are among the most stable components in living organisms, but they are not inert. During embryonic development, connective tissue membranes appear as early as the four-cell blastocyst to provide a structural scaffold for the developing embryo. With the development of blood vessels and skeleton, there is a rapid increase in the synthesis, degradation, and resynthesis of connective tissues. The turnover continues at a slower, but still rapid </w:t>
      </w:r>
      <w:r w:rsidRPr="00A6019F">
        <w:lastRenderedPageBreak/>
        <w:t xml:space="preserve">pace throughout postnatal development and then spikes during the growth spurt of puberty. During adulthood, the metabolic turnover of most connective tissues is slow, but it continues at a moderate pace in bone. With age, malnutrition, physical inactivity, and low gravitational stress, the rate of degradation of most connective tissues, especially in bone and skin, begins to exceed the rate of synthesis and the tissues shrink. In starva tion, a large fraction of the collagen in skin and other connective tissues is degraded and provides amino acids for gluconeogenesis (Chap. 345). In both OA and rheumatoid arthritis, there is extensive degradation of 3321 Heritable Disorders of Connective Tissue CHAPTER 425 TABLE 425-1 Constituents of Connective Tissues and Their Associated Heritable Conditions PROTEIN TISSUE DISTRIBUTION DISEASE KEY MANIFESTATIONS Collagen I Bone, cornea, dermis, tendon Osteogenesis imperfecta Bone fragility with fractures and deformity; blue sclerae; dentinogenesis imperfecta; hearing loss EDS (various rare types) Joint hypermobility; skin hyperextensibility; skin fragility; soft connective tissue fragility Caffey disease Subperiosteal new bone formation; soft tissue swelling; fever and irritability Collagen II Cartilage, vitreous Various chondrodysplasias Skeletal dysplasia; ocular manifestations; hearing loss; orofacial findings Collagen III Dermis, aorta, uterus, intestine Vascular EDS Arterial, intestinal, and uterine fragility; thin translucent skin; easy bruising Collagen IV Basement membranes Alport syndrome (COL4A3/A4/A5) Hematuria; hearing loss; ocular abnormalities Brain small-vessel disease (COL4A1/A2) Porencephaly; intracerebral hemorrhage; retinal arterial tortuosity; (congenital) cataract; Axenfeld-Rieger anomaly; hematuria; renal cysts; muscle cramps Collagen V Placental tissue, bone, dermis, cornea Classic EDS Joint hypermobility; skin hyperextensibility; atrophic scarring Collagen VI Uterus, dermis, cornea, cartilage Bethlem myopathy and Ullrich congenital muscular dystrophy Muscle weakness; joint contractures; joint hypermobility Collagen VII Skin, amniotic membrane, mucosal epithelium Dystrophic epidermolysis bullosa Skin blistering; oral and esophageal blistering; corneal erosions Collagen VIII Descemet’s membrane, endothelial cells Corneal dystrophy Corneal endothelial dystrophy; stromal edema Collagen IX Cartilage, vitreous Stickler syndrome Spondyloepiphyseal dysplasia; early-onset osteoarthritis; high myopia; vitreoretinal abnormalities; hearing loss; cleft palate; midfacial hypoplasia Collagen X Calcifying cartilage Multiple epiphyseal dysplasia Epiphyseal dysplasia; early-onset osteoarthritis Collagen XI Cartilage, intervertebral disk Various chondrodysplasias Skeletal dysplasia; ocular manifestations; hearing loss; orofacial findings Collagen XII Dermis, tendon, cartilage Myopathic EDS Joint hypermobility; congenital muscle hypotonia and/or atrophy; proximal joint contractures Collagen XVII Corneal epithelial cells Junctional epidermolysis bullosa Blistering of the skin and mucosae (mild to severe) Collagen XVIII Pia, blood vessels of the developing human cerebral cortex Knobloch syndrome Early-onset severe myopia; vitreoretinal degeneration with retinal detachment; hydrocephalus; structural brain defects; epilepsy; cognitive dysfunction Collagen XXVII Chondrocytes, epithelial cell layers in </w:t>
      </w:r>
      <w:r w:rsidRPr="00A6019F">
        <w:lastRenderedPageBreak/>
        <w:t xml:space="preserve">developing tissues, including stomach, lung, gonad, skin, cochlea, and tooth Steel syndrome Osteochondrodysplasia with hip dislocations; dislocations of radial heads; carpal coalition; short stature; facial dysmorphism; scoliosis Cartilage oligomeric matrix protein (COMP) Cartilage, tendon, ligament, bone Pseudoachondroplasia Short-limb dwarfism; early-onset osteoarthritis Multiple epiphyseal dysplasia Mildly short stature; early-onset osteoarthritis Elastin Dermis, arterial wall, lung Cutis laxa Wrinkled, redundant, sagging inelastic skin Williams syndrome Cardiovascular disease (especially supravalvular aortic stenosis); orofacial features; intellectual deficit; connective tissue abnormalities; endocrine abnormalities Fibrillin 1 Dermis, arterial wall, lung Marfan syndrome Aortic root aneurysm or dissection; ectopia lentis; marfanoid habitus Weill-Marchesani-syndrome Short stature; joint stiffness; lens abnormalities; cardiovascular features Stiff skin syndrome Progressive rock-hard skin; flexion contractures; hypertrichosis Geleophysic dysplasia Short stature; joint stiffness; thickened skin; progressive cardiac valvular disease; orofacial features Fibrillin 2 Bruch membrane Congenital contractural arachnodactyly (CCA) or Beals-Hecht syndrome Tall stature; arachnodactyly; (kypho)scoliosis; pectus deformities; contractures; muscle hypoplasia; mild cardiovascular involvement; long, narrow face, highly arched palate, micrognathia, crumpled external ears Acromelic dysplasia Relative short stature; brachydactyly; toe walking; early onset carpal tunnel syndrome; short palpebral fissures Fibronectin Dermis, tendons, ligaments Glomerulopathy with fibronectin deposits Glomerulopathy with fibronectin deposits Spondylometaphyseal dysplasia, corner fracture type Spondylometaphyseal dysplasia characterized by flake-like, triangular, or curvilinear ossification centers at the edges of irregular metaphyses that simulate fractures; short stature (Continued) 3322 TABLE 425-1 Constituents of Connective Tissues and Their Associated Heritable Conditions PROTEIN TISSUE DISTRIBUTION DISEASE (Continued) KEY MANIFESTATIONS Aggrecan PART 12 Endocrinology and Metabolism Decorin Biglycan Cartilage Dermis, tendons, ligaments, cornea Bone, cartilage, tendons Abbreviation: EDS, Ehlers-Danlos syndromes. Spondyloepiphyseal dysplasia, Kimberley type Short stature; advanced bone age, with or without early-onset osteoarthritis and/or osteochondritis dissecans Spondyloepimetaphyseal dysplasia, aggrecan type Congenital stromal corneal dystrophy Meester-Loeys syndrome X-linked spondyloepimetaphyseal dysplasia articular cartilage collagen. Glucocorticoids weaken most tissues by decreasing collagen synthesis. In some pathologic states, however, col lagen is deposited in excess. With most injuries to tissues, inflamma tory and immune responses stimulate the deposition of collagen fibrils in the form of fibrotic scars. In humans, as distinct from many other species, the deposition of the fibrils is largely irreversible and prevents regeneration of normal tissues in diseases such as hepatic cirrhosis, pulmonary fibrosis, atherosclerosis, and nephrosclerosis. Short stature; habitus; progressive osteoarthropathy; spondyloepiphyseal dysplasia Short stature and advanced bone age, with or without early-onset osteoarthritis and/or osteochondritis dissecans Severe short </w:t>
      </w:r>
      <w:r w:rsidRPr="00A6019F">
        <w:lastRenderedPageBreak/>
        <w:t xml:space="preserve">stature; spondyloepimetaphyseal dysplasia Corneal stromal opacification; visual loss; increased corneal thickness Aortic aneurysm or dissection; orofacial features; joint hypermobility; ventricular dilatation on brain imaging; relative macrocephaly; hip dislocation; platyspondyly; phalangeal dysplasia; dysplastic epiphyses of the long bones Severe short-trunked dwarfism; brachydactyly; spondyloepimetaphyseal dysplasia reflect the precise packing into fibrils. The three fibrillar collagens, however, differ in sequences found in the X- and Y-positions of the α chains and therefore in some of their physical properties. Type I col lagen is a heterotrimer, composed of two identical α1(I) chains and a third α2(I) chain that differs slightly in its amino acid sequence. Types II and III collagen are homotrimers, each composed of three identical α chains distinct to that type of collagen. Structure and Biosynthesis of Fibrillar Collagens The tensile strength of collagen fibers derives primarily from the self-assembly of protein monomers into large fibril structures in a process that resem bles crystallization. The self-assembly requires monomers of highly uniform and relatively rigid structure. It also requires a complex series of posttranslational processing steps that maintain the solubility of the monomers until they are transported to the appropriate extracellular sites for fibril assembly. Because of the stringent requirements for cor rect self-assembly, it is not surprising that mutations in genes for fibril lar collagens cause many of the heritable diseases of connective tissues. The monomers of the three fibrillar collagens are formed from three polypeptide chains, called α chains, that are wrapped around each other into a rope-like triple-helical conformation. The triple helix is a unique structure among proteins, and it provides rigidity to the molecule. It also orients the side chains of amino acids in an “inside out” manner relative to most other proteins so that the charged and hydrophobic residues on the surface can direct self-assembly of the monomers into fibrils. The triple-helical conformation of the monomer is generated because each of the α chains has a repetitive amino acid sequence in which glycine (Gly) appears as every third amino acid. Each α chain contains ~1000 amino acids. Therefore, the sequence of each α chain can be designated as (-Gly-X-Y-)n , where X and Y represent amino acids other than glycine and n is &gt;338. The presence of glycine, the smallest amino acid, in every third position in the sequence is critical because this residue must fit into a sterically restricted space in the interior of the helix where the three chains come together. The requirement for a glycine residue at every third position explains the significant clinical effects of mutations that convert a glycine residue to an amino acid with a bulkier side chain (see below). Many of the X- and Y-position amino acids are proline and hydroxyproline, which, because of their ring structures, provide additional rigidity to the triple helix. Other X- and Y-positions are occupied by charged or hydrophobic amino acids that precisely direct lateral and longitudinal assembly of the monomers into highly ordered fibrils. Mutations that substitute amino acids in some X- and Y-positions, particularly arginine-to-cysteine substitutions, can also produce genetic diseases. The fibers formed by the three fibrillar collagens differ in thick ness and length, but they have a similar fine structure. As </w:t>
      </w:r>
      <w:r w:rsidRPr="00A6019F">
        <w:lastRenderedPageBreak/>
        <w:t xml:space="preserve">viewed by electron microscopy, they all have a characteristic pattern of cross striations that are about one-quarter the length of the monomers and To deliver a monomer of the correct structure to the appropriate site of fibril assembly, the biosynthesis of fibrillar collagens involves a large number of unique processing steps (Fig. 425-1). The monomer, first synthesized as a soluble precursor called procollagen, contains an additional globular domain at each end. As the pre-proα chains of pro collagen are synthesized on ribosomes, the free N-terminal ends move into the cisternae of the rough endoplasmic reticulum (ER). Signal peptides at the N-termini are cleaved, and additional posttranslational reactions begin. Proline and lysine residues in the Y-position of the Gly-X-Y repeating triplet are hydroxylated along the length of the helix by the enzymes prolyl 4-hydroxylase (P4H1) and lysyl hydroxylase (LH1), respectively. Hydroxyproline residues are essential for the three α chains of the monomer to fold into a triple helix at body tempera ture. P4H1 requires ascorbic acid as an essential cofactor, an observa tion that explains why wounds fail to heal in scurvy (Chap. 344). In scurvy, some of the underhydroxylated and unfolded protein accumu lates in the cisternae of the rough ER and is degraded. Many hydroxy lysine residues are glycosylated with galactose or with galactose and glucose. Also, a large mannose-rich oligosaccharide is assembled on the C-terminal propeptide of each chain. The proα chains are assembled by interactions among these C-terminal propeptides that control the selection of the appropriate partner chains to form hetero- or homotrimers and provide the correct chain registration required for subsequent formation of the collagen triple helix. After the C-terminal propeptides assemble the three proα chains, a nucleus of triple helix is formed near the C-terminus, and the helical conformation is propa gated toward the N-terminus in a zipper-like manner that resembles crystallization. The folding into the triple helix is spontaneous in solu tion, but as discussed below, identification of rare mutations causing OI demonstrated that the folding in cellulo is assisted by a number of ancillary proteins that also prevent collagen fibril formation within the ER. The fully folded procollagen is then transported to the Golgi via a specific COPII vesicle process. After further modifications in the Golgi stack, the procollagen is secreted into the pericellular space where distinct proteases remove the N- and C-propeptides at specific cleavage sites. The release of the propeptides decreases the solubility of the resulting collagen ~1000-fold. The entropic energy that is released drives the self-assembly of the collagen into fibrils. Self-assembled collagen fibers have considerable tensile strength, but their strength is increased further by cross-linking reactions that form covalent bonds between α chains in one molecule and α chains in adjacent molecules. 3323 Endoplasmic reticulum OH OH OH OH Glc Gal O OH OH OH OH OH OH OH OH O-Gal OH OH OH O OH OH OH OH-Gal-Glc OH (Man)n GlcNAc SH OH OH OH OH OH OH OH O Gal SH SH SH Polypeptide synthesis Collagen prolyl 4-hydroxylase Lysyl hydroxylase Prolyl 3-hydroxylase Collagen gal-transferase and glc-transferase N glycosylated residue Assembly of three procollagen chains Glc Gal O OH OH OH (Man)n GlcNAc S OH OH OH OH OH OH S S S O Gal Protein disulfide isomerase Assembly of </w:t>
      </w:r>
      <w:r w:rsidRPr="00A6019F">
        <w:lastRenderedPageBreak/>
        <w:t xml:space="preserve">triple helix Secretion of procollagen in transport vesicles Late transport vesicles and extracellular matrix N and C proteinases Cleavage of propeptides Assembly into collagen fibrils Lysyl oxidase Formation of covalent cross-links FIGURE 425-1 Schematic summary of biosynthesis of fibrillar collagens. (Reproduced with permission from J Myllyharju, KI Kivirikko: Collagens, modifying enzymes and their mutations in humans, flies and worms. Trends Genet 20:33, 2004.) The resulting fibers, composed of hundreds or thousands of triple helical monomers, have some of the properties of a crystal but have innate imperfections that make them highly flexible. Although the assembly of collagen monomers into fibers is largely a spontaneous reaction, the process in tissues is modulated by the pres ence of less abundant collagens (type V with type I, and type XI with type II) and by other components such as a series of small leucine-rich proteins (SLRPs). Some of the less abundant components alter the rate of fibril assembly, whereas others change the morphology of the fibers or their interactions with cells and other molecules. The presence of these other components is one explanation for why, in some tissues, the fibers are further assembled into large tendons; in others, into sheets; and in still others, into complex structures such as the hexago nal array of fibers that provide both the strength and transparency of the cornea. Collagen fibers are resistant to most proteases, but during degrada tion of connective tissues, they are cleaved by specific matrix metal loproteinases (collagenases) that cause partial unfolding of the triple helices into gelatin-like structures that are further degraded by less specific proteinases. </w:t>
      </w:r>
      <w:r w:rsidRPr="00A6019F">
        <w:rPr>
          <w:rFonts w:ascii="Arial" w:hAnsi="Arial" w:cs="Arial"/>
        </w:rPr>
        <w:t>■</w:t>
      </w:r>
      <w:r w:rsidRPr="00A6019F">
        <w:t xml:space="preserve">OTHER COLLAGENS AND RELATED MOLECULES The unique properties of the triple helix are used to define a family of at least 28 collagens that contain repetitive -Gly-X-Y- sequences and form triple helices of varying length and complexity. The proteins are heterogeneous both in structure and function, and many are the sites of mutations causing genetic diseases. For example, the type IV col lagen found in basement membranes is composed of three α chains synthesized from any of six different genes. Mutations in the COL4A3, COL4A4, or COL4A5 genes cause AS, while mutations in COL4A1 and rarely COL4A2 are associated with a spectrum of phenotypes including small-vessel brain disease of varying severity including porencephaly, variably associated with eye defects (retinal arterial tortuosity, Axen feld-Rieger anomaly, cataract) and systemic findings (kidney involve ment, muscle cramps, cerebral aneurysms, Raynaud phenomenon, cardiac arrhythmia, and hemolytic anemia). Fibrillin Aggregates and Elastin In addition to tensile strength, many tissues such as the lung, large blood vessels, and ligaments require elasticity. The elasticity was originally ascribed to an amor phous rubber-like protein named elastin. Subsequent analyses, largely sparked by discoveries of mutations causing the Marfan syndrome (MFS), demonstrated that the elasticity resided in thin fibrils com posed primarily of large glycoproteins named fibrillins. The fibrillins contain large numbers of epidermal growth factor–like domains inter spersed with characteristic cysteine-rich domains that are also found in latent transforming growth factor β (TGF-β) binding proteins. The fibrillins assemble into long beadlike strands that also contain numer ous </w:t>
      </w:r>
      <w:r w:rsidRPr="00A6019F">
        <w:lastRenderedPageBreak/>
        <w:t xml:space="preserve">other components including small and variable amounts of elas tin, bone morphogenic proteins (BMPs), and microfibril-associated glycoproteins (MAGPs). Besides contributing to extracellular matrix structure, a major role for fibrillins in TGF-β signaling was empha sized by the discovery of mutations in genes coding for proteins involved in canonical TGF-β signaling in patients with Marfan-like manifestations, including thoracic aortic aneurysm. Proteoglycans The resiliency to compression of connective tis sues such as cartilage or the aorta is largely explained by the presence of proteoglycans. Proteoglycans are composed of a core protein to which are attached a large series of negatively charged polymers of disaccharides (largely chondroitin sulfates). At least 30 proteoglycans have been identified. They vary in their binding to collagens and other components of matrix, but specific functions have not been assigned to most. The major proteoglycan of cartilage, called aggrecan, has a core protein of 2000 amino acids that is decorated with ~100 side chains of chondroitin sulfate and keratin sulfate. The core protein, in turn, binds to long chains of the polymeric disaccharide hyaluronan to form proteoglycan aggregates, one of the largest soluble macromo lecular structures in nature. Because of its highly negative charge and extended structure, the proteoglycan aggregate binds large amounts of water and small ions to distend the three-dimensional arcade of col lagen fibers found in the same tissues. It thereby makes the cartilage resilient to pressure. CHAPTER 425 Heritable Disorders of Connective Tissue 3324 SPECIFIC DISORDERS </w:t>
      </w:r>
      <w:r w:rsidRPr="00A6019F">
        <w:rPr>
          <w:rFonts w:ascii="Arial" w:hAnsi="Arial" w:cs="Arial"/>
        </w:rPr>
        <w:t>■</w:t>
      </w:r>
      <w:r w:rsidRPr="00A6019F">
        <w:t xml:space="preserve">OSTEOGENESIS IMPERFECTA PART 12 Endocrinology and Metabolism OI is a phenotypically and genetically heterogeneous generalized con nective tissue disorder. The hallmark features of OI are increased sus ceptibility to skeletal fractures, bone deformity, and growth deficiency. Bone fragility is based on decreased bone mass and increased bone brittleness due to defective mineralization. Secondary features of OI are highly variable even within a type and include blue sclerae, den tinogenesis imperfecta, hearing loss, basilar invagination, pulmonary function impairment, cardiac valve abnormalities, and ligamentous laxity. Most patients have defects in the structure or quantity of type I collagen. Classification OI was originally classified into congenita and tarda subtypes depending on the age of symptom onset. Sillence proposed the classification that bears his name for four types based on clinical and radiologic findings and mode of inheritance. The extension of the Sillence classification was first based on distinctive bone histol ogy (types V and VI OI) and subsequently on the discovery of new recessive genes (types VII–XXII). The debate between classification by phenotypic severity or gene defects has resulted in clinical and genetic classifications. The clinical classification can be useful for management but results in different type assignments in the same family or even in the same individual over their lifetime. The genetic classification (Table 425-2) groups patients by the causative gene. Because related causative genes were discovered close in time to each other, the genetic classification consequently groups types by overall mechanism and features OI as a collagen-related disorder. Types I–IV OI are due to quantitative or structural defects in type I collagen itself. Type I is the mildest </w:t>
      </w:r>
      <w:r w:rsidRPr="00A6019F">
        <w:lastRenderedPageBreak/>
        <w:t xml:space="preserve">subtype, with reduced quantity of structurally normal collagen, and can produce mild or inapparent skeletal deformities. Most patients have distinctly blue sclerae. Types II, III, and IV are all caused by structural defects in one of the type I col lagen α chains. Type II produces bone so brittle that infants have in utero fractures of ribs and long bones and die in the perinatal period. Type III is progressively deforming with moderate to severe bone deformity, and type IV has mild to moderate bone fragility and second ary features. Subsequent rare recessive OI types are all collagen-related. Types V and VI (ITITM5 and SERPINF1) particularly compromise matrix mineralization. Types VII, VIII, and IX (CRTAP, P3H1, and PPIB) represent defects in the components of the procollagen prolyl 3-hydroxylation complex that modifies collagen posttranslationally. Types X–XII and XXI (SERPINH1, FKBP10, BMP1, and KDELR1) have compromised procollagen processing and cross-linking. The final grouping of types XIII–XVIII (SP7, TMEM38B, WNT1, CREBL1, SPARC, MBTPS2, TEMTSA, MESD, CCDS134) alter osteoblast differ entiation and impair collagen matrix quality. The clinical heterogeneity of affected individuals within a particu lar OI type and even with the same mutation is not understood, with unknown modifying factors presumably involved. Among adults with OI, women are prone to fracture during pregnancy and after meno pause. Some variants of mild OI are first detected perimenopausally and must be distinguished from postmenopausal osteoporosis. Incidence In North America and Europe, the estimated incidence of OI is 1 per 10,000–15,000 births, based on a combination of cases recognized at birth and population surveys for milder cases. In popu lations with a high level of consanguinity or a founder mutation, the incidence of the rare recessive forms of OI is a significant addition to the prevalence of dominant collagen defects. Effects on Tissue Systems The phenotypic features of OI are highly variable, even within the types caused by defects in type I colla gen. The following section generally focuses on dominant forms com prising the majority of cases, except as specified, but the descriptions can be generalized to a large extent. Musculoskeletal Effects Bone in OI is both weak and brittle. At the mildest end of the spectrum (type I OI), individuals may have only several childhood fractures and be limited only from contact sports. More severe forms of OI require bone to be partially unloaded with assistive devices such as walkers or canes; many severe patients use electric chairs for both the weight bearing and the normal speed of mobility. In dominant OI, fragility fractures often decrease sharply after adequate bone mass is gained at puberty. Radiographs generally show osteopenia in all types, with disordered matrix organization detected most easily in lower long bones in moderate and severe forms. In lethal OI, radiographs show continuous beading of ribs from healing fractures and crumpled and undertubulated long bones. Lateral skull radiographs may show islands of Wormian bones, even in mild forms. The appearance of “popcorn” at the metaphyses of long bones occurs in many type III and IV children and coincides with increased growth deficiency. Often these bones are so soft that normal muscle pull can produce severe deformities. Kyphoscoliosis is associated with vertebral compressions but is not prevented by bisphosphonates, suggesting a </w:t>
      </w:r>
      <w:r w:rsidRPr="00A6019F">
        <w:lastRenderedPageBreak/>
        <w:t xml:space="preserve">contribution from ligamentous laxity. OI bone is weak, in that it fractures with a lower load than normal, and brittle, in that it does not tolerate postyield displacement and snaps like chalk. The brittleness results from the paradoxical increased min eralization of OI bone. While dual-energy x-ray absorptiometry (DXA) bone density measurements uniformly return a reduced value for OI bone, it is performed with a phantom and detects mineral crystals that are in proper alignment. In contrast, quantitative backscattered electron imaging or three-dimensional (3D) computed tomography (CT), which detect all mineral in 3D, reveals that both dominant and recessive (except types XIV and XV) OI bone is hypermineralized. On histomorphometry, dominant OI bone has proper formation of lamel lae but increased turnover, causing decreased bone volume. Type V OI has mesh-like bone lamellae, as well as a dislocated radial head, and may have hyperplastic callus formation, while type VI OI has distinc tive fish scale lamellae on polarized light microscopy. Many OI patients across the severity spectrum have increased ligamentous laxity. Patients with defects in processing the N-terminal propeptide of type I procollagen have large and small joint hypermobil ity similar to EDS. Muscle weakness of unknown etiology also occurs in OI, and the weakness and ligamentous laxity contribute to delayed motor development. Pulmonary The leading cause of death in OI is pulmonary disease. Young children with severe OI often have repeated pneumonia; restric tive or obstructive disease develops in most older children and adults. Pulmonary function is impaired by marked scoliosis and chest wall deformity but also arises from intrinsic defects of lung parenchyma containing type I collagen, as shown by declining pulmonary function over time in children without scoliosis. More recent studies have rein forced the significant role of intrinsic lung abnormalities in OI, dem onstrating reduced gas exchange, reduced airflow in small airways, and atelectasis in most individuals with collagen structural abnormalities. Bronchial thickening at the level of subsegmental bronchi in almost all patients further indicates the critical role of small airways. Mice with null CRTAP mutations (type VII OI) have abnormal alveolar develop ment, and patients with recessive forms also have pulmonary complica tions. Evaluation of even asymptomatic moderate to severe OI patients by spirometry should initiate standard pulmonary interventions. Cardiovascular Cardiovascular effects of OI manifest predomi nantly in adults. With type I collagen as a major component of matrix in cardiac valves and aortic wall, the most frequent manifestations are valvular, especially mitral regurgitation and aortic root dilatation. Impaired mechanical properties occasionally lead to aortic dissection. Echocardiography is appropriate with heart murmurs or cardiac symp toms and every 3–5 years in asymptomatic patients. Dentinogenesis Imperfecta Dentinogenesis imperfecta (DI) is associated with types III and IV OI and recessive types with collagen processing defects. Tooth agenesis, especially of premolars, is also found in types III/IV OI. Teeth with disturbed formation of dentin dur ing development may be translucent gray or have yellowish or brown ish discoloration. Defects are manifest predominantly in primary teeth; detection in secondary teeth may require radiographs to identify 3325 </w:t>
      </w:r>
      <w:r w:rsidRPr="00A6019F">
        <w:lastRenderedPageBreak/>
        <w:t xml:space="preserve">Heritable Disorders of Connective Tissue CHAPTER 425 TABLE 425-2 Different Types of Osteogenesis Imperfecta (OI)  OI TYPE INHERITANCE DEFECTIVE GENE PROTEIN OMIM LOCUS HYPERMINERALIZATION DISTINGUISHING FEATURES Defects in collagen structure and processing I AD COL1A1 Collagen α1 166200 17q21.33 Yes Loss of function of one of the COL1A1 alleles II–IV AD COL1A1, COL1A2 Collagen α1 or α2 166210, 259420, 166220 17q21.33, 7q21.3 Yes Structural defects in collagen helix or C-propeptides Procollagen processing defects OI/EDS AD COL1A1, COL1A2 Procollagen α1 or α2 NA 17q21.33, 7q21.3 Yes Defects in 90 residues at N-terminus of collagen helix that decrease pN-processing HBM AD COL1A1, COL1A2 Collagen α1 or α2 NA 17q21.33 Yes Defects in C-propeptide cleavage site, DXA normal to increased XII AR BMP1 BMP1 614856 8p21.3 Yes Deficiency of C-propeptidase; skeletal deformity severe plus rhizomelia, scoliosis; overlaps AD defects in type I collagen C-propeptide cleavage site Bone mineralization defects V AD IFITM5 BRIL (BRIL5’ MALEP) 610967 11p15.5 Yes Calcification of interosseous membrane, dense metaphyseal band, hyperplastic callus, mesh-like pattern in lamellar bone Atypical VI AD IFITM5 BRIL (BRIL Ser40Leu) 610967 11p15.5 Yes Increased osteoid, fish scale pattern in lamellar bone, increased ALP levels in childhood, symptom onset at birth VI AR SERPINF1 PEDF 613982 17p13.3 Yes PEDF deficiency, increased osteoid, fish scale pattern in lamellar bone, increased ALP levels in childhood, onset after age 1 year Defects in collagen modification VII AR CRTAP CRTAP 610682 3q22.3 Yes Absent procollagen prolyl 3-hydroxylation; full OM, rhizomelia, white sclerae VIII AR LERPE1 P3H1 610915 1p34.2 Yes Absent procollagen prolyl 3-hydroxylation; full OM, rhizomelia, “popcorn” metaphyses; white sclerae IX AR PPIB CyPB 259440 15q22.31 Yes Absent procollagen prolyl 3-hydroxylation; helix modification varies, without rhizomelia, white sclerae XIV AR TMEM38B TRIC-B 615066 9q31.2 No Decreased modification of collagen helix; Bedouin founder mutation; normal teeth, hearing Defects in collagen folding and cross-linking X AR SERPINH1 HSP47 613848 11q13.5 ND Severe skeletal deformity, blue sclerae, DI, skin abnormalities, inguinal hernias XXI AR KDELR2 KDEL ER protein retention receptor; interacts with HSP47 619131 7p22.1 ND Short stature, progressive skeletal deformation; dysmorphic facies, failure to thrive, hypotonia, joint hypermobility XI AR FKBP10 FKBP65 610968 17q21.2 Yes May have congenital contractures NA AR PLOD2 LH2 609220 3q24 Yes Progressive joint contractures Osteoblast function and differentiation XIII AR SP7 OSTERIX 613849 12q13.13 ND Severe skeletal deformity, delayed tooth eruption, facial hypoplasia XV AD/AR WNT1 WNT1 615220 12q13.12 No AR cases have severe progressive OI; may have neurologic defects XVI AR CREB3L1 OASIS 616215 11p11.2 Yes Defect in RIP pathway; Oasis substrate of S1P/S2P; severe skeletal fragility and deformity XVII AR SPARC SPARC 616507 5q33.1 Yes Progressive severe bone fragility; hypotonia, joint laxity XVIII XR MBTPS2 S2P 301014 Xp22.12 Yes X-linked OI, defect in RIP pathway; moderate to severe fragility, bowing; rhizomelia Unclassified disorders XIX AR TEMT5A FAM46A 617952 6q14.1 ND Defect in BMP/TGF-β signaling pathway; poly-adenylates transcripts of type I collagen, SERPINF1, and SPARC; severe to lethal OI; </w:t>
      </w:r>
      <w:r w:rsidRPr="00A6019F">
        <w:lastRenderedPageBreak/>
        <w:t xml:space="preserve">hyperlaxity, motor delay XX AR MESD LRP chaperone MESD 618644 15q25.1 ND Progressive deforming OI; severe to lethal; survivors have dental disorganization and intellectual disability; also classified with LRP5/6-related disorders XXII AR CCDC134 Coiled-coil domain containing protein 134 618788 22q13.2 ND Severe OI with pseudoarthrosis; could also be classified with MAPK/ERK skeletal dysplasias Abbreviations: AD, autosomal dominant; ALP, alkaline phosphatase; AR, autosomal recessive; BMP, bone morphogenetic protein; DI, dentinogenesis imperfect; DXA, dual-energy x-ray absorptiometry; EDS, Ehlers-Danlos syndrome; HBM, high bone mass; NA, not applicable; ND, not determined; OI, osteogenesis imperfecta; OM, overmodification; OMIM, Online Mendelian Inheritance in Man; TGF, transforming growth factor. 3326 characteristic narrow or obliterated pulp chambers. Crumbling at the dentin-enamel junction may require capping of teeth. Hypoplastic maxilla and relative mandibular prognathism in moderate to severe OI can result in type III malocclusion and impair normal chewing, requir ing surgical correction. PART 12 Endocrinology and Metabolism Hearing Loss About half of patients with types I, III, and IV OI develop hearing loss, but its incidence in recessive types is unknown. Hearing loss usually begins in the second decade and progresses. The initial conductive loss, based on changes in the inner ear leading to stapes footplate fixation, can evolve into a mixed conductive and senso rineural loss. Regular screening allows referral for hearing aids, stapes surgery, or cochlear implants, as appropriate. Other Features A variable intensity of blue or grayish sclerae is a well-known feature of OI. The color is most striking with collagen defects, especially types I and II OI and defects that affect N-terminal procollagen processing. Blue sclerae often occur in other connective tissue disorders such as EDS or MFS and may occur in individu als without connective tissue defects. Severe neonatal OI with white sclerae should prompt consideration of recessive forms, especially prolyl 3-hydroxylation defects. Abnormalities of the skull base, such as platybasia and basilar invagination, sometimes progress to clini cally devasting basilar impression. Patients with height Z-scores of or c.1138G&gt;C) in FGFR3, both resulting in the amino acid change p.Gly380Arg. Most patients harbor a sporadic new (de novo) mutation, and therefore, this nucleotide change is one of the most common recurring mutations in the human genome. The muta tion causes unregulated signal transduction through the receptor and inappropriate development of cartilage. Mutations that alter other domains of FGFR3 have been found in patients with the more severe disorders of hypochondroplasia and thanatophoric dysplasia and in a few families with a variant of craniosynostosis. However, most patients with craniosynostosis appear to have mutations in the related FGFR2 gene. The similarities between the phenotypes produced by mutations in genes for fibroblast growth factor (FGF) receptors and mutations in structural proteins of cartilage are probably explained by the observa tion that the activity of FGFs is regulated in part by binding of FGFs to proteins sequestered in the extracellular matrix. Therefore, the situ ation parallels the interactions between transforming growth factors (TGFs) and fibrillin in MFS (see below). Other mutations </w:t>
      </w:r>
      <w:r w:rsidRPr="00A6019F">
        <w:lastRenderedPageBreak/>
        <w:t xml:space="preserve">involve the proteoglycans of cartilage, aggrecan (AGC1) and perlecan (HSPG2), and in the proteoglycan posttransla tional sulphation pathway (DTDST, PAPSS2, and CHST3). Diagnosis The diagnosis of CDs is made on the basis of the physi cal appearance, slit-lamp eye examinations, x-ray findings, histologic changes, and clinical course. Targeted gene and exome sequencing or more global sequencing strategies are used for molecular diagnosis. Given the wide spectrum of CD phenotypes, these genetic tests are becoming critical diagnostic tools. For Stickler syndrome, more precise diagnostic criteria have made it possible to identify type I variants with mutations in the COL2A1 gene with a high degree of accuracy. It has been suggested that the type II variant with mutations in the COL11A1 gene can be identified on the basis of a “beaded” vitreous phenotype and that the type III variant with mutations in the COL11A2 gene can be identified on the basis of the characteristic systemic features without the ocular involvement. Prenatal diagnosis based on analysis of DNA obtained from chorionic villus or amniotic fluid is possible. TREATMENT Chondrodysplasias The treatment of CDs is symptomatic and is directed to secondary features such as degenerative arthritis. Many patients require joint replacement surgery and corrective surgery for cleft palate. The eyes should be monitored carefully for the development of cataracts and the need for laser therapy to prevent retinal detachment. In general, patients should be advised to avoid obesity and contact sports. Counseling for the psychological problems of short stature is critical. A randomized, double-blind, phase 3, placebo-controlled, multicenter trial with vosoritide, a biologic analogue of C-type natriuretic peptide, which is a potent stimulator of endochondral ossification, in children with achondroplasia showed that this is an effective and safe treatment to increase growth in children with achondroplasia. </w:t>
      </w:r>
      <w:r w:rsidRPr="00A6019F">
        <w:rPr>
          <w:rFonts w:ascii="Arial" w:hAnsi="Arial" w:cs="Arial"/>
        </w:rPr>
        <w:t>■</w:t>
      </w:r>
      <w:r w:rsidRPr="00A6019F">
        <w:t xml:space="preserve">HERITABLE THORACIC AORTIC ANEURYSM DISEASE CHAPTER 425 Heritable Disorders of Connective Tissue Heritable thoracic aortic aneurysm disease (HTAD) encompasses conditions in which aortic disease has a familial occurrence, due to an underlying genetic defect. HTAD is classified as syndromic or nonsyn dromic. Syndromic HTAD may be associated with ocular, craniofacial, musculoskeletal, and skin features, with a recognizable, yet sometime subtle, phenotype. They are caused by mutations in genes that code for extracellular matrix proteins. Besides syndromic HTAD, there are several nonsyndromic forms of HTAD; patients with these conditions do not display an outward recognizable phenotype and are classified as having familial thoracic aortic aneurysm (FTAA). More extensive genetic screening in cohorts of patients with thoracic aortic aneurysm is, however, slowly revealing that there is no strict boundary between syndromic and nonsyndromic HTAD entities (Table 425-4) (Chap. 291). Classification The most common form of syndromic HTAD is MFS, caused by mutations in the gene for fibrillin-1 (FBN1). MFS was initially characterized by a triad of features: (1) skeletal changes that include long, thin extremities, frequently associated with loose joints; (2) reduced vision as the result of dislocations of the lenses (ectopia lentis); and (3) aortic aneurysms. An international panel has developed a series of revised Ghent criteria that are useful in clas sifying patients. Other major </w:t>
      </w:r>
      <w:r w:rsidRPr="00A6019F">
        <w:lastRenderedPageBreak/>
        <w:t xml:space="preserve">syndromic HTADs include the different genetic variants of Loeys-Dietz syndrome (LDS) (TGFBR1, TGFBR2, TGFB2, TGFB3, SMAD2, and SMAD3). Rare forms of syndromic HTAD include Shprintzen-Goldberg syndrome (SKI), Meester-Loeys syndrome (BGN), and arterial tortuosity syndrome (ATS) (SLC2A10). Incidence and Inheritance The incidence of MFS is among the highest of any heritable disorder: ~1 in 3000–5000 births in most racial and ethnic groups. The related syndromes are less common. Muta tions are generally inherited as autosomal dominant traits, but about one-fourth of patients have sporadic new mutations. The LDSs are less common, but their exact incidence is currently unknown. Skeletal Effects Patients with MFS typically display a marfanoid habitus with tall stature and long limbs. The ratio of the upper segment (top of the head to the top of the pubic ramus) to the lower segment 3332 TABLE 425-4 Heritable Thoracic Aortic Disease and Associated Genes and Proteins GENE Extracellular matrix proteins TGF-β signaling PART 12 Endocrinology and Metabolism Smooth muscle contraction COL3A1 FBN1 MFAP5 LOX TGFBR1 TGFBR2 SMAD3 TGFB2 TGFB3 SMAD2 ACTA2 MYH11 MYLK PRKG1 PROTEIN α1(III) collagen chain Fibrillin 1 Microfibrillar associated protein 5 Lysyl oxidase Transforming growth factor receptor 1 Transforming growth factor receptor 2 Mothers against decapentaplegic drosophila homolog 3 Transforming growth factor β2 Transforming growth factor β3 Mothers against decapentaplegic drosophila homolog 2 Smooth muscle actin α2 Smooth muscle myosin heavy chain 11 Myosin light chain kinase Protein kinase cGMP-dependent type 1 CONDITION Vascular EDS Marfan syndrome Familial thoracic aortic aneurysm 9 Familial thoracic aortic aneurysm 10 Loeys-Dietz syndrome 1 Loeys-Dietz syndrome 2 Loeys-Dietz syndrome 3 Loeys-Dietz syndrome 4 Loeys-Dietz syndrome 5 Arterial aneurysms and dissections Familial thoracic aortic aneurysm 6 Familial thoracic aortic aneurysm 4 Familial thoracic aortic aneurysm 7 Familial thoracic aortic aneurysm 8 Abbreviations: EDS, Ehlers-Danlos syndromes; OMIM, Online Mendelian Inheritance in Man; TGF, transforming growth factor. (top of the pubic ramus to the floor) is usually 2 standard deviations below mean for age, race, and sex. The fingers and hands are long and slender and have a spider-like appearance (arachnodactyly). Overlap ping features in MFS and LDS include scoliosis or kyphoscoliosis; anterior chest deformities, including pectus excavatum, pectus carina tum, or asymmetry; pes planus; pneumothorax; and dural ectasia. A few patients have severe joint hypermobility similar to EDS. Clubfeet, joint contractures, and cervical spine instability are more frequently observed in LDS. Patients with SMAD3 mutations are particularly prone to premature OA. Cardiovascular Features Cardiovascular abnormalities are the major source of morbidity and mortality both in MFS and LDS (Chap. 291). Patients with MFS often have mitral valve prolapse that develops early in life and that progresses to mitral valve regurgitation of increasing severity in about one-quarter of patients. Dilation of the root of the aorta and the sinuses of Valsalva are characteristic and omi nous features of MFS that can develop at any age. The rate of dilation is unpredictable, but it can lead to aortic regurgitation, dissection of the aorta, and rupture. Dilation is probably accelerated by </w:t>
      </w:r>
      <w:r w:rsidRPr="00A6019F">
        <w:lastRenderedPageBreak/>
        <w:t xml:space="preserve">physical and emo tional stress as well as by pregnancy. Cardiovascular features of LDS also include dilatation of the aortic root at the level of the sinus of Valsalva, which can progress to dissection or rupture when left untreated. LDS is also known for its involvement of aneurysms affecting arterial branches of head, neck, thoracic and abdominal aorta, lung, and lower extremities and for the presence or tortuosity of these vessels. In contrast to MFS, congenital heart malformations are often noted. OMIM 130050 154700 616166 617168 609192 610168 613795 614816 615582 / 611788 132900 613780 615436 LOCUS 2q32 15q21.1 12p13.31 5q23.1 9q22.33 3p24.1 15q22.33 1q41 14q23.3 18q21.1 10q23.31 16p13.11 3q21.1 10q11.2-q21.1 exons. Approximately 10% are recurrent mutations that are largely located in CpG sequences known to be “hot spots.” About one-third of the mutations introduce premature termination codons, and about two-thirds are missense mutations that alter calcium-binding domains in the repetitive epidermal growth factor–like domains of the protein. Rarer mutations alter the processing of the protein. As in many genetic diseases, the severity of the phenotype cannot be predicted from the nature of the mutation. In LDS, components of the TGF-β signaling pathway are mutated, including the cytokines (TGFβ2, TGFβ3), the receptors (TGFBR1, TGFBR2), and the downstream effectors (SMAD2, SMAD3). Ocular Features Myopia is the most common ocular feature of MFS and often presents in early childhood. Displacement of the lens from the center of the pupil (ectopia lentis) occurs in ~60% of MFS patients. The ocular globe is frequently elongated. Retinal detachment, early cataract formation, and glaucoma can occur. Ectopia lentis does not usually occur in LDS, but other ocular features may be present, such as blue sclerae, strabismus, amblyopia, and myopia. Other Features MFS patients typically have a high arched palate. Patients with LDS characteristically display hypertelorism (widely spaced eyes) and cleft palate or bifid (split) uvula. They may also have craniosynostosis. Shared mucocutaneous features include striae, typi cally over the shoulders and buttocks, and inguinal and incisional her nias. Patients with LDS may display more EDS-like skin features, such as thin translucent skin and widened scars. Molecular Defects Approximately 95% of MFS patients are explained by FBN1 defects, and so far, over 2000 different FBN1 mutations have been described. Mutations in the same gene are found in a few patients who do not meet the Ghent criteria. Most FBN1 gene mutations are unique and are scattered throughout its 65 coding The discovery that various conditions with pronounced clinical overlap with MFS were caused by mutations in genes coding for direct effectors and/or regulators of TGFβ signaling, including LDS, revealed that FBN1 mutations not only lead to weakening of the extracellular matrix structure, but also influence the bioavailability of TGFβ. As a result, some of the manifestations of MFS have been shown to arise from alterations in binding sites that modulate TGFβ bioavailability during development of the skeleton and other tissues. In aortic tis sues, reduced or altered forms of fibrillin-1 can stimulate the release of sequestered TGFβ and increase its activity. This results in altered transcription of target genes, including connective tissue growth factor and matrix </w:t>
      </w:r>
      <w:r w:rsidRPr="00A6019F">
        <w:lastRenderedPageBreak/>
        <w:t xml:space="preserve">metalloproteinases MMP2 and MMP9. The aortic pheno type is therefore caused by vascular remodeling due to a combination of structural microfibril changes, excess TGFβ, and overexpression of MMP-2 and MMP-9. The role of TGFβ in the pathophysiology of MFS has been further solidified by therapeutic use of angiotensin 2 recep tor blockers (ARBs), proven to decrease TGFβ activity, to reduce the progression of aortic dilation. However, clinical trials with ARBs did not provide evidence of a dramatic decrease or prevention of aortic growth with ARBs. Diagnosis When HTAD is present, genetic testing can confirm the diagnosis and allow identification of at-risk individuals. Referral to a specialty genetics service is critically important, and genetic counsel ing before testing is recommended. In view of phenotypic overlap between the syndromic HTAD, a multigene panel (usually including genes for syndromic and nonsyndromic HTAD) is recommended. All patients with a suspected diagnosis of MFS should have a slit-lamp examination and an echocardiogram. Also, homocystinuria should be ruled out by amino acid analysis of plasma (Chap. 431). The diagnosis of MFS according to the international Ghent standards places empha sis on two cardinal features, dilation of the ascending aorta with or without dissection and ectopia lentis. Other cardiovascular and ocular manifestations and findings in other organ systems such as the skel eton, dura, skin, and lungs contribute to a systemic score that guides diagnosis when aortic disease is present but ectopia lentis is not. 3333 TREATMENT Marfan and Loeys-Dietz Syndromes Patients should be advised that vascular risks are increased by severe physical exertion, smoking, emotional stress, and pregnancy. Low-level moderate aerobic exercise and limits on isometric exer cise are recommended. Prophylactic beta blocker and/or angio tensin II receptor blocker therapy are prescribed in normotensive individuals, and blood pressure control is important for those with hypertension. Surgical correction of the aorta, aortic valve, and mitral valve has been successful in many patients, but tissues are frequently friable. The scoliosis tends to be progressive, and surgi cal stabilization may be required. Dislocated lenses rarely require surgical removal, but patients should be followed closely for retinal detachment. Acknowledgment Darwin J. Prockop and John F. Bateman contributed to this chapter in the 20th edition and some material from that chapter has been retained here. </w:t>
      </w:r>
      <w:r w:rsidRPr="00A6019F">
        <w:rPr>
          <w:rFonts w:ascii="Arial" w:hAnsi="Arial" w:cs="Arial"/>
        </w:rPr>
        <w:t>■</w:t>
      </w:r>
      <w:r w:rsidRPr="00A6019F">
        <w:t xml:space="preserve">FURTHER READING Besio R et al: Bone biology: Insights from osteogenesis imperfecta and related rare fragility syndrome. FEBS J 286:3033, 2019. De Backer J et al: Genetic testing for aortopathies: Primer for the nongeneticist. Curr Opin Cardiol 34:585, 2019. Jovanovic M et al: Osteogenesis imperfecta: Mechanisms and signal ing pathways connecting classical and rare OI types. Endocr Rev 12:61, 2022. Loeys BL et al: The revised Ghent nosology for the Marfan syndrome. J Med Genet 47:476, 2010. Malfait F et al: The Ehlers-Danlos syndromes. Nat Rev Dis Primers 6:64, 2020. Marini JC et al: Osteogenesis imperfecta. Nat Rev Dis Primers 3:17052, 2017. Marzin P, Cormier-Daire V: New perspectives on the treatment of skeletal dysplasia. Ther Adv Endocrinol Metab 11:2042018820904016, 2020. Unger S et al: Nosology and classification of genetic skeletal disorders: 2023 revision. Am J Med Genet A 191:1164, 2023. 426 </w:t>
      </w:r>
      <w:r w:rsidRPr="00A6019F">
        <w:lastRenderedPageBreak/>
        <w:t xml:space="preserve">Hemochromatosis Darrell H. G. Crawford, David M. Frazer </w:t>
      </w:r>
      <w:r w:rsidRPr="00A6019F">
        <w:rPr>
          <w:rFonts w:ascii="Arial" w:hAnsi="Arial" w:cs="Arial"/>
        </w:rPr>
        <w:t>■</w:t>
      </w:r>
      <w:r w:rsidRPr="00A6019F">
        <w:t xml:space="preserve">DEFINITION Hemochromatosis is a relatively common inherited disorder of iron metabolism more prevalent in European populations. It is now known to be an iron-storage disorder with underlying genetic heterogeneity that, in nearly all cases, causes inappropriately high cellular release of iron from iron exporting cells such as enterocytes and macrophages. The increase in intestinal iron absorption results in the deposition of excess iron in parenchymal cells with eventual cellular injury, tissue fibrosis, and organ failure. Cirrhosis of the liver, diabetes mellitus, arthritis, cardiomyopathy, and hypogonadotropic hypogonadism are the most important clinical consequences. The term hemochromatosis describes the unique genetic clinical pathologic condition with features of increased serum transferrin saturation, iron overload in the liver but not the spleen, prevalent involvement of periportal hepatocytes with iron sparing of Kupffer cells, and/or signs and symptoms of iron overload. These characteris tics should occur in the absence of a primary/predominant red blood cell disorder to distinguish hemochromatosis from other iron overload conditions, which are also often genetic in origin. The condition is most often caused by a mutation in the homeostatic iron regulator (HFE) gene, which is tightly linked to the HLA-A locus on chromosome 6p. Persons who are homozygous for the mutation are at increased risk of iron overload and account for 80–90% of hemo chromatosis in persons of northern European descent. In such subjects, the presence of hepatic fibrosis, cirrhosis, arthropathy, or hepatocel lular carcinoma constitutes iron overload–related disease. Rarer forms of non-HFE hemochromatosis are caused by mutations in other genes involved in iron metabolism (Table 426-1). The disease is now often diagnosed during its early stages when iron overload and organ dam age are minimal. Secondary iron overload occurs as a result of an iron-loading anemia, such as thalassemia or sideroblastic anemia, in which erythropoiesis is ineffective and causes increased intestinal iron absorption. In the acquired iron-loading disorders, massive iron deposits in parenchy mal tissues can lead to the same clinical and pathologic features as in hemochromatosis. </w:t>
      </w:r>
      <w:r w:rsidRPr="00A6019F">
        <w:rPr>
          <w:rFonts w:ascii="Arial" w:hAnsi="Arial" w:cs="Arial"/>
        </w:rPr>
        <w:t>■</w:t>
      </w:r>
      <w:r w:rsidRPr="00A6019F">
        <w:t>PREVALENCE The prevalence of HFE-associated hemochromatosis mutations varies among different ethnic groups. It is most common in populations of northern European extraction in whom ~1 in 10 persons are hetero zygous carriers and 0.3</w:t>
      </w:r>
      <w:r w:rsidRPr="00A6019F">
        <w:rPr>
          <w:rFonts w:ascii="Aptos" w:hAnsi="Aptos" w:cs="Aptos"/>
        </w:rPr>
        <w:t>–</w:t>
      </w:r>
      <w:r w:rsidRPr="00A6019F">
        <w:t xml:space="preserve">0.5% are homozygotes, with even higher per centages in some Celtic populations such as those residing in Ireland and Brittany. The expression of the disease is variable and modified by several factors, especially alcohol consumption, dietary iron intake, blood loss associated with menstruation and pregnancy, and blood donation. Recent population studies indicate that ~40% of homozy gous men develop iron overload–related complications and about 6% develop hepatic cirrhosis. For women, iron overload–related complica tions occur in ~10%. In addition, there are as yet unidentified modify ing genes responsible for variable disease expression. Nearly 70% of untreated patients develop the first symptoms between ages 40 and 60. The disease is rarely evident before age 20, although with family screening (see “Screening for Hemochromatosis,” below) and periodic CHAPTER </w:t>
      </w:r>
      <w:r w:rsidRPr="00A6019F">
        <w:lastRenderedPageBreak/>
        <w:t xml:space="preserve">426 Hemochromatosis TABLE 426-1 Classification of Iron Overload States Hereditary Hemochromatosis Hemochromatosis, HFE-related (type 1) C282Y homozygosity C282Y/H63D compound heterozygosity Hemochromatosis, non-HFE-related Juvenile hemochromatosis (type 2A) (hemojuvelin mutations) Juvenile hemochromatosis (type 2B) (hepcidin mutation) Mutated transferrin receptor 2, TFR2 (type 3) Mutated ferroportin 1 gene, SLC40A1 (type 4) Acquired Iron Overload Iron-loading anemias Thalassemia major Sideroblastic anemia Chronic hemolytic anemias Transfusional and parenteral iron overload Dietary iron overload Miscellaneous Chronic liver disease Hepatitis C Alcoholic cirrhosis, especially when advanced Nonalcoholic steatohepatitis Porphyria cutanea tarda Dysmetabolic iron overload syndrome Post-portacaval shunting Iron overload in sub-Saharan Africa Neonatal iron overload Aceruloplasminemia Congenital atransferrinemia 3334 health examinations, asymptomatic subjects with iron overload can be identified, including young menstruating women. PART 12 Endocrinology and Metabolism Mutations in other genes involved in iron metabolism are respon sible for non-HFE-associated hemochromatosis. In contrast to HFE associated hemochromatosis, the non-HFE-associated forms of hemochromatosis (Table 426-1) are rare, but they affect all populations and may affect young people (juvenile hemochromatosis). These con ditions result from mutations in one or more of the genes encoding proteins in the hepcidin pathway (Fig. 426-1), including hepcidin, hemojuvelin, and transferrin receptor 2 (TFR2). The resultant clinical disease is very similar to HFE-related disease because they all lead to hepcidin deficiency via a final common pathway (Fig. 426-1). A rare autosomal dominant form of hemochromatosis results from two types of mutations in the gene for the iron transporter ferroportin. Loss-of-function mutations decrease the cell surface localization of ferroportin in certain tissues, thereby reducing its ability to export iron (“ferroportin disease”) and causing cellular iron retention, particularly DMT1 DCYTB in macrophages. A second mutation abolishes the hepcidin-induced ferroportin internalization and degradation resulting in a “gain of func tion.” Here the tissue iron distribution is similar to that in HFE-related disease (e.g., in parenchymal cells). </w:t>
      </w:r>
      <w:r w:rsidRPr="00A6019F">
        <w:rPr>
          <w:rFonts w:ascii="Arial" w:hAnsi="Arial" w:cs="Arial"/>
        </w:rPr>
        <w:t>■</w:t>
      </w:r>
      <w:r w:rsidRPr="00A6019F">
        <w:t xml:space="preserve">GENETIC BASIS The most common mutation in the HFE gene is a homozygous G to A transition that leads to a cysteine to tyrosine substitution at position 282 (C282Y) of the HFE protein. It has been identified in 85–90% of patients with hereditary hemochromatosis in populations of northern European descent but is found in only 60% of cases from Medi terranean populations. A second, relatively common HFE variant (H63D) results in a substitution of aspartic acid for histidine at residue 63 of the HFE protein. Homozygosity for H63D is not associated with clinically significant iron overload. Some compound heterozygotes (i.e., one copy each of C282Y and H63D) have mild to moderately increased body-iron stores but develop clinical disease only in association with Plasma Transferrin Heph Villus Crypt Duodenum Liver FPN HFE/TFR1 TFR2 Hepcidin TMPRSS6 HJV Erythroferrone BMP6 BMPR ? P Hepcidin P P SMAD Bone marrow RBC FPN Hepcidin Macrophage FIGURE 426-1 Pathways of normal iron </w:t>
      </w:r>
      <w:r w:rsidRPr="00A6019F">
        <w:lastRenderedPageBreak/>
        <w:t xml:space="preserve">homeostasis. Dietary inorganic iron traverses the brush border membrane of duodenal enterocytes via divalent metal-ion transporter 1 (DMT1) after reduction of ferric (Fe3+) iron to the ferrous (Fe2+) state by intestinal ferrireductases such as duodenal cytochrome B (DCYTB). Iron then moves from the enterocyte to the circulation via a process requiring the basolateral iron exporter ferroportin (FPN) and the iron oxidase hephaestin (Heph). In the circulation, iron binds to plasma transferrin and is thereby distributed to sites of iron utilization and storage. Much of the diferric transferrin supplies iron to immature erythrocyte cells in the bone marrow for hemoglobin synthesis. At the end of their life, senescent red blood cells (RBCs) are phagocytosed by macrophages, and iron is returned to the circulation after export through ferroportin. The liver-derived peptide hepcidin represses basolateral iron transport in the gut as well as iron released from macrophages and other cells and serves as a central regulator of body-iron traffic. At least two separate signals regulate hepcidin production in response to changes in body-iron requirements. The first involves the detection of circulating diferric transferrin by HFE and TFR2. A second relies on hepatic iron stores activating the hemojuvelin (HJV)-dependent bone morphogenetic protein (BMP)/SMAD pathway. This pathway is modified by erythroferrone released from erythroid precursor cells, which binds to BMP6 and inhibits its function. TMPRSS6 is a protease that regulates hepcidin production, possibly by modulating HJV activity. Heme is metabolized by heme oxygenase within the enterocytes, and the released iron then follows the same pathway. Mutations in the genes encoding HFE, TFR2, HJV, and hepcidin all lead to decreased hepcidin release and increased iron absorption, resulting in hemochromatosis (Table 426-1). cofactors such as heavy alcohol intake or hepatic steatosis. HFE associated hemochromatosis is inherited as an autosomal recessive trait, and heterozygotes have no, or minimal, increase in iron stores. However, this slight increase in hepatic iron can act as a cofactor that may modify the expression of other diseases such as porphyria cutanea tarda (PCT) or metabolic dysfunction associated steatohepatitis (MASH). </w:t>
      </w:r>
      <w:r w:rsidRPr="00A6019F">
        <w:rPr>
          <w:rFonts w:ascii="Arial" w:hAnsi="Arial" w:cs="Arial"/>
        </w:rPr>
        <w:t>■</w:t>
      </w:r>
      <w:r w:rsidRPr="00A6019F">
        <w:t xml:space="preserve">PATHOPHYSIOLOGY AND THE ROLE OF HEPCIDIN Normally, the body-iron content of 3–4 g is maintained as a result of intestinal mucosal absorption of iron being equal to iron loss. This amount is ~1 mg/d in men and 1.5 mg/d in menstruating women. In hemochromatosis, intestinal iron absorption is greater than body requirements and amounts to ≥4 mg/d. The progressive accumulation of iron increases plasma iron concentration and saturation of transfer rin and results in a progressive increase of plasma ferritin (Fig. 426-2). Hepcidin is a key regulatory hormone that allows the bone marrow and other tissues to communicate their iron requirements. It was called hepcidin based upon its antibacterial activity (“HEPatic bacterioCIDal proteIN”). This liver-derived peptide represses basolateral iron export from intestinal enterocytes and iron release from macro phages and other cells by binding to ferroportin. Hepcidin, in turn, responds to signals in the liver mediated by HFE, TFR2, and hemo juvelin (Fig. 426-1). The development of hepcidin agonists represents a promising new therapeutic approach for iron overload disorders caused by low hepcidin levels. The HFE gene </w:t>
      </w:r>
      <w:r w:rsidRPr="00A6019F">
        <w:lastRenderedPageBreak/>
        <w:t xml:space="preserve">encodes a 343-amino-acid protein that is structurally related to MHC class I proteins. The basic defect in HFE-associated hemochromatosis is a lack of cell surface expression of HFE (due to the C282Y mutation). The normal (wild-type) HFE protein forms a complex with β2-microglobulin and transferrin receptor 1 (TFR1), and the C282Y mutation completely abrogates this interaction. As a result, the mutant HFE protein remains trapped intracellularly. Although the precise function of HFE at the cell surface is not known, mutations in this protein reduce hepcidin production leading to increased dietary iron absorption (Fig. 426-1). In advanced disease, the body may con tain 20 g or more of iron, which is deposited mainly in parenchymal cells of the liver, pancreas, and heart. Iron deposition in the pituitary 1500 Serum ferritin concentration (µg/L) 1000 500 0 Age (yrs.) Normal range 0 10 20 30 40 50 Cirrhosis, organ failure Progressive tissue injury Increased total body iron Increased hepatic iron Increased serum iron Increased iron absorption FIGURE 426-2 Sequence of events in genetic hemochromatosis and their correlation with the serum ferritin concentration. Increased iron absorption is present throughout life. Overt, symptomatic disease usually develops between ages 40 and 60, but latent disease can be detected long before this. causes hypogonadotropic hypogonadism in both men and women. Tissue injury results from disruption of iron-laden lysosomes, lipid peroxidation of subcellular organelles by excess iron, and stimulation of collagen synthesis by activated hepatic stellate cells. Secondary iron overload with iron deposition in parenchymal cells occurs in chronic disorders of erythropoiesis, particularly in those with defects in hemoglobin synthesis and ineffective erythro poiesis such as sideroblastic anemia and thalassemia (Chap. 103). In these disorders, iron absorption is increased. Moreover, these patients require blood transfusions and are frequently treated inap propriately with iron. PCT, a disorder characterized by a defect in porphyrin biosynthesis (Chap. 428), can also be associated with excessive parenchymal iron deposits. The magnitude of the iron load in PCT is usually insufficient to produce tissue damage. However, some patients with PCT also have mutations in the HFE gene, and some have associated hepatitis C virus (HCV) infection. Although the relationship between these disorders remains to be clarified, iron overload accentuates the inherited enzyme deficiency in PCT and should be avoided along with other agents (alcohol, estrogens, halo aromatic compounds) that may exacerbate PCT. Another cause of hepatic parenchymal iron overload is hereditary aceruloplasminemia. In this disorder, impairment of iron mobilization due to deficiency of ceruloplasmin (a ferroxidase) causes iron overload in hepatocytes and a range of other cell types. Excessive iron ingestion over many years rarely results in hemochro matosis. An important exception has been reported in South Africa among groups who brew fermented beverages in vessels made of iron. Hemochromatosis has been described in apparently normal persons who have taken medicinal iron over many years, but such individuals probably had genetic disorders. 3335 CHAPTER 426 Hemochromatosis The common denominator in all patients with hemochromatosis is excessive amounts of iron in parenchymal tissues. Parenteral adminis tration of iron in </w:t>
      </w:r>
      <w:r w:rsidRPr="00A6019F">
        <w:lastRenderedPageBreak/>
        <w:t xml:space="preserve">the form of blood transfusions or iron preparations results predominantly in reticuloendothelial cell iron overload. This appears to lead to less tissue damage than iron loading of parenchymal cells. In the liver, parenchymal iron is in the form of ferritin and hemo siderin. In the early stages, these deposits are seen in the periportal parenchymal cells, especially within lysosomes in the pericanalicular cytoplasm of the hepatocytes. This stage progresses to perilobular fibrosis and the formation of fibrous septa due to activation of hepatic stellate cells. In the advanced stage, a macronodular or mixed macro- and micronodular cirrhosis develops. The underlying hepatic iron con centration is an important determinant of the risk of the development of hepatic fibrosis and cirrhosis. Histologically, iron is increased in many organs, particularly in the liver, heart, and pancreas, and, to a lesser extent, in the endocrine glands. The epidermis of the skin is thin, and melanin is increased in the cells of the basal layer and dermis. Deposits of iron are present around the synovial lining cells of the joints. </w:t>
      </w:r>
      <w:r w:rsidRPr="00A6019F">
        <w:rPr>
          <w:rFonts w:ascii="Arial" w:hAnsi="Arial" w:cs="Arial"/>
        </w:rPr>
        <w:t>■</w:t>
      </w:r>
      <w:r w:rsidRPr="00A6019F">
        <w:t xml:space="preserve">CLINICAL MANIFESTATIONS C282Y homozygotes can be characterized by their stage in the pro gression of disease as follows: (1) a genetic predisposition without biochemical or clinical abnormalities; (2) iron overload without symp toms; (3) iron overload with symptoms (e.g., arthritis and fatigue); and (4) iron overload with organ damage—in particular, cirrhosis. Many subjects with significant iron overload are asymptomatic. For example, in a study of 672 asymptomatic C282Y homozygous subjects (identi fied by either family screening or routine health examinations), there was hepatic iron overload (grades 2–4) in 56% and 34.5% of male and female subjects, respectively, hepatic fibrosis (stages 2–4) in 18.4% and 5.4%, respectively, and cirrhosis in 5.6% and 1.9%, respectively. Initial symptoms of hemochromatosis are often nonspecific and include lethargy, arthralgia, skin pigmentation, loss of libido, and features of diabetes mellitus. Hepatomegaly, increased pigmentation, spider angiomas, splenomegaly, arthropathy, ascites, cardiac arrhyth mias, congestive heart failure, loss of body hair, testicular atrophy, and jaundice are prominent in advanced disease. 3336 Hepatocellular carcinoma develops in ~30% of patients with cirrho sis, and it is the most common cause of death in treated patients with cirrhosis—hence the importance of early diagnosis and therapy. The incidence increases with age, it is more common in men, and it occurs almost exclusively in cirrhotic patients. PART 12 Endocrinology and Metabolism Excessive skin pigmentation is present in patients with advanced disease. The characteristic metallic or slate-gray hue is sometimes referred to as bronzing and results from increased melanin and iron in the dermis. Pigmentation usually is diffuse and generalized. Diabetes mellitus occurs in ~65% of patients with advanced disease and is more likely to develop in those with a family history of diabetes, suggesting that direct damage to the pancreatic islets by iron deposi tion occurs in combination with other risk factors. The management is similar to that of other forms of diabetes. Arthropathy develops in 25–50% of symptomatic patients. It usu ally occurs after age 50 but may occur as a first manifestation or long after therapy. The joints of the hands, especially the second and third metacarpophalangeal joints, are usually the first joints </w:t>
      </w:r>
      <w:r w:rsidRPr="00A6019F">
        <w:lastRenderedPageBreak/>
        <w:t xml:space="preserve">involved, a feature that helps to distinguish the chondrocalcinosis associated with hemochromatosis from the idiopathic form (Chap. 384). A progres sive polyarthritis involving the wrists, hips, ankles, and knees may also ensue. Acute attacks of synovitis may be associated with deposition of calcium pyrophosphate (chondrocalcinosis or pseudogout), mainly in the knees. Radiologic manifestations include cystic changes of the subchondral bones, loss of articular cartilage with narrowing of the joint space, diffuse demineralization, hypertrophic bone proliferation, and calcification of the synovium. The arthropathy tends to progress despite removal of iron by phlebotomy. Although the relation of these abnormalities to iron metabolism is not known, the fact that similar changes occur in other forms of iron overload suggests that iron is directly involved. Cardiac involvement is the presenting manifestation in ~15% of symptomatic patients. The most common manifestation is congestive heart failure, which occurs in ~10% of young adults with the disease, especially those with juvenile hemochromatosis. Symptoms of conges tive heart failure may develop suddenly, with rapid progression to death if untreated. The heart is diffusely enlarged. This may be misdi agnosed as idiopathic cardiomyopathy if other overt manifestations are absent. Cardiac arrhythmias include premature supraventricular beats, paroxysmal tachyarrhythmias, atrial flutter, atrial fibrillation, and vary ing degrees of atrioventricular block. Hypogonadism occurs in both sexes and may antedate other clinical features. Manifestations include loss of libido, impotence, amenorrhea, testicular atrophy, gynecomastia, and sparse body hair. These changes are primarily the result of decreased production of gonadotropins due to impairment of hypothalamic-pituitary function by iron deposition. </w:t>
      </w:r>
      <w:r w:rsidRPr="00A6019F">
        <w:rPr>
          <w:rFonts w:ascii="Arial" w:hAnsi="Arial" w:cs="Arial"/>
        </w:rPr>
        <w:t>■</w:t>
      </w:r>
      <w:r w:rsidRPr="00A6019F">
        <w:t xml:space="preserve">DIAGNOSIS The association of (1) hepatomegaly, (2) skin pigmentation, (3) dia betes mellitus, (4) heart disease, (5) arthritis, and (6) hypogonadism should suggest the diagnosis. However, as stated above, significant iron overload may exist with none or only some of these manifestations. Therefore, a high index of suspicion is needed to make the diagnosis early. Treatment before permanent organ damage occurs can reverse the iron toxicity and restore life expectancy to normal. The history should be particularly detailed in regard to disease in other family members and should include information on alcohol ingestion; iron intake; and ingestion of large doses of ascorbic acid, which promotes iron absorption (Chap. 344). Appropriate tests should be performed to exclude iron deposition due to hematologic disease. The presence of liver, pancreatic, cardiac, and joint disease should be confirmed by physical examination, radiography, and standard func tion tests of these organs. The degree of increase in total body iron stores can be assessed by (1) measurement of serum iron and the percent saturation of trans ferrin (or the unsaturated iron-binding capacity), (2) measurement of serum ferritin concentration, (3) liver biopsy with measurement of the iron concentration (Table 426-2), and (4) magnetic resonance imaging (MRI) of the liver to quantify hepatic iron stores. In addi tion, a retrospective assessment of body-iron storage is also provided by performing weekly phlebotomy and calculating the amount of iron removed before iron stores are exhausted (1 mL blood = </w:t>
      </w:r>
      <w:r w:rsidRPr="00A6019F">
        <w:lastRenderedPageBreak/>
        <w:t xml:space="preserve">~0.5 mg iron). Each of these methods for assessing iron stores has advantages and limitations. The serum iron level and percent saturation of transferrin are elevated early in the course, but their specificity is reduced by sig nificant false-positive and false-negative rates. For example, serum iron concentration may be increased in patients with alcoholic liver disease without iron overload (Table 426-2). In otherwise healthy persons, a fasting serum transferrin saturation &gt;45% is abnormal and suggests homozygosity for hemochromatosis. The serum ferritin concentration is used as an index of body-iron stores, whether decreased or increased. In fact, an increase of 1 μg/L in serum ferritin level reflects an increase of ~8–10 mg in body stores. In most untreated patients with hemochromatosis, the serum ferritin level is significantly increased (Fig. 426-2 and Table 426-2), and a serum ferritin level &gt;1000 μg/L is a strong predictor of cirrhosis among individuals homozygous for the C282Y mutation. However, in patients with hepatic necroinflammatory conditions such as alcoholic liver dis ease and metabolic dysfunction–associated steatotic liver disease, acute hepatocellular necrosis, or systemic inflammatory conditions, serum ferritin levels may be elevated out of proportion to body iron stores due to increased release from tissues. Therefore, a repeat determination of serum ferritin should be carried out after acute hepatocellular damage has subsided (e.g., in alcoholic liver disease). Ordinarily, the combined measurements of the percent transferrin saturation and serum ferritin level provide a simple and reliable screening test for hemochromatosis, including the precirrhotic phase of the disease. If either of these tests is abnormal, genetic testing for hemochromatosis should be performed (Fig. 426-3). The role of liver biopsy in the diagnosis and management of hemochromatosis has been reassessed as a result of the widespread availability of genetic testing for the C282Y mutation. The absence of severe fibrosis can be accurately predicted in most patients using clini cal and biochemical variables. Thus, there is virtually no risk of severe fibrosis in a C282Y homozygous subject with (1) serum ferritin level TABLE 426-2 Representative Iron Values in Normal Subjects, Patients with Hemochromatosis, and Patients with Alcoholic Liver Disease DETERMINATION Plasma iron, μmol/L (μg/dL) Total iron-binding capacity, μmol/L (μg/dL) Transferrin saturation, % Serum ferritin, μg/L  Men Women Liver iron, μg/g dry wt NORMAL 9–27 (50–150) 45–66 (250–370) 22–45 20–250     15–150     SYMPTOMATIC HEMOCHROMATOSIS 32–54 (180–300) 36–54 (200–300) 50–100 1000–6000 HOMOZYGOTES WITH EARLY, ASYMPTOMATIC HEMOCHROMATOSIS HETEROZYGOTES Usually elevated 36–54 (200–300) 50–100 200–500 300–1400 Hepatic iron index 2 2000–4000 1.5–2 Elevated or normal Normal Normal or elevated Usually 300 µgL Normal HFE genotype C282Y Homozygote C282Y/H63D (compound heterozygote) Serum ferritin–300–1000 µg/L LFT normal Serum ferritin &gt;1000 µg/L and/or LFT abnormal SF 200 μg per gram of dry weight (normal 20–50 μg) are characteristic of Wilson’s disease. Inductively coupled plasma mass spectrometry and atomic absorption spectrometry are preferred quantitative meth ods; histochemical staining for copper in liver biopsy specimens is considered less reliable. </w:t>
      </w:r>
      <w:r w:rsidRPr="00A6019F">
        <w:rPr>
          <w:rFonts w:ascii="Arial" w:hAnsi="Arial" w:cs="Arial"/>
        </w:rPr>
        <w:t>■</w:t>
      </w:r>
      <w:r w:rsidRPr="00A6019F">
        <w:t>MOLECULAR FIGURE 427-1 Kayser-Fleischer ring in Wilson</w:t>
      </w:r>
      <w:r w:rsidRPr="00A6019F">
        <w:rPr>
          <w:rFonts w:ascii="Aptos" w:hAnsi="Aptos" w:cs="Aptos"/>
        </w:rPr>
        <w:t>’</w:t>
      </w:r>
      <w:r w:rsidRPr="00A6019F">
        <w:t xml:space="preserve">s </w:t>
      </w:r>
      <w:r w:rsidRPr="00A6019F">
        <w:lastRenderedPageBreak/>
        <w:t xml:space="preserve">disease, representing copper deposition in Descemet membrane of the cornea. (Image courtesy of Tjaard U. Hoogenraad MD, PhD, Department of Neurology, University Medical Centre Utrecht, Utrecht, The Netherlands.) Wilson’s disease is caused by loss-of-function variants in ATP7B. Despite similar genomic structures, large deletions are much less common in ATP7B than in ATP7A, the closely related X-linked gene responsible for Menkes disease. Several ATP7B missense variants are common (H1069Q, M645R, and R778L), with various allelic frequen cies reflecting geographic, racial, and/or ethnic differences. Major ATP7B databases list &gt;650 pathogenic or likely pathogenic variants. Population-based and genomic-based estimates of prevalence range from 1 in 7000 to 1 in 30,000, with genome-based ascertainments sup porting the higher prevalence. This disparity may reflect incomplete penetrance, although there is little doubt that some affected individuals unfortunately escape medical attention. Advances in the application of whole genome sequencing (and/or measurement of ATP7B peptides) from newborn dried blood spots may transform presymptomatic diag nostic screening for Wilson disease in the future. CHAPTER 427 Wilson’s Disease twenties, a period during which substance abuse is also a diagnostic consideration. Wilson’s disease should be formally excluded in all teen agers and young adults with new-onset psychiatric signs. Ocular Manifestations The eye is a primary site of copper deposition in Wilson’s disease, producing a pathognomonic sign, the Kayser-Fleischer ring (Fig. 427-1), a golden to greenish-brown band in the peripheral cornea. This important diagnostic sign first appears as a superior crescent, then develops inferiorly, and ultimately becomes circumferential. Slit-lamp or optical coherent tomography examina tions are required to detect rings in their early stage of formation. Copper can also accumulate in the lens and produce “sunflower” cata racts. Approximately 95% of Wilson’s disease patients with neurologic signs manifest the Kayser-Fleischer ring compared to two-thirds of those with hepatic presentations. Copper chelation therapy causes fad ing and eventual disappearance of corneal copper. Other Clinical Manifestations Secondary endocrine effects of Wilson-associated liver disease may include delayed puberty or amen orrhea. Renal tubular dysfunction in Wilson’s disease leads to abnormal losses of amino acids, electrolytes, calcium, phosphorus, and glucose. Presumably, this effect is related to renal copper toxicity; high copper levels have been noted previously in the kidneys of patients with Wilson’s disease. Treatment with copper chelation often improves the renal disturbances. There also can be skeletal effects of Wilson’s disease, including osteoporosis and rickets, which may be attributable to renal losses of calcium and phosphorus. Osteoarthritis, primarily affecting the knees and wrists, may involve excess copper deposition in the bone and cartilage. Hemolytic anemia due to the direct toxic effects of copper on red blood cell membranes is usually associated with release of massive quantities of hepatic copper into the circulation, a phenomenon that can be sudden and catastrophic. </w:t>
      </w:r>
      <w:r w:rsidRPr="00A6019F">
        <w:rPr>
          <w:rFonts w:ascii="Arial" w:hAnsi="Arial" w:cs="Arial"/>
        </w:rPr>
        <w:t>■</w:t>
      </w:r>
      <w:r w:rsidRPr="00A6019F">
        <w:t>BIOCHEMICAL Laboratory findings that support the diagnosis of Wilson</w:t>
      </w:r>
      <w:r w:rsidRPr="00A6019F">
        <w:rPr>
          <w:rFonts w:ascii="Aptos" w:hAnsi="Aptos" w:cs="Aptos"/>
        </w:rPr>
        <w:t>’</w:t>
      </w:r>
      <w:r w:rsidRPr="00A6019F">
        <w:t xml:space="preserve">s disease include low levels of serum copper and serum ceruloplasmin, elevated hepatic </w:t>
      </w:r>
      <w:r w:rsidRPr="00A6019F">
        <w:lastRenderedPageBreak/>
        <w:t xml:space="preserve">transaminase levels, aminoaciduria, and hemolytic anemia. Incorporation of radiolabeled 64Cu into serum ceruloplasmin, mea sured as the appearance of copper in the serum after an oral load, is a highly specific diagnostic test; patients with Wilson’s disease incorpo rate very little 64Cu into ceruloplasmin. Increased urinary excretion of copper (&gt;100 μg/24 h) is an easily per formed and important diagnostic test for Wilson’s disease. Acid-washed (copper-free) collection containers should be used. The penicillamine DIAGNOSIS Currently, a formal diagnosis of Wilson’s disease relies on a combina tion of clinical, biochemical, and molecular features (Table 427-1). A scoring system (Leipzig) that weights and collates various signs and symptoms was produced by an international expert group in 2001 and remains a valuable guide to diagnosis that is endorsed by the European Association for the Study of the Liver (EASL). TABLE 427-1 Main Diagnostic Features of Wilson’s Disease CLINICAL SIGNS AND SYMPTOMS Hepatic: Jaundice Anorexia Vomiting Ascites and/or edema Splenomegaly Neurologic: Dysarthria Facial grimace (risus sardonicus) Drooling Dysphagia Dysgraphia Dystonia Tremor (“wing-beating”) Ataxia Seizures (rare) Ocular: Kayser-Fleischer ring Sunflower cataract (rare) Psychiatric: Decline in school performance Personality change Mood disorder Schizophrenia BIOCHEMICAL FINDINGS Low serum copper Low serum ceruloplasmin Increased urinary copper excretion Elevated liver enzymes Hypoalbuminemia Increased liver copper Fatty liver Cirrhotic liver Hemolytic anemia Renal Fanconi syndrome MOLECULAR FINDINGS Variants in ATP7B on both chromosomes Variants or polymorphisms in other genes (e.g., CAT, SOD2, MTHFR) may influence clinical expression of Wilson’s disease in some individuals 3340 PART 12 Endocrinology and Metabolism TREATMENT Wilson’s Disease COPPER CHELATION The era of successful treatment of Wilson’s disease began with the use of British anti-lewisite (BAL) by a defined regimen of intramuscular injections. An orally administered alternative was d-penicillamine (Cuprimine), a free thiol that binds copper. This chelating drug does not formally correct the basic defect of impaired copper excre tion in the bile. However, it greatly enhances urinary excretion of copper and thereby corrects and prevents copper overload and its effects. Pyridoxine (vitamin B6 ) is usually prescribed concomitantly to counter the tendency for deficiency of this vitamin to develop during chronic penicillamine administration. Certain individuals are intolerant of penicillamine, however, encountering significant side effects that include nephrotoxicity, hematologic abnormalities, and a distinctive rash, elastosis perforans serpiginosa (usually involving the neck and axillae). Furthermore, in some Wilson’s disease patients with neurologic presentations, peni cillamine treatment induces paradoxical worsening of neurologic status. Triethylenetetramine dihydrochloride (trientine hydrochloride [Syprine]) is a suitable alternative chelating agent with a somewhat better side effect profile. Tetrathiomolybdate (TM) is another molecule in the Wilson’s disease therapeutic armamentarium. TM forms stable tripartite complexes among albumin, copper, and itself. This drug functions both to decrease copper absorption and to reduce circulating free copper. It is fast-acting and can restore </w:t>
      </w:r>
      <w:r w:rsidRPr="00A6019F">
        <w:lastRenderedPageBreak/>
        <w:t xml:space="preserve">normal copper balance within several weeks compared to the several months required with other copper chelators or with zinc. Copper Chelation Treatment During Pregnancy The rate of spon taneous miscarriage is increased in pregnant women with untreated Wilson’s disease. From a benefit/risk perspective, it is important to maintain copper chelation treatment during pregnancy to prevent hepatic or neurologic relapse, as well as to lower risk of pregnancy loss. Some academic centers favor reduction of copper chelator dose during pregnancy, although if zinc monotherapy (see below) is in place at the time of conception, evidence suggests it is safe to maintain the usual daily dose. Since all anticopper medications enter breast milk, breast feeding is not recommended for mothers with Wilson’s disease. REDUCTION OF COPPER ABSORPTION Zinc acetate (Galzin) has proven highly effective for treatment of Wilson’s disease. The mechanism involves induction of metallothionein synthesis in intestinal epithelial cells; increased metallothionein synthe sis results in greater binding of dietary copper and thus decreased absorption. Zinc therapy has particular value in (1) young, presymp tomatic patients; (2) patients who are pregnant given the possible fetal teratogenic effects of other compounds; and (3) as maintenance therapy for patients after their initial “de-coppering” is accomplished. Zinc acetate has minimal side effects. The sole drawback is the rela tively long time (4–6 months) needed for restoration of proper copper balance when used as monotherapy in the initial stages of treatment. LIVER TRANSPLANTATION Liver transplantation is a consideration for Wilson’s disease in advanced stages and/or when the condition is unresponsive to med ical therapy. This is generally necessary only in cases where delayed diagnosis or poor medication compliance results in irreversible hepatic damage. A recently proposed alternative for this circum stance is methanobactin, a bacterial peptide that binds copper avidly and dramatically improves mitochondrial copper overload and restores normal mitochondrial morphology in a preclinical (rat) model of advanced Wilson’s disease. GENE THERAPY In a preclinical (mouse) model of Wilson’s disease, adeno-associated virus-mediated ATP7B introduction into hepatocytes was shown to be effective. Transduction of only 20% of hepatocytes was suffi cient to normalize copper homeostasis in the animal model. Those results potentially pave the way for viral gene therapy in Wilson’s disease patients, and clinical trials to evaluate this approach are underway. FUTURE OUTLOOK Wilson’s disease is arguably one of the best-characterized human inborn errors of metabolism from combined clinical, biochemical, and molecular perspectives, related to the detailed attention devoted to this condition. As noted, novel copper chelators are still being evalu ated, and generic formulations of established drugs are contributing to increased affordability for patients and their families. Viral gene therapy to provide working versions of ATP7B to the liver, kidney, and brain or that delivers gene-editing molecules to correct specific mutant alleles is now an emerging prospect. In addition, advances in newborn screening technology may eventually enable wider population-based screening for Wilson’s disease, which would help address lingering questions about clinical penetrance. Such future progress in newborn screening would also avert </w:t>
      </w:r>
      <w:r w:rsidRPr="00A6019F">
        <w:lastRenderedPageBreak/>
        <w:t xml:space="preserve">the tragedy that missed diagnoses of this eminently treatable disorder of copper transport represent. </w:t>
      </w:r>
      <w:r w:rsidRPr="00A6019F">
        <w:rPr>
          <w:rFonts w:ascii="Arial" w:hAnsi="Arial" w:cs="Arial"/>
        </w:rPr>
        <w:t>■</w:t>
      </w:r>
      <w:r w:rsidRPr="00A6019F">
        <w:t>FURTHER READING Bandmann O et al: Wilson</w:t>
      </w:r>
      <w:r w:rsidRPr="00A6019F">
        <w:rPr>
          <w:rFonts w:ascii="Aptos" w:hAnsi="Aptos" w:cs="Aptos"/>
        </w:rPr>
        <w:t>’</w:t>
      </w:r>
      <w:r w:rsidRPr="00A6019F">
        <w:t xml:space="preserve">s disease and other neurological copper disorders. Lancet Neurol 14:103, 2015. Dev S et al: Wilson disease: Update on pathophysiology and treatment. Front Cell Dev Biol 10:871877, 2022. Gao J et al: The global prevalence of Wilson disease from next generation sequencing data. Genet Med 21:1155, 2019. Kumar M et al: WilsonGen: A comprehensive clinically annotated genomic variant resource for Wilson’s disease. Sci Rep 10:9037, 2020. Lichtmannegger J et al: Methanobactin reverses acute liver failure in a rat model of Wilson disease. J Clin Invest 126:2721, 2016. Murillo O et al: Liver expression of a MiniATP7B gene results in long-term restoration of copper homeostasis in a Wilson disease model in mice. Hepatology 70:108, 2019. Sandahl TD et al: The prevalence of Wilson’s disease: An update. Hepatology 71:722, 2020. Wallace DF, Dooley JS: ATP7B variant penetrance explains differ ences between genetic and clinical prevalence estimates for Wilson disease. Hum Genet 139:1065, 2020. 428 The Porphyrias Robert J. Desnick, Manisha Balwani The porphyrias are metabolic disorders, each resulting from the deficiency or increased activity of a specific enzyme in the heme biosynthetic pathway (Fig. 428-1 and Table 428-1). These enzyme disorders are inherited as autosomal dominant, autosomal recessive, or X-linked traits, with the exception of porphyria cutanea tarda (PCT), which is usually sporadic (Table 428-1). The porphyrias are classified as either hepatic or erythropoietic, depending on the primary site of overproduction and accumulation of their respective porphyrin pre cursors or porphyrins (Tables 428-1 and 428-2), although some have overlapping features. For example, PCT is hepatic and presents with blistering cutaneous photosensitivity, which is typically characteristic of the erythropoietic porphyrias. The major manifestations of the acute hepatic porphyrias are neurologic, including neuropathic abdominal pain, peripheral motor neuropathy, and mental disturbances, with attacks often precipitated by dieting, certain porphyrinogenic drugs, and hormonal changes. While hepatic porphyrias are symptomatic primarily in adults, rare homozygous variants of the autosomal dominant hepatic porphyrias Succinyl CoA G 3341 lycine X-linked protoporphyria (XLP) X-linked sideroblastic anemia (XSLA) ALA-dehydratase Deficiency porphyria (ADP) Acute intermittent porphyria (AIP) Congenital erythropoietic porphyria (CEP) ALA-synthase δ-Aminolevulinic acid ALA-dehydratase Porphobilinogen Uroporphyrinogen III synthase Hydroxymethylbilane synthase Hydroxymethylbilane Negative feedback Non-enzymatic Uroporphyrinogen III U roporphyrinogen I — Uroporphyrin I Porphyria cutanea tarda (PCT) Hepatoerythropoietic porphyria (HEP) Hereditary coproporphyria (HCP) Variegate porphyria (VP) Erythropoietic protoporphyria (EPP) Uroporphyrinogen decarboxylase Coproporphyrinogen III Coproporphyrinogen oxidase Protoporphyrinogen IX Protoporphyrinogen oxidase Protoporphyrin IX Ferrochelatase HEME Coproporphyrinogen I — Coproporphyrin I Negative feedback FIGURE 428-1 The human heme biosynthetic pathway indicating in linked boxes the enzyme that, when deficient or overexpressed, causes the respective porphyria. </w:t>
      </w:r>
      <w:r w:rsidRPr="00A6019F">
        <w:lastRenderedPageBreak/>
        <w:t xml:space="preserve">Hepatic porphyrias are shown in yellow boxes and erythropoietic porphyrias in pink boxes. usually manifest clinically prior to puberty. In contrast, the erythro poietic porphyrias usually present at birth or in early childhood with cutaneous photosensitivity or, in the case of congenital erythropoietic porphyria (CEP), even in utero as nonimmune hydrops fetalis. Cutane ous sensitivity to sunlight results from excitation of excess porphyrins in the skin by long-wave ultraviolet light, leading to cell damage, TABLE 428-1 Human Porphyrias: Major Clinical and Laboratory Features PORPHYRIA DEFICIENT ENZYME INHERITANCE PRINCIPAL SYMPTOMS: NV OR CP+ scarring, and disfigurement. Thus, the porphyrias are metabolic disor ders in which environmental, physiologic, and genetic factors interact to cause disease. Because many symptoms of the porphyrias are nonspecific, diag nosis is often delayed. Laboratory measurement of porphyrin precur sors (5′-aminolevulinic acid [ALA] and porphobilinogen [PBG]) in INCREASED PORPHYRIN PRECURSORS AND/OR PORPHYRINS ENZYME ACTIVITY % OF NORMAL Hepatic Porphyrias 5-ALA-dehydratase deficient porphyria (ADP) Acute intermittent porphyria (AIP) Porphyria cutanea tarda (PCT) Hereditary coproporphyria (HCP) Variegate porphyria (VP) Erythropoietic Porphyrias Congenital erythropoietic porphyria (CEP) Erythropoietic protoporphyria (EPP) ALA dehydratase AR HMB-synthase AD URO decarboxylase AD COPRO-oxidase AD PROTO-oxidase AD URO-synthase NV NV CP NV and CP ~5 ~50 ~20 ERYTHROCYTES URINE Zn-protoporphyrin ALA, coproporphyrin III — ALA, PBG, uroporphyrin — ~50 NV and CP AR Ferrochelatase AR X-linked protoporphyria (XLP) ALA-synthase 2 XL CP CP CP ~50 1–5 ~20–30 &gt;100b aType I isomers. bIncreased activity due to gain-of-function mutations in ALAS2 exon 11. — — Uroporphyrin I Coproporphyrin I Protoporphyrin Protoporphyrin Uroporphyrin, 7-carboxylate porphyrin ALA, PBG, coproporphyrin III Coproporphyrin III ALA, PBG, coproporphyrin III Coproporphyrin III, protoporphyrin Uroporphyrin Ia Coproporphyrin Ia — — Abbreviations: AD, autosomal dominant; ALA, 5-aminolevulinic acid; AR, autosomal recessive; COPRO, coproporphyrin; CP, cutaneous photosensitivity; NV, neurovisceral; PBG, porphobilinogen; PROTO, protoporphyrin; URO, uroporphyrin; XL, X-linked. CHAPTER 428 The Porphyrias STOOL — — Isocoproporphyrin Coproporphyrin I Protoporphyrin Protoporphyrin 3342 TABLE 428-2 Human HEME Biosynthetic Enzymes and Genes ENZYME ALA-synthase          Housekeeping Erythroid-specific PART 12 Endocrinology and Metabolism ALA-dehydratase          Housekeeping Erythroid-specific HMB-synthase          Housekeeping Erythroid-specific URO-synthase          Housekeeping Erythroid-specific URO-decarboxylase COPRO-oxidase PROTO-oxidase Ferrochelatase GENE SYMBOL ALAS1 ALAS2 ALAD ALAD HMBS HMBS UROS UROS UROD CPOX PPOX FECH CHROMOSOMAL LOCATION 3p21.1 Xp11.2 9q32 9q32 11q23.3 11q23.3 10q26.2 10q26.2 1p34.1 3q12.1 1q23.3 18q21.31 CDNA (bp) 2199 1937 1149 1154 1086 1035 1296 1216 1104 1062 1431 1269 GENE SIZE (KB) EXONSa 17 22 15.9 15.9 11 11 34 34 3 14 5.5 45 11 11 12 (1A + 2 – 12) 12 (1B + 2 – 12) 15 (1 + 3 – 15) 15 (2 – 15) 10 (1 + 2B – 10) 10 (2A + 2B – 10) 10 7 13 11 PROTEIN (aa) 640 587 330 330 361 344 265 265 367 354 477 423 SUBCELLULAR LOCATION M M C C C C C C C M M M KNOWN MUTATIONSb —  &gt;30 </w:t>
      </w:r>
      <w:r w:rsidRPr="00A6019F">
        <w:lastRenderedPageBreak/>
        <w:t xml:space="preserve">12 —  400 10  45 4  122 70 181 192 THREE DIMENSIONAL STRUCTUREc — Y E H H H — B aNumber of exons and those encoding separate housekeeping and erythroid-specific forms indicated in parentheses. bNumber of known mutations from the Human Gene Mutation Database (www.hgmd.org). cCrystallized from human (H), murine (M), Escherichia coli (E), Bacillus subtilis (B), or yeast (Y) purified enzyme; references in Protein Data Bank (www.rcsb.org). Abbreviations: ALA, 5-aminolevulinic acid; C, cytoplasm; COPRO, coproporphyrin; HMB, hydroxymethylbilane; M, mitochondria; PROTO, protoporphyrin; URO, uroporphyrin. Source: Reproduced with permission from KE Anderson et al: Disorders of heme biosynthesis: X-linked sideroblastic anemia and the porphyrias, in CR Scriver: The Metabolic and Molecular Bases of Inherited Diseases. New York, NY: McGraw-Hill; 2001. the urine or porphyrins in the urine, plasma, erythrocytes, or feces is required to confirm or exclude the various types of porphyria (see below). However, a definite diagnosis requires demonstration of the specific gene defect (Table 428-3). The genes encoding all the heme biosynthetic enzymes have been characterized, permitting identifica tion of the mutations causing each porphyria (Table 428-2). Molecular genetic analyses now make it possible to provide precise heterozygote or homozygote identification and prenatal diagnoses in families with known mutations. In addition to recent reviews of the porphyrias, informative and up to-date websites are sponsored by the United Porphyrias Association (www.porphyria.org) and the European Porphyria Network (https:// porphyria.eu/). An extensive list of unsafe and safe drugs for individu als with acute porphyrias is provided at the Drug Database for Acute Porphyrias (www.drugs-porphyria.org). GLOBAL CONSIDERATIONS The porphyrias are panethnic metabolic diseases that affect individuals globally. The acute hepatic porphyrias—acute intermittent porphyria (AIP), hereditary coproporphyria (HCP), and variegate porphyria (VP)—are autosomal dominant disorders. The frequency of AIP, the most common acute hepatic porphyria, is ~1 in 20,000 among Caucasian individuals of Western European ancestry, and it is particularly frequent in Scandinavians, where the frequency in Sweden is ~1 in 10,000. VP is particularly frequent in South Africa, and its high prevalence (&gt;10,000 affected patients) is in part due to a genetic “founder effect.” The auto somal recessive acute hepatic porphyria, ALA-dehydratase-deficient porphyria (ADP), is extremely rare, and 95 mutations have been identified in the CPOX gene, ~70% of which are missense or nonsense (Human Gene Mutation Database; www.hgmd.org). Detec tion of a CPOX mutation in a symptomatic individual permits the identification of asymptomatic family members. TREATMENT Hereditary Coproporphyria Neurologic symptoms are treated as in AIP (see above). Phlebotomy and chloroquine are not effective for the cutaneous lesions. </w:t>
      </w:r>
      <w:r w:rsidRPr="00A6019F">
        <w:rPr>
          <w:rFonts w:ascii="Arial" w:hAnsi="Arial" w:cs="Arial"/>
        </w:rPr>
        <w:t>■</w:t>
      </w:r>
      <w:r w:rsidRPr="00A6019F">
        <w:t xml:space="preserve">VARIEGATE PORPHYRIA VP is an autosomal dominant hepatic porphyria that results from the deficient activity of PROTO-oxidase, the seventh enzyme in the heme biosynthetic pathway, and can present with neurologic symptoms, photosensitivity, or both. VP is particularly common in South Africa, where 3 of every 1000 whites have the disorder. Most are descendants of a couple who emigrated from the Netherlands to </w:t>
      </w:r>
      <w:r w:rsidRPr="00A6019F">
        <w:lastRenderedPageBreak/>
        <w:t xml:space="preserve">South Africa in 1688. In other countries, VP is less common than AIP. Rare cases of homozygous dominant VP, presenting in childhood with cutaneous symptoms, also have been reported. Clinical Features VP can present with skin photosensitivity, acute neurovisceral crises, or both. In two large studies of VP patients, ~60% had only skin lesions, 20% had only acute attacks, and ~20% had both. Acute attacks are identical to those in AIP and are precipitated by the same factors as AIP (see above). Blistering skin manifestations are similar to those in PCT but are more difficult to treat and usually are of longer duration. Homozygous VP is associated with photosensitiv ity, neurologic symptoms, and developmental disturbances, including growth retardation, in infancy or childhood; all cases had increased 3349 erythrocyte levels of zinc protoporphyrin, a characteristic finding in all homozygous porphyrias so far described. Diagnosis Urinary ALA and PBG levels are increased during acute attacks but may return to normal more quickly than in AIP. Increases in fecal protoporphyrin and COPRO III and in urinary COPRO III are more persistent. Plasma porphyrin levels also are increased, particu larly when there are cutaneous lesions. VP can be distinguished rapidly from all other porphyrias by examining the fluorescence emission spectrum of porphyrins in plasma since VP has a unique fluorescence peak at neutral pH. Assays of PROTO-oxidase activity in cultured fibroblasts or lym phocytes are not widely available. Over 215 mutations have been identified in the PPOX gene from unrelated VP patients (Human Gene Mutation Database; www.hgmd.org). The missense mutation encoding p.R59W is the common mutation in most South Africans with VP of Dutch descent. Five missense mutations were common in English and French VP patients; however, most mutations have been found in only one or a few families. TREATMENT Variegate Porphyria Acute attacks are treated as in AIP, and hemin should be started early in most cases. Givosiran has proven effective in clinical tri als for patients with recurrent attacks. Other than avoiding sun exposure, there are few effective measures for treating the skin lesions. β-Carotene, phlebotomy, and chloroquine are not helpful. THE ERYTHROPOIETIC PORPHYRIAS In the erythropoietic porphyrias, excess porphyrins from bone marrow erythrocyte precursors are transported via the plasma to the skin and lead to cutaneous photosensitivity. </w:t>
      </w:r>
      <w:r w:rsidRPr="00A6019F">
        <w:rPr>
          <w:rFonts w:ascii="Arial" w:hAnsi="Arial" w:cs="Arial"/>
        </w:rPr>
        <w:t>■</w:t>
      </w:r>
      <w:r w:rsidRPr="00A6019F">
        <w:t xml:space="preserve">X-LINKED SIDEROBLASTIC ANEMIA XLSA results from the deficient activity of the erythroid form of ALA synthase (ALA-synthase 2) and is associated with ineffective erythro poiesis, weakness, and pallor. Clinical Features Typically, males with XLSA develop refractory hemolytic anemia, pallor, and weakness during infancy. They have secondary hypersplenism, become iron overloaded, and can develop hemosiderosis. The severity depends on the level of residual erythroid ALA-synthase activity and on the responsiveness of the specific muta tion to pyridoxal 5′-phosphate supplementation (see below). Peripheral blood smears reveal a hypochromic, microcytic anemia with striking anisocytosis, poikilocytosis, and polychromasia; the leukocytes and platelets appear normal. Hemoglobin content is reduced, and the mean corpuscular volume and mean corpuscular hemoglobin concentra tion are decreased. Patients with milder, later-onset disease have been reported recently. Diagnosis Bone </w:t>
      </w:r>
      <w:r w:rsidRPr="00A6019F">
        <w:lastRenderedPageBreak/>
        <w:t xml:space="preserve">marrow examination reveals hypercellularity with a left shift and megaloblastic erythropoiesis with an abnormal matura tion. A variety of Prussian blue–staining sideroblasts are observed. Levels of urinary porphyrin precursors and of both urinary and fecal porphyrins are normal. The activity of erythroid ALA-synthase 2 is decreased in bone marrow, but this enzyme is difficult to measure in the presence of the normal ALA-synthase 1 housekeeping enzyme. Definitive diagnosis requires the demonstration of loss-of-function mutations in the erythroid ALAS2 gene, of which &gt;120 have been identified. Treatment The severe anemia may respond to pyridoxine supple mentation. This cofactor is essential for ALA-synthase activity, and mutations in the pyridoxine binding site of the enzyme have been found in several responsive patients. Cofactor supplementation may make it possible to eliminate or reduce the frequency of transfusions. Unresponsive patients may be transfusion dependent and require che lation therapy. </w:t>
      </w:r>
      <w:r w:rsidRPr="00A6019F">
        <w:rPr>
          <w:rFonts w:ascii="Arial" w:hAnsi="Arial" w:cs="Arial"/>
        </w:rPr>
        <w:t>■</w:t>
      </w:r>
      <w:r w:rsidRPr="00A6019F">
        <w:t>CONGENITAL ERYTHROPOIETIC PORPHYRIA CEP, also known as G</w:t>
      </w:r>
      <w:r w:rsidRPr="00A6019F">
        <w:rPr>
          <w:rFonts w:ascii="Aptos" w:hAnsi="Aptos" w:cs="Aptos"/>
        </w:rPr>
        <w:t>ü</w:t>
      </w:r>
      <w:r w:rsidRPr="00A6019F">
        <w:t>nther</w:t>
      </w:r>
      <w:r w:rsidRPr="00A6019F">
        <w:rPr>
          <w:rFonts w:ascii="Aptos" w:hAnsi="Aptos" w:cs="Aptos"/>
        </w:rPr>
        <w:t>’</w:t>
      </w:r>
      <w:r w:rsidRPr="00A6019F">
        <w:t xml:space="preserve">s disease, is an autosomal recessive dis order. It is due to the markedly deficient, but not absent, activity of URO-synthase and the resultant accumulation of URO I and COPRO I isomers. CEP is associated with hemolytic anemia and cutaneous lesions. Clinical Features Severe cutaneous photosensitivity typically begins from birth. The skin over light-exposed areas is friable, and bullae and vesicles are prone to rupture and infection. Skin thickening, focal hypo- and hyperpigmentation, and hypertrichosis of the face and extremities are characteristic. Secondary infection of the cutaneous lesions can lead to disfigurement of the face and hands. Porphyrins are deposited in teeth and in bones. As a result, the teeth are brownish and fluoresce on exposure to long-wave ultraviolet light. Hemolysis is due to the marked increase in erythrocyte porphyrins and leads to spleno megaly. Adults with a milder later-onset form of the disease also have been described, including late-onset patients with myelodysplasias. Diagnosis URO and COPRO (mostly type I isomers) accumulate in the bone marrow, erythrocytes, plasma, urine, and feces. The pre dominant porphyrin in feces is COPRO I. The diagnosis of CEP can be confirmed by demonstration of markedly deficient URO-synthase activity and/or by the identification of specific mutations in the UROS gene. The disease can be detected in utero by measuring porphyrins in amniotic fluid and URO-synthase activity in cultured amniotic cells or chorionic villi or by the detection of the family’s specific gene mutations. Molecular analyses of the mutant alleles from unrelated patients have revealed the presence of &gt;65 mutations in the UROS gene, including six in the erythroid-specific promoter of the UROS gene. Genotype/phenotype correlations can predict the severity of the disease. The CEP phenotype may be increased by the presence of exon 10 variants in the erythroid-specific ALA-synthase 2, mutations that typically cause XLP. One mutation (p.Arg216Trp) in GATA1, encod ing the X-linked erythroid-specific transcription factor GATA binding protein 1 (GATA1), has been identified in two individuals with CEP who both also had other hematologic abnormalities. CHAPTER 428 The Porphyrias TREATMENT Congenital Erythropoietic Porphyria Transfusion-dependent patients require periodic transfusions for anemia. </w:t>
      </w:r>
      <w:r w:rsidRPr="00A6019F">
        <w:lastRenderedPageBreak/>
        <w:t xml:space="preserve">Chronic transfusions of sufficient fresh packed erythro cytes to suppress erythropoiesis are effective in reducing porphyrin production but result in iron overload. Oral iron chelation is recom mended. Splenectomy may reduce hemolysis and decrease transfu sion requirements. Protection from sunlight and from minor skin trauma is essential to avoid/minimize cutaneous blistering. Com plicating bacterial infections should be treated promptly. Recently, non-transfusion-dependent patients have been treated by periodic phlebotomies to decrease iron levels, thereby decreasing erythro poiesis and porphyrin accumulation. This approach has not been evaluated in clinical trials to date. Bone marrow and hematopoi etic stem cell transplantation has proven curative in transfusion dependent children, providing the rationale for future stem cell gene therapy. </w:t>
      </w:r>
      <w:r w:rsidRPr="00A6019F">
        <w:rPr>
          <w:rFonts w:ascii="Arial" w:hAnsi="Arial" w:cs="Arial"/>
        </w:rPr>
        <w:t>■</w:t>
      </w:r>
      <w:r w:rsidRPr="00A6019F">
        <w:t xml:space="preserve">ERYTHROPOIETIC PROTOPORPHYRIA EPP is an autosomal recessive disorder resulting from the deficient activity of FECH, the last enzyme in the heme biosynthetic pathway. As noted above, EPP is likely the most common porphyria with onset typically in early childhood. EPP patients have FECH activities as low as 15–30% of normal in lymphocytes and cultured fibroblasts. Proto porphyrin IX accumulated in bone marrow reticulocytes and circulat ing erythrocytes is released into the plasma and then is taken up in the 3350 skin involvement. Chronic skin changes may include lichenification, leathery pseudovesicles, labial grooving, and nail changes. Severe scar ring is rare, as are pigment changes, friability, and hirsutism. Unless hepatic or other complications develop, protoporphyrin IX levels and symptoms of photosensitivity tend to remain remarkably stable over many years in most patients. Factors that exacerbate the hepatic por phyrias play no role in EPP or XLP. PART 12 Endocrinology and Metabolism The primary source of excess protoporphyrin is the bone marrow ery throid cells. In EPP patients, erythrocyte protoporphyrin IX is free (not complexed with zinc) and is mostly bound to hemoglobin. In plasma, protoporphyrin IX is bound to albumin. Hemolysis and anemia are absent or usually mild. liver where it is excreted in the bile and feces. Plasma protoporphyrin IX taken up by the vascular cells in the skin is photoactivated on exposure to sunlight causing phototoxic cellular damage and excru ciatingly painful nonblistering phototoxicity. In most symptomatic patients (&gt;95%) with this disorder, a deleterious mutation in one FECH allele was inherited with the relatively common (~10% of Caucasians) intronic 3 (IVS3) variant (IVS3–48T&gt;C) on the other allele; together, they result in the low expression of the normal enzyme. In ~2% of EPP families, two FECH deleterious mutations have been found. XLP is a less common condition with the same phenotype in affected males, including increased erythrocyte protoporphyrin IX levels resulting from gain-of-function mutations in the last exon of the erythroid-specific form of 5-aminolevulinate-synthase 2 (ALAS2). These mutations delete or alter the ALAS2 C-terminal amino acids, resulting in its increased activity and the subsequent accumulation of protoporphyrin IX. Manifestations in female heterozygotes with XLP can range from asymptomatic to as severe as their affected male relatives. The variation in the presence and severity of manifestations in XLP heterozygotes results primarily from random X-chromosomal inactivation. XLP accounts for ~2–10% of cases </w:t>
      </w:r>
      <w:r w:rsidRPr="00A6019F">
        <w:lastRenderedPageBreak/>
        <w:t xml:space="preserve">with the EPP pheno type in Europe and North America. Rare patients with EPP symptoms and elevated erythrocyte protoporphyrin IX levels do not have muta tions in FECH or ALAS2 on genetic testing. In an affected family with EPP symptoms and accumulation of protoporphyrin IX, an autosomal dominant mutation was found in human CLPX, a modulator of heme biosynthesis. Clinical Features In EPP and male XLP patients, skin photosen sitivity, which differs from that in other cutaneous porphyrias, usually begins in early childhood. The initial symptoms on sun exposure consist of tingling, stinging, itching, or heat/burning sensations on the exposed skin occurring within 60% of patients; most will have these prodromal symptoms within an hour of sun exposure. The prodromal symptoms are the “warning signal” to get out of the sun, thereby avoiding a severe incapacitating painful attack that can last from 2–5 days. Photosensitivity is associated with substantial elevations in erythrocyte protoporphyrin IX and occurs only in patients with genotypes that result in FECH activities below ~35% of normal. Vesicular lesions are uncommon. Redness and swell ing develop after prolonged sun exposure and resemble angioedema (Fig. 428-4). Pain symptoms may seem out of proportion to the visible FIGURE 428-4 Erythema and edema of the hands due to acute photosensitivity in a 10-year-old boy with erythropoietic protoporphyria. (Reproduced with permission from P Poblete-Gutiérrez et al: The porphyrias: clinical presentation, diagnosis and treatment. Eur J Dermatol 16:230, 2006.) Although EPP is an erythropoietic porphyria, up to 27% of EPP patients may have minor abnormalities of liver function, and in ~2–5% of these patients, the accumulation of protoporphyrins causes chronic liver disease that can progress to liver failure requiring transplantation. Protoporphyrin IX is insoluble, and excess amounts form crystalline structures in liver cells (Fig. 428-4) and can decrease hepatic bile flow. Studies in the mouse model of EPP have shown that the bile duct epi thelium may be damaged by toxic bile, leading to biliary fibrosis. Thus, rapidly progressive liver disease appears to be related to the cholestatic effects of protoporphyrins and is associated with increasing hepatic protoporphyrin IX levels due to impaired hepatobiliary excretion and increased photosensitivity. The hepatic complications also are often characterized by increasing levels of protoporphyrins in erythrocytes and plasma as well as severe abdominal and back pains, especially in the right upper quadrant. Gallstones composed at least in part of pro toporphyrin IX occur in some patients. Hepatic complications appear to be higher in EPP due to two pathogenic FECH mutations and in males with XLP. Diagnosis A substantial increase in erythrocyte protoporphyrin IX, which is predominantly free and not complexed with zinc, is the hallmark of EPP. Protoporphyrin levels also are variably increased in bone marrow, plasma, bile, and feces. Erythrocyte protoporphyrin IX concentrations are increased in other conditions such as lead poison ing, iron deficiency, various hemolytic disorders, all homozygous forms of other porphyrias, and sometimes even in acute porphyrias. In all these conditions, however, in contrast to EPP, protoporphyrin IX is complexed with zinc. Therefore, after an increase in erythrocyte protoporphyrin IX is found in a suspected EPP patient, it is impor tant to </w:t>
      </w:r>
      <w:r w:rsidRPr="00A6019F">
        <w:lastRenderedPageBreak/>
        <w:t xml:space="preserve">confirm the diagnosis by an assay that distinguishes free and zinc-complexed protoporphyrin. Erythrocytes in EPP also exhibit red fluorescence under fluorescence microscopy at 620 nm. Urinary levels of porphyrins and porphyrin precursors are normal. FECH activity in cultured lymphocytes or fibroblasts is decreased (C low expression allele. To date, &gt;235 mutations have been identified in the FECH gene, many of which result in an unstable or absent enzyme protein (null alleles) (Human Gene Mutation Database; www.hgmd.org). In XLP, the erythrocyte protoporphyrin levels appear to be higher than in EPP, and the proportions of free and zinc protoporphyrin IX may reach 50%. XLP accounts for ~2% of patients with the EPP phenotype in Western Europe. Recent studies show that ~10% of North American patients with the EPP phenotype have XLP. TREATMENT Erythropoietic Protoporphyria Avoiding sunlight exposure and wearing clothing designed to provide protection for conditions with chronic phototoxicity are essential. Various other treatments, including oral β-carotene and cimetidine, have proven of little benefit. Afamelanotide, an α-melanocyte-stimulating hormone (MSH) analogue that stimulates tanning, is administered subcutaneously every 2 months and has been approved for the treatment of EPP and XLP by the EMA and the FDA. Dersimelagon, an orally administered, small molecule, selective melanocortin-1 receptor (MC1R) agonist that increases skin melanin without sun exposure, is currently in phase 3 clinical trials for EPP and XLP. Bitopertin, an orally administered glycine reuptake inhibitor, recently was shown to reduce blood pro toporphyrin IX levels in clinical studies and is currently in phase 3 clinical trials. Treatment of hepatic complications, which may be accompa nied by motor neuropathy, is difficult. Cholestyramine and other porphyrin absorbents such as activated charcoal may interrupt the enterohepatic circulation of protoporphyrin and promote its fecal excretion, leading to some improvement. Plasmapheresis and intra venous hemin are sometimes beneficial. Liver transplantation has been carried out in some EPP and XLP patients with severe liver complications and is often successful in the short term. However, the disease often recurs in the trans planted liver due to continued bone marrow production of excess protoporphyrin. In a retrospective study of 17 liver-transplanted EPP patients, 11 (65%) had recurrent EPP liver disease. Posttrans plantation treatment with hematin and plasmapheresis should be considered to prevent the recurrence of liver disease. However, bone marrow transplantation, which has been successful in human EPP and which prevented liver disease in a mouse model, should be considered after liver transplantation, if a suitable donor can be found. Acknowledgment The authors thank Dr. Karl E. Anderson for his review of the manuscript and helpful comments and suggestions. This work is supported in part by the Porphyrias Consortium (U54 DK083909), a part of the National Institutes of Health (NIH) Rare Disease Clinical Research Network (RDCRN), supported through collaboration between the NIH Office of Rare Diseases Research (ORDR) at the National Center for Advancing Translational Science (NCATS) and the National Institute of Diabetes and Digestive and Kidney Diseases (NIDDK). The content is solely the </w:t>
      </w:r>
      <w:r w:rsidRPr="00A6019F">
        <w:lastRenderedPageBreak/>
        <w:t xml:space="preserve">responsibility of the authors and does not necessarily represent the official views of the National Institutes of Health. </w:t>
      </w:r>
      <w:r w:rsidRPr="00A6019F">
        <w:rPr>
          <w:rFonts w:ascii="Arial" w:hAnsi="Arial" w:cs="Arial"/>
        </w:rPr>
        <w:t>■</w:t>
      </w:r>
      <w:r w:rsidRPr="00A6019F">
        <w:t xml:space="preserve">FURTHER READING Balwani M et al: Clinical, biochemical, and genetic characterization of North American patients with erythropoietic protoporphyria and X-linked protoporphyria. JAMA Dermatol 153:789, 2017. Balwani M et al: Phase 3 trial of RNAi therapeutic givosiran for acute intermittent porphyria. N Engl J Med 382:2289, 2020. Bonkovsky HL et al: Ledipasvir/sofosbuvir is effective as sole treat ment of porphyria cuteanea tarda with chronic hepatitis C. Dig Dis Sci 68:2738,2023. Chen B et al: Acute intermittent porphyria: Predicted pathogenicity of HMBS variants indicates extremely low penetrance of the autoso mal dominant disease. Hum Mutat 37:1215, 2016. Kazamel M et al: Pain in acute hepatic porphyrias: Update on patho physiology and management. Front Neurol 13:1004125, 2022. Levy C et al: Evidence-based consensus guidelines for the diagnosis and management of protoporphyria-related liver dysfunction in erythropoietic protoporphyria and X-linked protoporphyria. Hepa tology 79:731, 2024. Tchernitchko D et al: A variant of peptide transporter 2 predicts the severity of porphyria-associated kidney disease. J Am Soc Nephrol 28:1924, 2017. Wang B et al: AGA clinical practice update on diagnosis and manage ment of acute hepatic porphyrias: Expert review. Gastroenterology 164:481, 2023. Yasuda M et al: Liver transplantation for acute intermittent porphyria: Biochemical and pathologic studies of the explanted liver. Mol Med 21:487, 2015. 429 Lysosomal Storage Diseases Robert J. Hopkin, Gregory A. Grabowski Lysosomes are heterogeneous subcellular organelles containing specific hydrolases that allow selective processing or degradation of proteins, nucleic acids, carbohydrates, and lipids. There are &gt;50 different lysosomal storage diseases, now termed lysosomal system diseases (LSDs), classified according to the nature of the major accumulated materials (Table 429-1). Although all are rare diseases, an overview of several are provided here: Tay-Sachs disease, Fabry disease, Gaucher disease, Niemann-Pick disease, the mucopolysaccharidoses, Pompe disease, lysosomal acid lipase deficiency (LALD), Krabbe disease, CLN2-related Batten disease, and α-mannosidosis. LSDs should be considered in the differential diagnosis of patients with neurologic, renal, or muscular degeneration and/or unexplained hepatomegaly, splenomegaly, cardiomyopathy, or skeletal dysplasias and deforma tions. Physical findings are disease specific, and enzyme assays or genetic testing can be used to make a definitive diagnosis. Although the nosology of LSDs segregates the variants into distinct phenotypes, these are heuristic; in the clinic, each disease exhibits—to varying degrees—a spectrum of manifestations, from severe to attenuated variants. PATHOGENESIS 3351 CHAPTER 429 Lysosomal Storage Diseases Lysosomal biogenesis involves ongoing synthesis of lysosomal hydrolases, membrane constitutive proteins, and new membranes. Lysosomes originate from the fusion of trans-Golgi network vesicles with late endosomes. Progressive acidification accompanies the matu ration of these vesicles; this gradient facilitates the pH-dependent dissociation of receptors and ligands and also activates lysosomal hydrolases. Lysosomes are components of the </w:t>
      </w:r>
      <w:r w:rsidRPr="00A6019F">
        <w:lastRenderedPageBreak/>
        <w:t xml:space="preserve">lysosome/autophagy/ mitophagy system that are regulated by the mTORC1 modulation, via phosphorylation, of the transcription factors TFEB/TFE3 and the resultant control of the balance between anabolic and catabolic path ways. This regulation is disrupted to varying degrees in specific tissues affected by individual LSDs. Abnormalities at any biosynthetic step can impair lysosomal enzyme function and lead to an LSD. After leader sequence clipping from the primary protein, remodeling of complex oligosaccharides (including the lysosomal targeting ligand mannose-6-phosphate as well as high mannose oligosaccharide chains of many soluble lysosomal hydrolases) occurs during transit through the Golgi. Lysosomal integral or associ ated membrane proteins are sorted to the membrane or interior of the lysosome by several different peptide signals. Phosphorylation, sulfa tion, additional proteolytic processing, and macromolecular assembly of heteromers occur concurrently. Such posttranslational modifica tions are critical to enzyme function, and defects in these processes can result in multiple enzyme/protein deficiencies. The final common pathway for LSDs is the accumulation of specific macromolecules within selected tissues and cells that normally have a high flux of these substrates. The majority of lysosomal enzyme deficiencies result from point mutations or genetic rearrangements at a locus that encodes a single lysosomal hydrolase or protein subunit. However, some mutations cause deficiencies of several different lyso somal hydrolases by alteration of the enzymes/proteins involved in targeting, active site modifications, macromolecular association, or trafficking. Nearly all LSDs are inherited as autosomal recessive disor ders, except for Hunter (mucopolysaccharidosis type II), Danon, and Fabry diseases that are X-linked, and two autosomal dominant condi tions causing Parry type neuronal ceroid lipofuscinosis (CLN) due to mutations in DNAJC5 or frontotemporal dementia and CLN11 due to GRN (progranulin) mutations. Substrate accumulations lead to lyso somal distortions/dysfunctions that have significant pathophysiologic 3352 PART 12 Endocrinology and Metabolism TABLE 429-1 Selected Lysosomal System Diseases (also known as Lysosomal Storage Diseases)      CLINICAL FEATURES DISORDERa ENZYME DEFICIENCY (GENE) [SPECIFIC THERAPY] PRIMARY ACCUMULATED MATERIALS CLINICAL TYPES (ONSET) INHERITANCE NEUROLOGIC LIVER, SPLEEN ENLARGEMENT SKELETAL DYSPLASIA OPHTHALMOLOGIC HEMATOLOGIC UNIQUE FEATURES Mucopolysaccharidoses (MPS) MPS I H, Hurler α-L-Iduronidase (IDUA) [ET, HSCT] Dermatan sulfate Heparan sulfate Infantile Intermediate AR Cognitive degeneration +++ ++++ Corneal clouding Vacuolated lymphocytes Coarse facies; cardiovascular involvement; joint stiffness MPS I H/S, Hurler/ Scheie   Childhood/adult Cognitive degeneration       MPS I S, Scheie    None      MPS II, Hunter Iduronate sulfatase (IDS) [ET] Dermatan sulfate Heparan sulfate Severe infantile Mild juvenile X-linked Cognitive degeneration, less in mild form +++ ++++ Retinal degeneration, no corneal clouding Granulated lymphocytes Coarse facies; cardiovascular involvement; joint stiffness; distinctive pebbly skin lesions MPS III A, Sanfilippo A Heparan-N-sulfatase (SGSH) Heparan sulfate Late infantile AR Severe cognitive degeneration + + None Granulated </w:t>
      </w:r>
      <w:r w:rsidRPr="00A6019F">
        <w:lastRenderedPageBreak/>
        <w:t xml:space="preserve">lymphocytes Mild coarse facies MPS III B, Sanfilippo B N-Acetyl-α glucosaminidase (NGALU) Heparan sulfate Late infantile AR Severe cognitive degeneration + + None Granulated lymphocytes Mild coarse facies MPS III C, Sanfilippo C Acetyl-CoA: α-glucosaminide N-acetyltransferase (HGSNAT) Heparan sulfate Late infantile AR Severe cognitive degeneration + + None Granulated lymphocytes Mild coarse facies MPS III D, Sanfilippo D N-Acetylglucosamine- 6-sulfate sulfatase (GNS) Heparan sulfate Late infantile AR Severe cognitive degeneration + + None Granulated lymphocytes Mild coarse facies MPS IV A, Morquio A N-Acetylgalactosamine 6-sulfate sulfatase (GALNS) [ET] Keratan sulfate Chondroitin-6 sulfate Childhood AR None + ++++ Corneal clouding Granulated neutrophils Distinctive skeletal deformity; odontoid hypoplasia; aortic valve disease MPS IV B, Morquio β-Galactosidase (GLB1) Childhood AR None ± ++++    MPS VI, Maroteaux-Lamy Arylsulfatase B (ARSB) [ET, HSCT] Dermatan sulfate Late infantile AR None ++ ++++ Corneal clouding Granulated neutrophils and lymphocytes Coarse facies; valvular heart disease MPS VII Sly β-Glucuronidase (GUS) [ET] Dermatan sulfate Heparan sulfate Neonatal Infantile Adult AR Cognitive degeneration, absent in some adults +++ +++ Corneal clouding Granulated neutrophils Coarse facies; vascular involvement; hydrops fetalis in neonatal form GM2 Gangliosidoses Tay-Sachs disease β-Hexosaminidase A (HEXA) GM2 gangliosides Infantile Juvenile AR Cognitive degeneration; seizures; later juvenile form None None Cherry red spot in infantile form None Macrocephaly; hyperacusis in infantile form Sandhoff disease β-Hexosaminidases A and B (HEXB) GM2 gangliosides Infantile AR Cognitive degeneration; seizures ++ ± Cherry red spot None Macrocephaly; hyperacusis 3353 Lysosomal Storage Diseases CHAPTER 429 Neutral Glycosphingolipidoses Fabry disease α-Galactosidase A (GLA) [ET, Chaperone] Globotriaosylceramide Childhood X-linked Painful acroparesthesias None None Corneal dystrophy, vascular lesions None Cutaneous angiokeratomas; hypohydrosis Gaucher disease Acid β-glucosidase (GBA, a.k.a. GBA1) [ET, SRT] Glucosylceramide, Glucosylsphingosine Type 1 Type 2 Type 3 AR None ++++–/+++ ++++ +++ ++++ ++++ + ++++ None Strabismus Supranuclear gaze palsy Gaucher cells in bone marrow; cytopenias Types 1 and 3 highly variable Niemann-Pick disease A and B Acid sphingomyelinase (SMPD1) [ET] Sphingomyelin Neuronopathic, type A Nonneuronopathic, type B AR Cognitive degeneration; seizures ++++ None Osteoporosis Macular degeneration Foam cells in bone marrow Pulmonary infiltrates Lung failure Glycoproteinoses Fucosidosis α-Fucosidase (FUCA1) Glycopeptides; oligosaccharides Infantile Juvenile AR Cognitive degeneration ++ ++ None Vacuolated lymphocytes; foam cells Coarse facies; angiokeratomas in juvenile form α-Mannosidosis α-Mannosidase (MAN2B1) [ET] Oligosaccharides Infantile Milder variant AR Cognitive degeneration +++ +++ Cataracts, corneal clouding Vacuolated lymphocytes, granulated neutrophils Coarse facies; enlarged tongue β-Mannosidosis β-Mannosidase (MANBA) Oligosaccharides AR Seizures; cognitive degeneration  ++ None Vacuolated lymphocytes, foam cells Angiokeratomas Aspartylglucosaminuria Aspartylglucosaminidase (AGA) Aspartylglucosamine; glycopeptides Young adult AR </w:t>
      </w:r>
      <w:r w:rsidRPr="00A6019F">
        <w:lastRenderedPageBreak/>
        <w:t xml:space="preserve">Cognitive degeneration ± ++ None Vacuolated lymphocytes, foam cells Coarse facies Sialidosis Neuraminidase (NEU1) Sialyloligosaccharides Type I, congenital Type II, infantile and juvenile AR Myoclonus; cognitive degeneration ++, less in type I ++, less in type I Cherry red spot Vacuolated lymphocytes MPS phenotype in type II Mucolipidoses (ML) ML-II, I-cell disease UDP-N Acetylglucosamine- 1-phosphotransferase (GNPTAB) Glycoprotein; glycolipids Infantile AR Cognitive degeneration + ++++ Corneal clouding Vacuolated and granulated neutrophils Coarse facies; absence of mucopolysacchariduria; gingival hypoplasia ML-III, pseudo-Hurler polydystrophy UDP-N Acetylglucosamine- 1-phosphotransferase (GNPTAB) Glycoprotein; glycolipids Late infantile AR Mild cognitive degeneration None +++ Corneal clouding, mild retinopathy, hyperopic astigmatism  Coarse facies; stiffness of hands and shoulders Leukodystrophies Krabbe disease Galactosylceramidase (GALC) [BMT/HSCT] Galactosylceramide Galactosylsphingosine, a.k.a., psychosine Infantile AR Cognitive degeneration, CNS, PNS dysmyelination None None None None White matter globoid cells Metachromatic leukodystrophy Arylsulfatase A (ARSA) Cerebroside sulfate Infantile Juvenile Adult AR Cognitive degeneration; dementia; psychosis in adult None None Optic atrophy None Gait abnormalities in late infantile form (Continued) 3354 PART 12 Endocrinology and Metabolism Multiple sulfatase deficiency Formylglycine-generating enzyme, a.k.a. FGE (SUMF1) Sulfatides; mucopolysaccharides Late infantile AR Cognitive degeneration + ++ Retinal degeneration Vacuolated and granulated cells Absent activity of all known cellular sulfatases Disorders of Neutral Lipids Infantile-onset LALD Lysosomal acid lipase (LIPA) [ET, HSCT] Cholesteryl esters; triglycerides Infantile AR None +++ None None None Adrenal cortical calcification Childhood/adult-onset LALD Acid lysosomal lipase (LIPA) [ET] Cholesteryl esters Childhood AR None Hepatomegaly None None None Fatty liver disease; cirrhosis Farber disease Acid ceramidase (ASAH1) Ceramide Infantile Juvenile AR Occasional cognitive degeneration ± None Macular degeneration None Arthropathy, subcutaneous nodules Niemann-Pick disease C1 and C2 NPC1 (NPC1) NPC2 (NPC2) Cholesterol Childhood to adulthood AR Progressive CNS degeneration Variable hepatosplenomegaly None Vertical supranuclear ophthalmoplegia None Rare fatal neonatal liver disease, cirrhosis Disorders of Glycogen Pompe disease Acid α-glucosidase (GAA) [ET] Glycogen Infantile, late onset AR Neuromuscular ± None None None Myocardiopathy Late-onset GAA deficiency Acid α-glucosidase (GAA) [ET] Glycogen Variable: juvenile to adulthood AR Neuromuscular None None None None Respiratory insufficiency; neuromuscular disease Danon disease LAMP-2 (lysosomal associated membrane protein-2) (LAMP2) Glycogen Variable: childhood to adulthood X-linked (?Dominant) Cardiomyopathy Neuromuscular Inconsistent cognitive degeneration None None None None Myocardial vacuolar degeneration Neuronal Ceroid Lipofuscinoses CLN2 (a.k.a. NCL2) TPP1 (tripeptidyl peptidase 1) (TPP1) [ICV ET] Ceroid lipofuscin Early childhood AR Neurodegenerative Loss of motor skills Myoclonus Loss of vision Cognitive loss Wheelchair bound by adolescence None None Progressive vision loss None Symmetric </w:t>
      </w:r>
      <w:r w:rsidRPr="00A6019F">
        <w:lastRenderedPageBreak/>
        <w:t xml:space="preserve">retinal progressive degeneration by 4–6 years aComprehensive reviews of these lysosomal storage diseases can be found in DL Valle et al: The Online Metabolic and Molecular Bases of Inherited Disease, New York, McGraw-Hill, https://ommbid.mhmedical.com/book.aspx?boo kID=2709#225069419. Abbreviations: AR, autosomal recessive; BMT/HSCT, bone marrow or hematopoietic stem cell transplantation; ET, enzyme therapy; ICV ET, intracerebroventricular enzyme therapy; LALD, lysosomal acid lipase deficiency; SRT, substrate synthesis inhibition therapy (a.k.a., substrate reduction therapy). TABLE 429-1 Selected Lysosomal System Diseases (also known as Lysosomal Storage Diseases) (Continued) CLINICAL FEATURES DISORDERa ENZYME DEFICIENCY (GENE) [SPECIFIC THERAPY] PRIMARY ACCUMULATED MATERIALS CLINICAL TYPES (ONSET) INHERITANCE NEUROLOGIC LIVER, SPLEEN ENLARGEMENT SKELETAL DYSPLASIA OPHTHALMOLOGIC HEMATOLOGIC UNIQUE FEATURES 3355 consequences. In addition, abnormal amounts of metabolites may also have pharmacologic effects important to disease pathophysiology and propagation, particularly activation of the innate immune responses. For many LSDs, the accumulated substrates are synthesized within particular tissue sites of pathology. Other diseases have greater exog enous substrate supplies. For example, substrates are delivered by low density lipoprotein receptor–mediated uptake in Fabry and LALD or by phagocytosis in Gaucher disease type 1. The threshold hypothesis refers to a level of enzyme activity below which disease develops. Small changes in enzyme activity near that threshold can lead to or modify disease. A critical element of this model is that enzymatic activity can be challenged by changes in substrate flux based on genetic back ground, cell turnover, recycling, or metabolic demands. Thus, a set level of residual enzyme may be adequate for substrate in some tissues or cells but not in others. In addition, several variants of each LSD exist at the clinical level. These disorders therefore represent a spectrum of manifestations that are not easily dissociated into discrete entities. The molecular/genetic bases for such variations have not been elucidated in any detail. Treatments approved by the European Medicines Agency (EMA) and U.S. Food and Drug Administration (FDA) are available for several LSDs. The first was enzyme replacement therapy (ET) for Gaucher disease; this has been followed by additional ETs, but subsequent devel opments have included modified enzyme infusion, substrate synthesis inhibition, hematopoietic stem cell transplant (HSCT), pharmacologic chaperone therapy (which use small molecules to stabilize or enhance enzyme function resulting from the mutated gene), intrathecal enzyme delivery, Trojan-horse strategies for blood-brain barrier penetration for central nervous system (CNS) delivery, and gene therapy. The technical ability to intervene for most LSDs now exists but with highly variable impact, i.e., therapeutic outcome, particularly in bones and the CNS. Significant additional research is needed to reach the goals of long term survival with good function and quality of life. SELECTED DISORDERS </w:t>
      </w:r>
      <w:r w:rsidRPr="00A6019F">
        <w:rPr>
          <w:rFonts w:ascii="Arial" w:hAnsi="Arial" w:cs="Arial"/>
        </w:rPr>
        <w:t>■</w:t>
      </w:r>
      <w:r w:rsidRPr="00A6019F">
        <w:t xml:space="preserve">TAY-SACHS DISEASE About 1 in 30 Ashkenazi Jews is a carrier for Tay-Sachs disease (total hexosaminidase A [Hex A] deficiency), resulting from α-chain gene </w:t>
      </w:r>
      <w:r w:rsidRPr="00A6019F">
        <w:lastRenderedPageBreak/>
        <w:t xml:space="preserve">mutations. The infantile form is a neurodegenerative disease that results in death in infancy. It is characterized by macrocephaly, loss of motor skills, increased startle reaction, and a macular cherry red spot. The juvenile-onset form presents as ataxia and dementia, with death by age 10–15 years. The adult-onset disorder is characterized by clumsiness in childhood; progressive motor weakness in adolescence; and additional spinocerebellar and lower-motor-neuron signs and dysarthria in adulthood; intelligence declines slowly, and psychiatric disorders are common. Screening for Tay-Sachs disease carriers is recommended in the Ashkenazi Jewish population. Sandhoff disease, due to a deficiency in both Hex A and Hex B resulting from defective β-chains, is phenotypically similar to Tay-Sachs disease with the addi tion of hepatosplenomegaly and bony dysplasias. </w:t>
      </w:r>
      <w:r w:rsidRPr="00A6019F">
        <w:rPr>
          <w:rFonts w:ascii="Arial" w:hAnsi="Arial" w:cs="Arial"/>
        </w:rPr>
        <w:t>■</w:t>
      </w:r>
      <w:r w:rsidRPr="00A6019F">
        <w:t xml:space="preserve">FABRY DISEASE Fabry disease, an X-linked disorder and likely the most prevalent LSD, results from mutations in GLA, which encodes </w:t>
      </w:r>
      <w:r w:rsidRPr="00A6019F">
        <w:rPr>
          <w:rFonts w:ascii="Aptos" w:hAnsi="Aptos" w:cs="Aptos"/>
        </w:rPr>
        <w:t>α</w:t>
      </w:r>
      <w:r w:rsidRPr="00A6019F">
        <w:t xml:space="preserve">-galactosidase A. The estimated prevalence of hemizygous males ranges from 1 in 40,000 to 1 in 3500 in selected populations. Females have a higher prevalence of mutations, but more variable manifestations due to Lyonization effects. The disease manifests with angiokeratomas (telangiectatic skin lesions), hypohidrosis, corneal and lenticular opacities, acroparesthesia, and progressive disease of the kidney, heart, and brain vascular systems. Abdominal pain, recurrent diarrhea, and acroparesthesias (debilitating episodic burning pain of the hands and feet) may appear in childhood. In females, the overall manifestations vary greatly. Angiokeratomas are punctate, dark red to blue-black, and flat or slightly raised skin lesions; they do not blanch with pressure. They can be easily overlooked. They usually are most dense between the umbilicus and the knees—the “bathing suit area”—but may occur anywhere. Angiokeratomas also occur in several other very rare LSDs. Corneal and lenticular lesions, detectable on slit-lamp examination, may help in establishing a diag nosis of Fabry disease. Acroparesthesia can last from minutes to days and can be precipitated by changes in temperature, exercise, fatigue, or fever. Abdominal pain can resemble appendicitis or renal colic. Proteinuria, isosthenuria, and progressive renal dysfunction occur in the second to fourth decades; ~5% of male patients with “idiopathic renal failure” have GLA mutations. Hypertension, left ventricular hypertrophy, anginal chest pain, and congestive heart failure can occur in the third to fourth decades. About 1–3% of patients with “idiopathic hypertrophic myocardiopathy” have Fabry disease. Similarly, ~2–5% of patients with “idiopathic stroke” at 35–50 years of age have GLA mutations. Leg lymphedema occurs without hypoproteinemia. Death is due to cardiovascular, renal, or cerebrovascular disease. Variants with residual α-galactosidase A activity may have late-onset manifestations that are most prominent in the cardiovascular system and resemble hypertrophic cardiomyopathy. Cases with predominant cardiac, renal, or CNS manifestations have been reported. Up to 70% of heterozygous females exhibit clinical manifestations. However, in females, heart dis ease is the most common life-threatening manifestation. In males, it is renal disease followed by cardiovascular disease. Gabapentin and carbamazepine diminish chronic and episodic </w:t>
      </w:r>
      <w:r w:rsidRPr="00A6019F">
        <w:lastRenderedPageBreak/>
        <w:t xml:space="preserve">acroparesthesias. Chronic hemodialysis or kidney transplantation can be lifesaving in patients with renal failure. Intravenous ET clears stored lipids from a variety of cells. More recently a chaperone therapy (migalastat) that stabilizes the residual enzyme made by the patient’s body has allowed oral therapy for some patients with amenable muta tions. Renal insufficiency, cardiac fibrosis, and stroke are irreversible; therefore, early institution of therapy provides the best opportunity to prevent or slow the progression of life-threatening complications. CHAPTER 429 Lysosomal Storage Diseases </w:t>
      </w:r>
      <w:r w:rsidRPr="00A6019F">
        <w:rPr>
          <w:rFonts w:ascii="Arial" w:hAnsi="Arial" w:cs="Arial"/>
        </w:rPr>
        <w:t>■</w:t>
      </w:r>
      <w:r w:rsidRPr="00A6019F">
        <w:t xml:space="preserve">GAUCHER DISEASE Gaucher disease, a panethnic autosomal recessive disorder, results from defective activity of acid </w:t>
      </w:r>
      <w:r w:rsidRPr="00A6019F">
        <w:rPr>
          <w:rFonts w:ascii="Aptos" w:hAnsi="Aptos" w:cs="Aptos"/>
        </w:rPr>
        <w:t>β</w:t>
      </w:r>
      <w:r w:rsidRPr="00A6019F">
        <w:t xml:space="preserve">-glucosidase; ~600 GBA, a.k.a. GBA1, mutations have been described in such patients. Clinically, disease variants are classified by the absence or presence and progression of primary CNS involvement. Gaucher disease type 1 is a nonneuronopathic disease (i.e., absence of early-onset or progressive CNS disease) presenting in child hood to adulthood as slowly to rapidly progressive visceral disease. About 55–60% of patients are diagnosed at 20 years have proteinuria, and many have hypertension, kidney stones, nephrocalcinosis, and altered creatinine clearance. Other com plications include thyroid autoimmunity, particularly in GSD Ib, as well as hypercalcemia. Some women with GSD I have polycystic ovaries and menorrhagia; several reports of successful pregnancies suggest GSD Type III (Debranching Enzyme Deficiency, Limit Dextrinosis, Cori or Forbes Disease) GSD type III (OMIM #232400) is an autosomal recessive disorder caused by a deficiency of glycogen debranching enzyme. PhK, glycogen phosphorylase, and debranching enzyme are collectively responsible for the complete deg radation of glycogen into glucose (glycogenolysis). When debranching enzyme is defective, glycogen breakdown is incomplete, resulting in abnormal glycogen accumulation with short outer chains, resembling limit dextrin. GSD III is mainly classified as (1) GSD IIIa, with liver, cardiac, and skeletal muscle involvement (~85% of cases), and (2) GSD IIIb, with primarily liver involvement (~15% of cases). The initial CHAPTER 430 Glycogen Storage Diseases and Other Inherited Disorders of Carbohydrate Metabolism 3360 PART 12 Endocrinology and Metabolism TABLE 430-1 Features of Glycogen Storage Diseases, Galactose Metabolism Disorders, and Fructose Metabolism Disorders TYPE EPONYM DEFICIENT ENZYME CLINICAL FEATURES COMMENTS Liver Glycogen Storage Diseases 0a Glycogen synthase 2 Fasting ketotic hypoglycemia, growth retardation, postprandial hyperglycemia, lactic acidosis, and hyperalaninemia with normal insulin levels Rare; no hepatomegaly Ia von Gierke Glucose-6-phosphatase-α Fasting hypoketotic hypoglycemia, lactic acidosis, hypercholesterolemia, hypertriglyceridemia, hyperuricemia, hepatomegaly and renomegaly, hepatic steatosis, short stature, doll-like facies with round cheeks, thin extremities ~80% of type I cases; complications in adolescence and adulthood include HCA with risk for HCC transformation in some, gout, osteoporosis, pulmonary hypertension, renal stones, hyperfiltration injury in early stages that can progress to renal failure, pancreatitis Ib Glucose-6-phosphate translocase As for Ia, with additional findings of neutropenia and neutrophil </w:t>
      </w:r>
      <w:r w:rsidRPr="00A6019F">
        <w:lastRenderedPageBreak/>
        <w:t xml:space="preserve">dysfunction, inflammatory bowel disease, and increased risk for infections, mucosal ulceration, and periodontal disease ~20% of type I cases IIIa Cori or Forbes Glycogen debranching enzyme (liver and muscle) Childhood: Fasting ketotic/nonketotic hypoglycemia, hepatomegaly, short stature, muscle weakness, cardiomyopathy, cardiac arrhythmia, elevated aminotransferases, CK, and urine Glc4 levels, hyperlipidemia Adulthood: Variable progression of liver fibrosis, cirrhosis with risk for liver failure, risk for HCC and HCA noted in some; progression of proximal and distal muscle atrophy and weakness, peripheral neuropathy with preferential median nerve involvement; variable cardiac arrhythmia and cardiomyopathy, PCOS ~85% of type III cases; muscle weakness is both proximal and distal and can progress to need for ambulatory aids such as wheelchair; risk of sudden death from cardiac arrhythmia IIIb Glycogen debranching enzyme (liver) Liver symptoms same as in type IIIa; no skeletal muscle or cardiac symptoms ~15% of type III cases IV Andersen Glycogen branching enzyme Clinical continuum whereby hepatic, neurologic, cardiac, and muscular involvement can occur to varying degrees Hepatic form: Failure to thrive, hepatomegaly, elevated aminotransferase levels, progressive liver fibrosis and liver failure (death usually before age 5 years without liver transplantation); some do not progress to liver failure but may develop extrahepatic involvement such as myopathy and cardiomyopathy and are at risk for hepatic disease progression. Progression to APBD noted in some in adulthood. Neuromuscular forms: Perinatal and congenital forms lead to death in the neonatal period/infancy. Less severe involvement may present in early to late childhood with myopathy, neuromuscular dysfunction, and/or cardiomyopathy. Adult-onset (APBD): Progressive bilateral lower limb weakness and spasticity, neurogenic bladder (urinary incontinence and/or retention), peripheral neuropathy, cognitive impairment Rare; APBD is prevalent in individuals of Ashkenazi Jewish ancestry VI Hers Glycogen phosphorylase (liver) Fasting ketotic/nonketotic hypoglycemia, hepatomegaly, liver fibrosis, hyperlipidemia, short stature Often underdiagnosed; high prevalence in the Mennonite community; severe cases being recognized; cirrhosis, with progression to HCC has been reported in some; focal nodular hyperplasia and HCA also reported IX α2 (previously known as IXa)    Phosphorylase kinase (liver) Fasting ketotic/nonketotic hypoglycemia, hepatomegaly, liver fibrosis, hyperlipidemia, elevated aminotransferase and urine Glc4 levels, short stature GSD IX α2 is more common in males (X-linked, PHKA2); clinical phenotype of IX γ2 is often more severe than IX α2 and IX β, yet there is significant clinical variability within and between subtypes with severe cases being recognized in all subtypes; cirrhosis with progression to HCC has been reported; HCA also noted; catch-up growth is common IX γ2 (previously known as IXc) Phosphorylase kinase (liver) IX β (previously known as IXb) Phosphorylase kinase (liver and muscle) In addition to features of liver disease observed in IX α2 and IX γ2, may have mild muscle weakness and hypotonia Fanconi-Bickel syndrome Fanconi Bickel Glucose transporter 2 (GLUT2) Rickets, short stature, failure to thrive, fasting hypoglycemia, postprandial </w:t>
      </w:r>
      <w:r w:rsidRPr="00A6019F">
        <w:lastRenderedPageBreak/>
        <w:t xml:space="preserve">hyperglycemia (impaired glucose and galactose utilization), hepatomegaly, hypophosphatemia, proximal tubular nephropathy, metabolic acidosis Rare (Continued) 3361 Glycogen Storage Diseases and Other Inherited Disorders of Carbohydrate Metabolism CHAPTER 430 TABLE 430-1 Features of Glycogen Storage Diseases, Galactose Metabolism Disorders, and Fructose Metabolism Disorders TYPE EPONYM DEFICIENT ENZYME CLINICAL FEATURES COMMENTS Muscle Glycogen Storage Diseases 0b Glycogen synthase 1 Cardiomyopathy, cardiac arrythmia, muscle weakness, exercise intolerance Rare II Pompe Lysosomal acid α-glucosidase Classic infantile-onset: Hypotonia, muscle weakness, cardiomyopathy, fatal within first 2 years of life Nonclassic infantile-onset: Presentation within first year of life with less severe cardiomyopathy and slower progression than the classic form Late-onset: Absence of cardiomyopathy in first year of life; kinematic/muscle weakness noted as early as first year of life, progressive skeletal muscle weakness, early involvement of proximal lower extremity muscles and respiratory muscles, especially the diaphragm Higher frequency being reported since advent of newborn screening; enzyme (GAA) levels are undetectable or very low in infantile-onset form and variable in late-onset form when measured in skin or muscle V McArdle Muscle phosphorylase Exercise intolerance, myalgia, cramps, myoglobinuria with strenuous exercise, increased CK levels; “second wind” phenomenon   VII Tarui Phosphofructokinase-M subunit As for type V, with additional findings of compensated hemolysis, hyperuricemia; “out of wind” phenomenon rather than “second wind” phenomenon observed in GSD V Rare, prevalent in individuals of Ashkenazi Jewish ancestry IX α1 (previously known as IXd)  Phosphorylase kinase (muscle) Exercise intolerance, myalgia, cramps, muscle weakness and atrophy, myoglobinuria with strenuous exercise More common in males (X-linked, PHKA1) X Phosphoglycerate mutase 2 Exercise intolerance, cramps, myoglobinuria with strenuous exercise Rare, most patients African American XI – Lactate dehydrogenase A deficiency  Lactate dehydrogenase A Exercise intolerance, cramps, myoglobinuria with strenuous exercise, dermatitis Rare; reports of uterine stiffness and pain in pregnant patients XII Aldolase A Muscle weakness, myoglobinuria with strenuous exercise, with additional finding of hemolytic anemia Rare XIII β-enolase Exercise intolerance, myalgia, cramps, myoglobinuria with strenuous exercise Rare XV (also known as polyglucosan body myopathy 2)  Glycogenin-1 Often classified as two subtypes: GSD XV: Progressive cardiac arrhythmia and/ or cardiomyopathy causing heart failure and necessitating cardiac transplantation in some cases Polyglucosan body myopathy 2: Progressive myopathy with proximal and distal muscle weakness Rare Danon disease Lysosomal-associated membrane protein 2 Severe progressive cardiomyopathy with WPW pattern progressing to heart failure, cardiac arrythmia, and heart failure in early childhood/adolescence; myopathy with muscle weakness, retinopathy, intellectual disability, and developmental delay More common in males (X-linked, LAMP2) PRKAG2 deficiency AMP-activated gamma 2 protein kinase Progressive cardiac arrhythmia and cardiomyopathy progressing to heart failure in childhood to </w:t>
      </w:r>
      <w:r w:rsidRPr="00A6019F">
        <w:lastRenderedPageBreak/>
        <w:t xml:space="preserve">adulthood; congenital/infantile form is rapidly fatal with hypertrophic cardiomyopathy with WPW pattern; other involvement includes myalgia and seizures Autosomal dominant Galactose Metabolism Disorders I (classical galactosemia)  Galactose-1-phosphate uridyltransferase (GALT)   Vomiting, jaundice, sepsis, cataracts, aminoaciduria, hepatomegaly, failure to thrive Increased risk for developmental delays, speech problems, and motor dysfunction despite early diagnosis and treatment Clinical variant galactosemia  Less severe disease course compared to classic galactosemia; caused by homozygous p.Ser135Leu variants, most common in African Americans and native South Africans Biochemical variant galactosemia Duarte Galactose-1-phosphate uridyltransferase (GALT) Asymptomatic Caused by heterozygous or homozygous c.940A&gt;G;-16_119delGTCA (Duarte variant) II Galactokinase (GALK) Cataracts and pseudotumor cerebri Clinical continuum with very mild to severe phenotype III Uridine diphosphate galactose-4-epimerase (GALE) Similar to galactosemia type I; additional findings of hypotonia and hearing loss Benign in some cases; more severe phenotype has been reported in others IV Galactose mutarotase (GALM) Cataracts Identified in Japan; considered to be mild (Continued) (Continued) 3362 TABLE 430-1 Features of Glycogen Storage Diseases, Galactose Metabolism Disorders, and Fructose Metabolism Disorders TYPE EPONYM Fructose Metabolism Disorders Essential/benign fructosuria DEFICIENT ENZYME Fructokinase CLINICAL FEATURES Asymptomatic COMMENTS (Continued) Benign, incidental finding made through detection of reducing substance in urine Hereditary fructose intolerance PART 12 Aldolase B Vomiting, jaundice, hepatomegaly, aversion to sweets, failure to thrive, convulsions, postprandial hypoglycemia Severity of symptoms depending on age and quantity of fructose ingested; prognosis good with early diagnosis and fructose restriction Abbreviations: APBD, adult polyglucosan body disease; CK, creatine kinase; GSD, glycogen storage disease; HCA, hepatocellular adenoma; HCC, hepatocellular carcinoma; PCOS, polycystic ovarian syndrome; PhK, phosphorylase kinase; WPW, Wolff-Parkinson-White. Endocrinology and Metabolism presentation of GSD III is similar to that of GSD I with hypoglycemia (typically ketotic, yet some may present with nonketotic hypoglycemia), hepatomegaly, hyperlipidemia, and short stature occurring in infancy and early childhood. A distinguishing feature from GSD I is normal lactate and uric acid, and patients with GSD III have marked elevated aminotransferase levels in early stages that persist and then decrease over time. Levels of urine glucose tetrasaccharide (Glc4 ), a breakdown product of glycogen, are typically elevated but follow the same pattern as aminotransferases and decrease over time. In most patients with GSD III, there is an apparent improvement in hepatomegaly and liver enzymes with age; however, there is now a recognition that patients develop progressive liver fibrosis and cirrhosis progressing to liver fail ure, and some can develop HCC. HCA may occur, although less com monly than in GSD I. Polycystic ovaries are reported in female patients with GSD III, and some patients develop features of polycystic ovarian syndrome, such as hirsutism and irregular menstrual cycles. Reports of successful pregnancy in women with GSD III </w:t>
      </w:r>
      <w:r w:rsidRPr="00A6019F">
        <w:lastRenderedPageBreak/>
        <w:t xml:space="preserve">suggest that fertility is normal. Patients with GSD IIIa also have a variable skeletal myopathy and car diomyopathy that can present in the first decade of life; these are often overlooked due to the significant hepatomegaly. Serum creatine kinase (CK) levels can be used to identify patients with muscle involvement, but normal levels are often noted in patients with muscle involvement. Left ventricular hypertrophy, significant scarring of the myocardium, and life-threatening arrhythmias resulting in death have been reported. Patients with GSD IIIa may experience exercise intolerance and muscle weakness in early childhood that can become severe after the third or fourth decade of life, resulting in use of assistive devices and wheelchair dependence. The pattern of muscle weakness is variable, and both proximal and distal muscle weakness are seen. Peripheral neuropathy with preferential median nerve involvement may become discernible later in life; however, there are opposing views concerning the existence of peripheral neuropathy in GSD III. Individuals with GSD IIIa are at an increased risk of osteoporosis. In the past, diagnosis of GSD IIIa versus IIIb was confirmed by defi cient or absent debranching enzyme activity in liver or skeletal muscle (enzyme activity is low in liver and normal in muscle in IIIb). However, with the availability of molecular genetic testing, reliance on invasive tissue biopsies is declining and DNA-based analyses now provide a noninvasive way of subtyping most patients. Specific variants in exon 2 of AGL are associated with the GSD IIIb phenotype and can occur with other variants in AGL. Liver histology reveals distended hepato cytes due to glycogen buildup and may show fat infiltration; fibrosis is present early on in the disease and has a variable rate of progression. Debrancher enzyme deficiency prevents complete glycogenolysis in GSD III, but gluconeogenesis is intact. Hence, a high-protein diet with complex carbohydrates supplemented with uncooked cornstarch in small, frequent feedings is effective in preventing hypoglycemia. Individuals with GSD IIIa may benefit from dietary lipid manipula tion, such as through the implementation of a high-fat, high-protein diet or use of medium-chain triglyceride supplementation. Careful monitoring of liver function, morphology, lipid profile, and growth is necessary given the potential impact on underlying liver disease and muscle disease progression. Diet therapy is not effective in prevent ing the overall progression of hepatic disease, cardiomyopathy, and myopathy. Just as in GSD I, continuous glucose monitoring is useful for monitoring blood glucose levels and trends. Blood ketones and glucose should be carefully evaluated during times of stress. Liver and heart transplantation may be considered in those with severe hepatic or cardiac involvement, respectively. Even with liver or heart transplanta tion, muscle disease continues to progress and is a significant unmet need for these patients. GSD Type IV (Glycogen Branching Enzyme Deficiency, Andersen Disease, Adult Polyglucosan Body Disease, Amy lopectinosis) GSD type IV (OMIM #232500) is caused by defi ciency of branching enzyme, leading to accumulation of abnormal glycogen with poor solubility (polyglucosan). The disease is clinically heterogeneous, with multisystem organ involvement, yet the primary presentation was traditionally characterized by manifestations in either liver or muscle; thus, two main </w:t>
      </w:r>
      <w:r w:rsidRPr="00A6019F">
        <w:lastRenderedPageBreak/>
        <w:t xml:space="preserve">types—hepatic and neuromuscular— have been recognized. Individuals with the “classic progressive” hepatic subtype typically present in the first 18 months of life with failure to thrive, hepatosplenomegaly, and progressive liver cirrhosis leading to liver failure and death in the first 5 years of life without liver trans plantation. Extrahepatic manifestations including cardiac and nervous system involvement may present and progress after liver transplanta tion. A less severe hepatic form referred to as the “nonprogressive” hepatic subtype has been observed; in these individuals, liver disease is slowly progressive or attenuated and liver transplantation is not con sidered urgent. Lifelong monitoring is imperative as there are reports of individuals with hepatic GSD IV that developed HCC, progressed to liver failure, and developed extrahepatic disease manifestations. Some patients have gone on to develop symptoms consistent with APBD. The neuromuscular forms of the disease have four recognized subtypes: perinatal, congenital, childhood, and adult forms. The peri natal and congenital forms are lethal, and death occurs in the neonatal period. The childhood form presents with myopathy or cardiomy opathy, with typical systemic findings. The adult form is known as APBD (OMIM #263570) and includes central and peripheral nervous system involvement characterized by gait abnormalities due to spastic paraplegia, neurogenic bladder, peripheral neuropathy, leukodystro phy, autonomic dysfunction, and, in the advanced stages, cognitive impairment. Life expectancy is considered to be shortened. APBD has a high prevalence in the Ashkenazi Jewish population (estimated car rier rate 1 in 48). Definitive diagnosis of GSD IV requires demonstration of patho genic variants in the GBE1 gene. Enzyme activity demonstrating reduced glycogen branching enzyme activity in cultured skin fibro blasts, leukocytes, liver, or muscle is supportive of a GSD IV diagnosis. Treatment for all forms of GSD IV is symptomatic. Recently, our understanding of the natural history has improved, and patients with GSD IV are no longer classified by the traditional discrete hepatic/ neuromuscular subtypes; rather, GSD IV is conceptualized as a multi dimensional clinical continuum whereby hepatic, neuromuscular, and cardiac involvement occurs to varying degrees in different patients. GSD Type VI (Liver Phosphorylase Deficiency) GSD type VI (OMIM #232700) is an autosomal recessive disorder caused by liver glycogen phosphorylase deficiency. PhK regulates liver glycogen phos phorylase activity by converting the inactive glycogen phosphorylase b form to the active a form (phosphorylated glycogen phosphorylase). Therefore, the clinical presentation of GSD VI is very similar to liver 3363 GSD IX (PhK deficiency) and includes variable fasting hypoglycemia (ketotic or nonketotic), hepatomegaly, elevated aminotransferases, and hyperlipidemia. Historically, GSD VI was thought to have a benign course, but clinical heterogeneity in symptom severity has been observed. Liver fibrosis, cirrhosis, focal nodular hyperplasia, HCA, and HCC have been reported. Diagnosis is confirmed by identifying two pathogenic variants in the PYGL gene. Glycogen phosphorylase enzyme levels will be reduced or deficient in liver tissue. It is thought that GSD VI is generally underdiagnosed and has a high prevalence in the Mennonite community (1 in 1000). Just like in other disorders of glycogenolysis </w:t>
      </w:r>
      <w:r w:rsidRPr="00A6019F">
        <w:lastRenderedPageBreak/>
        <w:t xml:space="preserve">(GSD III and IX), gluconeogenesis is intact, and there fore, a high-protein diet is recommended along with small frequent meals with complex carbohydrates and avoidance of fasting to prevent hypoglycemia. Uncooked cornstarch supplementation may be needed to maintain euglycemia, and continuous glucose monitoring is useful for monitoring blood glucose levels and trends. Blood ketones and glucose should be carefully evaluated during times of stress. GSD Type IX (Liver Phosphorylase Kinase Deficiency) Deficiency of the PhK causes GSD IX, a heterogeneous group of dis orders. Similar to patients with GSD VI, patients with hepatic GSD IX typically present with fasting hypoglycemia (ketotic or nonketotic), hepatomegaly, and elevated aminotransferase, cholesterol, triglyceride, and urine Glc4 levels. The PhK enzyme complex consists of four sub units (α, β, γ, and δ), and each subunit is encoded by different genes that are differentially expressed in various tissues. GSD IX can thus be divided into several subtypes on the basis of the gene/subunit involved. The most common subtype is GSD IX α2 (also known as GSD IXa; OMIM #306000), an X-linked liver PhK deficiency caused by patho genic variants in the PHKA2 gene. PhK activity may also be deficient in erythrocytes and leukocytes but is normal in skeletal muscle. Much like GSD VI, GSD IX α2 has historically been considered to have a benign course, but clinical heterogeneity in symptom severity is being increasingly recognized, with severe disease involvement in some cases. Liver histology shows distention of hepatocytes due to excess glycogen accumulation as well as fibrosis ranging from mild to severe. Other subtypes of type IX liver GSD include GSD IX β (also known as GSD IXb; OMIM #261750) and GSD IX γ2 (also known as IXc; OMIM #613027). GSD IX β is an autosomal recessive form of liver and muscle PhK deficiency caused by PHKB pathogenic variants. The affected gene PHKB is expressed in the liver and muscle so myopathy may be observed but is typically less severe compared to the liver disease. GSD IX γ2 accounts for 25% of GSD IX and is an autosomal recessive form of liver PhK deficiency due to pathogenic variants in PHKG2. GSD IX γ2 is typically a more severe phenotype when compared to GSD IX α2 and GSD IX β due to defects in the catalytic domain of PhK. Affected patients often present with severe liver fibrosis and may progress to cir rhosis. Previously, infants with severe isolated cardiomyopathy and low PhK activity in the heart and muscle were considered to have a subtype of GSD IX; however, there were no pathogenic variants in the genes encoding for the PhK subunits. This presentation was later classified as PRKAG2 syndrome, which causes a secondary decrease in PhK activity. Details about PRKAG2 syndrome are described later in the “Muscle Glycogen Storage Diseases” section. Treatment of liver GSD IX (types α2, β, and γ2) is symptom based. Like in other disorders of glycogenolysis (GSD III and VI), gluconeo genesis is intact, and therefore, a high-protein diet with complex carbo hydrates in small, frequent feedings is needed to prevent hypoglycemia. Uncooked cornstarch supplementation may be needed to maintain euglycemia, and continuous glucose monitoring is useful for monitor ing blood glucose levels and trends. Blood ketones and glucose should be carefully evaluated during times of stress. Liver transplantation may be considered in </w:t>
      </w:r>
      <w:r w:rsidRPr="00A6019F">
        <w:lastRenderedPageBreak/>
        <w:t xml:space="preserve">those with liver failure. In addition to fibrosis and cir rhosis, HCA and HCC have been observed in adolescents and adults with hepatic GSD IX, and therefore, it is recommended that patients be monitored for hepatic complications with regular computed tomogra phy (CT) or magnetic resonance imaging (MRI) scans. Though previously thought to be a mild disease, a broad clinical spectrum of presentations is now being recognized in hepatic GSD IX, with more severe cases coming to light, even in the X-linked form. Further research is needed to completely understand the natural his tory and long-term complications of liver GSD IX. Other Liver GSDs GSD 0a is a rare disorder caused by deficiency in glycogen synthase 2 (GYS2; OMIM #240600) resulting in abnormal glycogen synthesis in the liver. Clinical features of GSD 0a include fast ing ketotic hypoglycemia, short stature, postprandial hyperglycemia, lactic acidosis, and hyperalaninemia with normal insulin levels. Unlike many liver GSDs, hepatomegaly is not a feature of GSD 0a. Fanconi Bickel syndrome (OMIM #227810), previously referred to as GSD XI-Fanconi-Bickel syndrome, is caused by defects in the facilitative glucose transporter 2 (GLUT-2), which transports glucose in and out of hepatocytes, pancreatic cells, and the basolateral membranes of intes tinal and renal epithelial cells. Patients with Fanconi-Bickel syndrome may have increased renal clearance of glucose, amino acids, calcium, phosphate, bicarbonate, and uric acid due to proximal renal tubular dysfunction, impaired glucose and other monosaccharide utilization, and accumulation of glycogen in liver and kidney. Clinical presenta tions include rickets, short stature, failure to thrive, postprandial hyperglycemia, fasting hypoglycemia, hepatomegaly, hypophosphate mia, proximal tubular nephropathy, and metabolic acidosis. </w:t>
      </w:r>
      <w:r w:rsidRPr="00A6019F">
        <w:rPr>
          <w:rFonts w:ascii="Arial" w:hAnsi="Arial" w:cs="Arial"/>
        </w:rPr>
        <w:t>■</w:t>
      </w:r>
      <w:r w:rsidRPr="00A6019F">
        <w:t xml:space="preserve">MUSCLE GLYCOGEN STORAGE DISEASES GSD Type II (Acid </w:t>
      </w:r>
      <w:r w:rsidRPr="00A6019F">
        <w:rPr>
          <w:rFonts w:ascii="Aptos" w:hAnsi="Aptos" w:cs="Aptos"/>
        </w:rPr>
        <w:t>α</w:t>
      </w:r>
      <w:r w:rsidRPr="00A6019F">
        <w:t xml:space="preserve">-1,4 Glucosidase Deficiency, Pompe Disease) Pompe disease (OMIM #232300) is an autosomal reces sive lysosomal and glycogen storage disorder caused by a deficiency of lysosomal acid α-glucosidase, an enzyme responsible for the degrada tion of glycogen to glucose in the lysosomes. This disease is character ized by the accumulation of glycogen in the lysosomes as opposed to primary accumulation in cytoplasm (as in the other GSDs). At the most severe end of the disease spectrum is classic infantile onset Pompe disease (IOPD) in which infants present with cardiomy opathy at birth or within the first few weeks of life. Patients develop a generalized muscle weakness with feeding difficulties, macroglossia, and congestive heart failure due to the rapidly progressive hypertrophic cardiomyopathy. Without treatment, patients with IOPD do not sur vive beyond 2 years of life. A variant form, known as nonclassic IOPD, also presents in the first year of life with less severe cardiomyopathy and slower disease progression. Patients with late-onset Pompe disease (LOPD) can present as early as the first few months of life to as late as the sixth decade. The distinguishing feature of LOPD from IOPD is the absence of cardiomyopathy in the first year of life. The clinical picture in LOPD is dominated by slowly progressive, predominantly proximal limb girdle muscle weakness. The pelvic girdle, paraspinal muscles, and diaphragm are most seriously affected. Respiratory symptoms include </w:t>
      </w:r>
      <w:r w:rsidRPr="00A6019F">
        <w:lastRenderedPageBreak/>
        <w:t xml:space="preserve">sleep apnea, sleep disordered breathing, decreased forced vital capacity, somnolence, morning headache, orthopnea, and exertional dyspnea. Respiratory failure causes significant morbidity and mortality in LOPD. In rare instances, patients present with respiratory insuf ficiency as the initial symptom. Young children with LOPD may have delayed motor milestones and difficulty in walking. With the advent of newborn screening for Pompe disease, delayed motor milestones and other kinematic/musculoskeletal findings such as scapular winging and weakness of pelvic girdle and core are being recognized as early as the first year of life in some babies with LOPD. CHAPTER 430 Glycogen Storage Diseases and Other Inherited Disorders of Carbohydrate Metabolism As the disease advances in LOPD, patients may require some form of ventilatory support and become dependent on a walking aid or wheel chair. Basilar artery aneurysms and dilation of the ascending aorta have been observed in some patients. Ptosis, lingual weakness, hypernasal ity, speech and articulation difficulties, gastrointestinal dysmotility, and bladder/bowel incontinence due to poor sphincter tone are now being recognized as part of the clinical spectrum. There is increasing recog nition of central and peripheral nervous system involvement in IOPD with white matter hyperintensities, learning disabilities, slow process ing speeds, sensorineural hearing loss, foot-slapping gait, bulbar weak ness with dysarthria and dysphagia, and small-fiber neuropathy. Laboratory findings include elevated levels of serum CK and ami notransferases as well as urine Glc4 , especially at the severe end of 3364 PART 12 Endocrinology and Metabolism the disease spectrum, and they can be used as biomarkers to monitor disease progression and treatment responsiveness. In IOPD, chest x-ray shows massive cardiomegaly, echocardiogram shows severely elevated left ventricular mass index, and electrocardiographic findings include a high-voltage QRS complex and a shortened PR interval. Electromy ography reveals myopathic features, with irritability of muscle fibers and pseudomyotonic discharges, which appears early in the paraspinal muscles. Muscle biopsy typically shows vacuoles that stain positive for glycogen, rupture of lysosomal membranes, and accumulation of gly cogen in the cytoplasm from lysosomal spillover; the muscle acid phos phatase level is increased, presumably from a compensatory increase of lysosomal enzymes. Note that serum CK is not always elevated in LOPD, and depending on the muscle biopsied or tested, muscle histol ogy or electromyography results may appear normal due to heteroge neity in muscle disease severity, and therefore, normal results do not rule out a diagnosis. There is an increasing role of muscle ultrasound and MRI as noninvasive biomarkers to assess extent and progression of disease involvement. The confirmatory step for a diagnosis of Pompe disease is enzyme testing demonstrating deficient acid α-glucosidase (GAA), which can be measured in muscle, cultured skin fibroblasts, or blood; the lat ter is increasingly being used and is very reliable when performed in laboratories with experience. Enzyme levels when measured in skin or muscle are undetectable or very low in IOPD (typically G;-16_119delGTCA), also known as the D variant or D2 variant, is considered to be protective and causes the </w:t>
      </w:r>
      <w:r w:rsidRPr="00A6019F">
        <w:lastRenderedPageBreak/>
        <w:t xml:space="preserve">biochemical variant galactosemia, which is asymptomatic despite reduced GALT enzyme activity (typically ~25%) and elevated galactose-1-phosphate levels in red blood cells. Dietary therapy for the biochemical variant galactosemia is no longer recommended. </w:t>
      </w:r>
      <w:r w:rsidRPr="00A6019F">
        <w:rPr>
          <w:rFonts w:ascii="Arial" w:hAnsi="Arial" w:cs="Arial"/>
        </w:rPr>
        <w:t>■</w:t>
      </w:r>
      <w:r w:rsidRPr="00A6019F">
        <w:t xml:space="preserve">GALACTOSEMIA TYPE II (GALACTOKINASE DEFICIENCY) Galactokinase (GALK) deficiency (galactosemia type II; OMIM #230200) has an estimated prevalence of 1 in 50,000 to 2,200,000. A higher incidence is observed in individuals of Romanian origin (estimated carrier rate 1 in 47). Unlike the multisystemic symptoms associated with galactosemia type I, the only consistently reported abnormalities in GALK deficiency are cataracts without visual impair ment and, rarely, pseudotumor cerebri. Other findings include hyper bilirubinemia, bleeding diathesis, and elevated aminotransferases. There have been reports of intellectual impairments, which can be severe in some cases. Since many NBS programs measure GALT activ ity and not galactose levels directly, diagnosing GALK deficiency often entails ruling out GALT deficiency. Elimination of galactose in the diet is recommended. </w:t>
      </w:r>
      <w:r w:rsidRPr="00A6019F">
        <w:rPr>
          <w:rFonts w:ascii="Arial" w:hAnsi="Arial" w:cs="Arial"/>
        </w:rPr>
        <w:t>■</w:t>
      </w:r>
      <w:r w:rsidRPr="00A6019F">
        <w:t xml:space="preserve">GALACTOSEMIA TYPE III (URIDINE DIPHOSPHATE GALACTOSE-4-EPIMERASE DEFICIENCY) Deficiency of uridine diphosphate galactose-4-epimerase (GALE) causes galactosemia type III (OMIM #606953), which is considered to be rare but more common than GALK deficiency. The benign form (also known as peripheral GALE deficiency) is incidentally discovered </w:t>
      </w:r>
      <w:r w:rsidRPr="00A6019F">
        <w:rPr>
          <w:rFonts w:ascii="Arial" w:hAnsi="Arial" w:cs="Arial"/>
        </w:rPr>
        <w:t>■</w:t>
      </w:r>
      <w:r w:rsidRPr="00A6019F">
        <w:t xml:space="preserve">GALACTOSEMIA TYPE IV (GALACTOSE MUTAROTASE DEFICIENCY) Galactosemia type IV (OMIM #618881) is a newly recognized auto somal recessive conditionm and there are few documented cases. Deficiency of galactose mutarotase (GALM) was incidentally identified through NBS in Japan. GALM deficiency is considered to be mild, and cataracts are the only reported persistent symptom. DISORDERS OF FRUCTOSE METABOLISM Fructose naturally occurs in high concentrations in fruits and foods containing sucrose. Two inborn errors of the metabolism are associated with the fructose metabolism pathway: essential/benign fructosuria and hereditary fructose intolerance as a part of glycolysis. Fructolysis occurs predominantly in the liver. </w:t>
      </w:r>
      <w:r w:rsidRPr="00A6019F">
        <w:rPr>
          <w:rFonts w:ascii="Arial" w:hAnsi="Arial" w:cs="Arial"/>
        </w:rPr>
        <w:t>■</w:t>
      </w:r>
      <w:r w:rsidRPr="00A6019F">
        <w:t xml:space="preserve">ESSENTIAL/BENIGN FRUCTOSURIA Essential/benign fructosuria (OMIM #229800) is an autosomal reces sive condition affecting the KHK gene causing deficiency of ketohexo kinase, commonly referred to as fructokinase (Fig. 430-1). It is a benign condition incidentally diagnosed from the presence of fructose as a reducing substance in the urine. No treatment is necessary. </w:t>
      </w:r>
      <w:r w:rsidRPr="00A6019F">
        <w:rPr>
          <w:rFonts w:ascii="Arial" w:hAnsi="Arial" w:cs="Arial"/>
        </w:rPr>
        <w:t>■</w:t>
      </w:r>
      <w:r w:rsidRPr="00A6019F">
        <w:t xml:space="preserve">HEREDITARY FRUCTOSE INTOLERANCE Deficiency of fructose-1,6-bisphosphate aldolase (aldolase B; heredi tary fructose intolerance; OMIM #229600) is a severe disease in infants. These patients are healthy and asymptomatic until fructose is ingested, usually from fruit, fruit juice, sweetened cereal, or sucrose containing formula. Aldolase B deficiency causes fructose-1-phosphate accumulation and ATP depletion, which inhibits gluconeogenesis and glycogenolysis and can lead to a rapid drop in blood glucose shortly after consumption of fructose or related sugars. Clinical manifestations resemble galactosemia and include jaundice, hepatomegaly, vomit ing, lethargy, irritability, and convulsions. Ingestion of large amounts of fructose can result in </w:t>
      </w:r>
      <w:r w:rsidRPr="00A6019F">
        <w:lastRenderedPageBreak/>
        <w:t xml:space="preserve">progressive coma. Laboratory findings show prolonged clotting time, hypoalbuminemia, elevation of bilirubin and aminotransferase levels, and proximal renal tubular dysfunction. If the disease goes undiagnosed and the intake of fructose continues, post prandial hypoglycemic episodes recur, and eventually death can occur from progressive liver and renal failure. Hepatomegaly, liver fibrosis, Fanconi-like syndrome, and nephrocalcinosis have been observed. The mainstay of treatment is the elimination of all sources of sucrose, fruc tose, and sorbitol from the diet and medications. Older patients tend to develop an aversion to fructose-containing foods. With early and consistent dietary treatment, liver and kidney dysfunction improve and catch-up growth is common. Hepatic steatosis has been observed even in treated individuals. The long-term prognosis of treated individuals is good. The incidence of celiac disease is higher among patients with hereditary fructose intolerance (&gt;10%) than in the general population (1–3%). GLOBAL CONSIDERATIONS GSDs and other inherited disorders of carbohydrate metabolism, although individually rare, are reported in most ethnic populations. The prevalent genetic variants for each disease may vary in different ethnic populations, but clinical symptoms are remarkably similar, and treatment guidelines apply to all. Symptomatic treatment is available for these disorders, and today, advances in the field includ ing newborn screening have resulted in more definitive diagnosis and better treatment approaches. There are many promising thera pies on the horizon with several ongoing clinical trials, including those investigating the use of ERT, mRNA therapy, gene replace ment therapy, gene editing, and substrate reduction therapy. In the past, prognosis for many disorders of carbohydrate metabolism was guarded, but with early diagnosis and better management, survival rates have improved and many affected children are surviving into adulthood. </w:t>
      </w:r>
      <w:r w:rsidRPr="00A6019F">
        <w:rPr>
          <w:rFonts w:ascii="Arial" w:hAnsi="Arial" w:cs="Arial"/>
        </w:rPr>
        <w:t>■</w:t>
      </w:r>
      <w:r w:rsidRPr="00A6019F">
        <w:t xml:space="preserve">FURTHER READING Fernandes SA et al: Benign or not benign? Deep phenotyping of liver glycogen storage disease IX. Mol Genet Metab 131:299, 2020. Heinemann JB et al: Features and outcome of galactokinase defi ciency in children diagnosed by newborn screening. J Inherit Metab Dis 34:399, 2011. Hong KN et al: International consensus on differential diagnosis and management of patients with Danon disease: JACC state-of-the-art review. J Am Coll Cardiol 82:1628, 2023. Grünert SC et al: Improved inflammatory bowel disease, wound healing and normal oxidative burst under treatment with empa gliflozin in glycogen storage disease type Ib. Orphanet J Rare Dis 15:218, 2020. Hannah WB et al: Glycogen storage diseases. Nat Rev Dis Primers 9:46, 2023. Hedberg-Oldfors C et al: Cardiomyopathy as presenting sign of glycogenin-1 deficiency—report of three cases and review of the literature. J Inherit Metab Dis 40:139, 2017. Herbert M et al: Role of continuous glucose monitoring in the man agement of glycogen storage disorders. J Inherit Metab Dis 41:917, 2018. Katler QS et al: A multinational study of acute and long-term out comes of Type 1 galactosemia patients who carry the S135L (c.404C &gt; T) variant of GALT. J Inherit Metab Dis 45:1106, 2022. Kiely et al: A novel approach to characterize phenotypic variation in GSD IV: Reconceptualizing the clinical continuum. Front Genet 13:992406, 2022. Koch RL et al: Natural history study of hepatic glycogen </w:t>
      </w:r>
      <w:r w:rsidRPr="00A6019F">
        <w:lastRenderedPageBreak/>
        <w:t xml:space="preserve">storage disease type IV and comparison to Gbe1ys/ys model. JCI Insight 9:e177722, 2024. Kronn DF et al: Management of confirmed newborn-screened patients with Pompe disease across the disease spectrum. Pediatrics 40:S24, 2017. Li N et al: Clinical and molecular characterization of patients with fructose 1,6-bisphosphatase deficiency. Int J Mol Sci 18:857, 2017. Musumeci O et al: Recurrent rhabdomyolysis due to muscle β-enolase deficiency: Very rare or underestimated? J Neurol 261:2424, 2014. Papadopoulos C et al: Aldolase A deficiency: Report of new cases and literature review. Mol Genet Metab Rep 23:100730, 2021. Porto AG et al: Clinical spectrum of PRKAG2 syndrome. Circ Arrhythm Electrophysiol 9:e003121, 2016. Quinlivan R et al: Pharmacological and nutritional treatment for McArdle disease (glycogen storage disease type V). Cochrane Data base Syst Rev 2014:CD003458, 2014. Rubio-Gozalbo ME et al: The natural history of classic galactosemia: Lessons from the GalNet registry. Orphanet J Rare Dis 14:86, 2019. Steinmann B et al: Disorders of fructose metabolism. The Online Metabolic and Molecular Bases of Inherited Disease. New York, McGraw-Hill, 2013. Timson DJ: The structural and molecular biology of type III galacto semia. IUBMB Life 58:83, 2006. Welling L et al: International clinical guideline for the management of classical galactosemia: Diagnosis, treatment, and follow-up. J Inherit Metab Dis 40:171, 2017. 431 Inherited Disorders of Amino Acid Metabolism in Adults Nicola Longo Amino acids are the building blocks of proteins and serve as neurotransmitters (glycine, glutamate, γ-aminobutyric acid) or as pre cursors of hormones, coenzymes, pigments, purines, or pyrimidines. Eight amino acids, referred to as essential (histidine, isoleucine, leucine, lysine, methionine, phenylalanine, threonine, tryptophan, and valine), cannot be synthesized by humans and must be obtained from dietary sources. The others can be formed endogenously. Each amino acid has a unique degradative pathway by which its nitrogen and carbon com ponents are used for the synthesis of other amino acids, carbohydrates, and lipids. Disorders of amino acid metabolism and transport (Chap. 432) are individually rare—the incidences range from 1 in 10,000 for cystinuria or phenylketonuria to 1 in 200,000 for homocys tinuria or alkaptonuria—but collectively, they affect perhaps 1 in 4000 newborns. Almost all are transmitted as autosomal recessive traits. The features of inherited disorders of amino acid catabolism are summarized in Table 431-1. In general, these disorders are named for the compound that accumulates to highest concentration in blood (-emias) or urine (-urias). In the aminoacidopathies, the parent amino acid is found in excess, whereas products in the catabolic pathway accumulate in organic acidemias. Which compound(s) accumulates depends on the site of the enzymatic block, the reversibility of the reactions proximal to the lesion, and the availability of alternative path ways of metabolic “runoff.” Biochemical and genetic heterogeneity are common. Six distinct forms of hyperphenylalaninemia and nine forms of homocystinuria (with or without methylmalonic acidemia) are recognized. Such heterogeneity reflects the complexity of amino acid metabolism requiring multiple enzymes (gene products) for proper functioning. 3367 CHAPTER 431 Inherited Disorders </w:t>
      </w:r>
      <w:r w:rsidRPr="00A6019F">
        <w:lastRenderedPageBreak/>
        <w:t xml:space="preserve">of Amino Acid Metabolism in Adults The manifestations of these conditions differ widely (Table 431-1). Some, such as sarcosinemia, produce no clinical consequences. At the other extreme, complete deficiency of ornithine transcarbamylase is lethal in the untreated neonate. Central nervous system (CNS) dys function, in the form of delays in development/intellectual disability, seizures, or behavioral disturbances, is present in more than half the disorders. Protein-induced vomiting, neurologic dysfunction, and hyperammonemia occur in many disorders of the urea cycle. Metabolic ketoacidosis, often accompanied by hyperammonemia, is frequent in organic acidemias. Some disorders produce focal tissue or organ involvement such as liver disease, renal failure, cutaneous abnormali ties, or ocular lesions. Defects in the synthesis of nonessential amino acids (asparagine, glutamine, proline, serine) involve predominantly the brain with neu rologic symptoms, with other organs occasionally affected. Dominant mutations in at least one of these genes can cause tremor or spastic paraplegia in adults. The analysis of plasma amino acids (by ion-exchange chromatog raphy or liquid chromatography/tandem mass spectrometry), urine organic acids (by gas chromatography/mass spectrometry), and plasma acylcarnitine profile (by tandem mass spectrometry) is commonly used to diagnose and monitor most of these disorders. The diagnosis is confirmed by enzyme assay on cells or tissues from the patients or, more commonly, by DNA testing. The clinical manifestations in many of these conditions can be prevented or mitigated if a diagno sis is achieved early and appropriate treatment (e.g., dietary protein or amino acid restriction or vitamin supplementation) is instituted promptly. For this reason, newborn screening programs seek to iden tify several of these disorders. Infants with a positive screening test need additional metabolic testing (usually suggested by the newborn screening program) to confirm or exclude the diagnosis. Confirmed 3368 PART 12 Endocrinology and Metabolism TABLE 431-1 Inherited Disorders of Amino Acid Metabolism AMINO ACID(S) CONDITION ENZYME DEFECT CLINICAL FINDINGS INHERITANCE Phenylalanine Phenylketonuria Phenylalanine hydroxylase Intellectual disability, microcephaly, hypopigmented skin and hairs, eczema, “mousy” odor AR DHPR deficiency Dihydropteridine reductase Intellectual disability, hypotonia, spasticity, myoclonus AR PTPS deficiency 6-Pyruvoyl-tetrahydropterin synthase Dystonia, neurologic deterioration, seizures, intellectual disability AR GTP cyclohydrolase 1 deficiency GTP cyclohydrolase 1 Intellectual disability, seizures, dystonia, temperature instability AR Carbinolamine dehydratase deficiency Pterin-4α-carbinolamine dehydratase Transient hyperphenylalaninemia (benign) AR DNAJC12 deficiency Hydroxylase co-chaperone Dystonia, parkinsonism, intellectual disability AR Tyrosine Tyrosinemia type 1 (hepatorenal) Fumarylacetoacetate hydrolase Liver failure, cirrhosis, rickets, failure to thrive, peripheral neuropathy, “boiled cabbage” odor AR Tyrosinemia type 2 (oculocutaneous) Tyrosine transaminase Palmoplantar keratosis, painful corneal erosions with photophobia, learning disability AR Tyrosinemia type 3 4-Hydroxyphenylpyruvate dioxygenase Hypertyrosinemia with normal liver function, </w:t>
      </w:r>
      <w:r w:rsidRPr="00A6019F">
        <w:lastRenderedPageBreak/>
        <w:t xml:space="preserve">occasional mental delay AR Hawkinsinuria 4-Hydroxyphenylpyruvate dioxygenase Transient failure to thrive, metabolic acidosis in infancy AD Alkaptonuria Homogentisic acid oxidase Ochronosis, arthritis, cardiac valve involvement, coronary artery calcification AR Maleylacetoacetate isomerase deficiency Maleylacetoacetate isomerase No clinical symptoms, elevated succinylacetone in blood and urine AR Albinism (oculocutaneous) Tyrosinase Hypopigmentation of hair, skin, and optic fundus; visual loss; photophobia AR Albinism (ocular) Different enzymes or transporters Hypopigmentation of optic fundus, visual loss AR, XL DOPA-responsive dystonia Tyrosine hydroxylase Rigidity, truncal hypotonia, tremor, intellectual disability AR GABA 4-Hydroxybutyric aciduria Succinic semialdehyde dehydrogenase Seizures, intellectual disability, hypotonia AR ABAT deficiency GABA transaminase Seizures, intellectual disability, hypotonia AR Tryptophan Hydroxykynureninuria Kynureninase Intellectual disability, spasticity AR Histidine Histidinemia Histidine-ammonia lyase Benign AR Urocanic aciduria Urocanase Occasional intellectual disability AR Formiminoglutamic aciduria Formiminotransferase Occasional intellectual disability AR Glycine Glycine encephalopathy Glycine cleavage (4 enzymes) Infantile seizures, lethargy, apnea, profound intellectual disability AR Sarcosinemia Sarcosine dehydrogenase Benign AR Hyperoxaluria type I Alanine:glyoxylate aminotransferase Calcium oxalate nephrolithiasis, renal failure AR Hyperoxaluria type II D-Glyceric acid dehydrogenase/ glyoxylate reductase Calcium oxalate nephrolithiasis, renal failure AR Serine 3-PGDH deficiency Phosphoglycerate dehydrogenase Seizures, microcephaly, intellectual disability AR PSAT1 deficiency Phosphoserine aminotransferase Seizures, microcephaly, intellectual disability AR PSP deficiency Phosphoserine phosphatase Seizures, microcephaly, intellectual disability AR Proline Hyperprolinemia type 1 Proline oxidase Benign AR Hyperprolinemia type 2 Δ1-Pyrroline-5-carboxylate dehydrogenase Febrile seizures, intellectual disability AR Hyperhydroxyprolinemia Hydroxyproline oxidase Benign AR Prolidase deficiency Prolidase Mild intellectual disability, chronic dermatitis, autoimmunity AR PYCR1 deficiency Pyrroline-5-carboxylate reductase 1 Wrinkly skin, joint laxity, typical facial features, intellectual disability, osteopenia, intrauterine growth retardation, hypotonia AR PYCR2 deficiency Pyrroline-5-carboxylate reductase 2 Microcephaly, hypomyelination, and reduced cerebral white matter volume, failure to thrive, intellectual disability, movement disorders, seizures AR Proline (ornithine, arginine, citrulline) Δ1-Pyrroline-5-carboxylate synthase deficiency Δ1-Pyrroline-5-carboxylate synthase Hypotonia, seizures, neurodegeneration, peripheral neuropathy, joint laxity, skin hyperelasticity, subcapsular cataracts, hyperammonemia, adult spastic paraparesis (AD) AR, AD Methionine Hypermethioninemia Methionine adenosyltransferase Usually benign AR S-Adenosylhomocysteine hydrolase deficiency S-Adenosylhomocysteine hydrolase Hypotonia, intellectual disability, absent tendon reflexes, delayed myelination AR Glycine N-methyltransferase deficiency Glycine N-methyltransferase Elevated liver transaminases AR Adenosine kinase deficiency Adenosine kinase Intellectual disability, seizures, liver dysfunction AR (Continued) 3369 </w:t>
      </w:r>
      <w:r w:rsidRPr="00A6019F">
        <w:lastRenderedPageBreak/>
        <w:t xml:space="preserve">Inherited Disorders of Amino Acid Metabolism in Adults CHAPTER 431 TABLE 431-1 Inherited Disorders of Amino Acid Metabolism AMINO ACID(S) CONDITION ENZYME DEFECT CLINICAL FINDINGS INHERITANCE Homocysteine Homocystinuria Cystathionine β-synthase Lens dislocation, thrombotic vascular disease, intellectual disability, osteoporosis AR Homocystinuria 5,10-Methylenetetrahydrofolate reductase Intellectual disability, gait and psychiatric abnormalities, recurrent strokes AR Homocystinuria Methionine synthase and Methionine synthase reductase (cblE, G) Intellectual disability, hypotonia, seizures, megaloblastic anemia AR Homocystinuria and methylmalonic acidemia Vitamin B12 lysosomal efflux and metabolism (cblC, -epiC, -D, -F, -J, -X) Intellectual disability, lethargy, failure to thrive, hypotonia, seizures, megaloblastic anemia AR, XL Cystathionine Cystathioninuria β-Cystathioninase Benign AR Cysteine Sulfocystinuria Sulfite oxidase or molybdenum cofactor deficiency Seizures, intellectual disability, dislocated lenses AR Lysine Hyperlysinemia, saccharopinuria α-Aminoadipic semialdehyde synthase Benign AR Pyridoxine-dependent seizures L-Δ1-Piperideine-6-carboxilate dehydrogenase Seizures, intellectual disability AR Lysine, tryptophan α-Ketoadipic acidemia α-Ketoadipic acid dehydrogenase DHTKD1 Benign AR Lysine, tryptophan Glutaric acidemia type 1 Glutaryl-CoA dehydrogenase Progressive severe dystonia and athetosis, motor delays AR Ornithine Gyrate atrophy of the choroid and retina Ornithine-Δ-aminotransferase Myopia, night blindness, loss of peripheral vision, cataracts, chorioretinal degeneration AR Urea cycle Carbamoylphosphate synthase-1 deficiency Carbamoylphosphate synthase-1 Lethargy progressing to coma, protein aversion, intellectual disability, hyperammonemia AR N-Acetylglutamate synthase deficiency N-Acetylglutamate synthase Lethargy progressing to coma, protein aversion, intellectual disability, hyperammonemia AR Ornithine transcarbamylase deficiency Ornithine transcarbamylase Lethargy progressing to coma, protein aversion, intellectual disability, hyperammonemia XL Citrullinemia type 1 Argininosuccinate synthase Lethargy progressing to coma, protein aversion, intellectual disability, hyperammonemia, liver failure AR Argininosuccinic acidemia Argininosuccinate lyase Lethargy progressing to coma, protein aversion, intellectual disability, hyperammonemia, trichorrhexis nodosa, liver failure AR Arginase deficiency Arginase Spastic tetraparesis, microcephaly, intellectual disability, mild hyperammonemia AR Hyperornithinemia, hyperammonemia, homocitrullinuria Mitochondrial ornithine carrier ORNT1 Vomiting, lethargy, failure to thrive, intellectual disability, episodic confusion, hyperammonemia, protein intolerance AR Citrullinemia type 2 Mitochondrial aspartate/glutamate carrier CTLN2 Neonatal intrahepatic cholestasis, adult presentation with sudden behavioral changes and stupor, coma, hyperammonemia, liver failure AR Glutamine Glutamine synthetase deficiency Glutamine synthase Brain malformations, pachygyria, seizures, hypotonia, intellectual disability, dysmorphic features, low glutamine AR Glutaminase deficiency Glutaminase Epileptic encephalopathy, intellectual disability, ataxia, elevated glutamine AR Asparagine </w:t>
      </w:r>
      <w:r w:rsidRPr="00A6019F">
        <w:lastRenderedPageBreak/>
        <w:t xml:space="preserve">Asparagine synthetase deficiency Asparagine synthase Epileptic encephalopathy, seizures, microcephaly, simplified gyration pattern, hypotonia, tetraplegia, intellectual disability   Valine Isobutyryl-CoA dehydrogenase deficiency Isobutyryl-CoA dehydrogenase Benign AR Isoleucine, leucine, valine Maple syrup urine disease Branched chain ketoacid dehydrogenase (E1α, E1β, E2, E3 deficiency) Lethargy, vomiting, encephalopathy, seizures, intellectual disability, “maple syrup” odor, protein intolerance AR Isoleucine, leucine, valine Hypervalinemia Branched-chain amino acid transferase 2 (BCAT2) Autism, headaches, intellectual disability AR Isoleucine, leucine, valine Branched-chain amino acid deficiency Branched chain ketoacid dehydrogenase kinase (BCHDK) Autism, epilepsy, intellectual disability, microcephaly  Leucine Isovaleric acidemia Isovaleryl-CoA dehydrogenase Acidosis, ketosis, vomiting, coma, hyperammonemia, “sweaty feet” odor, protein intolerance AR 3-Methylcrotonyl glycinuria 3-Methylcrotonyl-CoA carboxylase Stress-induced metabolic acidosis, hypotonia, hypoglycemia, “cat’s urine” odor AR 3-Methylglutaconic aciduria type I 3-Methylglutaconyl-CoA hydratase deficiency Stress-induced acidosis, leukodystrophy, hypotonia, hepatomegaly AR 3-Hydroxy-3-methylglutaric aciduria 3-Hydroxy-3-methylglutaryl-CoA lyase Stress-induced hypoketotic hypoglycemia and acidosis, encephalopathy, hyperammonemia AR (Continued) (Continued) 3370 TABLE 431-1 Inherited Disorders of Amino Acid Metabolism AMINO ACID(S) CONDITION Isoleucine ENZYME DEFECT (Continued) 2-Methylbutyryl-glycinuria 2-Methylbutyryl-CoA dehydrogenase 2-Methyl-3-hydroxybutyryl CoA dehydrogenase deficiency 3-Oxothiolase deficiency PART 12 Isoleucine, methionine, threonine, valine Propionic acidemia (pccA, -B) Multiple carboxylase/ biotinidase deficiency 2-Methyl-3-hydroxybutyryl-CoA dehydrogenase 3-Oxothiolase Propionyl-CoA carboxylase CLINICAL FINDINGS Benign Developmental regression, seizures, and rigidity sometimes triggered by illnesses Fasting-induced acidosis and ketosis, vomiting, lethargy INHERITANCE AR XL AR AR Metabolic ketoacidosis, hyperammonemia, hypotonia, lethargy, coma, protein intolerance, intellectual disability, hyperglycinemia Holocarboxylase synthase or biotinidase Methylmalonic acidemia (mutase, cblA, B, racemase) Endocrinology and Metabolism Methylmalonyl-CoA mutase/ racemase or cobalamin reductase/ adenosyltransferase Metabolic ketoacidosis, diffuse rash, alopecia, seizures, intellectual disability Metabolic ketoacidosis, hyperammonemia, hypertonia, lethargy, coma, protein intolerance, intellectual disability, hyperglycinemia AR AR Abbreviations: AD, autosomal dominant; AR, autosomal recessive; Cbl, cobalamin; DOPA, dihydroxyphenylalanine; GABA, γ-aminobutyric acid; GTP, guanosine 5′-triphosphate; XL, X-linked. cases should be referred to a metabolic center for initiation of therapy. The parents need to be counseled about the natural history of the disease and its recurrence risk in future pregnancies. In some cases, parents need testing because they might have a disorder themselves (such as glutaric acidemia type 1, methylcrotonyl coenzyme A carbox ylase deficiency, primary carnitine deficiency, or fatty acid oxidation defects) since mothers with these conditions can sometimes be </w:t>
      </w:r>
      <w:r w:rsidRPr="00A6019F">
        <w:lastRenderedPageBreak/>
        <w:t xml:space="preserve">identi fied by abnormal newborn screening results in their offspring. Some metabolic disorders can remain asymptomatic until adult age, present ing only when fasting or severe stress requires full activity of affected metabolic pathways to provide energy. Selected disorders that illustrate the principles, properties, and problems presented by the disorders of amino acid metabolism are discussed in this chapter. THE HYPERPHENYLALANINEMIAS The hyperphenylalaninemias (Table 431-1) result from impaired conversion of phenylalanine to tyrosine. The most common and clinically important is phenylketonuria (frequency 1:16,500), which is an autosomal recessive disorder characterized by an increased con centration of phenylalanine and its by-products in body fluids and by severe intellectual disability if untreated in infancy. It results from reduced activity of phenylalanine hydroxylase. The accumulation of phenylalanine inhibits the transport of other amino acids required for protein or neurotransmitter synthesis, reduces synthesis and increases degradation of myelin, and leads to inadequate formation of norepi nephrine and serotonin. Phenylalanine is a competitive inhibitor of tyrosinase, a key enzyme in the pathway of melanin synthesis, resulting in hypopigmentation of hair and skin. Untreated children with classic phenylketonuria are normal at birth but fail to attain early develop mental milestones, develop microcephaly, and demonstrate progressive impairment of cerebral function. Hyperactivity, seizures, and severe intellectual disability are major clinical problems later in life. Elec troencephalographic abnormalities; “mousy” odor of skin, hair, and urine (due to phenylacetate accumulation); and a tendency to develop hypopigmentation (compared to the family background) and eczema complete the devastating clinical picture. In contrast, affected children who are detected and treated at birth show none of these abnormalities. TREATMENT Phenylketonuria To prevent intellectual disability, diagnosis and initiation of dietary treatment of classic phenylketonuria must occur before the child is 2 weeks of age. For this reason, newborns in North America, Australia, and Europe are screened by determinations of blood phe nylalanine levels. Abnormal values are confirmed using quantitative analysis of plasma amino acids. Dietary phenylalanine restriction is usually instituted if blood phenylalanine levels are &gt;360 μmol/L. Treatment consists of a special diet low in phenylalanine and supplemented with tyrosine since tyrosine becomes an essential amino acid in phenylalanine hydroxylase deficiency. With ther apy, plasma phenylalanine concentrations should be maintained between 120 and 360 μmol/L for life. Compliance with the strict diet is often difficult as patients become older; increased levels of phenylalanine in adults can cause deficits in executive function or psychiatric symptoms. Oral tetrahydrobiopterin (5–20 mg/kg per d), an essential cofactor of phenylalanine hydroxylase, can reduce phenylalanine levels in some patients with phenylketonuria in conjunction with a low-protein diet. Pegvaliase is a pegylated form of phenylalanine ammonia lyase, a bacterial enzyme that converts phenylalanine to trans-cinnamic acid and ammonia. This inject able drug can substantially reduce phenylalanine levels, allowing a normal diet. The bacterial origin of </w:t>
      </w:r>
      <w:r w:rsidRPr="00A6019F">
        <w:lastRenderedPageBreak/>
        <w:t xml:space="preserve">pegvaliase can cause immune reactions that limit its use in some patients with phenylketonuria. Women with phenylketonuria can become pregnant. If mater nal phenylalanine levels are not strictly controlled before and dur ing pregnancy, their offspring are at increased risk for congenital defects and microcephaly (maternal phenylketonuria). After birth, these children have severe intellectual disability and growth retar dation. Pregnancy risks can be minimized by continuing lifelong phenylalanine-restricted diets and assuring strict phenylalanine restriction 2 months prior to conception and throughout gestation. </w:t>
      </w:r>
      <w:r w:rsidRPr="00A6019F">
        <w:rPr>
          <w:rFonts w:ascii="Arial" w:hAnsi="Arial" w:cs="Arial"/>
        </w:rPr>
        <w:t>■</w:t>
      </w:r>
      <w:r w:rsidRPr="00A6019F">
        <w:t>THE HOMOCYSTINURIAS (HYPERHOMOCYSTEINEMIAS) The homocystinurias include 10 biochemically and clinically distinct disorders (Table 431-1) characterized by increased concentration of the sulfur-containing amino acid homocysteine in blood and urine. Classic homocystinuria, the most common (frequency 1:450,000), results from reduced activity of cystathionine β-synthase (Fig. 431-1), the pyridoxal phosphate–dependent enzyme that condenses homocys teine with serine to form cystathionine. Most patients present between 3 and 5 years of age with dislocated optic lenses and intellectual disabil ity (in about half of cases). Some patients develop a marfanoid habitus and radiologic evidence of osteoporosis. Life-threatening vascular complications (affecting coronary, renal, and cerebral arteries) can occur during the first decade of life and are the major cause of morbidity and mortality. Classic homocystin uria can be diagnosed with analysis of plasma amino acids, showing elevated methionine and presence of free homocystine. Total plasma homocysteine is also extremely elevated (usually &gt;100 μM). Elevated levels of methionine can be also detected by neonatal screening, but milder variants can be missed by this approach. Treatment consists of a special diet restricted in protein and methionine. In approximately half of patients, oral pyridoxine (25–500 mg/d) produces a fall in plasma methionine and homocysteine concentration in body fluids. Folate and vitamin B12 deficiency should be prevented by adequate supplementa tion. Betaine is also effective in reducing homocysteine levels by favor ing its remethylation to methionine. 3371 Re-methylation Serine Glycine Cobalamin (B12) Methionine Synthase Reductase (cblE) TetraHydro Folate (THF) cbl C, D, F, J, X, epi-cblC 5,10-Methylene THF Methionine Synthase (cblG) Methyl-Cobalamin N5-Methyl THF NH2 CH3-S-(CH2)2-CH-COOH Methionine Dimethylglycine S-Adenosyl Methionine Betaine Homocysteine Methyltransferase Betaine Methyl transfer ATP Methionine Adenosyl Transferase (MAT) Methyltransferases CH3 S-Adenosyl Homocysteine S-Adenosyl Homocysteine Hydrolase Homocysteine Methylene Tetrahydro Folate Reductase (MTHFR) Cystathionine b Synthase (B6) Serine Cystathionine Cystathionase (B6) `-Ketobutyrate Cysteine Trans-sulfuration Adenosine N-Methylglycine (Sarcosine) Glycine N-Methyltransferase Glycine Creatine Guanidinoacetate Methyltransferase Guanidinoacetate FIGURE 431-1 Pathways, enzymes, and coenzymes involved in the homocystinurias. Methionine transfers a methyl group during its conversion to homocysteine. Defects in methyl transfer or in the subsequent metabolism of homocysteine by the pyridoxal phosphate (vitamin B6 )-dependent cystathionine β-</w:t>
      </w:r>
      <w:r w:rsidRPr="00A6019F">
        <w:lastRenderedPageBreak/>
        <w:t xml:space="preserve">synthase increase plasma methionine levels. Homocysteine is transformed into methionine via remethylation. This occurs through methionine synthase, a reaction requiring methylcobalamin and folic acid. Deficiencies in these enzymes or lack of cofactors is associated with decreased or normal methionine levels. In an alternative pathway, homocysteine can be remethylated by betaine:homocysteine methyl transferase. The other forms of homocystinuria are the result of impaired remethylation of homocysteine to methionine. This can be caused by defective methionine synthase or reduced availability of two essential cofactors, 5-methyltetrahydrofolate and methylcobalamin (methyl vitamin B12 ). In contrast to cystathionine β-synthase, elevated levels of free homocysteine are associated with low levels of methionine in the plasma amino acid profile in remethylation defects. Most of these conditions present with delays in development and some with megaloblastic anemia (methionine synthase-cblG and methio nine synthase reductase-cblE deficiency, in addition to combined methylmalonic acidemia-homocystinuria- cblC, cblD, cblF, cblJ, see Chap. 104). Therapy in these cases requires administration of meth ylfolate, hydroxycobalamin (an activated form of vitamin B12 ), and betaine. Hyperhomocysteinemia refers to increased total plasma concentra tion of homocysteine with or without an increase in free homocys teine (disulfide form). Hyperhomocysteinemia, in the absence of significant homocystinuria, is found in some heterozygotes for the genetic defects noted above or in homozygotes for milder variants. Changes of homocysteine levels are also observed with deficiency of pyridoxine, folic acid, or vitamin B12 ; with increasing age; with smoking; in postmenopausal women; in patients with renal failure, hypothyroidism, leukemias, autoinflammatory disorders; and during therapy with drugs such as methotrexate, nitrous oxide, givosiran, isoniazid, and some antiepileptic agents. Elevated homocysteine pro duces endothelial dysfunction, acting as an atherogenic and thrombo philic agent. Increased total plasma homocysteine has been associated with an increased risk for coronary, cerebrovascular, and peripheral arterial disease as well as for deep-vein thrombosis. In addition, hyperhomocysteinemia and folate and vitamin B12 deficiencies have been associated with an increased risk of neural tube defects in preg nant women and dementia (Alzheimer’s type), as well as Parkinson’s disease in the general population. Vitamin B12 , folic acids, and pyri doxine supplements can reduce total plasma homocysteine levels in these cases, with reduction of the risk of stroke when levels are more severely increased (&gt;30 μM). ALKAPTONURIA Alkaptonuria is a rare (frequency 1:250,000) disorder of tyrosine catabolism in which deficiency of homogentisate 1,2-dioxygenase (also known as homogentisic acid oxidase) leads to excretion of large amounts of homogentisic acid in urine and accumulation of oxidized homogentisic acid pigment in connective tissues (ochronosis). Alkap tonuria may go unrecognized until middle life, when degenerative joint disease develops. Prior to this time, about half of patients might be diagnosed for the presence of urine that becomes dark with stand ing or addition of alkali. Foci of gray-brown scleral pigment and gen eralized darkening of the concha, antihelix, and, finally, </w:t>
      </w:r>
      <w:r w:rsidRPr="00A6019F">
        <w:lastRenderedPageBreak/>
        <w:t xml:space="preserve">helix of the ear usually develop after age 30. Low back pain usually starts between 30 and 40 years of age. Ochronotic arthritis is heralded by pain, stiff ness, and some limitation of motion of the hips, knees, and shoulders. Acute arthritis may resemble rheumatoid arthritis, but small joints are usually spared. Pigmentation of heart valves, larynx, tympanic membranes, and skin occurs, and occasional patients develop pig mented renal or prostatic calculi. Pigment deposition in the heart and blood vessels leads to aortic stenosis necessitating valve replacement, especially after 60 years of age. The diagnosis should be suspected in a patient whose urine darkens to blackness. Homogentisic acid in urine is identified by urine organic acid analysis. Ochronotic arthritis is treated symptomatically with pain medications, spinal surgery, and arthroplasty (Chap. 383). Nitisinone (2-[2-nitro 4-trifluoromethylbenzoyl]-1,3-cyclohexanedione), a drug used in tyrosinemia type 1, at low dose (10 mg/d) reduces urinary excre tion of homogentisic acid, delays progression, and improves clini cal signs of alkaptonuria. UREA CYCLE DEFECTS Excess ammonia generated from protein nitrogen is removed by the urea cycle, a process mediated by several enzymes and transporters (Fig. 431-2, Table 431-1). Complete absence of any of these enzymes usually causes severe hyperammonemia in newborns, while milder variants can be seen in adults. The accumulation of ammonia and glu tamine leads to direct neuronal toxicity and brain edema. Deficiencies CHAPTER 431 Inherited Disorders of Amino Acid Metabolism in Adults 3372 Urea Cycle UTP CTP Acetyl-CoA+Glutamate NAG Synthase CO2+H2O CA5A H2CO3+NH3+2ATP NAGS N-acetyl-Glutamate CPS-1 Carbamylphosphate PART 12 Endocrinology and Metabolism Mitochondrion Ornithine OTC Aspartate Cytosol Citrin Aspartate + Citrulline Citrulline ASA Synthase Orotic Acid Carbamyl + ASS Phosphate Ornithine ORNT1 (HHH) ORNT1 Arginase ARG Urea Argininosuccinic Acid ASA Lyase ASL Arginine Fumarate FIGURE 431-2 The urea cycle. This cycle, which is fully expressed only in the liver, forms urea starting from ammonia (NH3 ) derived from the nitrogen group of all amino acids. It requires many enzymes and mitochondrial transporters, any of which can be defective and may impair the function of the urea cycle. Ammonia escaping the urea cycle in periportal hepatocytes is conjugated with glutamate by glutamine synthase in perivenous hepatocytes to generate glutamine. ARG, arginase; ASA, argininosuccinic acid; ASL, argininosuccinate lyase; ASS, argininosuccinate synthase; CA5A, carbonic anhydrase 5a; citrin (SLC25A13), aspartate/glutamate exchanger; CP, carbamylphosphate; CPS-1, carbamylphosphate synthase 1; CTP, cytidine triphosphate; HHH, hyperammonemia, hyperornithinemia, homocitrullinuria syndrome; NAG, N-acetylglutamate; NAGS, N-acetylglutamate synthase; ORNT1 (SLC25A15), ornithine/citrulline mitochondrial transporter; OTC, ornithine transcarbamylase; UTP, uridine triphosphate. in urea cycle enzymes are individually rare, but as a group, they affect ~1:35,000 individuals. They are all transmitted as autosomal recessive traits, with the exception of ornithine transcarbamylase deficiency, which is X-linked and the most frequent urea cycle defect. Hepatocytes of females with ornithine transcarbamylase deficiency express either the </w:t>
      </w:r>
      <w:r w:rsidRPr="00A6019F">
        <w:lastRenderedPageBreak/>
        <w:t xml:space="preserve">normal or the mutant allele due to random X-inactivation and may be unable to remove excess ammonia if mutant cells are predominant. Infants with classic urea cycle defects present at 1–4 days of life with refusal to eat and lethargy progressing to coma and death. Milder enzyme deficiencies present with protein avoidance, recurrent vomiting, migraine, mood swings, chronic fatigue, irritability, and disorientation that can progress to coma. Some cases have presented with acute or chronic hepatic dysfunction. Females with ornithine transcarbamylase deficiency can present at time of childbirth due to the combination of involuntary fasting and stress that favors catabo lism. Administration of systemic corticosteroids or chemotherapy can precipitate hyperammonemia and can be fatal in previously asymp tomatic individuals of any age. These patients may be misdiagnosed as having gastrointestinal disorders, food allergies, behavioral prob lems, or nonspecific hepatitis. The diagnosis requires measurement of plasma ammonia, plasma amino acids, and urine orotic acid, useful for differentiating ornithine transcarbamylase deficiency from carba myl phosphate synthase-1 and N-acetylglutamate synthase deficiency. Increased plasma glutamine is seen with all urea cycle defects since ammonia not removed by the urea cycle in periportal hepatocytes is conjugated to glutamate by glutamine synthase in perivenous hepa tocytes. Citrulline is low or undetectable in proximal defects of the urea cycle (N-acetylglutamate synthase, carbamylphosphate synthase 1, and ornithine transcarbamylase deficiency), with urine orotic acid being increased only in ornithine transcarbamylase deficiency. Plasma citrulline is markedly increased in argininosuccinic acid synthase deficiency (citrullinemia type 1), with a milder elevation in arginino succinic acid lyase deficiency in the presence of argininosuccinic acid (argininosuccinic aciduria). Arginine levels are usually normal to low in these conditions and become markedly elevated only in patients with arginase deficiency. In addition to urea cycle defects, hyperammonemia can also be caused by liver disease from any cause and several organic acidemias and fatty acid oxidation defects (the latter two excluded by the analysis of urine organic acids and plasma acylcarnitine profile). TREATMENT Urea Cycle Defects Therapy is aimed at stopping catabolism and ammonia produc tion by providing adequate calories (as IV glucose and lipids in the comatose patient) and, if needed, insulin. Excess nitrogen is removed by IV phenylacetate and benzoate (0.25 g/kg for the prim ing dose and subsequently as an infusion over 24 h) that conjugate with glutamine and glycine, respectively, to form phenylacetyl glutamine and hippuric acid, water-soluble molecules efficiently excreted in urine. Arginine (200 mg/kg per d) becomes an essential amino acid (except in arginase deficiency) and should be provided intravenously to resume protein synthesis. If these measures fail to reduce ammonia, hemodialysis should be initiated promptly. Chronic therapy consists of a protein-restricted diet, phenylbutyr ate, glycerol phenylbutyrate (a liquid drug better tolerated by most patients), arginine, or citrulline supplements, depending on the specific diagnosis. Oral carglumic acid can restore a functional urea cycle in patients with N-acetylglutamate synthase deficiency and renders other therapies unnecessary. </w:t>
      </w:r>
      <w:r w:rsidRPr="00A6019F">
        <w:lastRenderedPageBreak/>
        <w:t xml:space="preserve">Liver transplantation should be considered in patients with severe urea cycle defects that are dif ficult to control medically. Hyperammonemia due to a functional deficiency of glutamine synthase can occur in patients receiving chemotherapy for differ ent malignancies or undergoing solid organ transplants. It can also be seen with hepatic cirrhosis. Several of these patients have been successfully rescued from hyperammonemia using the protocol described above for urea cycle defects. </w:t>
      </w:r>
      <w:r w:rsidRPr="00A6019F">
        <w:rPr>
          <w:rFonts w:ascii="Arial" w:hAnsi="Arial" w:cs="Arial"/>
        </w:rPr>
        <w:t>■</w:t>
      </w:r>
      <w:r w:rsidRPr="00A6019F">
        <w:t>FURTHER READING Gu</w:t>
      </w:r>
      <w:r w:rsidRPr="00A6019F">
        <w:rPr>
          <w:rFonts w:ascii="Aptos" w:hAnsi="Aptos" w:cs="Aptos"/>
        </w:rPr>
        <w:t>é</w:t>
      </w:r>
      <w:r w:rsidRPr="00A6019F">
        <w:t xml:space="preserve">ant JL et al: Hyperhomocysteinemia in cardiovascular diseases: Revisiting observational studies and clinical trials. Thromb Haemost 123:270, 2023. Ranganath LR et al: Efficacy and safety of once-daily nitisinone for patients with alkaptonuria (SONIA 2): An international, multicentre, open-label, randomised controlled trial. Lancet Diabetes Endocrinol 8:762, 2020. Van Spronsen FJ et al: Phenylketonuria. Nat Rev Dis Primers 7:36, 2021. 3373 432 Inherited Defects of Membrane Transport Nicola Longo Membrane transporters mediate the passage of amino acids, oligopeptides, sugars, cations, anions, vitamins, water, and other molecules across cellular membranes and are encoded by members of the solute-carrier gene (SLC) superfamily. These transporters are located on the plasma membrane or intracellular organelles, and their cellular and tissue distribution in addi tion to the presence (or absence) of redundant transporters explains organ involvement and possible metabolic disturbances. Transport processes are essential for the normal function of every organ, but especially the brain and sensory organs (Table 432-1). Inherited defects impairing the transport of selected amino acids that can present in adults are discussed here as examples of the abnormalities encountered; others are considered elsewhere in this text. </w:t>
      </w:r>
      <w:r w:rsidRPr="00A6019F">
        <w:rPr>
          <w:rFonts w:ascii="Arial" w:hAnsi="Arial" w:cs="Arial"/>
        </w:rPr>
        <w:t>■</w:t>
      </w:r>
      <w:r w:rsidRPr="00A6019F">
        <w:t xml:space="preserve">CYSTINURIA Cystinuria (worldwide frequency of 1 in 7000) is an autosomal reces sive disorder caused by defective transporters in the apical brush border of proximal renal tubule and small intestinal cells. It is char acterized by impaired reabsorption and excessive urinary excretion of the amino acids lysine, arginine, ornithine, and cystine that are dibasic in the physiologically acidic pH of urine. Because cystine is poorly soluble, its excess predisposes to the formation of renal, ureteral, and bladder stones. Such stones are responsible for the signs and symptoms of the disorder. There are two variants of cystinuria. Homozygotes for both variants have high urinary excretion of cystine, lysine, arginine, and ornithine. Type A heterozygotes usually have normal urinary amino acid excre tion, whereas most type B heterozygotes have moderately increased urinary excretion of cystine that, in some circumstances, can result in the formation of kidney stones. The gene for type A cystinuria (SLC3A1, chromosome 2p16.3) encodes a membrane glycoprotein. Type B cystinuria is caused by mutations in SLC7A9 (chromosome 19q13) that encodes the b0,+ amino acid transporter. The glycoprotein encoded by SLC3A1 favors the correct processing of the b0,+ membrane transporter and explains why mutations in two different genes cause a similar disease. Cystine stones account for 1–2% of all urinary tract calculi and for ~4–5% of stones in children. Cystinuria homozygotes regularly excrete 2400–7200 μmol (600–1800 mg) of cystine daily. Since the maximum solubility of cystine in the </w:t>
      </w:r>
      <w:r w:rsidRPr="00A6019F">
        <w:lastRenderedPageBreak/>
        <w:t>physiologic urinary pH range of 4.5–7.0 is ~1200 μmol/L (300 mg/L), cystine needs to be diluted to 2.5–7 L of water to prevent crystalluria. Stone formation usually manifests in the second or third decade but may occur in the first year of life. Symptoms and signs are those typical of urolithiasis: hematuria, flank pain, renal colic, obstructive uropathy, and infection (Chap. 330). Recurrent uro lithiasis may lead to progressive renal insufficiency. Cystinuria is suspected after observing typical hexagonal crystals in the sediment of acidified, concentrated, chilled urine or after per forming a urinary nitroprusside test. Quantitative urine amino acid analysis shows selective overexcretion of cystine, lysine, arginine, and ornithine. Quantitative measurements are important for differentiating heterozygotes from homozygotes and for following free cystine excre tion during therapy. Management is aimed at preventing cystine crystal formation by increasing urinary volume and by maintaining an alkaline urine pH. Fluid ingestion in excess of 4 L/d is essential, and 5–7 L/d is optimal. Urinary cystine concentration should be</w:t>
      </w:r>
    </w:p>
    <w:p w14:paraId="0556E97E" w14:textId="77777777" w:rsidR="00A6019F" w:rsidRDefault="00A6019F"/>
    <w:p w14:paraId="5603F109" w14:textId="2EDB4947" w:rsidR="00A6019F" w:rsidRDefault="00A6019F">
      <w:pPr>
        <w:rPr>
          <w:b/>
          <w:bCs/>
          <w:sz w:val="32"/>
          <w:szCs w:val="32"/>
        </w:rPr>
      </w:pPr>
      <w:r w:rsidRPr="00A6019F">
        <w:rPr>
          <w:b/>
          <w:bCs/>
          <w:sz w:val="32"/>
          <w:szCs w:val="32"/>
        </w:rPr>
        <w:t xml:space="preserve">Part 13 </w:t>
      </w:r>
      <w:r w:rsidRPr="00A6019F">
        <w:rPr>
          <w:b/>
          <w:bCs/>
          <w:sz w:val="32"/>
          <w:szCs w:val="32"/>
        </w:rPr>
        <w:t>Neurologic Disorders</w:t>
      </w:r>
    </w:p>
    <w:p w14:paraId="0225D5D9" w14:textId="4B59052D" w:rsidR="00A6019F" w:rsidRDefault="00A6019F">
      <w:r>
        <w:t>A</w:t>
      </w:r>
    </w:p>
    <w:p w14:paraId="407F53AD" w14:textId="4E9A3E0B" w:rsidR="00A6019F" w:rsidRPr="00A6019F" w:rsidRDefault="00A6019F">
      <w:r w:rsidRPr="00A6019F">
        <w:t xml:space="preserve">Neurologic Disorders PART 13 Section 1 Diagnosis of Neurologic Disorders 433 Approach to the Patient with Neurologic Disease Daniel H. Lowenstein, S. Andrew Josephson, Stephen L. Hauser Neurologic diseases are common and costly. According to estimates by the World Health Organization, neurologic disorders affect nearly one in three individuals and represent the leading cause of disability and the second leading cause of death worldwide (Fig. 433-1). These numbers have increased significantly over the past 30 years and are expected to double by 2050, due to multiple factors, including aging of the population, population growth, and a rising prevalence of meta bolic risk conditions. Motor neuron diseases | 0.3% Multiple sclerosis | 0.4% Tetanus | 0.9% Parkinson’s disease | 1.2% Other neurologic disorders | 1.3% Encephalitis | 2.4% Tension-type headache | 2.6% Brain and other CNS cancer | 2.8% Traumatic brain injury | 2.9% Because therapies now exist for many neurologic disorders, a skillful approach to diagnosis is essential. Errors commonly result from an over reliance on costly neuroimaging procedures and laboratory tests, which, while useful, do not substitute for an adequate history and examination. The proper approach begins with the patient and focuses the clinical problem, first in anatomic and then in pathophysiologic terms; only then should a specific neurologic diagnosis be entertained. This method ensures that technology is judiciously applied, a correct diagnosis is established in an efficient manner, and treatment is promptly initiated. THE NEUROLOGIC METHOD </w:t>
      </w:r>
      <w:r w:rsidRPr="00A6019F">
        <w:rPr>
          <w:rFonts w:ascii="Arial" w:hAnsi="Arial" w:cs="Arial"/>
        </w:rPr>
        <w:t>■</w:t>
      </w:r>
      <w:r w:rsidRPr="00A6019F">
        <w:t xml:space="preserve">DEFINE THE ANATOMY The first priority is to identify the region of the nervous system that is likely to be responsible for the symptoms. Can the disorder be mapped to one specific location, is it multifocal, or is a diffuse process present? Are the symptoms restricted to the </w:t>
      </w:r>
      <w:r w:rsidRPr="00A6019F">
        <w:lastRenderedPageBreak/>
        <w:t xml:space="preserve">nervous system, or do they arise in the context of a systemic illness? Is the problem in the central nervous system (CNS), the peripheral nervous system (PNS), or both? In the CNS, is the cerebral cortex, basal ganglia, brainstem, cerebellum, or spinal cord responsible? Are the pain-sensitive meninges involved? In the PNS, could the disorder be located in peripheral nerves and, if Multiple sclerosis | 0.2% Motor neuron diseases | 0.4% Tetanus | 0.4% Other neurologic disorders | 0.6% Encephalitis | 1.1% Idiopathic epilepsy | 1.4% Parkinson’s disease | 2.3% Brain and other CNS cancer | 2.5% Meningitis | 3.5% Spinal cord injury | 3.5% Idiopathic epilepsy | 4.9% Meningitis | 7.9% Alzheimer’s disease and other dementias | 10.4% Migraine | 16.3% Stroke | 42.2% DALYs Alzheimer’s disease and other dementias | 26.4% Stroke | 61.2% Deaths FIGURE 433-1 Proportional contributions to the overall global burden of neurologic disorders. Proportions (%) of disability-adjusted life-years (DALYs) and deaths. (Based on data from GBD 2016 Neurology Collaborators: Lancet Neurol 18:459, 2019.) 3378 so, are motor or sensory nerves primarily affected, or is a lesion in the neuromuscular junction or muscle more likely? PART 13 Neurologic Disorders The first clues to defining the anatomic area of involvement appear in the history, and the examination is then directed to confirm or rule out these impressions and to clarify uncertainties. A more detailed examination of a particular region of the CNS or PNS is often indi cated. For example, the examination of a patient who presents with a history of ascending paresthesias and weakness should be directed toward deciding, among other things, if the lesion is in the spinal cord or peripheral nerves. Focal back pain, a spinal cord sensory level, and incontinence suggest a spinal cord origin, whereas a stocking-glove pattern of sensory loss suggests peripheral nerve disease; areflexia usu ally indicates peripheral neuropathy but may also be present, typically transiently, with acute spinal cord disorders. Deciding “where the lesion is” accomplishes the task of limiting the possible etiologies to a manageable, finite number. In addition, this strategy safeguards against making serious errors. Symptoms of recurrent vertigo, diplopia, and nystagmus should not trigger “multiple sclerosis” as an answer (etiology) but “brainstem” or “pons” (location); then a diagnosis of brainstem arteriovenous malformation will not be missed for lack of consideration. Similarly, the combination of visual blurring and spastic ataxic paraparesis suggests possible optic nerve and spinal cord disease; multiple sclerosis (MS), CNS syphilis, and vitamin B12 deficiency are treatable disorders that can produce this syndrome. Once the question, “Where is the lesion?” is answered, then the question “What is the lesion?” can be addressed. </w:t>
      </w:r>
      <w:r w:rsidRPr="00A6019F">
        <w:rPr>
          <w:rFonts w:ascii="Arial" w:hAnsi="Arial" w:cs="Arial"/>
        </w:rPr>
        <w:t>■</w:t>
      </w:r>
      <w:r w:rsidRPr="00A6019F">
        <w:t xml:space="preserve">IDENTIFY THE PATHOPHYSIOLOGY Clues to the pathophysiology of the disease process may also be present in the history. Primary neuronal (gray matter) disorders often pres ent as early cognitive disturbances, movement disorders, or seizures, whereas disorders of the connecting pathways (white matter involve ment) produce “long tract” motor, sensory, visual, and/or cerebellar manifestations. Progressive and symmetric symptoms often have a metabolic or degenerative origin; in such cases, lesions are usually not sharply circumscribed. Thus, a patient with paraparesis and a clear spinal cord sensory level is unlikely to have </w:t>
      </w:r>
      <w:r w:rsidRPr="00A6019F">
        <w:lastRenderedPageBreak/>
        <w:t xml:space="preserve">vitamin B12 deficiency as the explanation. A Lhermitte symptom (electric shock–like sensations evoked by neck flexion) is due to ectopic impulses that arise in white matter pathways and occurs with demyelination in the cervical spinal cord; among many possible causes, this symptom may indicate MS in a young adult or compressive cervical spondylosis in an older person. Symptoms that worsen after exposure to heat or exercise may indicate conduction block in demyelinated axons, as occurs in MS. A patient with recurrent episodes of diplopia and dysarthria associated with exercise or fatigue may have a disorder of neuromuscular transmission such as myasthenia gravis. Slowly advancing visual scotoma with lumi nous edges, termed fortification spectra, indicates spreading cortical depression, typically with migraine. THE NEUROLOGIC HISTORY Attention to the description of symptoms experienced by the patient and substantiated by family members and others often permits an accu rate localization and determination of the probable cause, even before the neurologic examination is performed. The history also helps focus the neurologic examination that follows. Each complaint should be pursued as far as possible to identify the location of the lesion, the likely underlying pathophysiology, and potential etiologies. For example, a patient complains of weakness of the right arm. What are the associated features? Does the patient have difficulty with brushing hair or reach ing upward (proximal) or fastening buttons or opening a plastic bottle (distal)? Negative associations may also be crucial. A right-handed patient with a right hemiparesis without a language deficit likely has a lesion (internal capsule, brainstem, or spinal cord) different from that of a patient with a right hemiparesis and aphasia (left hemisphere). Other pertinent features of the history include the following: 1. Temporal course of the illness. It is important to determine the pre cise time of appearance and rate of progression of the symptoms experienced by the patient. The rapid onset of a neurologic com plaint, occurring within seconds or minutes, usually indicates a vascular event, a seizure, or migraine. The onset of sensory symp toms located in one extremity that spread over a few seconds to adjacent portions of that extremity and then to the other regions of the body suggests a seizure. A similar but slower temporal march of symptoms accompanied by headache, nausea, or visual disturbance suggests migraine. Less well-localized symptoms that are maximum at onset and persist for seconds, minutes, or much less commonly hours, point to the possibility of a transient ischemic attack (TIA). The presence of “positive” sensory symptoms (e.g., tingling or sensa tions that are difficult to describe) or involuntary motor movements suggests a seizure; in contrast, transient loss of function (negative symptoms) suggests a TIA. A stuttering onset where symptoms appear, stabilize, and then progress over hours or days also suggests cerebrovascular disease; an additional history of transient remis sion or regression indicates that the process is more likely due to ischemia rather than hemorrhage. A gradual evolution of symptoms over hours or days suggests a toxic, metabolic, infectious, or inflam matory process. Progressing symptoms associated with the systemic manifestations of fever, stiff neck, and altered level of consciousness imply an infectious process. Relapsing and remitting symptoms </w:t>
      </w:r>
      <w:r w:rsidRPr="00A6019F">
        <w:lastRenderedPageBreak/>
        <w:t xml:space="preserve">involving different levels of the nervous system suggest MS or other inflammatory processes. Slowly progressive symptoms with out remissions are characteristic of neurodegenerative disorders, chronic infections, gradual intoxications, and neoplasms. 2. Patients’ descriptions of the complaint. The same words often mean different things to different patients. “Dizziness” may imply impending syncope, a sense of disequilibrium, or true spinning vertigo. “Numbness” may mean a complete loss of feeling, a positive sensation such as tingling, or even weakness. “Blurred vision” may be used to describe unilateral visual loss, as in transient monocular blindness, or diplopia. The interpretation of the true meaning of the words used by patients to describe symptoms obviously becomes even more complex when there are differences in primary languages and cultures. 3. Corroboration of the history by others. It is almost always helpful to obtain additional information from family, friends, or other observ ers to corroborate or expand the patient’s description. Memory loss, aphasia, loss of insight, intoxication, and other factors may impair the patient’s capacity to communicate normally with the examiner or prevent openness about factors that have contributed to the ill ness. Episodes of loss of consciousness necessitate that details be sought from observers to ascertain precisely what has happened during the event. 4. Family history. Many neurologic disorders have an underlying genetic component. The presence of a Mendelian disorder, such as Huntington’s disease or Charcot-Marie-Tooth neuropathy, is often obvious if family data are available. Clearly note if the family history has been fully ascertained or if some branches of the family could not be traced. More detailed questions about family history are often necessary in polygenic disorders such as MS, migraine, and many types of epilepsy. It is important to elicit family history about all illnesses, in addition to neurologic and psychiatric disorders. A familial propensity to hypertension or heart disease is relevant in a patient who presents with a stroke. Numerous inherited neurologic diseases are associated with multisystem manifestations that may provide clues to the correct diagnosis (e.g., neurofibromatosis, Wilson’s disease, mitochondrial disorders). 5. Medical illnesses. Many neurologic diseases occur in the context of systemic disorders. Diabetes mellitus, hypertension, and abnormali ties of blood lipids predispose to cerebrovascular disease. A solitary mass lesion in the brain may be an abscess in a patient with valvular heart disease, a primary hemorrhage in a patient with a coagu lopathy, a lymphoma or toxoplasmosis in a patient with AIDS, or a metastasis in a patient with underlying cancer. Patients with malig nancy may also present with a neurologic paraneoplastic syndrome (Chap. 99) or complications from chemotherapy, immunotherapy, 3379 or radiotherapy. Marfan’s syndrome and related collagen disorders predispose to dissection of the cranial arteries and aneurysmal subarachnoid hemorrhage; the latter may also occur with polycystic kidney disease and fibromuscular dysplasia. Various neurologic dis orders occur with dysthyroid states or other endocrinopathies. It is especially important to look for the presence of systemic diseases in patients with peripheral neuropathy. Most patients with coma in a hospital setting have a metabolic, toxic, or infectious cause. 6. Drug use </w:t>
      </w:r>
      <w:r w:rsidRPr="00A6019F">
        <w:lastRenderedPageBreak/>
        <w:t xml:space="preserve">and abuse and toxin exposure. It is essential to inquire about the history of drug use, both prescribed and illicit. Sedatives, antidepressants, and other psychoactive medications are frequently associated with acute confusional states, especially in the elderly. Aminoglycoside antibiotics may exacerbate symptoms of weakness in patients with disorders of neuromuscular transmission, such as myasthenia gravis, and may cause dizziness secondary to ototoxic ity. Vincristine and other antineoplastic drugs can cause peripheral neuropathy, immunosuppressive agents such as cyclosporine can produce encephalopathy, and immunotherapies with checkpoint inhibitors and chimeric antigen receptor (CAR) T cells are associ ated with various neurotoxicities including brain edema, inflamma tion, and demyelination (Chap. 318). Excessive vitamin ingestion can lead to disease; examples include vitamin A and intracranial hypertension (“pseudotumor cerebri”) or pyridoxine and periph eral neuropathy. Many patients are unaware that over-the-counter sleeping pills, cold preparations, and diet pills are actually drugs. Alcohol, the most prevalent neurotoxin, is often not recognized as such by patients, and other drugs of abuse such as cocaine, meth amphetamine, and heroin can cause a wide range of neurologic abnormalities. A history of environmental or industrial exposure to neurotoxins may provide an essential clue; consultation with the patient’s coworkers or employer may be required. 7. Formulating an impression of the patient. Use the opportunity while taking the history to form an impression of the patient. Is the infor mation forthcoming, or does it take a circuitous course? Is there evidence of anxiety, depression, or hypochondriasis? Are there any clues to problems with language, memory, insight, comportment, or behavior? The neurologic assessment begins as soon as the patient comes into the room and the first introduction is made. THE NEUROLOGIC EXAMINATION The neurologic examination can be challenging and complex; it has many components and includes a number of skills that can be mastered only through repeated use of the same techniques on a large number of individuals with and without neurologic disease. Mastery of the complete neurologic examination is usually important only for physi cians in neurology and associated specialties. However, knowledge of the basics of the examination, especially those components that are effective in screening for neurologic dysfunction, is essential for all clinicians, especially generalists. There is no single, universally accepted sequence of the examina tion that must be followed, but most clinicians begin with assessment of mental status followed by the cranial nerves (CN), motor system, reflexes, sensory system, coordination, and gait. Whether the exami nation is basic or comprehensive, it is essential that it is performed in an orderly and systematic fashion to avoid errors and serious omis sions. Thus, the best way to learn and gain expertise in the examination is to choose one’s own approach and practice it frequently and do it in the same exact sequence each time. Essential tools for the examina tion should be accessible whenever the exam goes beyond screening, including a Snellen visual chart, portable ophthalmoscope, reflex hammer, a 128-Hz tuning fork, and disposable cotton wisps, tongue depressors, and pins. The detailed description that </w:t>
      </w:r>
      <w:r w:rsidRPr="00A6019F">
        <w:lastRenderedPageBreak/>
        <w:t xml:space="preserve">follows describes the more commonly used parts of the neurologic examination, with a particular emphasis on the components that are considered most helpful for the assess ment of common neurologic problems. Each section also includes a brief description of the minimal examination necessary to adequately screen for abnormalities in a patient who has no symptoms suggesting neurologic dysfunction. A screening examination done in this way can be completed in 3–5 min. Video demonstrations of the neurologic screening examination (V6) and the detailed neurologic examination (V7) can be found in the Harrison’s Video Collection included in this textbook. Several additional points about the examination are worth noting. First, in recording observations, it is important to describe what is found rather than to apply a poorly defined medical term (e.g., “patient groans to sternal rub” rather than “obtunded”). Second, subtle CNS abnormalities are best detected by carefully comparing a patient’s per formance on tasks that require simultaneous activation of both cerebral hemispheres (e.g., eliciting a pronator drift of an outstretched arm with the eyes closed; extinction on one side of bilaterally applied light touch, also with eyes closed; or decreased arm swing or a slight asymmetry when walking). Third, if the patient’s complaint is brought on by some activity, reproduce the activity in the office. If the complaint is of dizzi ness when the head is turned in one direction, have the patient do this and also look for associated signs on examination (e.g., nystagmus or dysmetria). If pain or weakness occurs after walking two blocks, have the patient leave the office and walk this distance and immediately return, and repeat the relevant parts of the examination. Finally, the use of tests that are individually tailored to the patient’s problem can be of value in assessing changes over time. Tests of walking a 7.5-m (25-ft) distance (normal, 5–6 s; note assistance, if any), repetitive finger or toe tapping (normal, 20–25 taps in 5 s), or handwriting are examples. </w:t>
      </w:r>
      <w:r w:rsidRPr="00A6019F">
        <w:rPr>
          <w:rFonts w:ascii="Arial" w:hAnsi="Arial" w:cs="Arial"/>
        </w:rPr>
        <w:t>■</w:t>
      </w:r>
      <w:r w:rsidRPr="00A6019F">
        <w:t xml:space="preserve">MENTAL STATUS EXAMINATION </w:t>
      </w:r>
      <w:r w:rsidRPr="00A6019F">
        <w:rPr>
          <w:rFonts w:ascii="Aptos" w:hAnsi="Aptos" w:cs="Aptos"/>
        </w:rPr>
        <w:t>•</w:t>
      </w:r>
      <w:r w:rsidRPr="00A6019F">
        <w:t xml:space="preserve"> The bare minimum: During the interview, look for difficulties with communication and determine whether the patient has recall and insight into recent and past events. The mental status examination is underway as soon as the physician begins observing and speaking with the patient. If the history raises any concern for abnormalities of higher cortical function or if cogni tive problems are observed during the interview, then detailed testing of the mental status is indicated. The patient’s ability to understand the language used for the examination, cultural background, educational experience, sensory or motor problems, or comorbid conditions must be factored into the applicability of the tests and interpretation of results. The Mini-Mental State Examination (MMSE) is a standardized screening examination of cognitive function that is extremely easy to administer and takes flexors in the upper extremity and flexors &gt; extensors in the lower extremity, and hyperreflexia. bWeakness along with other abnormalities having a “lower motor neuron” pattern, i.e., flaccidity and hyporeflexia. Neuroimaging in Neurologic Disorders 3383 CHAPTER 434 tertiary care settings, multiple strokes are usually due to emboli and not vasculitis, and dementia with myoclonus is usually Alzheimer’s disease and not a prion disorder or a paraneoplastic illness. Finally, the most important task of a primary care </w:t>
      </w:r>
      <w:r w:rsidRPr="00A6019F">
        <w:lastRenderedPageBreak/>
        <w:t xml:space="preserve">physician faced with a patient who has a new neurologic complaint is to assess the urgency of referral to a spe cialist. Here, the imperative is to rapidly identify patients likely to have nervous system infections, acute strokes, and spinal cord compression or other treatable mass lesions and arrange for immediate care. </w:t>
      </w:r>
      <w:r w:rsidRPr="00A6019F">
        <w:rPr>
          <w:rFonts w:ascii="Arial" w:hAnsi="Arial" w:cs="Arial"/>
        </w:rPr>
        <w:t>■</w:t>
      </w:r>
      <w:r w:rsidRPr="00A6019F">
        <w:t xml:space="preserve">FURTHER READING Brazis P et al: Localization in Clinical Neurology, 8th ed. Philadelphia, Lippincott William &amp; Wilkins, 2021. Campbell WW, Barohn RJ: DeJong’s The Neurological Examination, 8th ed. Philadelphia, Lippincott William &amp; Wilkins, 2019. Feigin VL et al: The global burden of neurological disorders: Translating evidence into policy. Lancet Neurol 19:255, 2020. GBD 2019 Diseases and Injuries Collaborators: Global burden of 369 diseases and injuries in 204 countries and territories, 1990–2019: A systematic analysis for the Global Burden of Disease Study 2019. Lancet 396:1204, 2020. O’Brien M: Aids to the Examination of the Peripheral Nervous System, 6th ed. Elsevier, Amsterdam, 2023. Neuroimaging in Neurologic Disorders William P. Dillon 434 Numerous noninvasive imaging options are available to clinicians evaluating patients with neurologic disorders. These include computed tomography (CT) and magnetic resonance (MR) imaging (MRI), plus their variations, including CT angiography (CTA); perfusion CT (pCT); dual-energy CT; photon counting CT; MR angiography (MRA); MR vessel wall imaging; functional MRI (fMRI); MR spectroscopy (MRS); MR neurography (MRN); diffusion-weighted MR imaging (DWI); diffusion tensor MR imaging (DTI); susceptibility-weighted MR imaging (SWI); arterial spin label imaging (ASL); and perfusion MRI (pMRI). Furthermore, a number of interventional neuroradio logic techniques have matured including catheter embolization, stent retrieval thrombectomy, aneurysm coiling and stenting, as well as numerous techniques for spine disorders including CT and fluoro scopic myelography and CT-guided spine procedures for diagnosing and treating pain and oncology, including dynamic CT myelography, radiofrequency and cold ablation techniques, image-guided blood and fibrin glue patches and transvenous embolization of cerebrospinal fluid (CSF) venous fistulae. Multidetector CTA (MDCTA) and gadolinium enhanced MRA techniques have reduced the need for catheter-based angiography, which is now reserved for patients in whom small-vessel detail is essential for diagnosis or for whom concurrent interventional therapy is planned (Table 434-1). In general, MRI is more sensitive than CT for the detection of lesions affecting the peripheral and central nervous system (CNS). Diffusion MR, a sequence sensitive to the microscopic motion of water, is the most sensitive technique for detecting acute ischemic stroke of the brain or spinal cord and is also useful in the detection and charac terization of encephalitis, abscess, Creutzfeldt-Jacob disease, cerebral tumors, and acute demyelinating lesions. CT, however, is acquired more quickly, making it a pragmatic choice for uncooperative patients, or those with suspected acute stroke, hemorrhage, and acute intracra nial or spinal trauma. CT is also more sensitive than MRI for visual izing fine osseous detail and thus is appropriate for the initial imaging evaluation of conductive hearing loss, and lesions affecting the osseous skull and spine. MR may, however, add important diagnostic informa tion regarding bone marrow infiltrative </w:t>
      </w:r>
      <w:r w:rsidRPr="00A6019F">
        <w:lastRenderedPageBreak/>
        <w:t xml:space="preserve">processes that can be difficult to detect on CT. COMPUTED TOMOGRAPHY </w:t>
      </w:r>
      <w:r w:rsidRPr="00A6019F">
        <w:rPr>
          <w:rFonts w:ascii="Arial" w:hAnsi="Arial" w:cs="Arial"/>
        </w:rPr>
        <w:t>■</w:t>
      </w:r>
      <w:r w:rsidRPr="00A6019F">
        <w:t xml:space="preserve">TECHNIQUE The CT image is a cross-sectional representation of anatomy created by a computer-generated analysis of the attenuation of x-ray beams passed through a section of the body. The x-ray beam, collimated to the desired slice width, rotates around the patient and passes through selected regions in the body. X-rays are variably attenuated by body structures and converted into light photons by ceramic scintillators as part of the detectors aligned 180° from the x-ray tube. These photons TABLE 434-1 Guidelines for the Use of CT, Ultrasound, and MRI CONDITION RECOMMENDED TECHNIQUE Hemorrhage  Acute parenchymal CT, MR Subacute/chronic MRI Subarachnoid hemorrhage CT, CTA, lumbar puncture → angiography Aneurysm Angiography &gt; CTA, MRA Chronic subarachnoid blood MR with SWI Ischemic infarction  Hemorrhagic infarction CT or MRI Bland infarction MRI with diffusion &gt; CT, CTA, angiography Carotid or vertebral dissection MRI/MRA&gt; CTA Vertebral basilar insufficiency CTA, MRI with DWI MRA Carotid stenosis CTA, MRA &gt; US Suspected mass lesion  Neoplasm, primary or metastatic MRI ± contrast Infection/abscess MRI ± contrast Immunosuppressed with focal findings MRI ± contrast Vascular malformation MRI ± angiography White matter disorders MRI Acute demyelinating disease MRI ± contrast Dementia MRI &gt; CT, contrast if mass Trauma  Acute trauma CT Shear injury/chronic hemorrhage MRI + SWI Headache/migraine MRI &gt; CT Seizure  First time, no focal neurologic deficits MRI &gt; CT With neurologic deficit, or immunocompromised or cancer MRI ± contrast &gt; CT Partial complex/refractory MRI Cranial neuropathy MRI ± contrast Meningeal disease MRI ± contrast Spine Low-back pain  No neurologic deficits MRI or CT after &gt;6 weeks With focal deficits MRI &gt; CT Spinal stenosis MRI or CT Cervical spondylosis MRI, CT, CT myelography Infection MRI ± contrast CT Myelopathy MRI ± contrast Arteriovenous malformation MRI ± contrast angiography Abbreviations: CT, computed tomography; CTA, CT angiography; MRA, magnetic resonance angiography; MRI, magnetic resonance imaging; SWI, susceptibility weighted imaging. 3384 PART 13 Neurologic Disorders A C B FIGURE 434-1 Computed tomography (CT) angiography (CTA) of ruptured anterior cerebral artery aneurysm in a patient presenting with acute headache. A. Noncontrast CT demonstrates subarachnoid and intraventricular hemorrhage and mild obstructive hydrocephalus. B. Axial maximum-intensity projection from CTA demonstrates enlargement of the anterior cerebral artery (arrow). C. Three-dimensional surface reconstruction using a workstation confirms the anterior cerebral aneurysm and demonstrates its orientation and relationship to nearby vessels (arrow). CTA image is produced by 0.5- to 1-mm helical CT scans performed during a rapid bolus infusion of IV contrast medium. are then converted into electric signals. A computer calculates a “back projection” image from the 360° x-ray attenuation profile. Greater x-ray attenuation (e.g., as caused by bone) results in areas of high “density” (whiter) on the scan, whereas soft-tissue structures that have poor attenuation of x-rays, such as organs and air-filled cavities, are lower (gray-black) in density. The resolution of an image depends on the radiation dose, the detector size, collimation </w:t>
      </w:r>
      <w:r w:rsidRPr="00A6019F">
        <w:lastRenderedPageBreak/>
        <w:t xml:space="preserve">(slice thickness), the field of view, and the matrix size of the display. A modern CT scanner can obtain sections as thin as 0.5–1 mm with 0.4-mm in-plane resolution at a speed of 0.3 s per rotation; complete studies of the brain are com pleted in 1–10 s. Multidetector CT (MDCT) is now standard. Single or multiple (from 4 to 320) solid-state ceramic detectors positioned opposite to the x-ray source result in multiple slices per revolution of the beam around the patient. In helical mode, the table moves continuously through the rotating x-ray beam, generating a continuous “helix” of x-ray infor mation that is reformatted into various slice thicknesses and planes. Advantages of MDCT include shorter scan times, reduced patient and organ motion, and the ability to acquire images dynamically during the infusion of intravenous (IV) contrast, the basis of CTA and CT perfusion (Figs. 434-1B and C). CTA is displayed in three dimensions to yield angiogram-like images (Figs. 434-1C, 434-2E and F, and see Fig. 438-3). However, the detectors, while numerous, have inefficiencies based on their physical architecture. New so-called photon-counting CT scanners use different technology for detectors, converting x-ray directly into an electric signal, rather than photon light, resulting in improved resolution, reduced electronic noise and thus dose reduction, improved spectral energy detection that reduces calcium and bone arti fact, and improved contrast-to-noise ratio, which permits a reduction in the dose of contrast material required. Photon counting scanners are now able to produce CT images with 0.2 mm resolution often at reduced radiation dose (Fig. 434-3). IV iodinated contrast is used to identify vascular structures and to detect defects in the blood-brain barrier (BBB) that are caused by tumors, infarcts, and infections. In the normal CNS, only vessels and structures lacking a BBB (e.g., the pituitary gland, choroid plexus, and dura) enhance after contrast administration. While helpful in characterizing mass lesions as well as essential for the acquisition of CTA studies, the decision to use contrast material should always be considered carefully as it carries a small risk of allergic reaction and adds additional expense. </w:t>
      </w:r>
      <w:r w:rsidRPr="00A6019F">
        <w:rPr>
          <w:rFonts w:ascii="Arial" w:hAnsi="Arial" w:cs="Arial"/>
        </w:rPr>
        <w:t>■</w:t>
      </w:r>
      <w:r w:rsidRPr="00A6019F">
        <w:t xml:space="preserve">INDICATIONS CT is the primary study of choice in the evaluation of an acute change in mental status, focal neurologic findings, acute trauma to the brain and spine, suspected subarachnoid hemorrhage, and conductive hearing loss (Table 434-1). CT often is complementary to MR in the evaluation of the skull base, orbit, and osseous structures of the spine. In the spine, CT is useful in evaluating patients with osseous spinal stenosis and spondylosis, as well as in patients with failed back surgery; however, MRI is often preferred when neurologic deficits are present. CT is often acquired following intrathecal contrast injection to evaluate for spinal and intracranial CSF fistula, as well as the spinal subarach noid space (CT myelography) in failed back surgery syndromes. </w:t>
      </w:r>
      <w:r w:rsidRPr="00A6019F">
        <w:rPr>
          <w:rFonts w:ascii="Arial" w:hAnsi="Arial" w:cs="Arial"/>
        </w:rPr>
        <w:t>■</w:t>
      </w:r>
      <w:r w:rsidRPr="00A6019F">
        <w:t>COMPLICATIONS CT is safe, fast, and reliable. Radiation exposure depends on the dose used but is normally 2</w:t>
      </w:r>
      <w:r w:rsidRPr="00A6019F">
        <w:rPr>
          <w:rFonts w:ascii="Aptos" w:hAnsi="Aptos" w:cs="Aptos"/>
        </w:rPr>
        <w:t>–</w:t>
      </w:r>
      <w:r w:rsidRPr="00A6019F">
        <w:t xml:space="preserve">5 mSv (millisievert) for a routine brain CT study. In comparison, the average American receives about 6.2 mSv per year from all sources of radiation, including 3.1 mSv from naturally occurring sources and a similar amount from man-made sources and applications such as jet plane trips, smoke detectors, and medical imag ing. While ionizing radiation can potentially induce </w:t>
      </w:r>
      <w:r w:rsidRPr="00A6019F">
        <w:lastRenderedPageBreak/>
        <w:t xml:space="preserve">damage to DNA, such risks are felt to be minimal at normal background radiation levels, especially at the low-dose levels related to diagnostic imaging. The risk of harm from radiation depends on the amount of dose, the delivery rate, the type of radiation, sensitivity of the tissue exposed, and the gender and age and health of the person exposed. Cancers that might develop from a radiation exposure usually have a latency period of 2–10 years or longer, after exposure. Nevertheless, for all patients, espe cially children, it is important to use as low a radiation dose as possible for diagnostic imaging purposes. Where feasible, MR or ultrasound is preferred. With the advent of MDCT, CTA, and CT perfusion, the diag nostic benefit must always be weighed against any increased radiation exposure. Advances in postprocessing software now permit acceptable diagnostic CT scans at 30–40% lower radiation doses compared with prior technology. The most frequent CT-related complications are those associated with use of IV contrast agents. Ionic contrast agents have been largely replaced by safer nonionic compounds. Contrast-associated acute kidney injury (CA-AKI) is a general term used to describe a sudden deterioration in renal function that occurs within 48 h following the intravascular administration of iodinated contrast medium. This rare complication appears to be more frequent with intraarterial injections during coronary angiography than with IV administration. CA-AKI from gadolinium-based contrast media probably does not occur or is exceptionally rare. CA-AKI is a cor relative diagnosis and may result from hemodynamic changes, renal tubular obstruction and cell damage, or immunologic reactions to contrast agents. Although there is no accepted definition of CA-AKI, the diagnosis of AKI is made according to the Kidney Disease Improv ing Global Outcomes (KDIGO) criteria if one of the following occurs 3385 CHAPTER 434 Neuroimaging in Neurologic Disorders C B F E A D I H G FIGURE 434-2 Acute left hemiparesis due to right middle cerebral artery occlusion. A. Axial noncontrast computed tomography (CT) scan demonstrates high density within the right middle cerebral artery (arrow) associated with subtle low density involving the right putamen (arrowheads). B. Mean transit time CT perfusion parametric map indicating prolonged mean transit time involving the right middle cerebral territory (arrows). C. Cerebral blood volume (CBV) map shows reduced CBV involving an area within the defect shown in B, indicating a high likelihood of infarction (arrows). D. Axial maximum-intensity projection from a CT angiography (CTA) study through the circle of Willis demonstrates an abrupt occlusion of the proximal right middle cerebral artery (arrow). E. Sagittal reformation through the right internal carotid artery demonstrates a low density lipid-laden plaque (arrowheads) narrowing the lumen (black arrow). F. Three-dimensional surface-rendered CTA image demonstrates calcification and narrowing of the right internal carotid artery (arrow), consistent with atherosclerotic disease. G. Coronal maximum-intensity projection from magnetic resonance angiography shows right middle cerebral artery (MCA) occlusion (arrow). H. and I. Axial diffusion-weighted image (H) and apparent diffusion-coefficient image (I) document the presence of a right middle cerebral artery infarction. 3386 population. Use of other agents such as </w:t>
      </w:r>
      <w:r w:rsidRPr="00A6019F">
        <w:lastRenderedPageBreak/>
        <w:t xml:space="preserve">bicarbonate and acetylcysteine were previously thought to be protective against CA-AKI; however, recent meta-analyses have failed to show protection over normal saline. Patients with renal failure who require contrast administration should not have acute dialysis or continuous renal replacement therapy initi ated, or alter their schedule due to the risks, costs, and lack of benefit. Below are suggested guidelines for creatinine testing prior to con trast administration. If a recent serum creatinine (within 60 days in most clinical settings) is not available, creatinine testing should be performed if the patient has any of the following risk factors: • Age &gt;60 years or hypertension (however, this results in a large false positive rate for those with eGFR 26.4 µmol/L) 2. A percentage increase in serum creatinine ≥50% (≥1.5-fold above baseline) 3. Urine output reduced to ≤0.5 mL/kg per h for at least 6 h However, other causes of acute renal failure must be excluded. The prognosis is usually favorable, with serum creatinine levels returning to baseline within 1–2 weeks. Risk factors for contrast nephropathy are also controversial, but consensus is that the most important risk factor is preexisting severe renal insufficiency. Other proposed risk factors include diabetes mellitus, dehydration, cardiovascular disease, diuretic use, advanced age, hypertension, hyperuricemia, and multiple iodin ated contrast medium doses in a short time interval (30 mL/min per 1.73 m2; however, most of these patients will have only a temporary rise in creatinine. The risk of dialysis after receiving contrast significantly increases in patients with eGFR 1 h after injection) reactions are frequent and probably related to T cell–mediated immune reactions. These are typically urti carial but can occasionally be more severe. Additives or contaminants, such as calcium-chelating substances or substances eluted from rubber stoppers in bottles or syringes, may be contributory in some allergy-like contrast reactions. Drug provocation and skin testing may be required to determine both the culprit agent involved and a safe alternative. Other side effects of CT contrast include a sensation of warmth throughout the body and a metallic taste during IV administration. Extravasation of contrast media, although rare, can be painful and lead to a compartment syndrome. When this occurs, immediate consulta tion with plastic surgery is indicated. Patients with significant cardiac disease may be at increased risk for contrast reactions, and in these patients, limits to the volume and osmolality of the contrast media should be considered. Patients who may undergo systemic radioactive iodine therapy for thyroid disease or cancer should not receive iodin ated contrast media, if possible, because this will decrease the uptake of the radioisotope into the tumor or thyroid (see the American College of Radiology Manual on Contrast Media, 2023; https://www.acr.org/-/ media/ACR/Files/Clinical-Resources/Contrast_Media.pdf). MAGNETIC RESONANCE IMAGING </w:t>
      </w:r>
      <w:r w:rsidRPr="00A6019F">
        <w:rPr>
          <w:rFonts w:ascii="Arial" w:hAnsi="Arial" w:cs="Arial"/>
        </w:rPr>
        <w:t>■</w:t>
      </w:r>
      <w:r w:rsidRPr="00A6019F">
        <w:t xml:space="preserve">TECHNIQUE MRI is a complex interaction between protons in biologic tissues, a static magnetic field (the magnet), and energy in the form of radiofrequency (Rf) waves of a specific frequency introduced by coils placed next to the body part of interest. Images are made by computerized processing of resonance information received from protons (typically hydrogen) 3387 TABLE 434-2 Guidelines for Premedication of Patients with Prior </w:t>
      </w:r>
      <w:r w:rsidRPr="00A6019F">
        <w:lastRenderedPageBreak/>
        <w:t xml:space="preserve">Contrast Allergy 13 h prior to examination: Prednisone, 50 mg PO or methylprednisolone, 32 mg PO 7 h prior to examination: Prednisone, 50 mg PO or methylprednisolone, 32 mg PO  1 h prior to examination: Prednisone, 50 mg PO Diphenhydramine, 50 mg intravenously, intramuscularly, or by mouth (optional) Immediately prior to examination: Benadryl, 50 mg IV (alternatively, can be given PO 2 h prior to exam)  If a patient is unable to take oral medication, 200 mg hydrocortisone IV for each dose of oral prednisone may be used  If a patient is allergic to diphenhydramine in a situation where diphenhydramine would otherwise be considered, an alternate antihistamine without cross-reactivity may be considered, or the antihistamine portion of the regimen may be removed Accelerated IV Premedication 1. Methylprednisolone sodium succinate (e.g., Solu-Medrol) 40 mg IV or Hydrocortisone sodium succinate (e.g., Solu-Cortef) 200 mg IV immediately, and then every 4 h until contrast medium administration. plus Diphenhydramine 50 mg IV 1 h before contrast medium administration. This regimen is usually 4–5 h in duration. 2. Dexamethasone sodium sulfate (e.g., Decadron) 7.5 mg IV immediately, and then every 4 h until contrast medium administration plus Diphenhydramine 50 mg IV 1 h before contrast medium administration. This regimen may be useful in patients with an allergy to methylprednisolone and is also usually 4–5 h in duration. 3. Methylprednisolone sodium succinate (e.g., Solu-Medrol) 40 mg IV or hydrocortisone sodium succinate (e.g., Solu-Cortef) 200 mg IV plus Diphenhydramine 50 mg IV, each 1 h before contrast medium administration. This regimen, and all other regimens with a duration 60 years 3. History of hypertension 4. History of diabetes 5. History of severe hepatic disease, liver transplantation, or pending liver transplantation; for these patients, it is recommended that the patient’s GFR assessment be nearly contemporaneous with the MR examination. The incidence of NSF in patients with severe renal dysfunction (GFR 48 h, placement of an epidural blood patch should be considered. Vasovagal syncope may occur during LP; it is accentuated by the upright position used during conventional lumbar myelography. Adequate hydration before and after myelography will reduce the incidence of this complication. Management of LP headache is discussed in Chap. 17. Hearing loss is a rare complication of myelography. It may result from a direct toxic effect of the contrast medium or from an alteration of the pressure equilibrium between CSF and perilymph in the inner ear. Puncture of the spinal cord is a rare but serious complication of cervical (C1–2) or high LP. The risk of cord puncture is greatest in patients with spinal stenosis, Chiari malformations, or conditions that reduce CSF volume. CT myelography following a lumbar injec tion and MRI are safer alternatives to cervical puncture. Reactions to intrathecal contrast administration are rare; aseptic meningitis and encephalopathy are reported rare complications. The latter is usually dose related and associated with contrast entering the intracranial sub arachnoid space. Seizures rarely occur following myelography, histori cally reported in 0.1–0.3% of patients. Risk factors include a preexisting seizure disorder and the use of a total iodine dose of &gt;4500 mg. Other reported complications include hyperthermia, hallucinations, </w:t>
      </w:r>
      <w:r w:rsidRPr="00A6019F">
        <w:lastRenderedPageBreak/>
        <w:t xml:space="preserve">depres sion, and anxiety states. These side effects have been reduced by the development of nonionic, water-soluble contrast agents as well as by head elevation and generous hydration following myelography. SPINE INTERVENTIONS </w:t>
      </w:r>
      <w:r w:rsidRPr="00A6019F">
        <w:rPr>
          <w:rFonts w:ascii="Arial" w:hAnsi="Arial" w:cs="Arial"/>
        </w:rPr>
        <w:t>■</w:t>
      </w:r>
      <w:r w:rsidRPr="00A6019F">
        <w:t>DISKOGRAPHY The evaluation of back pain and radiculopathy (Chap. 18) may require diagnostic procedures that attempt either to reproduce the patient</w:t>
      </w:r>
      <w:r w:rsidRPr="00A6019F">
        <w:rPr>
          <w:rFonts w:ascii="Aptos" w:hAnsi="Aptos" w:cs="Aptos"/>
        </w:rPr>
        <w:t>’</w:t>
      </w:r>
      <w:r w:rsidRPr="00A6019F">
        <w:t xml:space="preserve">s pain or relieve it, indicating its correct source prior to lumbar fusion. Diskography is now rarely indicated. It is performed by CT or fluoro scopic placement of a 22- to 25-gauge needle into the intervertebral disk and subsequent injection of 1–3 mL of contrast media. The intra discal pressure is recorded, as is an assessment of the patient’s response to the injection of contrast material. Little or no pain is felt during injection of a normal disk, which does not accept much more than 1 mL of contrast material, even at pressures as high as 415–690 kPa (60–100 lb./in2). CT and plain films are obtained following the proce dure. Concerns have been raised that diskography may contribute to an accelerated rate of disk degeneration; furthermore, patients who suffer from depression or anxiety are more likely to find diskography painful, and in some cases, the procedure-associated pain became persistent, lasting a year or longer. Thus, it is rarely used as a reliable biomarker of pain generation. Newer spectroscopic disc techniques are being explored for the detection of painful degenerative disks. </w:t>
      </w:r>
      <w:r w:rsidRPr="00A6019F">
        <w:rPr>
          <w:rFonts w:ascii="Arial" w:hAnsi="Arial" w:cs="Arial"/>
        </w:rPr>
        <w:t>■</w:t>
      </w:r>
      <w:r w:rsidRPr="00A6019F">
        <w:t>SELECTIVE NERVE ROOT AND EPIDURAL SPINAL INJECTIONS Percutaneous selective nerve root and epidural administration of glucocorticoid and anesthetic mixtures may be both therapeutic and diagnostic. Typically, 1</w:t>
      </w:r>
      <w:r w:rsidRPr="00A6019F">
        <w:rPr>
          <w:rFonts w:ascii="Aptos" w:hAnsi="Aptos" w:cs="Aptos"/>
        </w:rPr>
        <w:t>–</w:t>
      </w:r>
      <w:r w:rsidRPr="00A6019F">
        <w:t xml:space="preserve">2 mL of an equal mixture of a long-acting glu cocorticoid such as betamethasone or dexamethasone combined with a long-acting anesthetic such as bupivacaine is instilled under CT or fluoroscopic guidance in the intraspinal epidural space or adjacent to an existing nerve root in question as a pain source. This can also be per formed into the facet joints, or around the medial nerve branches that supply innervation to the facet joints as well. Radiofrequency ablation of the medial branches that supply sensation to the facet joints is com monly performed, and ablation techniques of the basivertebral nerves that conduct the sensation from degenerative disks have proven useful in certain cases of painful disk degeneration. Cement placement into compression fractures of the vertebral bodies, so-called vertebroplasty and kyphoplasty techniques, are commonly performed for pain-gen erating fractures, especially in elderly patients or those with pathologic fractures. ANGIOGRAPHY Catheter angiography is indicated for evaluating intracranial small-ves sel pathology (e.g., vasculitis), for assessing vascular malformations and aneurysms, and in endovascular therapeutic procedures (Table 434-1). As noted above, angiography has been replaced for many indications by CT/CTA or MRI/MRA. Angiography carries the greatest risk of morbidity of all diagnostic imaging procedures, owing to the necessity of inserting a catheter into a blood vessel, directing the catheter to the required location, inject ing contrast material to visualize the vessel, and removing the catheter while maintaining hemostasis. Therapeutic transcatheter procedures (see below) have become important options for the treatment of some cerebrovascular diseases. The </w:t>
      </w:r>
      <w:r w:rsidRPr="00A6019F">
        <w:lastRenderedPageBreak/>
        <w:t xml:space="preserve">decision to undertake a diagnostic or therapeutic angiographic procedure requires careful assessment of the goals of the investigation and its attendant risks. Patients undergoing angiography should be well hydrated before and after the procedure. Because the femoral route is used most, the femoral artery must be compressed after the procedure to prevent a hematoma from developing. The puncture site and distal pulses should be evaluated carefully after the procedure; complications can include thigh hematoma or lower-extremity emboli. CHAPTER 434 Neuroimaging in Neurologic Disorders </w:t>
      </w:r>
      <w:r w:rsidRPr="00A6019F">
        <w:rPr>
          <w:rFonts w:ascii="Arial" w:hAnsi="Arial" w:cs="Arial"/>
        </w:rPr>
        <w:t>■</w:t>
      </w:r>
      <w:r w:rsidRPr="00A6019F">
        <w:t xml:space="preserve">COMPLICATIONS A common femoral arterial puncture provides retrograde access via the aorta to the aortic arch and great vessels. The most feared complication of cerebral angiography is stroke. Thrombus can form on or inside the tip of the catheter, rarely arterial dissection or perforation can occur, and atherosclerotic thrombus or plaque can be dislodged by the cath eter or guide wire or by the force of injection and can embolize distally in the cerebral circulation. Risk factors for ischemic complications include limited experience on the part of the angiographer, athero sclerosis, vasospasm, low cardiac output, decreased oxygen-carrying capacity, advanced age, and prior history of migraine. The risk of a neurologic complication varies but is ~4% for transient ischemic attack and stroke, 0.5% for permanent deficit, and 1015 synapses. Neurons exist within a dense paren chyma of multifunctional glial cells that synthesize myelin, preserve homeostasis, and regulate immune responses. Measured against this background of complexity, the achievements of molecular neurosci ence have been extraordinary. Advances have occurred in parallel with the development of new enabling technologies—in bioengineering and computational sciences; imaging; and cell, molecular, and chemical biology—and moving forward it is likely that the pace of new discover ies will only increase. This chapter reviews a few of the most dynamic areas in neuroscience, specifically highlighting advances in immunol ogy and inflammation, neurodegeneration, and stem cell biology. In each of these areas, recent discoveries are providing context for an understanding of the triggers and mechanisms of disease and offering new hope for prevention, treatment, and repair of nervous system inju ries. Discussions of the neurogenetics of behavior, advances in addic tion science, and diseases caused by network dysfunction can be found in Chap. 462 (Biology of Psychiatric Disorders); and new approaches to rehabilitation via harnessing of neuroplasticity, neurostimulation, and computer–brain interfaces are presented in Chap. 500 (Emerging Neurotherapeutic Technologies). NEUROIMMUNOLOGY AND NEUROINFLAMMATION Neuroimmunology traditionally comprises the science of immune mediated diseases of the nervous system, especially autoimmune diseases such as multiple sclerosis, myasthenia gravis, and Guillain Barré syndrome, as well as disorders in which immune-mediated neurologic damage occurs in the context of infection or neoplasia. More recently, recognition that neuroinflammation and the innate immune system play key roles in an expanded category of neurologic disorders, and neurodegenerative disorders in particular, has focused renewed attention on the intrinsic cellular components in the central nervous </w:t>
      </w:r>
      <w:r w:rsidRPr="00A6019F">
        <w:lastRenderedPageBreak/>
        <w:t xml:space="preserve">system (CNS) that mediate tissue damage, especially microg lia/macrophages and astrocytes, and also on oligodendrocytes, which are now recognized as central players across a wide range of brain disorders. It is also increasingly recognized that extensive networks of communication exist between each of these cell types and that result ing non-cell-autonomous pathologies are likely to underlie many human CNS disorders. </w:t>
      </w:r>
      <w:r w:rsidRPr="00A6019F">
        <w:rPr>
          <w:rFonts w:ascii="Arial" w:hAnsi="Arial" w:cs="Arial"/>
        </w:rPr>
        <w:t>■</w:t>
      </w:r>
      <w:r w:rsidRPr="00A6019F">
        <w:t>MICROGLIA AND MACROPHAGES These represent the most abundant cell types in the nervous system responsible for antigen presentation and innate immunity. Brain microglia (</w:t>
      </w:r>
      <w:r w:rsidRPr="00A6019F">
        <w:rPr>
          <w:rFonts w:ascii="Aptos" w:hAnsi="Aptos" w:cs="Aptos"/>
        </w:rPr>
        <w:t>“</w:t>
      </w:r>
      <w:r w:rsidRPr="00A6019F">
        <w:t>small glue</w:t>
      </w:r>
      <w:r w:rsidRPr="00A6019F">
        <w:rPr>
          <w:rFonts w:ascii="Aptos" w:hAnsi="Aptos" w:cs="Aptos"/>
        </w:rPr>
        <w:t>”</w:t>
      </w:r>
      <w:r w:rsidRPr="00A6019F">
        <w:t xml:space="preserve">) are derived from a primitive macrophage population in the yolk sac that migrates to the nervous system early in embryogenesis before the blood-brain barrier is formed. Once in the CNS, a variety of cell signals mediate microglial proliferation, migra tion, and differentiation. Microglia maintain their cell numbers pri marily through self-renewal and not repopulation from the circulation; however, it is now also clear that under some conditions peripherally derived macrophages that become microglia-like can replace damaged or defective microglia throughout the life span. Most microglia receive survival signals through colony-stimulating factor 1 receptor (Csf1r), via its natural ligands Csf1 produced by astrocytes and oligoden drocytes, and interleukin (IL) 34 produced by neurons. Depletion of microglia by administration of a selective inhibitor of Csf1r (PLX5622) was followed by rapid repopulation, which led to identification of a second population of ramified microglial precursor cells that do not require Csf1r signaling. Microglia have traditionally been divided into “resting” and “activated” states, the former characterized by an exten sively ramified appearance and the latter by a globular amoeboid phe notype. A variety of factors and cues, including type 1 interferons, can prime resting microglia toward an activated state, and these “primed” microglia are then hyperresponsive to a variety of secondary immune challenges including infection. Recently, single-cell transcriptome sequencing of microglia has also revealed a high degree of heterogene ity that was previously unappreciated, the functional consequences of which are largely unknown. Promote learning and memory Pruning or elimination of synapses 3395 BDNF Phagocytosis of debris Proinflammatory (A1) astrocyte IL-1α | TNF | C1q Uptake of aggregated proteins FIGURE 435-1 The multifunctional microglial cell. Microglia have diverse functions that can support healthy development and maintain homeostasis or contribute to tissue damage in pathologic conditions. Homeostatic functions include promotion of learning and memory through secretion of soluble proteins such as brain-derived neurotrophic factor (BDNF); participation in normal synaptic pruning; and clearing cellular debris and protein aggregates via phagocytosis. However, in pathologic states, activated microglia also contribute to tissue damage by targeting normal healthy neurons and synapses; by promoting formation of β-amyloid or other misfolded proteins deposited in neurodegenerative diseases; and by secreting cytokines (such as interleukin 1α, tumor necrosis factor, and the complement component C1q) incriminated in induction of neurotoxic A1 astrocytes. In addition, microglia have diverse functions in adaptive immunity, including roles in antigen presentation and </w:t>
      </w:r>
      <w:r w:rsidRPr="00A6019F">
        <w:lastRenderedPageBreak/>
        <w:t xml:space="preserve">immune regulation (Fig. 435-2). (Reproduced with permission from J Herz et al: Myeloid cells in the central nervous system. Immunity 46:943, 2017.) Microglia play critical roles in sculpting neuronal populations dur ing development and across the life span, through secretion of brain derived neurotrophic factor (BDNF) and other trophic factors that promote neuronal survival, and also via production of reactive oxygen species (ROS) and other molecules that mediate cell death. Microglia regulate development and maintenance of neural circuits through pruning of excitatory synapses and control of dendritic spine densities (Fig. 435-1). Mice depleted of microglia during development exhibit a variety of cognitive, learning, and behavioral deficits, including abnor mal social behaviors. These processes are dependent on classical com plement pathway molecules, including secretion of C1q and expression of complement receptor 3 (CR3) and CR5. Abnormalities in these microglial-dependent networks are now recognized as critical to the pathogenesis of most neurodegenerative and age-related pathologies. Activation of the complement cascade has assumed a major place in current concepts of pathogenesis of Alzheimer’s disease (AD) and other dementias, as follows. Synapses targeted for elimination are tagged by the complement proteins C1q and C3, the levels of which increase in the presence of excess β-amyloid. C3-bearing synapses are targeted for elimination by microglia that express CR3, and knockout of C1q or C3 can rescue the clinical and pathologic abnormalities asso ciated with neurodegeneration. Modification of aberrant complement activity represents an attractive approach for treatment of neurodegen eration from multiple causes, not only AD, but also Parkinson’s and Huntington’s disease, among others, in which microglia are responsible for clearing pathologic protein aggregates. An ideal therapeutic would target the deleterious microglial functions while preserving ones that are central to homeostasis such as synaptic pruning. Another consid eration, especially given the diverse roles of the complement system in all organs of the body, is potential off-target toxicities. Clinical trials are now underway with an inhibitory monoclonal antibody against C1q for Huntington’s disease and amyotrophic lateral sclerosis (ALS). While the specific mechanisms of complement-dependent neurode generation will likely differ in distinct neurodegenerative conditions, these data provide hope that complement-pathway interventions could represent an approach to control of neurodegenerative pathologies mediated at least in part through the innate immune system. Genetic evidence also supports a primary role for microglia in numerous neurodegenerative conditions and disease states, in con trast to earlier views in which their role was seen as largely secondary and involving phagocytosis of cell debris. More than half of all genes implicated in genome-wide association studies in AD implicate innate immune processes and microglia. One direct genetic link is the phagocytosis-associated gene TREM2 (triggering receptor expressed on myeloid cells 2). TREM2 is a microglial receptor that can bind amyloid, induce proliferation and migration of microglia, and pos sibly limit the spread of disease-associated AD aggregates. Moreover, a soluble TREM2 cleavage product promotes neuroinflammation and inhibits aggregation of β-amyloid. </w:t>
      </w:r>
      <w:r w:rsidRPr="00A6019F">
        <w:lastRenderedPageBreak/>
        <w:t xml:space="preserve">Loss-of-function mutations in TREM2 increase AD risk up to fourfold. In one mouse model of AD, overexpression of TREM2 blocked AD pathology and rescued perfor mance on tests of learning and memory; however, in other models, including tau models, the effects of TREM2 targeting were found to be stage specific or inconsistent. A clinical trial of an agonist monoclonal antibody against TREM2 is underway. Immune system genes implicated in susceptibility to other late-life dementias also represent promising targets for therapy. For example, ~10% of all cases of frontotemporal degeneration (FTD) are due to heterozygous mutations of the gene granulin (GRN), which encodes the protein progranulin expressed in neurons and microglial cells (Chap. 443). Progranulin is a neurotrophic factor essential for lyso somal function and microglial homeostasis. GRN mutations with resulting haploinsufficiency of progranulin are highly penetrant for FTD. When progranulin is deleted in mice, an age-dependent microg lial activation phenotype results, associated with upregulation of proinflammatory neurotoxic cytokines, complement components, and other genes associated with innate immunity, along with enhanced pruning of inhibitory synapses and behavioral manifestations remi niscent of human FTD. Remarkably, inhibition of complement activa tion can rescue all of these deficits. These data indicate a primary role for microglial activation in FTD caused by mutations in GRN, likely mediated through increased production of C3 complement, enhanced lysosomal trafficking, and excessive synaptic pruning in affected brain regions affected. Clinical trials underway for neurodegeneration due to progranulin deficiency include a monoclonal antibody to block lysosomal degradation of progranulin, as well as gene and protein replacement therapies. Microglia are generally considered the most important source of antigen-presenting cells in the brain, as they express class II major histocompatibility complex molecules enabling antigen presentation CHAPTER 435 Pathobiology of Neurologic Diseases 3396 to CD4 T cells. In Parkinson’s disease (PD), neurotoxic T cells reactive against epitopes of α-synuclein are commonly found, and it has been postulated that antigen presentation by microglia may have initiated this autoimmune response. Beyond a traditional role as antigen presenting cells, microglia are now understood to also have a range of other interactions with T and B lymphocytes. For example, secre tion of CCL3 by microglia, which is enhanced with aging, promotes the recruitment of memory CD8 T cells, which might account for the presence of CD8 T cells in a wide range of neuropathologic conditions including multiple sclerosis (MS). PART 13 Neurologic Disorders Microglia are located throughout the brain parenchyma, while the closely related brain macrophages occur primarily in perivascular regions, including the meninges and choroid plexus. Like microglia, brain macrophages are derived from yolk sac precursors that appear to enter the brain at an early developmental stage and propagate locally, although some choroid plexus macrophages may also be replenished at low levels from the bloodstream on a continuing basis. Under inflammatory conditions, however, large numbers of hematog enously derived monocytes readily enter the brain parenchyma. In the disease model, experimental autoimmune encephalomyelitis (EAE), macrophages </w:t>
      </w:r>
      <w:r w:rsidRPr="00A6019F">
        <w:lastRenderedPageBreak/>
        <w:t xml:space="preserve">derived from bone marrow monocytes are the critical population that initiates inflammatory demyelination at paraxonal regions near nodes of Ranvier (Fig. 435-2). Brain macrophages have multiple proinflammatory functions, including promoting adhesion, attraction, and activation of B and T lymphocytes; providing antigen specific activation of T cells via antigen presentation of immunogenic peptides, including autoantigens, complexed to surface class II major histocompatibility complex (MHC II) molecules; and contributing to cell injury through generation of oxidative stress and cytotoxicity. By contrast, microglia have been traditionally thought to downregulate Rolling Activated lymphocyte Blood-brain barrier endothelium Activated Microglia/ macrophages Fc receptor Brain tissue Astrocytes Heat shock proteins? Triggering Flow CD 31 Chemokines and cytokines inflammatory responses and promote tissue repair in EAE. This model of the relative roles of macrophage and microglial cells is certainly an oversimplification, and more nuanced functions of these cell types have been revealed by single-cell sequencing methods, demonstrating previ ously unappreciated heterogeneity influenced by location, context, and environmental cues. ASTROCYTES Astrocytes represent half or more of all cells in the CNS. Thought ear lier to function as simple interstitial supporting cells that provide scaf folds for neuronal migration and contribute to homeostasis, emerging data indicate far more pleiotropic functions for this cell type. Astro cytes, like microglia, play profound roles in the life of synapses by secreting factors (such as apolipoprotein E, thrombospondins, and glypicans) that regulate development, maintenance, and pruning of presynaptic and postsynaptic structures. Influenced by local neuronal activity, astrocytes actively phagocytose synapses. Pruning of synapses and clearance of apoptotic cells by astrocytes are mediated through the scavenger receptor multiple EGF-like domains 10 (Megf10), a high-affinity receptor for C1q. Astrocytes also participate in dynamic regulation of vascular tone, in part through astrocyte-astrocyte com munication mediated through gap junctions and calcium waves modulated by neuronal activity; support blood-brain barrier and glymphatic (see below) integrity through extension of foot processes to vascular structures and expression of aquaporin-4 water channels; and carry out additional metabolic functions essential for mainte nance of neuron health. Recent work has highlighted the transcriptional and functional heterogeneity of reactive astrocytes that, depending on the con text, could regulate inflammation, promote neurotoxicity, or aid in Strong adhesion ICAM LFA-1 α4 Integrin VCAM Extravasation B cell Gelatinases Basal lamina Microglia/macrophages T cell activation IFN-γ IL-2 T cell Chemokines IL-1, IL-12 Antigen presentation TNFα, LT, and GM-CSF TNF, IFN, free radicals, vasoactive amines, complement, proteases, cytokines, eicosanoids Myelin damage B cell Antibody complement B cell FIGURE 435-2 A model for experimental allergic encephalomyelitis (EAE). Crucial steps for disease initiation and progression include peripheral activation of preexisting autoreactive T cells; homing to the central nervous system (CNS) and extravasation across the blood-brain barrier; reactivation of T cells by exposed autoantigens; secretion of cytokines; activation of microglia and </w:t>
      </w:r>
      <w:r w:rsidRPr="00A6019F">
        <w:lastRenderedPageBreak/>
        <w:t xml:space="preserve">astrocytes and recruitment of a secondary inflammatory wave; and immune-mediated myelin destruction. ICAM, intercellular adhesion molecule; IFN, interferon; IL, interleukin; LFA-1, leukocyte function-associated antigen-1; TNF, tumor necrosis factor; VCAM, vascular cell adhesion molecule. 3397 protection and repair. As examples, in response to cytokines such as granulocyte-macrophage colony-stimulating factor (GM-CSF) pro duced by infiltrating lymphocytes, astrocytes can augment neuroin flammation via secretion of chemokines such as CCL2 and CXCL10 that attract lymphocytes and monocytes to the CNS. In MS and other neuroimmune disorders, production of B-cell activation factor (BAFF) by astrocytes within lesions promotes the survival and activation of pathogenic autoreactive B cells. Under other conditions, astrocytes appear to limit inflammation, through expression of tumor necrosis factor (TNF)-related apoptosis-inducing ligand (TRAIL) induced by interferon γ produced by natural killer cells, or by secretion of the regulatory cytokine IL-27. And in still other settings, astrocytes can secrete factors that promote neuronal survival and axon regeneration, for example, by secretion of wingless-type MMTV integration site 1 (Wnt1), a neuroprotective factor for dopaminergic neurons. It is also now clear that bidirectional crosstalk between immune system cells and astrocytes can profoundly influence the brain’s response to injury. In the best-studied example, activated microglia, through secretion of IL-1a, TNF, and C1q, can induce astrocytes to transform to a reactive disease-promoting phenotype. Such cells lose the capacity to phagocytose synapses and myelin debris and become toxic in vitro to neurons and mature oligodendrocytes, via different mechanisms including complement-mediated damage and production of nitric oxide (NO) and free radicals. Interestingly, oligodendrocyte progenitor cells (OPCs), abundant in active lesions of MS (Chap. 455) within the inflammatory milieu, are resistant to astrocyte-mediated killing. In ALS models modeled on human ALS causing mutations in SOD1 and C9orf72 genes, astrocyte expression of the mutant genes promoted neurotoxicity, indicating a non cell-autonomous disease mechanism mediated through astrocytes. Similarly, in AD, astrocytes have been implicated in several genetic forms of AD, including amyloid accumulation mediated through apolipoprotein E (ApoE), which in the nervous system is expressed primarily in astrocytes. Thus, reactive astrocytes could promote dam age in disorders as varied as MS (Chap. 455), AD (Chap. 442), PD (Chap. 446), and ALS (Chap. 448), despite the distinct etiologies and pathologies of these conditions. </w:t>
      </w:r>
      <w:r w:rsidRPr="00A6019F">
        <w:rPr>
          <w:rFonts w:ascii="Arial" w:hAnsi="Arial" w:cs="Arial"/>
        </w:rPr>
        <w:t>■</w:t>
      </w:r>
      <w:r w:rsidRPr="00A6019F">
        <w:t xml:space="preserve">OLIGODENDROCYTES AND MYELIN Myelin is the multilayered insulating substance that surrounds axons and speeds impulse conduction by permitting action potentials to jump between naked regions of axons (nodes of Ranvier) and across myelinated segments. Oligodendrocytes contact axons at paranodes, where sodium and potassium channels essential for saltatory con duction are clustered. Molecular interactions between the myelin membrane and axon are required to maintain the stability, function, and normal life span of both structures. The process of myelination is directed both by axon-derived cues as well as the physical proper ties of the axon-membrane curvature. Importantly, </w:t>
      </w:r>
      <w:r w:rsidRPr="00A6019F">
        <w:lastRenderedPageBreak/>
        <w:t xml:space="preserve">ongoing neuronal activity influences both the differentiation of oligodendrocytes as well as the extent of myelination, a process referred to as adaptive myelina tion. A single oligodendrocyte usually ensheaths multiple axons in the CNS, whereas in the peripheral nervous system (PNS), each Schwann cell typically myelinates a single axon. Oligodendrocytes can increase their surface length by as much as 2000-fold, the maintenance of which places significant metabolic demands on the cell. Myelin is a lipid-rich material formed by a spiraling process of the membrane of the myelinating cell around the axon, creating mul tiple membrane bilayers that are tightly apposed (compact myelin) by charged protein interactions. From an evolutionary perspective, an increase in the efficiency of nerve conduction enabled by CNS myelin has permitted expanded neuronal connectivity and brain complexity without the need to dramatically increase brain size. CNS myelin has also evolved to provide critical neuroprotective support to axons. Not surprisingly, myelin pathologies cause or contribute to many neurologic conditions. Several clinically important neuro logic disorders result from inherited mutations in myelin proteins (Chap. 457). Constituents of myelin have a propensity to be targeted as autoantigens in autoimmune demyelinating disorders, in part due to molecular similarities between myelin and microbial cell wall con stituents (Chaps. 455 and 456). Alterations in myelin are increasingly recognized as a contributor to cognitive changes associated with aging, including dementia. For example, in AD models, oligodendrocyte damage can promote the deposition of disease-associated amyloid plaques. Oligodendrocytes can also be the site of disease-associated protein deposition in some neurodegenerative disorders, for example, with toxic accumulation of α-synuclein aggregates in multiple system atrophy (Chap. 451). Evidence also supports a role for oligodendro cyte and myelin pathology in disorders as varied as ALS (Chap. 448), traumatic brain injury (Chap. 454), and stroke (Chap. 437), among other conditions. Premyelinating OPCs are highly motile cells that migrate exten sively during development and in the adult brain following injuries to the myelin sheath. OPCs migrate along the inner (or abluminal) surface of endothelial cells, a process regulated by Wnt pathway sig naling and upregulation of the chemokine receptor Cxcr4 that drives their attachment and retention to the vasculature. In the normal adult brain, large numbers of OPCs are widely distributed. Follow ing demyelination, remyelination is largely dependent on OPCs that differentiate into myelin-producing oligodendrocytes and produce characteristic thinly remyelinated fibers. In some situations, a second population of regenerating oligodendrocytes derived from neural stem cells can mediate more effective remyelination, with thicker lamellae and greater functional preservation of axons. A C14 labeling study from human MS lesions indicated that a third population of nonmitotic preexisting oligodendrocytes may represent an additional source of remyelinating cells. Both acquired demyelinating disorders, such as MS, and inherited ones, such as Pelizaeus-Merzbacher disease (duplication or deletion of the CNS proteolipid protein gene) and adrenoleukodystrophy (muta tions in the ABCD1 gene responsible for transport of very-long-chain fatty acids into the peroxisome for </w:t>
      </w:r>
      <w:r w:rsidRPr="00A6019F">
        <w:lastRenderedPageBreak/>
        <w:t xml:space="preserve">degradation), are associated with progressive axonal loss. Loss of oligodendrocyte support can produce axonal damage through a variety of mechanisms, including reductions in the supply of glucose and other essential nutrients; an increased axonal workload; impaired glutamate and calcium buffering; mito chondrial damage; loss of neurotrophins; enhanced susceptibility to reactive oxygen species including nitric oxide; and failure to maintain normal synapses. CHAPTER 435 Pathobiology of Neurologic Diseases A number of molecules have been identified that regulate oligo dendrocyte differentiation and myelination, including LINGO-1, hyaluronan, chondroitin sulfate proteoglycan, the Wnt pathway, Notch (and its receptor Jagged), fibrinogen, and the M1 muscarinic receptor Chrm1, all of which are inhibitory. Other targets are the retinoic acid receptor RXRγ, vitamin D, and thyroid hormone, all of which promote oligodendrocyte maturation. All are also potential targets for myelin repair therapies. In the EAE model of autoimmune demyelination (Fig. 435-2), oligodendrocyte-specific knockout of Chrm1 improved remyelination, protected axons, and restored function, directly dem onstrating that remyelination can be neuroprotective following injury. A pivotal trial of a monoclonal antibody against LINGO-1 in patients with acute optic neuritis failed to improve clinical outcomes, a disap pointing result given that the antibody appeared to have promising clinical effects in an earlier phase 2 trial. In a preliminary trial of chronic optic neuritis, a promising result was reported with clemastine, an antihistamine and M1 muscarinic receptor antagonist, raising hope that clinically effective remyelination might be achievable even in a chronic demyelinating condition. LYMPHATICS OF THE CENTRAL NERVOUS SYSTEM Two recently identified lymphatic structures of the CNS are the glym phatic and deep dural lymphoid systems, responsible for clearance of debris in the CNS, and likely also serving roles in immune surveil lance. The brain has traditionally been considered to lack a classical lymphatic system, and immune responses against antigens are less effectively generated in the CNS than in other organ systems, a con cept termed immune privilege. However, the immune privilege status 3398 of the brain is relative and not absolute. Also, given the high meta bolic demands of the brain, some mechanism for efficient removal of solute and debris must be present. One well-established pathway involves the passive flow of solutes from the brain parenchyma into the cerebrospinal fluid (CSF), and their exit via the arachnoid granu lations, as well as along cranial and spinal nerve roots to a series of lymphoid structures located in the cribriform plate, nasal mucosa, and elsewhere. PART 13 Neurologic Disorders The glymphatic system derives its name from a distinctive archi tecture involving lymphoid-like structures and astroglial cells. CSF synthesized in the arachnoid villi circulates through the ventricles and subarachnoid space surrounding the convexities of the brain and spinal cord and exits through conduits surrounding arterioles penetrat ing into the brain parenchyma. These spaces are lined by endothelial cells internally and by astrocyte foot processes that form the external walls. Aided by arterial propulsion, CSF moves out of these specialized conduits and into astrocytes via foot processes rich in aquaporin-4 water channels, and then in the </w:t>
      </w:r>
      <w:r w:rsidRPr="00A6019F">
        <w:lastRenderedPageBreak/>
        <w:t xml:space="preserve">interstitium of brain parenchyma, picks up solutes and particulate debris that are then carried to peri venous spaces where they passage to exit the brain and drain into the lymphatic system. In mice, knockout of aquaporin-4 markedly reduced the flow of interstitial fluids in the brain, underscoring the critical role of astrocyte uptake of CSF in this process. Interstitial flow in the CNS is also impaired with aging, possibly related to changes in astrocytic aquaporin-4 expression. A fascinating aspect of the glymphatic system is that the transport of fluids and solutes accelerates with sleep, arguing for a critical role for sleep in promoting clearance of debris needed to meet the high metabolic demands of the nervous system. Furthermore, in disease models, aggregated proteins associated with neurodegenera tive disease, such as β-amyloid associated with AD (Chap. 442), were also more efficiently cleared during sleep. Indeed, in mice genetically engineered to produce excess β-amyloid and develop AD-like cognitive decline, sleep deprivation increased accumulation of amyloid plaques. Glymphatic pathways are also likely to represent an important egress pathway for lymphocytes in the CNS and a route for lymphocyte encounters with CNS antigens in cervical lymph nodes. In this regard, deep cervical lymph nodes may be a site for antigen-specific stimula tion of B cells in MS (Chap. 455). A second pathway consists of a plexus of small lymphatic-like ves sels located on the external surface of meningeal arteries and deep dural sinuses (including the sagittal and transverse sinuses), structures that exit the brain along the surface of veins and arteries and drain to the deep cervical lymph nodes. These conduits appear to represent a lymphoid drainage system distinct from vascular endothelium. These sinus-associated lymphoid structures may be most important in clear ing solutes from the CSF, in contrast to the glymphatic system that likely functions to remove waste products from the brain interstitium; however, the exact functions of these two systems and their interrela tionships are only beginning to be understood. MICROBIOTA AND NEUROLOGIC DISEASE The human microbiome (Chap. 484) represents the collective set of genes from the 1014 organisms living in our gut, skin, mucosa, and other sites. The aggregate number of genes encoded by bacteria living in and around us (i.e., the microbiome) outnumber our own genome by a factor of 100, and these can encode a wide variety of molecules that directly or indirectly affect nervous system development, main tenance, and function. Distinctive microbial communities have been found in individuals with different genetic backgrounds, ethnicities, diets, and environments. While progressively evolving with age, in any individual, the predominant gut microbiota can be remarkably stable over decades, but also can be altered by exposure to certain microbial species (e.g., by ingestion of probiotics) or the frequent use of antibiotics. Gut microbes can shape immune responses through the interaction of their metabolism with that of humans. These gut–brain interac tions are likely to be important in understanding the pathogenesis of many autoimmune neurologic diseases. For example, mice raised in a germ-free environment (or treated with broad-spectrum antibiotics) are resistant to EAE, an effect associated with decreased production of proinflammatory cytokines and </w:t>
      </w:r>
      <w:r w:rsidRPr="00A6019F">
        <w:lastRenderedPageBreak/>
        <w:t xml:space="preserve">conversely more production of the immunosuppressive cytokines IL-10 and IL-13 as well as an increase in regulatory T and B lymphocytes. Intestinal microbiota from patients with MS were found to promote EAE when transferred to germ-free mice, possibly due to imbalances between bacterial species that pro mote inflammation (e.g., Akkermansia muciniphila and Acinetobacter calcoaceticus) and those that induce regulatory immune responses (e.g., Parabacteroides distasonis, Prevotella copri, and certain species of Clostridium). Recent studies have shown that the transcription fac tor aryl hydrocarbon receptor (AHR) is an important regulator of the differentiation of murine and human regulatory T cells and microglia. AHR is activated by endogenous physiologic ligands, but also by meta bolic products of the commensal flora. In addition to nonspecific effects on immune homeostasis mediated by cytokines and regulatory lymphocytes, some microbial proteins could trigger a cross-reactive immune response against a homolo gous protein in the nervous system, a mechanism termed molecular mimicry. Examples include cross-reactivity between the astrocyte water channel aquaporin-4 and an ABC transporter permease from Clostridia perfringens in neuromyelitis optica (Chap. 456); human leukocyte antigen (HLA) molecules with A. muciniphila peptides of A. muciniphila and Epstein-Barr virus in MS (Chap. 455); the neural ganglioside Gm1 and similar sialic acid–containing structures from Campylobacter jejuni in Guillain-Barré syndrome (Chap. 458); and the sleep-promoting protein hypocretin and hemagglutinin from an H1N1 influenza virus in narcolepsy (Chap. 33). Microbial genes also encode molecules that can affect development of neurons and glia, and influence myelination and plasticity. Bacterial derived short-chain fatty acids, for example, regulate production of brain-derived neurotrophic factor (BDNF). Bacteria produce a variety of neurotransmitters including γ-aminobutyric acid (GABA) and serotonin and other neuroactive peptides that can modulate the hypothalamic-pituitary axis. Gut microbiota influence development and activity of the enteric nervous system, which communicates bidi rectionally with the CNS via the vagus nerve that innervates the upper gut and proximal colon. As these gut–brain relationships become bet ter defined, a role for the microbial environment in the pathogenesis of a much wider spectrum of neurologic conditions and behaviors seems likely, extending well beyond the traditional boundaries of immune-mediated pathologies. In this regard, it has long been known that gut bacteria can influence brain function, based mostly on clas sic studies demonstrating that products of gut microbes can worsen hepatic encephalopathy, forming the basis of treatment with antibiot ics for this condition. Mice that develop in a germ-free environment display less anxiety, lower responses to stressful situations, more exploratory locomotive behaviors, and impaired memory formation compared with non-germ free counterparts. These behaviors were related to changes in gene expression in pathways related to neural signaling, synaptic function, and modulation of neurotransmitters. Moreover, this behavior could be reversed when the germ-free mice were co-housed with non-germ-free mice. As noted above, intestinal microbiota were found to be required for the normal development and </w:t>
      </w:r>
      <w:r w:rsidRPr="00A6019F">
        <w:lastRenderedPageBreak/>
        <w:t xml:space="preserve">function of brain microglia, poten tially linking these behavioral effects to specific cellular targets in the CNS. Some actions of gut microbial species on microglia also appear to be sex- and age-specific. The vagus nerve has been implicated in anxiety- and depression like behaviors in mice. Ingestion of Lactobacillus rhamnosus induced changes in expression of the inhibitory neurotransmitter GABA1b in neurons of the limbic cortex, hippocampus, and amygdala, associ ated with reduced levels of corticosteroids and reduced anxiety- and depression-like behaviors. Remarkably, these changes could be blocked by vagotomy. A related area of emerging interest is in a possible contribution of the gut microbiome to autism and related disorders. Children with autistic spectrum disorders (ASD) have long been known to have gas trointestinal disturbances, and the severity of dysbiosis appears to cor relate with the severity of autism. In several murine models of autism, 3399 work, a protein of Escherichia coli, named Curli, has been shown to misfold and potentially serve as a template for subsequent propagation of misfolded α-synuclein. The possibility that a bacterial protein could initiate the cascade of events leading to PD is an extraordinary, but still unproven, hypothesis. CHAPTER 435 Pathobiology of Neurologic Diseases Thus, there are a variety of mechanisms whereby the microbiome— in gut, skin, and other bodily surfaces—can modulate healthy brain function or influence susceptibility to and expression of a variety of brain diseases. The specific mechanisms are likely to vary with each condition but are likely to include promoting autoimmunity through molecular mimicry; disrupting immune homeostasis; modulating brain function via bacterial metabolites that travel in the circula tion and cross the blood-brain barrier; influencing neural activity through signals generated in the enteric nervous system; or even the possibility that prion-like aggregates are formed in the gut and passage to the CNS via the vagus nerve. Although no proven benefit of modulating the microbiome exists for any brain disease today, this situation is likely to change as information about specific disease-associated microbial communities rapidly increases, along with improved methods to fine-tune their proportions and overall diversity in humans. PATHOLOGIC PROTEINS, PRIONS, AND NEURODEGENERATION (FIG. 435-3) </w:t>
      </w:r>
      <w:r w:rsidRPr="00A6019F">
        <w:rPr>
          <w:rFonts w:ascii="Arial" w:hAnsi="Arial" w:cs="Arial"/>
        </w:rPr>
        <w:t>■</w:t>
      </w:r>
      <w:r w:rsidRPr="00A6019F">
        <w:t xml:space="preserve">PROTEIN AGGREGATION AND CELL DEATH The term protein aggregation has become widely used to describe easily recognizable hallmarks of neurodegeneration. While such neuropatho logic hallmarks including plaques, neurofibrillary tangles (NFTs), and inclusion bodies are often thought to cause neurologic dysfunction, numerous new discoveries over the past several decades have rendered this view increasingly unlikely. Instead, protein aggregates represent Aβ plaque Tau tangle 3 Amyloid fibrils Mutant prion form manipulation of the gut microbiome ameliorated the behavioral abnor malities. A role for the proinflammatory cytokine IL-17 was implicated as a possible mediator in producing the ASD-like changes. In mice, an ASD-like disorder could be induced in offspring after injecting the pregnant mother with the viral RNA mimic, polyinosinic:polycytidylic acid (poly I:C); oral treatment of offspring with Bacteroides fragilis cor rected a range of autistic behaviors in these mice and also improved </w:t>
      </w:r>
      <w:r w:rsidRPr="00A6019F">
        <w:lastRenderedPageBreak/>
        <w:t xml:space="preserve">gastrointestinal dysfunction. These preclinical data led to a small uncontrolled study of fecal gut transplantation in children with ASD that reported encouraging results but will need to be confirmed in rigorous controlled trials. There has been considerable interest in the possible role of the microbiome in a variety of vascular, traumatic, and neurodegenera tive diseases, possibly mediated through actions on innate immunity and microglia. In SOD1 transgenic ALS-prone mice, a germ-free environment exacerbated disease progression, and symptoms could be ameliorated by increasing levels of A. muciniphila or its nicotinamide (vitamin B3 ) metabolite; a small preliminary clinical trial of nicotin amide supplementation subsequently reported encouraging results in ALS patients. In a PD model, injection of misfolded α-synuclein into the gut triggered deposition of α-synuclein in the brain, an effect that was blocked when the vagus nerve was severed. This supported a prion mechanism (see below) for PD pathogenesis, in which vagal transport of aggregated α-synuclein might seed the CNS via the vagus nerve. The concept of a gut origin of PD is also consistent with clinical and pathologic studies, and by some epidemiologic data suggesting that vagotomy may be protective against PD. In transgenic mice that over express human α-synuclein, transplantation of intestinal microbiota from PD patients worsened motor deficits, α-synuclein deposition, and neuroinflammation, and conversely, pathology could be ameliorated with germ-free housing conditions or antibiotic treatment. In other Prions causing neurodegradation Wt prion form α-Synuclein Lewy body 2 Wt precursor Sporadic NDs 1 + ii Age-dependent mutant prion formation Mutant precursor A A Inherited NDs i + B FIGURE 435-3 Neurodegeneration caused by prions. A. In sporadic neurodegenerative diseases (NDs), wild-type (Wt) prions multiply through self-propagating cycles of posttranslational modification, during which the precursor protein (green circle) is converted into the prion form (red square), which generally is high in β-sheet content. Pathogenic prions are most toxic as oligomers and less toxic after polymerization into amyloid fibrils. The small polygons (blue) represent proteolytic cleavage products of the prion. Depending on the protein, the fibrils coalesce into Aβ amyloid plaques in Alzheimer’s disease (AD), neurofibrillary tangles in AD and other tauopathies, or Lewy bodies in Parkinson’s disease (PD) and dementia with Lewy bodies. Drug targets for the development of therapeutics include: (1) lowering the precursor protein, (2) inhibiting prion formation, and (3) enhancing prion clearance. B. Late-onset heritable neurodegeneration argues for two discrete events: The (i) first event is the synthesis of mutant precursor protein (green circle), and the (ii) second event is the age-dependent formation of mutant prions (red square). The highlighted yellow bar in the DNA structure represents mutation of a base pair within an exon, and the small yellow circles signify the corresponding mutant amino acid substitution. Green arrows represent a normal process; red arrows, a pathogenic process; and blue arrows, a process that is known to occur but unknown whether it is normal or pathogenic. (Used with permission of Annual Reviews, from [Biology and genetics of prions causing neurodegeneration, SB Prusiner, 47:601, 2013 permission conveyed </w:t>
      </w:r>
      <w:r w:rsidRPr="00A6019F">
        <w:lastRenderedPageBreak/>
        <w:t xml:space="preserve">through Copyright Clearance Center, Inc.) 3400 accumulations of toxic proteins that may become less harmful when they are sequestered into plaques, NFTs, and inclusion bodies. PART 13 Neurologic Disorders Most mutations in the amyloid precursor protein (APP) gene caus ing familial AD are concentrated within the Aβ peptide. Many of these mutations increase production of the Aβ42 peptide composed of β-amyloid with 42 amino acids, which has an increased propensity to adopt a prion conformation, as compared to β-amyloid with 40 amino acids. In contrast, mutations in the APP that reduce the production of β-amyloid protect against the development of AD and are associated with preserved cognition in the elderly. The most common cause of NFTs is AD, but the precise molecular events that produce tangles are unknown. Mutations in the MAPT gene encoding tau stimulate NFT formation in familial frontotemporal dementia, inherited progressive supranuclear palsy, and other familial tauopathies. Like AD, the major ity of most tauopathies as well as PD are sporadic. The second most common neurodegenerative disease is PD. The saga of α-synuclein and PD begins in 1996 with the identification of a mutation in a family of Greek descent. With this family and others, there were sufficient patients to establish genetic linkage. Soon there after, immunostaining showed that α-synuclein was present in Lewy bodies, and the following year staining of glial cytoplasmic inclusions (GCIs) was identified in the brains of deceased multiple-system atro phy (MSA) patients. Subsequently, brains from deceased MSA patients transmitted the disease to transgenic mice, establishing that the α-synucleinopathies are prion diseases. Before the α-synuclein (SCNA) gene was found to cause familial PD, other genes such as the leucine-rich repeat kinase 2 (LRRK2) were found to modify the onset of PD; other similar PD modifier genes include parkin, PINK1, and DJ-1. PINK1 is a mitochondrial kinase (see below), and DJ-1 is a protein involved in protection from oxidative stress. Parkin, which causes autosomal reces sive early-onset PD-like illness, is a ubiquitin ligase. The characteristic histopathologic feature of PD is the Lewy body, an eosinophilic cyto plasmic inclusion that contains both neurofilaments and α-synuclein. Huntington’s disease (HD) and cerebellar degenerations are associated with expansions of polyglutamine repeats in proteins, which aggregate to produce neuronal intranuclear inclusions. Familial ALS is associated with superoxide dismutase (SOD1) mutations and cytoplasmic inclu sions containing superoxide dismutase. An important finding was the discovery that ubiquitinated inclusions observed in most cases of ALS and the most common form of frontotemporal dementia are composed of TAR DNA-binding protein 43 (TDP-43). Subsequently, mutations in the TDP-43 gene, and in the fused in sarcoma gene (FUS), were found in familial ALS. Both of these proteins are involved in transcription regulation as well as RNA metabolism. Another key mechanism linked to cell death is mitochondrial dynamics, which refers to the processes involved in movement of mitochondria, as well as in mitochondrial fission and fusion, which play a critical role in mitochondrial turnover and in replenishment of damaged mitochondria. Mitochondrial dysfunction is strongly linked to the pathogenesis of a number of neurodegenerative </w:t>
      </w:r>
      <w:r w:rsidRPr="00A6019F">
        <w:lastRenderedPageBreak/>
        <w:t xml:space="preserve">diseases such as Friedreich’s ataxia, which is caused by mutations in an iron-binding protein that plays an important role in transferring iron to iron-sulfur clusters in aconitase and complex I and II of the electron transport chain. Mitochondrial fission is dependent on the dynamin-related pro teins (Drp1), which bind to its receptor Fis, whereas mitofusins 1 and 2 (MFN 1/2) and optic atrophy protein 1 (OPA1) are responsible for fusion of the outer and inner mitochondrial membrane, respectively. Mutations in MFN2 cause Charcot-Marie-Tooth neuropathy type 2A, and mutations in OPA1 cause autosomal dominant optic atrophy. Both β-amyloid and mutant huntingtin protein induce mitochondrial frag mentation and neuronal cell death associated with increased activity of Drp1. In addition, mutations in genes causing autosomal recessive PD, parkin and PINK1, cause abnormal mitochondrial morphology and result in impairment of the ability of the cell to remove damaged mitochondria by autophagy. As noted above, one major scientific question is whether protein aggregates directly contribute to neuronal death or whether they are merely secondary bystanders. A focus in all the neurodegenerative diseases is on small-protein aggregates termed oligomers. How many monomers polymerize into a particular disease-specific oligomer has been elusive. Whether oligomers are the toxic species of β-amyloid, α-synuclein, or proteins with expanded polyglutamines such as the one causing HD remains to be established. Protein aggregates are usually ubiquitinated, which targets them for degradation by the 26S com ponent of the proteasome. An inability to degrade protein aggregates could lead to cellular dysfunction, impaired axonal transport, and cell death by apoptotic mechanisms. Autophagy is the degradation of cystolic components in lysosomes. There is increasing evidence that autophagy plays an important role in degradation of protein aggregates in the neurodegenerative diseases, and it is impaired in AD, PD, FTD, and HD. Autophagy is particularly important to the health of neurons, and failure of autophagy contrib utes to cell death. In HD, a failure of cargo recognition occurs, contrib uting to protein aggregates and cell death. There is other evidence for lysosomal dysfunction and impaired autophagy in PD. Mutations in glucocerebrosidase (GBA) are associ ated with 5% of all PD cases as well as 8–9% of patients with dementia with Lewy bodies. Notably, glucocerebrosidase and enzymatic activity are reduced in the substantia nigra of sporadic PD patients. α-Synuclein is degraded by chaperone-mediated and macro autophagy. The degra dation of α-synuclein has been shown to be impaired in transgenic mice deficient in glucocerebrosidase, and α-synuclein inhibits the activity of glucocerebrosidase; thus, there appears to be bidirectional feedback between α-synuclein and glucocerebrosidase. The retromer complex is a conserved membrane-associated protein complex that functions in endosome to Golgi transport. The retromer complex contains a cargo selective complex consisting of VPS35, VPS26, and VPS29, along with a sorting nexin dimer. Mutations in VPS35 were shown to be a cause of late-onset autosomal dominant PD. The retromer also traffics APP away from endosomes, where it is cleaved to generate β-amyloid. Deficiencies of VPS35 and VPS26 were also identified in hippocampal brain tissue from AD. A potential thera </w:t>
      </w:r>
      <w:r w:rsidRPr="00A6019F">
        <w:lastRenderedPageBreak/>
        <w:t>peutic approach to these diseases might therefore be to use chaperones to stabilize the retromer and reduce the generation of β-amyloid and α-synuclein. PRIONS AND NEURODEGENERATIVE DISEASES As we have learned more about the etiology and pathogenesis of the neurodegenerative diseases, it has become clear that the histologic abnormalities that were once curiosities, in fact, are likely to reflect the etiologies. For example, the amyloid plaques in kuru and Creutzfeldt Jakob disease (CJD) are filled with the PrPSc prions that have assembled into fibrils. The past three decades have witnessed an explosion of new knowledge about prions. For many years, kuru, CJD, and scrapie of sheep were thought to be caused by slow-acting viruses, but a large body of experimental evidence argues that the infectious pathogens causing these diseases are devoid of nucleic acid. Such pathogens are called prions, which are composed of host-encoded proteins that adopt alternative conformations that undergo self-propagation. Prions impose their conformations on the normal, precursor proteins, which in turn become self-templating, resulting in faithful copies; most prions are enriched for β-sheet and can assemble into amyloid fibrils. Similar to the plaques in kuru and CJD that are composed of PrP prions, the amyloid plaques in AD are filled with Aβ prions that have polymerized into fibrils. This relationship between the neuropatho logic findings and the etiologic prion was strengthened by the genetic linkage between familial CJD and mutations in the PrP gene, as well as (as noted above) between familial AD and mutations in the APP gene. Moreover, a mutation in the APP gene that prevents Aβ peptide formation was correlated with a decreased incidence of AD in Iceland. The heritable neurodegenerative diseases offer an important insight into the pathogenesis of the more common sporadic ones. Although the mutant proteins that cause these disorders are expressed in the brains of people early in life, the diseases do not occur for many decades. Many explanations for the late onset of familial neurodegen erative diseases have been offered, but none is supported by substantial experimental evidence. The late onset might be due to a second event TABLE 435-1 Prion-Based Classification of Neurodegenerative Diseases 3401 NEURODEGENERATIVE DISEASE Creutzfeldt-Jakob disease (CJD) Kuru Gerstmann-Sträussler-Scheinker disease (GSS) Fatal insomnia Bovine spongiform encephalopathy (BSE) Scrapie Chronic wasting disease (CWD) Feline spongiform encephalopathy Transmissible mink encephalopathy Alzheimer’s disease (AD) Down syndrome ALS-parkinsonism dementia complex (PDC) of Guam Parkinson’s disease (PD) Dementia with Lewy bodies Multiple-system atrophy CAUSATIVE PRION PROTEINS PrPSc PrPSc PrPSc PrPSc PrPSc PrPSc PrPSc PrPSc PrPSc Aβ → tau Aβ → tau Aβ → tau α-Synuclein α-Synuclein α-Synuclein Frontotemporal dementias (FTDs) Posttraumatic FTD Chronic traumatic encephalopathy (CTE) Amyotrophic lateral sclerosis (ALS) Huntington’s disease (HD) Tau, TDP43, FUS (C9orf72, progranulin) Tau SOD1, TDP43, FUS (C9orf72) Huntingtin in which a mutant protein, after its conversion into a prion, begins to accumulate at some rather advanced age. Such a formulation is also consistent with data showing that the protein quality-control mecha nisms diminish in efficiency with age. Thus, the prion forms of both wild-</w:t>
      </w:r>
      <w:r w:rsidRPr="00A6019F">
        <w:lastRenderedPageBreak/>
        <w:t>type and mutant proteins are likely to be efficiently degraded in younger people but are less well handled in older individuals. This explanation is consistent with the view that neurodegenerative diseases are disorders of the aging nervous system. A new classification for neurodegenerative diseases can be proposed based on not only the traditional phenotypic presentation and neuro pathology but also the prion etiology (Table 435-1). An expanding body of experimental data has accumulated connecting prions in each of these illnesses. In addition to kuru and CJD, Gerstmann-Sträussler Scheinker disease (GSS) and fatal insomnia in humans are caused by PrPSc prions. In animals, PrPSc prions cause scrapie of sheep and goats, bovine spongiform encephalopathy (BSE), chronic wasting dis ease (CWD) of deer and elk, feline spongiform encephalopathy, and transmissible mink encephalopathy (TME). Similar to PrP, Aβ, tau, α-synuclein, superoxide dismutase 1 (SOD1), and possibly huntingtin all adopt alternative conformations that become self-propagating, and thus, each protein can become a prion and be transferred to synapti cally connected neurons. Moreover, each of these prions causes a dis tinct constellation of neurodegenerative diseases. Evidence for a prion etiology of AD comes from a series of transmis sion experiments initially performed in marmosets and subsequently in transgenic mice expressing the mutant APP from which the Aβ peptide is derived (Table 435-1). Synthetic mutant Aβ peptides folded into a β-sheet-rich conformation exhibited prion infectivity in cultured cells. Studies of the tau protein have shown that it not only features in the pathogenesis of AD but also causes the frontotemporal dementias including chronic traumatic encephalopathy, which has been reported in both contact sport athletes and military personnel who have suffered traumatic brain injuries. A series of incisive studies using cultured cells and Tg mice have demonstrated that both tau and Aβ prions are found together in the brains of AD patients. These findings indicated that AD is a double-prion disease (Table 435-1); unexpectedly, two more double-prion diseases have been identified recently. Patients with Down syndrome, from 6–72 years of age, all had both Aβ and tau pri ons in their brains with the frequent diagnosis of AD. The third double prion disease has been found in the Chamorro people on Guam as well as Japanese living on the Kii peninsula: both groups of people develop ALS with dementia and both have Aβ and tau prions in their brains. In contrast to Aβ and tau prions, α-synuclein prions cause very dif ferent illnesses, i.e., PD, dementia with Lewy bodies (DLB), and MSA. Brains from MSA patients inoculated into Tg(SCNA</w:t>
      </w:r>
      <w:r w:rsidRPr="00A6019F">
        <w:rPr>
          <w:rFonts w:ascii="Cambria Math" w:hAnsi="Cambria Math" w:cs="Cambria Math"/>
        </w:rPr>
        <w:t>∗</w:t>
      </w:r>
      <w:r w:rsidRPr="00A6019F">
        <w:t xml:space="preserve">A53T) mice died ~90 days after intracerebral inoculation, whereas mutant </w:t>
      </w:r>
      <w:r w:rsidRPr="00A6019F">
        <w:rPr>
          <w:rFonts w:ascii="Aptos" w:hAnsi="Aptos" w:cs="Aptos"/>
        </w:rPr>
        <w:t>α</w:t>
      </w:r>
      <w:r w:rsidRPr="00A6019F">
        <w:t xml:space="preserve">-synuclein (A53T) prions formed spontaneously in Tg mouse brains that killed recipient Tg mice in ~200 days (Table 435-1). For many years, the most frequently cited argument against prions was the existence of strains that produced distinct clinical presenta tions and different patterns of neuropathologic lesions. Some investi gators argued that the biologic information carried in different prion strains could be encoded only within a nucleic acid. Subsequently, many studies demonstrated that strain-specified variation is enci phered in the conformation of PrPSc, but the molecular mechanisms responsible for the </w:t>
      </w:r>
      <w:r w:rsidRPr="00A6019F">
        <w:lastRenderedPageBreak/>
        <w:t xml:space="preserve">storage of this biologic information remains enig matic. The neuroanatomical patterns of prion deposition have been shown to be dependent on the particular strain of prion. Convincing evidence in support of this proposition has been accumulated for PrP, Aβ, tau, and α-synuclein prions. The most persuasive information on prion strains comes from studies in yeast where the tools of yeast genetics allowed inciteful investigations to be performed in ways that could not be accomplished in mammals. Although the number of prions identified in mammals and in fungi continues to expand, the existence of prions in other phylogeny remains undetermined. Some mammalian prions perform vital func tions and do not cause disease; such nonpathogenic prions include the cytoplasmic polyadenylation element-binding (CPEB) protein, the mitochondrial antiviral-signaling (MAVS) protein, and T cell restricted intracellular antigen 1 (TIA-1). Many but not all prion proteins adopt a β-sheet-rich conforma tion and appear to readily oligomerize as this process becomes self-propagating. Control of the self-propagating state of benign mam malian prions is less well understood than that of pathogenic mamma lian prions, which appear to multiply exponentially. We do not know if prions multiply as monomers or as oligomers; notably, the ionizing radiation target size of PrPSc prions suggests it is a trimer. The oligo meric states of pathogenic mammalian prions are thought to be toxic; larger polymers, such as amyloid fibrils, seem to be a mechanism for minimizing toxicity. CHAPTER 435 Pathobiology of Neurologic Diseases The development of drugs designed to inhibit the conversion of the normal precursor proteins into prions or to enhance the degradation of prions focuses on the initial step in prion accumulation. Although a dozen drugs that cross the blood-brain barrier have been identified that prolong the lives of mice infected with scrapie prions, none has been identified that extends the lives of Tg mice that replicate human CJD prions. Despite doubling or tripling the length of incubation times in mice inoculated with scrapie prions, all of the mice eventually succumb to illness. Because all of the treated mice develop neurologic dysfunction at the same time, the mutation rate as judged by drug resis tance is likely to approach 100%, which is much higher than mutation rates recorded for bacteria and viruses. Mutations in prions seem likely to represent conformational variants that are selected for in mammals where survival becomes limited by the fastest-replicating prions. The results of these studies make it likely that cocktails of drugs that attack a variety of prion conformers will be required for the development of effective therapeutics. NEURAL STEM CELL BIOLOGY Normal and genetically modified (“transgenic”) mice are the most widely used model systems to study features of human nervous system diseases. However, modeling genetic diseases in rodents is limited to the relatively small number of monogenic human diseases where the specific gene mutations are known and is further limited by species differences. The latter can be particularly important in brain regions such as the cerebral cortex that have undergone significant evolutionary expansion in humans. These shortcomings, which likely contribute to the low probability that therapeutic efficacy translates from animal models to humans, can potentially be overcome through stem cell models that </w:t>
      </w:r>
      <w:r w:rsidRPr="00A6019F">
        <w:lastRenderedPageBreak/>
        <w:t xml:space="preserve">enable the use of human cells and tissues to model human diseases. The advent of new stem cell technologies 3402 ORGANOIDS is transforming our understanding of the pathobiology of human neurologic diseases. Stem cell platforms are being used to screen for therapeutic agents, to uncover adverse drug effects, and to discover novel therapeutic targets. PART 13 Neurologic Disorders Among the most exciting recent advances in stem cell technology is the ability to convert somatic cells, either skin fibroblasts or blood cells, into pluripotent stem cells known as induced pluripotent stem cells (iPSCs). This technology has introduced an entirely new and powerful approach to study the pathobiology of heritable diseases. Pluripotent stem cells can be easily obtained through minimally inva sive procedures such as a skin biopsy or blood sample and converted to pluripotency through application of a cocktail of reprogramming factors to create iPSCs. Initially, a set of four programming factors, Oct3/4, Klf-4, Sox2, and c-Myc, was delivered to cells using lenti viruses that stably integrated the reprogramming factor genes into the iPSC genome, potentially altering disease phenotypes and also abrogating expression of native genes at the DNA sites where the factors integrated. Newer techniques have been developed that use nonintegrating approaches such as through the use of Sendai virus, messenger RNA (mRNA), or episomal vectors that circumvent these problems. Once created, iPSC lines can be expanded indefinitely to produce a limitless supply of stem cells. These cells are the starting material for the derivation of specific cell types based on protocols that use small molecules, proteins, or direct gene induction to recapitulate developmental programs. Most current protocols derive neuronal progenitors through dual-SMAD inhibition, a step that involves the use of small-molecule inhibitors to block endoderm and mesodermal cell fates, thereby creating neural cells by default. Multiple protocols have been developed over the last decade for creating large numbers of human neuron progenitor cell types and directing them toward specific nervous system cell fates, including neuron subtypes from multiple regions of brain and spinal cord as well as retinal cells, glial cells including astrocytes and oligodendrocytes, immune cells, and peripheral nervous system cells. The primary medical benefit of iPSC technology is that it enables the creation of patient-specific cells or tissues that are genetically matched to individual subjects. This approach enables the study of not only monogenetic disorders but also sporadic forms of disease and complex polygenic disorders including those with unidentified risk loci. Furthermore, by deriving iPSC cell lines from multiple patients, it is possible to explore how disease phenotypes may vary accord ing to genetic background. Another approach that has been used to generate specific neuron and glial cell types from somatic cells such as fibroblasts is through direct reprogramming. This approach relies on a cocktail of specific transcription factors to directly convert somatic cells into the alternate desired cell type. This approach bypasses the epigenetic reset that accompanies cells as they are reprogrammed to a pluripotent state. The advantage of this approach is that age-related epigenetic signatures are not erased, so that derived neurons may more readily reflect diseases </w:t>
      </w:r>
      <w:r w:rsidRPr="00A6019F">
        <w:lastRenderedPageBreak/>
        <w:t xml:space="preserve">that manifest in older cells. Despite the advantages of using in vitro models of nervous system diseases derived from patient-specific iPSCs, several potential road blocks remain. There are no standard reprogramming or derivation protocols, and the different methods can result in considerable vari ability in the disease phenotypes reported by different laboratories. Confidence in the specificity of a particular phenotype is therefore increased if it has been validated across multiple laboratories. There is also the problem of inherent variability between patient lines that may result from their different genetic backgrounds. One solution, available only in the case of monogenic disorders, is to use isogenic controls generated using gene editing, such as with CRISPR-Cas9 technology, to create disease and control lines on an identical genetic background. However, because differences in genetic background can influence the penetrance of a particular trait, it will still be necessary to compare dis ease lines from multiple patients to discern a true disease phenotype. For polygenic disorders where the causative mutations are unknown, it will not be possible to create isogenic controls, and in these situations, the best strategy for improving reliability and sensitivity is to compare lines from multiple patients. Most nervous system disorders, including ASD, schizophrenia, PD, AD, and ALS, are complex disorders, resulting from an unknown combi nation of gene mutations, and manifest not only in specific cell types but also in alterations of the local tissue environment. These disorders are difficult to model in animals, but they are approachable using three-dimensional human iPSC stem cell models, often referred to as “organoids.” Organoids are derived from pluripotent stem cells that are directed along a tissue-specific lineage through the timed application of growth factors, genes, or small-molecule activators or inhibitors, and allowed to aggregate into three-dimensional structures. With time, cell intrinsic programs are spontaneously engaged and the cel lular aggregates begin to self-organize and develop into structures that recapitulate the complex topographical and cellular diversity of normal organ development. In this way, it has been possible to create, at least in part, in vitro brainlike organoids that resemble parts of the human brain at early stages of development. When allowed to develop from an anterior neural tube stage, these structures can become heterogeneous, containing regions with forebrain, midbrain, and/or hindbrain identity and can often include retina-like structures. The high degree of vari ability in such “whole-brain organoids” can be a liability for controlled studies and can be reduced by the use of directed protocols that restrict outcomes to more defined brain regions, such as forebrain, cortex, or ganglionic eminence. A variety of protocols have now been developed to generate organoids with specific regional identity, and fusing organoids of different regional identity with each other has been used to reproduce cellular interactions such as neuronal migration across regions. Many protocols are focused on modeling cortical development, and they can reproduce developmental features including a diversity of progenitor and neuronal cell types topographically distributed within ventricular and subventricular progenitor regions and rudimentary cortical layers. However, the organoids follow a human developmental </w:t>
      </w:r>
      <w:r w:rsidRPr="00A6019F">
        <w:lastRenderedPageBreak/>
        <w:t xml:space="preserve">timetable and still remain at stages roughly comparable to late fetal development even after 6–9 months of culture. Moreover, they lack key cell types such as endothelial cells, pericytes, and microglia, and have few if any astrocytes or oligodendrocytes. Recently, it has become possible to derive these cell types independently from stem cells and then combine them with brain organoids to create tissue-diverse brain organoids that also contain, for example, vascular or immune cells. Nonetheless, while still only reflect ing rudimentary organizational and compositional features, organoids have become attractive models to study human brain development and the pathophysiology of human nervous system diseases in the context of a partially organized brainlike structure. </w:t>
      </w:r>
      <w:r w:rsidRPr="00A6019F">
        <w:rPr>
          <w:rFonts w:ascii="Arial" w:hAnsi="Arial" w:cs="Arial"/>
        </w:rPr>
        <w:t>■</w:t>
      </w:r>
      <w:r w:rsidRPr="00A6019F">
        <w:t xml:space="preserve">BRAIN DEVELOPMENT AND DEVELOPMENTAL DISORDERS: MICROCEPHALY AND LISSENCEPHALY Transcriptional analysis has suggested that the neurons produced by most stem cell protocols resemble early- to mid-gestational stages of human brain development. The immaturity of stem cell–derived human neurons may limit their utility for modeling adult diseases, but it does make them ideally suited for the study of brain development and the pathophysiology of neurodevelopmental disorders. Primary autosomal recessive microcephaly (MCPH) is a rare neu rodevelopmental disorder producing severe microcephaly with simpli fied cortical gyration and intellectual disability. MCPH was one of the first disorders to be studied using cerebral organoids. Mutations in genes encoding microtubule spindle components and spindle-associ ated proteins are the most frequent causes of congenital microcephaly. Among them is cyclin-dependent kinase 5 related activator protein 2 (CDK5RAP2). Skin fibroblasts derived from a single microcephalic patient carrying a mutation in CDK5RAP2 were used to generate four iPSC lines. Cerebral organoids grown from these cell lines contained fewer proliferating progenitor cells and showed premature neural dif ferentiation compared to wild-type controls. Introducing functional CDK5RAP2 by electroporation partially rescued the disease pheno type, supporting the notion that failure of the founder population of neural progenitors to properly expand underlies the smaller brain. This study demonstrated that brain organoids derived from patients with microcephaly can be used to reproduce features of the disease but 3403 did not reveal new insights or disease features of CDK5RAP2 micro cephaly that had not already been described in mouse models. Organoids, however, are well-suited to model human microcephaly because the phenotype manifests at early prenatal ages and can be assessed by organoid size, which can serve as a proxy for a micro cephaly phenotype. For example, a loss-of-function screen of candi date microcephaly human genes was carried out in organoids using CRISPR-lineage tracing; 173 potential microcephaly genes were tested, and novel mechanisms involved in brain size control were discovered including a pathway involved in endoplasmic reticulum function and extracellular matrix production. Cortical organoids have also been used to model lissencephaly or “smooth brain.” Miller-Dieker syndrome (MDS), a severe congenital form of lissencephaly, was modeled in organoids and features of the human disease were observed that had not been noted in murine </w:t>
      </w:r>
      <w:r w:rsidRPr="00A6019F">
        <w:lastRenderedPageBreak/>
        <w:t xml:space="preserve">models. Classical lissencephaly is a genetic neurologic disorder associ ated with intellectual disability and intractable epilepsy, and MDS is a severe form of the disorder. Cortical folding in humans begins toward the end of the second trimester, but gyrencephaly depends upon earlier events such as neural progenitor cell proliferation and neuronal migra tion, which can be modeled in organoids. The human organoid model of MDS exhibited several neural progenitor cell phenotypes that had already been reported in mouse models, including altered mitotic spin dle orientation and neuronal migration defects. But the organoids also displayed a mitotic defect in a specific neural stem cell subtype, the outer radial glia cell (oRG), that had not been observed in mice. oRG cells are enriched in the outer subventricular zone, a proliferative region that is large in primates and not present in rodents. These cells are particularly numerous in the developing human cortex and are thought to underlie the developmental and evolutionary expansion of the human cortex. oRG cells from MDS patients behaved abnormally and had arrested or delayed mitoses. MDS organoids also identified noncell autonomous defects in Wnt signaling as an underlying mechanism. These insights into mechanistic and cell-type-specific features of human disease high light how organoid technology can provide new and valuable perspec tives on the pathophysiology of disorders of in utero development. </w:t>
      </w:r>
      <w:r w:rsidRPr="00A6019F">
        <w:rPr>
          <w:rFonts w:ascii="Arial" w:hAnsi="Arial" w:cs="Arial"/>
        </w:rPr>
        <w:t>■</w:t>
      </w:r>
      <w:r w:rsidRPr="00A6019F">
        <w:t xml:space="preserve">ACQUIRED NEURODEVELOPMENTAL DISORDERS: ZIKA The outbreak of Zika virus (ZIKV) and associated microcephaly cases in the Americas provided a test case for the utility of brain organoids to model acquired human microcephaly. Despite a correlation between Zika infection rates and the incidence of congenital microcephaly, compelling evidence that ZIKV caused microcephaly was lacking in the early phases of the epidemic. The causal link between ZIKV and congenital microcephaly was buttressed by two studies in 2016 that used human iPSC-derived neural progenitor cells and organoids to demonstrate ZIKV tropism for human neural progenitor cells. Neu ral progenitor cells (radial glia) were readily infected in vitro with subsequent progenitor cell death and involution of organoid size. Fore brain organoids were further used to highlight the role of the flavivirus entry factor, AXL, in determining viral tropism, and were also used to explore the disease mechanism by demonstrating upregulation of the innate immune receptor toll-like receptor 3 (TLR) in response to ZIKV infection. Stem cell–derived models of human brain development have also demonstrated centrosomal abnormalities in radial glia and altera tion in the cleavage plane of mitotic radial glia associated with prema ture neural differentiation. Mouse models are also being used to study the pathophysiology of congenital ZIKV syndrome, but the availability of unlimited numbers of human neural cells produced using stem cell technology has enabled high-throughput screening assays to test librar ies of clinically approved compounds for potential therapeutic agents. This strategy has already highlighted several compounds that could potentially help protect against ZIKV microcephaly. </w:t>
      </w:r>
      <w:r w:rsidRPr="00A6019F">
        <w:rPr>
          <w:rFonts w:ascii="Arial" w:hAnsi="Arial" w:cs="Arial"/>
        </w:rPr>
        <w:t>■</w:t>
      </w:r>
      <w:r w:rsidRPr="00A6019F">
        <w:t xml:space="preserve">NEURODEVELOPMENTAL DISORDERS: AUTISM AND SCHIZOPHRENIA ASDs are complex and heterogeneous neurodevelopmental disorders usually manifesting in </w:t>
      </w:r>
      <w:r w:rsidRPr="00A6019F">
        <w:lastRenderedPageBreak/>
        <w:t xml:space="preserve">childhood with difficulties in social interaction, verbal and nonverbal communication, and repetitive behaviors. The cellular and molecular mechanisms underlying ASD are thought to arise at stages of fetal brain development, making them well-suited for exploration using human iPSC-derived disease models. iPSC-derived neurons have been used to study the pathophysiology of disorders associated with ASD that are caused by monogenic mutations, includ ing fragile X, Rett, and Timothy syndromes. Fragile X is the most common heritable cause of intellectual dis ability, affecting 1 in 4000 males and 1 in 8000 females, and is a lead ing genetic cause of ASD. Patients also have speech delay, growth and motor abnormalities, hyperactivity, and anxiety. The causative muta tion lies in the FMR1 gene and produces a CGG triplet repeat expan sion from a normal number of 5–20 to &gt;200, leading to epigenetic silencing of the FMR1 gene and loss of the fragile X mental retardation protein. The epigenetic mechanism means that unlike a simple gene deletion that would lead to ubiquitous loss of expression, the FMR1 locus becomes hypermethylated and epigenetically silenced during differentiation; thus, FMR1 protein is expressed by the early embryo and becomes absent only around the beginning of the second trimester. Interestingly, this expression pattern is recapitulated during cellular differentiation in stem cell models. Pluripotent fragile X stem cell lines have been derived from embryos identified through preimplantation genetic diagnosis and by reprogramming skin fibroblasts from fragile X patients to create iPSC lines. In both cases, FMR1 was expressed by the pluripotent stem cells but underwent transcriptional silencing fol lowing differentiation. Fragile X stem cell lines can therefore be used to study the mechanism of FMR1 silencing, an effort that is ongoing. Neu rons generated from fragile X iPSC cells reproduce features observed in neurons from transgenic FMR1 mouse models and patients, including stunted neurites with decreased branching, increasing confidence in the iPSC model. In addition to providing a model that can be used to study disease pathogenesis, fragile X iPSC-derived neurons could be used to screen for potential therapeutic agents or gene-editing strate gies to remove the repressive epigenetic marks induced by the mutation and rescue the phenotype. Rett syndrome is an X-linked neurodevelopmental disorder with dominant inheritance caused by a mutation in the MECP2 gene. Because males carrying one copy of the defective gene usually die in infancy, most patients are girls. Random inactivation of the X chromo some in girls results in mosaic cellular expression of the mutation that circumvents fatality and produces a variable phenotype. The symptoms are present in early childhood and include microcephaly associated with developmental delay, autistic-like behaviors and cognitive dys function, seizures, and repetitive motor actions; these then progress to include difficulties with gait, swallowing, and breathing before usually stabilizing with patients surviving to adulthood. The pathophysiology of Rett syndrome is presumed to involve abnormal epigenetic regula tion leading to decreased transcriptional repression of genes whose overexpression produces the disease phenotype, although this concept has been contested. In one of the first studies to use iPSC modeling to study Rett syndrome, it </w:t>
      </w:r>
      <w:r w:rsidRPr="00A6019F">
        <w:lastRenderedPageBreak/>
        <w:t xml:space="preserve">was discovered that when fibroblasts from patients were reprogrammed to pluripotent stem cells, X inactiva tion was erased. In apparent recapitulation of endogenous events, X chromosome inactivation re-occurred during neuronal differentiation, producing a mosaic of cells carrying the mutant gene intermingled with normal cells. Rett neurons had fewer dendritic spines and syn apses, smaller cell bodies, and reduced network activity. Another iPSC model of Rett syndrome highlighted the potential role of altered inhibitory function. Rett neurons were found to have a deficit of potas sium/chloride cotransporter (KCC2) that is developmentally regulated and normally leads to a switch in GABA signaling from excitatory at embryonic ages to inhibitory by birth. In Rett neurons, KCC2 expres sion level was low, and the functional switch in GABA effects was delayed, contributing to some of the disease features and possibly accounting for the developmental onset of the disease. One curious feature of some iPSC Rett lines was that despite the mosaic expression of the mutation, disease phenotypes were observed in all cells. Possibly, this could reflect a noncell autonomous effect, but as in all iPSC disease models, confidence in disease-specific features will be increased when similar phenotypes are seen across multiple independent studies. CHAPTER 435 Pathobiology of Neurologic Diseases 3404 away. The use of three-dimensional organoids to model AD overcame this limitation, presumably by recreating a more faithful extracellular matrix. Organoid models promoted the aggregation of β-amyloid, and more readily recapitulated the pathologic features of AD, including the formation of NFTs and neuritic plaques. PART 13 Neurologic Disorders Timothy syndrome, another severe neurodevelopmental disease associated with ASD, has been modeled using iPSC-derived organoids. Timothy syndrome is caused by a mutation in the CACNA1C gene cod ing for a voltage-gated calcium channel, and neuron defects in Timothy syndrome organoids were rescued by selectively altering calcium chan nel activity. In one study, two separate organoids were produced with different regional identity, one represented neocortex and one a more ventral structure known as the medial ganglionic eminence, which is the source of most cortical interneurons. The two organoids were then fused together to allow the interneurons to migrate into the cortex, mimicking their endogenous behavior. The ability to model interneu ron migration led to the discovery of a cell-autonomous migration defect in the disease-carrying neurons. The majority of nervous system diseases, including ASD, are poly genic and cannot be modeled in animals but can be modeled using patient-derived iPSCs. For example, a subset of patients with ASD have large head size, and a cohort of patients with this phenotype was used to generate iPSCs that were converted to neural progenitor cells and forebrain neurons. The progenitors had an accelerated cell cycle and produced an excess of inhibitory interneurons and had exuber ant cellular overgrowth of neurites and synapses. This last feature is in contrast to the decrease in spines and synapses observed in other iPSC models of ASD such as fragile X and Rett syndrome and under scores the need for replication and validation of purported disease phenotypes given the high variability based on differences between stem cell lines, protocols, patient </w:t>
      </w:r>
      <w:r w:rsidRPr="00A6019F">
        <w:lastRenderedPageBreak/>
        <w:t xml:space="preserve">genetic background, and other fac tors. Moreover, the clinical features of most neuropsychiatric diseases reflect disorders in processes such as circuit formation and refinement that occur after birth and may be difficult to capture at the fetal stage of development reflected in stem cell models. Patient stem cells have also been used by multiple groups to study the pathophysiology of schizophrenia, producing a variety of diverse and sometimes contradictory results. Reports claim obvious pheno types such as disruptions in the adherens junctions of forebrain radial glia or aberrant neuronal migration, although such gross abnormalities observed at the equivalent of in utero stages of development seem very unlikely to underlie a disease that usually manifests at adolescence or young adulthood. Other studies report abnormalities related to abnor mal microRNA expression, disordered cyclic AMP and Wnt signaling, abnormal stress responses, diminished neuronal connectivity, fewer neuronal processes, problems with neuronal differentiation, and mito chondrial abnormalities, among others. While the pathophysiology of as complex a neurodevelopmental disorder as schizophrenia may be multidimensional, it is unclear which, if any, of the reported findings in iPSC models reflect the true pathology of schizophrenia. Progress will likely depend on the adoption of more standard and reproducible pro tocols, more rigorous identification of cell types, markers of regional identity, and indicators of maturity. </w:t>
      </w:r>
      <w:r w:rsidRPr="00A6019F">
        <w:rPr>
          <w:rFonts w:ascii="Arial" w:hAnsi="Arial" w:cs="Arial"/>
        </w:rPr>
        <w:t>■</w:t>
      </w:r>
      <w:r w:rsidRPr="00A6019F">
        <w:t>ALZHEIMER</w:t>
      </w:r>
      <w:r w:rsidRPr="00A6019F">
        <w:rPr>
          <w:rFonts w:ascii="Aptos" w:hAnsi="Aptos" w:cs="Aptos"/>
        </w:rPr>
        <w:t>’</w:t>
      </w:r>
      <w:r w:rsidRPr="00A6019F">
        <w:t xml:space="preserve">S DISEASE As noted above, the leading concept of AD pathogenesis, the amyloid hypothesis, suggests that an imbalance between production and clear ance of </w:t>
      </w:r>
      <w:r w:rsidRPr="00A6019F">
        <w:rPr>
          <w:rFonts w:ascii="Aptos" w:hAnsi="Aptos" w:cs="Aptos"/>
        </w:rPr>
        <w:t>β</w:t>
      </w:r>
      <w:r w:rsidRPr="00A6019F">
        <w:t xml:space="preserve">-amyloid leads to excessive accumulation of </w:t>
      </w:r>
      <w:r w:rsidRPr="00A6019F">
        <w:rPr>
          <w:rFonts w:ascii="Aptos" w:hAnsi="Aptos" w:cs="Aptos"/>
        </w:rPr>
        <w:t>β</w:t>
      </w:r>
      <w:r w:rsidRPr="00A6019F">
        <w:t xml:space="preserve">-amyloid peptide and the formation of NFTs within neurons, composed of aggregated hyperphosphorylated tau proteins. Additionally, aggregates of amyloid fibrils are deposited outside neurons in the form of neuritic plaques. Among the causes of familial AD are mutations in genes involved in β-amyloid production, including amyloid precursor protein (APP) and presenilin 1 and 2. Shortly after the introduction of iPSC technology, human stem cell–derived neurons were generated from patients carry ing mutations in AD-causative genes as well as from sporadic AD cases. The disease neurons developed hallmarks of AD including intracel lular accumulation of β-amyloid and phosphorylated tau, as well as secretion of APP cleavage products, features that could be reduced by adding β- or γ-secretase inhibitors or β-amyloid-specific antibodies. The neurons also demonstrated other disease features observed in postmortem AD tissues. However, extracellular β-amyloid aggregation and NFTs were not robustly modeled in these two-dimensional sys tems, presumably because secreted factors were able to readily diffuse It is hoped that the new stem cell models, particularly organoid models, will accelerate our understanding of AD by enabling the study of human disease-carrying cells in a quasi in situ setting. These new models may lead to discovery of novel druggable targets and new diag nostic and prognostic biomarkers. One concern is that the pathogenic features of AD usually appear in the sixth or seventh decade of life and progress slowly over years, while most protocols for the deriva tion of human cortical neurons generate cells over weeks or months and most remain comparable to immature neurons at fetal stages of </w:t>
      </w:r>
      <w:r w:rsidRPr="00A6019F">
        <w:lastRenderedPageBreak/>
        <w:t xml:space="preserve">development. Nonetheless, these young cells have been used to model neurodegenerative diseases such as AD and HD that strike patients in middle to late adulthood. Possibly the onset of disease phenotype is accelerated in stem cell models due to increased cellular stress, which appears to be a feature of stem cell culture, or disease features may actually have a subtle onset at earlier stages than generally suspected. Indeed, 3-year-old children at genetic risk of developing early-onset AD appear to have smaller hippocampal size and lower scores on memory tests than children in a nonrisk group. The phenotypes of adult neurodegenerative diseases that are visible at fetal stages may or may not correspond to those manifest at later, adult stages, but they may offer the possibility of devising preventative strategies effective at very early stages of the disease. </w:t>
      </w:r>
      <w:r w:rsidRPr="00A6019F">
        <w:rPr>
          <w:rFonts w:ascii="Arial" w:hAnsi="Arial" w:cs="Arial"/>
        </w:rPr>
        <w:t>■</w:t>
      </w:r>
      <w:r w:rsidRPr="00A6019F">
        <w:t>CELL TYPE DISORDERS: ALS AND HUNTINGTON</w:t>
      </w:r>
      <w:r w:rsidRPr="00A6019F">
        <w:rPr>
          <w:rFonts w:ascii="Aptos" w:hAnsi="Aptos" w:cs="Aptos"/>
        </w:rPr>
        <w:t>’</w:t>
      </w:r>
      <w:r w:rsidRPr="00A6019F">
        <w:t xml:space="preserve">S DISEASE In diseases such as ALS, PD, and HD, that mostly target specific neuron subtypes, stem cells provide an ideal means to study the vulnerable human cell populations. By enabling the production of unlimited num bers of normal and diseased human midbrain dopaminergic neurons for the study of PD, medium spiny striatal neurons for HD, and spinal and cortical motor neurons for ALS, iPSC approaches have the poten tial to transform our understanding and management of these diseases. Stem cell–derived neurons serve as platforms to explore mechanisms of cell vulnerability, to screen drugs for neural protection, and potentially to derive neurons for replacement therapy. </w:t>
      </w:r>
      <w:r w:rsidRPr="00A6019F">
        <w:rPr>
          <w:rFonts w:ascii="Arial" w:hAnsi="Arial" w:cs="Arial"/>
        </w:rPr>
        <w:t>■</w:t>
      </w:r>
      <w:r w:rsidRPr="00A6019F">
        <w:t xml:space="preserve">AMYOTROPHIC LATERAL SCLEROSIS One of the first protocols for producing neurons of a specific subtype from embryonic stem cells recapitulated normal developmental pro grams to generate mouse spinal motor neurons. Pluripotent mouse stem cells underwent neural induction and adopted a caudal identity through the application of retinoic acid, and subsequently adopted motor neuron fate through the action of Sonic hedgehog (Shh), a ven tralizing factor. Generating human motor neurons proved more com plex, requiring additional steps, such as early exposure to the growth factor, FGF2. The first application of stem cell–derived motor neurons to study ALS involved the use of mouse motor neurons generated from transgenic mice expressing a mutation in the superoxide dismutase 1 (SOD1) gene, the most common mutation responsible for familial ALS. Only 5–10% of ALS cases are familial, but the known mutations provide a useful entry point to tease apart the causative pathophysiol ogy. Mutations in SOD1 produce ALS through a toxic gain of function for which the mechanism remains unclear, despite the use of multiple transgenic animal and iPSC models. The use of mouse embryonic stem cell–derived motor neurons, however, demonstrated that toxic factors secreted by SOD1 astrocytes contribute to the death of motor neurons. Interestingly, stem cell–derived interneurons were spared, indicating a specific vulnerability of motor neurons. These findings helped establish the notion that a non-cell-autonomous toxic mecha nism contributes to ALS pathogenesis and may ultimately lead to novel treatment strategies. These findings also highlight that modeling the full pathophysiology of ALS may require the reproduction of a complex environment including motor neurons, astrocytes, and possibly addi tional cell types such as </w:t>
      </w:r>
      <w:r w:rsidRPr="00A6019F">
        <w:lastRenderedPageBreak/>
        <w:t xml:space="preserve">microglia. A variety of approaches including 3405 co-culture of specific cell types, three-dimensional spinal cord organ oids, and microfluidic organ-on-chip models are being explored to achieve a more complete facsimile of spinal cord organization. Similar to other neurologic disorders where a clearly defined phenotype has been observed in human stem cell–derived models, there is hope that drug screening using human disease-expressing cells will identify a potential therapeutic compound. </w:t>
      </w:r>
      <w:r w:rsidRPr="00A6019F">
        <w:rPr>
          <w:rFonts w:ascii="Arial" w:hAnsi="Arial" w:cs="Arial"/>
        </w:rPr>
        <w:t>■</w:t>
      </w:r>
      <w:r w:rsidRPr="00A6019F">
        <w:t>HUNTINGTON</w:t>
      </w:r>
      <w:r w:rsidRPr="00A6019F">
        <w:rPr>
          <w:rFonts w:ascii="Aptos" w:hAnsi="Aptos" w:cs="Aptos"/>
        </w:rPr>
        <w:t>’</w:t>
      </w:r>
      <w:r w:rsidRPr="00A6019F">
        <w:t xml:space="preserve">S DISEASE HD is caused by an expansion in CAG triplet repeats in the huntingtin gene, which leads to an expanded polyglutamine tract in the hunting tin protein. HD is dominantly inherited, with symptoms of cognitive decline and uncontrollable gait and limb motions beginning in the third to fifth decade of life with progression to dementia and death approximately 20 years later. Mutant huntingtin causes a toxic gain of function, with the degree of effect related to the CAG repeat length. For example, a CAG length of 40–60 repeats produces adult-onset HD, whereas repeats of 60 or more produce juvenile-onset disease. Although it has been 25 years since the discovery of this causative mutation, the disease mechanism remains poorly understood. Excess huntingtin protein and protein fragments accumulate in specific subtypes of neu rons where they misfold and form aggregates that are visible as cellular inclusions. Affected cells eventually die, possibly as a result of meta bolic toxicity. The medium spiny neurons of the striatum are the most vulnerable neurons, spurring ongoing attempts to produce replacement cells derived from stem cells, but neuron loss is widespread including in the cortex, complicating a cell replacement approach for this disease. HD iPSCs have been generated from patients with various CAG repeat lengths, but those from juvenile-onset disease with the longest repeat lengths have been favored as being most likely to express robust disease phenotypes at an early stage. This is particularly important given the immature stage of maturation of stem cell–derived human neurons. This approach has been able to produce disease phenotypes observed in patients including huntingtin protein aggregation, decreased meta bolic capacity, increased oxidative stress with mitochondrial fragmen tation, and apoptosis enhanced by withdrawal of growth factor support. However, many of these phenotypes were observed in pluripotent cells prior to neural differentiation and in neural progenitors and a broad array of CNS neurons in contrast to the cell type–specific features of the disease. Nonetheless, neurons that assumed striatal fate appear to be more vulnerable to stress and apoptosis than other cell types. As with other iPSC models of nervous system diseases, there have so far been few efforts to validate results in multiple iPSC lines having different genetic backgrounds but with similar CAG repeat lengths. An HD con sortium has been formed to address this problem by generating a series of iPSC lines from multiple patients. An alternative strategy to validate disease phenotypes has been to use gene editing to create isogenic iPSC lines that are corrected to produce wild-type control and HD iPSC lines against the same genetic background. FUTURE PERSPECTIVES Despite early successes, it may prove difficult to reconstitute neuro degenerative disease conditions in human cells in </w:t>
      </w:r>
      <w:r w:rsidRPr="00A6019F">
        <w:lastRenderedPageBreak/>
        <w:t xml:space="preserve">vitro over a short course of time because the pathogenic changes of degenerative dis eases progress slowly and commence in the later stages of life. The differentiation and maturation of human neurons from stem cell lines occur over a span of months, which may not be long enough to establish the aged-brain conditions under which patients develop robust neurodegenerative pathology. Possible manipulation through gene editing or by application of aging-associated stresses, such as DNA-damaging agents or proteasome inhibitors, may accelerate the expression of degenerative phenotypes in human iPSC-derived cellular models. Stem cell–derived organoid models are also ideal platforms to apply methods for cellular-level visualization such as CLARITY and multielectrode recording techniques to better evaluate three dimensional organoid structures and explore early-forming circuits. These applications are only just beginning. Two-dimensional cell cultures are ideal for production and evalua tion of large numbers of specific cells of a particular identity but may not provide the complex extracellular environment necessary to model certain disease processes, such as extracellular protein aggregation. These features can be best modeled using three-dimensional organ oids, but current methods do not reproduce all the relevant features of brain tissue. Optimization will be needed to better reproduce the cellular composition of brain, including endothelial cells, astrocytes, microglia, and oligodendrocytes. It may also be necessary to combine different brain regions generated separately, possibly by fusion of tis sues such as dorsal cortex, subpallium, thalamus, retina, and others in so-called “assembloids.” One roadblock has been the limited ability to recreate tissues or neurons with regional brain identity, such as hip pocampus, thalamus, or cerebellum. However, recently regionalized organoids have been created using innovative microfluidic chambers and the imposition of morphogen gradients such as bone morpho genetic proteins (BMPs) and WNTs. More faithful organoid models could also emerge through the application of bioengineered scaffolds, matrices, or perfusion systems that might allow the growth of larger structures, a feature currently limited due to the emergence of a necrotic core when nonperfused organoids exceed a certain size. Of course, not all aspects of mature brain architecture and function will be modeled by these tissue structures, particularly as they generally repre sent prenatal stages of development, but perhaps the most precocious events in disease etiology can be captured and investigated, and these may share mechanistic pathways with disease features that manifest at later stages. The current excitement surrounding human stem cells has more to do with their promise to improve on animal models of disease, for which their potential appears unlimited, rather than on their use as a source for cell-based therapies, where the potential has thus far been relatively limited. Even without new insights into disease pathogen esis, it is likely that iPSC models such as brain organoids will serve as drug-screening platforms for discovery of novel therapeutics and for detection of off-target and toxic effects. The failure of many neu rotherapeutic approaches to translate from animal models to clinical practice underscores the need for better predictive models, and stem cell models and brain </w:t>
      </w:r>
      <w:r w:rsidRPr="00A6019F">
        <w:lastRenderedPageBreak/>
        <w:t xml:space="preserve">organoids based on human cells may be ideally suited to bridge this divide. CHAPTER 435 Pathobiology of Neurologic Diseases A CURRENT PERSPECTIVE ON NEURAL STEM CELLS IN THE CLINIC The prospect of stem cell therapies to treat diseases or injuries of the nervous system has captured the attention of researchers, clinicians, and the public. The pace of research is usually slow and deliberate, but in the stem cell arena, there has been enormous pressure to accelerate the pace of progress in order to bring cell-based therapies to the clinic. Expectations have been raised, and clinics have already begun offering unproven or dangerous treatments to a public that can be, in some situ ations, ill-informed and vulnerable to exploitation. Nonetheless, there has been remarkable progress over the past few years toward legitimate stem cell–based therapies for a number of nervous system disorders. There are multiple clinical trials underway fueling cautious optimism that stem cells will eventually realize the promise of regenerative therapy for at least some currently untreatable or incurable nervous system diseases. </w:t>
      </w:r>
      <w:r w:rsidRPr="00A6019F">
        <w:rPr>
          <w:rFonts w:ascii="Arial" w:hAnsi="Arial" w:cs="Arial"/>
        </w:rPr>
        <w:t>■</w:t>
      </w:r>
      <w:r w:rsidRPr="00A6019F">
        <w:t>PARKINSON</w:t>
      </w:r>
      <w:r w:rsidRPr="00A6019F">
        <w:rPr>
          <w:rFonts w:ascii="Aptos" w:hAnsi="Aptos" w:cs="Aptos"/>
        </w:rPr>
        <w:t>’</w:t>
      </w:r>
      <w:r w:rsidRPr="00A6019F">
        <w:t xml:space="preserve">S DISEASE Pursuit of a cell-based therapy for PD using fetal-derived midbrain cells has been ongoing for many decades but with disappointing results. Following anecdotal success in a handful of patients who appeared to improve following striatal grafts of fetal midbrain dopaminergic cells, two National Institutes of Health (NIH)-sponsored double-blind con trol studies were launched in the 1990s. However, only a small number of younger patients showed some benefit, and several patients devel oped spontaneous dyskinetic movements related to the therapy. These efforts constituted a failed trial as the treated patients who did not experience side effects failed to improve significantly. However, tech niques to extract dopaminergic cells from fetal tissue have improved, and on the basis of encouraging results in individual transplanted patients, some of whom have managed to go off their Parkinson’s 3406 medication, a new trial of fetal cell transplantation for PD was con ducted in Europe. Unfortunately, enrollment was unexpectedly slow and the trial was terminated after several years without reaching the anticipated number of patients. There was no clear clinical improve ment among the treated patients, possibly due to difficulty harvesting sufficient fetal cells to reach the targeted number per patient. Despite the disappointing clinical outcome, enthusiasm remains high for a bet ter outcome with stem cell–derived dopamine neurons where, among other differences, cell number is not a limitation. PART 13 Neurologic Disorders The dyskinesias that curtailed the NIH trials in the 1990s were eventually ascribed to an abundance of serotonergic neurons that were inadvertently included in some of the cell grafts. Protocols for deriving dopaminergic neurons from stem cells would presumably avoid this complication by providing a more purified cell population, and sev eral groups around the world have been aggressively pursuing a stem cell–based approach to PD. In 2018, researchers from Kyoto University in Japan started a phase 1/2 clinical trial to treat PD using stem cells. The investigators chose to use iPSCs derived from a healthy person who had the most common HLA haplotype in Japan. The iPSCs were used to make dopamine-secreting neurons. Seven patients have had the reprogrammed stem </w:t>
      </w:r>
      <w:r w:rsidRPr="00A6019F">
        <w:lastRenderedPageBreak/>
        <w:t xml:space="preserve">cells surgically delivered into the brain and have been followed for two years postinjection to assess safety and pos sible efficacy. The U.S. Food and Drug Administration (FDA) recently approved the first clinical trial of a stem cell–derived dopamine neuron for the treatment of PD in the United States. These cells, derived from an embryonic stem cell line, have been delivered to 10 patients in a phase 1 clinical trial to assess safety, tolerability, and preliminary effi cacy. A European trial of embryonic stem cell–derived dopaminergic neurons led by scientists in Sweden and the United Kingdom began in 2023. Four patients given a low dose experienced no acute adverse effects, and four more will be treated with a higher dose, and all will be followed for 36 months to evaluate safety and tolerability. A clinical trial using iPSC-generated dopaminergic neurons to treat patients with PD was begun in 2018 in Japan. The cell line was derived from a healthy individual with the most common HLA hap lotype in the Japanese population. The clinical product consisted of 80% dopamine neuron progenitor cells and a population of glial cells. Because the cell line was genetically altered, the karyotype, plasmid survival, and genomic and epigenomic abnormalities were evaluated and known carcinogenic gene mutations were screened. A single-arm, nonrandomized and open-phase 1/2 study was begun in 2018 with ~5 million cells transplanted stereotactically to the putamen bilaterally. Seven patients have been treated thus far. </w:t>
      </w:r>
      <w:r w:rsidRPr="00A6019F">
        <w:rPr>
          <w:rFonts w:ascii="Arial" w:hAnsi="Arial" w:cs="Arial"/>
        </w:rPr>
        <w:t>■</w:t>
      </w:r>
      <w:r w:rsidRPr="00A6019F">
        <w:t>BATTEN</w:t>
      </w:r>
      <w:r w:rsidRPr="00A6019F">
        <w:rPr>
          <w:rFonts w:ascii="Aptos" w:hAnsi="Aptos" w:cs="Aptos"/>
        </w:rPr>
        <w:t>’</w:t>
      </w:r>
      <w:r w:rsidRPr="00A6019F">
        <w:t xml:space="preserve">S DISEASE AND PELIZAEUS MERZBACHER DISEASE One of the first cell-based clinical trials for a neurologic disease tar geted patients suffering from an untreatable childhood disorder, Batten disease. Batten disease is an autosomal recessive metabolic disorder resulting from an inability to synthesize a lysosomal enzyme critical to brain function. The phase 1 trial involved six patients with infantile and late-infantile forms of the disease who received neural stem cells rather than any specific postmitotic cell type. Neural stem cells derived from donated fetal tissue were expanded in vitro prior to surgical graft ing into the brain. This approach was not without risk, as the neural stem cells were proliferating and could potentially form an abnormal growth. The rationale was that the cells would be capable of synthesiz ing and secreting the missing lysosomal enzyme and would therefore serve as a delivery device. Animal studies using a transgenic mouse model of Batten disease demonstrated rescue, and this promising result led to a small phase 1 trial. The phase 1 study was considered a success as no adverse events were reported and the cells appeared to be safe, though there was no clinical improvement and no clear evidence of whether the cells had dispersed, transformed into neurons or glia, or indeed survived at all. Despite clearing the phase 1 trial, the company did not pursue further trials for Batten disease, but instead initiated clinical trials using the same cell product for several other indica tions, including an inherited fatal dysmyelination syndrome known as Pelizaeus-Merzbacher disease (PMD). The human neural stem cells have both neurogenic and gliogenic potential, and when delivered to white matter regions in experimental animals, most persisting cells had become oligodendrocytes. This supported use of the cells to promote myelin formation in conditions such as PMD. The company also initi ated trials </w:t>
      </w:r>
      <w:r w:rsidRPr="00A6019F">
        <w:lastRenderedPageBreak/>
        <w:t xml:space="preserve">in spinal cord injury. However, the spinal cord trial failed to achieve sufficient benefit in phase 2 and the company ceased its work on stem cell therapies. </w:t>
      </w:r>
      <w:r w:rsidRPr="00A6019F">
        <w:rPr>
          <w:rFonts w:ascii="Arial" w:hAnsi="Arial" w:cs="Arial"/>
        </w:rPr>
        <w:t>■</w:t>
      </w:r>
      <w:r w:rsidRPr="00A6019F">
        <w:t xml:space="preserve">SPINAL CORD INJURY There is a pressing need for novel therapies for spinal cord injury, with &gt;1 million patients worldwide suffering from spinal cord injuries and no effective treatment options. Not surprisingly, there has been intense interest in achieving a stem cell treatment for this condition and dozens of early-stage clinical trials, and anecdotal treatment results have been reported by investigators around the globe. The vast majority have not been blinded controlled trials, but rather individual reports treating a handful of patients, and somewhat surprisingly, most are using mes enchymal stem cells (MSCs) or hematopoietic stem cells that normally generate either bone, cartilage, fat, or blood cells. As described below, the rationale for the use of MSCs for neurologic conditions is based on vague and poorly understood mechanisms of action. A series of stem cell trials designed to treat subacute spinal cord injury is underway in the United States and Europe using neural stem cells or their derivatives as potential therapeutic agents. The first to enter clinical trials in the United States was based on a protocol designed to generate oligodendrocytes from pluripotent embryonic stem cells. Evidence of efficacy was obtained in animal models fol lowing surgical grafting of cells to sites of spinal cord injury. However, evidence of myelination of host axons was minimal, and other mecha nisms were invoked for improvement in gait, including trophic support and immune modulation. Regulatory permission for a phase 1 trial for subacute midthoracic injury was initially stalled by concern over abnormal growths at sites of cell deposit in some animals, but this was satisfactorily addressed and patient trials commenced. However, fol lowing a change in leadership, the stem cell program was terminated. The program was acquired by another company that has resumed the spinal cord injury trial and received regulatory approval to advance to include cervical-level injuries. The current phase 1/2a multicenter clinical trial is an open-label, single-arm trial testing three sequential escalating doses administered 21–42 days after injury in 25 patients with subacute severe cervical spinal cord injuries. No adverse events have been reported for 21 patients at 2 years posttreatment. A later stage comparative clinical trial is now planned to probe for possible efficacy. In 2020, an open-label, single-arm clinical trial for subacute spinal cord injury patients was begun in Japan using iPSC-derived neural stem and progenitor cells injected directly into the damaged spinal cord. The rationale for injecting neuronal precursor cells into the injured spinal cord is not clear as no specific mechanism of action has been demonstrated. Trophic support and neuroimmune modulation have been proposed, and while studies in mice show that newborn neu rons can form synapses onto host spinal neurons, how this could lead to improved locomotor or sensory function remains unclear. Results of the trial have yet to be reported. Initial clinical trials for stem cell therapies that address grave medi cal conditions such as spinal cord injury often involve small numbers of patients, and larger pivotal trials that can confirm clinical benefit can take a long time to conduct. In a controversial move designed to accelerate the regulatory approval </w:t>
      </w:r>
      <w:r w:rsidRPr="00A6019F">
        <w:lastRenderedPageBreak/>
        <w:t xml:space="preserve">process, in 2014 the Ministry of Health of Japan authorized the use of conditional and time-limited (CTL) approval for regenerative medical products. This designation can be applied when safety has been demonstrated but efficacy has not yet been fully established and enables the manufacturer to market and sell the product. CTL approval converts to full approval if postmar keting clinical data demonstrate clinical benefit, but if no convincing clinical benefit can be demonstrated within 7 years, the product must be withdrawn. The effort to bring MSC treatments to patients with currently untreatable neurologic conditions has consequently had a recent boost 3407 in Japan. Autologous bone marrow–derived stem cells were evaluated in an open-label trial involving 13 patients who had experienced severe spinal cord injury 1 month prior to treatment. Mesenchymal stem cells were taken from the patient’s own bone marrow, expanded in number, and delivered back to the patient by intravenous infusion. Six months after treatment, 12 of the patients improved by at least one level on the American Spinal Injury Association impairment scale that ranks muscle contraction and touch, although patients with the same or even greater degree of injury can show spontaneous improvement. As is the case for most MSC therapies, the proposed mechanism of action was quite vague, including reducing inflammation, protecting existing neu rons, or replacing damaged neurons. It is also unclear how intravenous delivery could accomplish any of the proposed actions. In 2018, on the basis of the results, unpublished at the time, Japan’s health ministry gave conditional (CTL) approval for the treatment, called Stemirac. This became the first stem cell therapy for spinal cord injury to receive government approval for sale to patients. But the approval of a therapy that may carry risk following a small, unblinded, and uncontrolled study without actual proof of efficacy raised considerable concern among scientists in the stem cell community. Charging patients for such an unproven therapy raises even more ethical concerns. Patients in Japan can now be charged for their treatment while trials to test efficacy are still proceeding. </w:t>
      </w:r>
      <w:r w:rsidRPr="00A6019F">
        <w:rPr>
          <w:rFonts w:ascii="Arial" w:hAnsi="Arial" w:cs="Arial"/>
        </w:rPr>
        <w:t>■</w:t>
      </w:r>
      <w:r w:rsidRPr="00A6019F">
        <w:t>AMYOTROPHIC LATERAL SCLEROSIS The possibility of treating ALS by replacing dying motor neurons with stem cell</w:t>
      </w:r>
      <w:r w:rsidRPr="00A6019F">
        <w:rPr>
          <w:rFonts w:ascii="Aptos" w:hAnsi="Aptos" w:cs="Aptos"/>
        </w:rPr>
        <w:t>–</w:t>
      </w:r>
      <w:r w:rsidRPr="00A6019F">
        <w:t xml:space="preserve">derived substitutes has excited interest, but this pros pect seems very remote. Even if new neurons are able to integrate into spinal cord circuits and become properly innervated, they would have to grow long axons that would take many months to years to project to appropriate targets and attract myelinating Schwann cells. Furthermore, cells would need to be grafted at multiple spinal cord and brainstem levels, and the upper motor neuron deficit would need to be treated by replacing projecting neurons in the motor cortex. An additional complication is the recent finding that spinal motor neurons have unique segmental identity, and replacement cells might need to be generated with a range of molecular identities in order to integrate at multiple spinal levels. This would still leave unaddressed the toxic effects recently shown to be produced in ALS by diseased astrocytes and microglia that could attack the replacement cells. A more tractable near-term solution would be to graft support cells that could rescue or protect endogenous motor neurons from damage. This approach was tried in a mouse model of </w:t>
      </w:r>
      <w:r w:rsidRPr="00A6019F">
        <w:lastRenderedPageBreak/>
        <w:t xml:space="preserve">ALS. Human fetal stem cell–derived neural progenitor cells engineered to express glial cell line–derived neurotrophic factor (GDNF), a growth factor known to provide tro phic support for neurons, were grafted to the spinal cord of young ALS mice. The cells dispersed and were able to rescue motor neurons, a very promising result, but disappointingly, the animals became weak and died at the same rate as untreated control animals. ALS is a deadly disease with no known treatment; thus in the hope that patients will respond differently from mice, a phase 1/2a clinical trial based on this approach was approved by the FDA in 2016 and completed in 2019. Patients had the GDNF-producing progenitor cells surgically grafted unilaterally into the lumbar spinal cord. Although disease progression appeared to slow in some treated patients, this was not statistically significant. Of note, several patients developed painful schwannomas, a result of off-targeting deposit of the GDNF-secreting cells close to the dorsal horn root entry zone. Autopsy study of 13 of the 18 treated patients who died within 2 years of treatment showed that the grafted cells had survived. Based on these results, a new trial has begun. With the notion that rescuing lower motor neurons alone may not be suffi cient to arrest progression of a disease that affects both upper and lower motor neurons, this trial aims to enroll 16 patients who will have the GDNF-secreting progenitor cells grafted to the motor cortex in an area controlling hand movement. The goal is to try to slow the progression of the upper motor deficit associated with ALS. Among the many MSC-based clinical trials for ALS, two are par ticularly notable. Corestem, a stem cell company in South Korea, launched a phase 1 open-label study demonstrating the safety and feasibility of intrathecal injections of autologous bone marrow–derived MSCs in seven patients with ALS. This was followed by a phase 2 trial that demonstrated safety and efficacy for slowing disease progression. On the basis of these results, Corestem received conditional approval in South Korea in 2014 to market the first stem cell therapy for ALS. By 2021, &gt;300 patients had received this cell treatment. However, full approval is contingent on the results of a randomized, double-blind, placebo-controlled, multicenter phase 3 study, which began in 2021. The trial aims to enroll 115 patients who will receive repeated intrathe cal injections of the autologous cells. The goal is to slow or prevent ALS progression and delay death for up to 3 years. The importance of conducting proper phase 3 clinical trials to deter mine therapeutic efficacy in ALS is underscored by the recent experi ence of BrainStorm Cell Therapeutics. In 2016, the company reported preliminary positive results for its bone marrow MSC cell therapy in an uncontrolled study of nearly 50 ALS patients. Based on those results, the company launched a phase 3, multicenter, placebo-controlled, ran domized, double-blind trial of 189 ALS patients. In 2020, the company reported that there was no significant clinical improvement in the treatment group. Interestingly, despite the failed clinical trial, a public campaign led by ALS patients and advocates called on the FDA to approve the stem cell treatment. The social media response prompted the FDA to take the unusual step of releasing a public statement under scoring the lack of efficacy, and in 2023, an FDA advisory committee voted against </w:t>
      </w:r>
      <w:r w:rsidRPr="00A6019F">
        <w:lastRenderedPageBreak/>
        <w:t xml:space="preserve">approval. The company responded by withdrawing its Biologics License Application and announcing a phase 3b trial that will focus on early-stage patients. </w:t>
      </w:r>
      <w:r w:rsidRPr="00A6019F">
        <w:rPr>
          <w:rFonts w:ascii="Arial" w:hAnsi="Arial" w:cs="Arial"/>
        </w:rPr>
        <w:t>■</w:t>
      </w:r>
      <w:r w:rsidRPr="00A6019F">
        <w:t xml:space="preserve">EPILEPSY A phase 1/2 clinical trial was launched in 2022 using stem cell derived inhibitory interneurons to treat medically intractable temporal lobe epilepsy. Somatostatin (SST)-expressing inhibitory interneurons, matching the predominant cortical interneuron subtype, were derived from an embryonic stem cell line. Following demonstration of efficacy in a mouse model of temporal lobe epilepsy, 10 patients who had been determined to have a seizure focus in the hippocampus had stem cell derived interneurons surgically delivered to the epileptic hippocampus. The first five patients received a low dose followed by five patients who received a higher dose. All 10 patients will be followed for 2 years after treatment. As in the PD clinical trials, all patients received antirejec tion therapy for the first 12 months. The current standard of care for patients with intractable temporal lobe epilepsy is surgical ablation or resection of the epileptic hippocampus. Surgically treated patients can have seizure remission but often have cognitive decline, particularly if the focus is in the dominant hemisphere. Early indications are that the cell-based therapy can not only reduce seizures but also spare or improve cognitive function. CHAPTER 435 Pathobiology of Neurologic Diseases </w:t>
      </w:r>
      <w:r w:rsidRPr="00A6019F">
        <w:rPr>
          <w:rFonts w:ascii="Arial" w:hAnsi="Arial" w:cs="Arial"/>
        </w:rPr>
        <w:t>■</w:t>
      </w:r>
      <w:r w:rsidRPr="00A6019F">
        <w:t>MACULAR DEGENERATION Because iPSC technology enables the generation of pluripotent stem cells from adult somatic cells, it has enabled the production of patient specific autologous cells for cell replacement therapy. Following Shinya Yamanaka</w:t>
      </w:r>
      <w:r w:rsidRPr="00A6019F">
        <w:rPr>
          <w:rFonts w:ascii="Aptos" w:hAnsi="Aptos" w:cs="Aptos"/>
        </w:rPr>
        <w:t>’</w:t>
      </w:r>
      <w:r w:rsidRPr="00A6019F">
        <w:t xml:space="preserve">s discovery of iPSCs, the Japanese government has invested in bringing iPSC-derived cell therapy to the clinic. Banks of iPSC lines selected to capture the diversity of HLA haplotypes found in the Japanese population have been produced in the hope that these will allow cell therapies to be matched to individual patient haplotypes in order to avoid immune rejection. While these stem cell banks were still being produced, the first Japanese study to use stem cells was approved in 2013 and involved patients who were to receive customized therapy using cells derived from their own skin fibroblasts. The targeted disease was age-related macular degeneration, a common cause of blindness in the elderly that results from loss of retinal pigment epithelial (RPE) cells. RPE cells are relatively easy to generate from pluripotent stem cells, making replacement therapy an attractive target in this condition. A challenge is to coax the replacement cells to recreate an epithelium in the subretinal space. The Japanese approach involves surgical inser tion of a biofilm seeded with RPE cells into the retina. One patient was treated with their own stem cell–derived RPE cells, but prior to treating 3408 a second patient, the genome of the RPE cell line was sequenced, and a mutation was discovered in a known oncogene. The trial was halted and a decision made to discontinue the effort for customized cell therapy in favor of using RPE cells derived from the national repository of banked iPSC lines which undergo extensive gene sequencing and quality controls. This outcome serves as a caution for the challenges involved in bringing a customized cell therapy to the clinic. </w:t>
      </w:r>
      <w:r w:rsidRPr="00A6019F">
        <w:rPr>
          <w:rFonts w:ascii="Arial" w:hAnsi="Arial" w:cs="Arial"/>
        </w:rPr>
        <w:t>■</w:t>
      </w:r>
      <w:r w:rsidRPr="00A6019F">
        <w:t xml:space="preserve">MESENCHYMAL STEM CELLS PART 13 Neurologic Disorders By far the largest number of human trials have been performed using MSCs sourced </w:t>
      </w:r>
      <w:r w:rsidRPr="00A6019F">
        <w:lastRenderedPageBreak/>
        <w:t xml:space="preserve">from a variety of sites including bone marrow, periph eral blood, adipose tissue, umbilical cord, and other sites. Interest in the potential utility of MSCs for regenerative therapy began with the optimistic report that bone marrow stem cells were pluripotent and capable of generating nerve and heart muscle as well as blood cells. The possibility that easily obtainable MSCs could be used to regenerate injured or diseased cells or organs to treat diseases ranging from stroke, neurodegenerative disease, myocardial infarct, and even diabetes, generated enormous enthusiasm. The enthusiasm proved irresistible to many, and even after the initial reports were discredited—MSCs turned out not to be pluripotent stem cells as initially thought—a veritable flood of papers began to appear claiming disease-modifying activity of MSCs in mouse models of a wide range of degenerative disease and injury models. But when it became clear that the MSCs were not transforming into or generating new neurons or cardiac myo cytes, alternative mechanisms of action were invoked, including the release of trophic factors, cytokines, or inflammatory modulators that were credited with producing their remarkable restorative effects. The relative ease with which blood or adipose tissue can be harvested from patients or donors and MSCs extracted has led to a rapidly expanding number of clinical trials for conditions ranging from stroke and MS to AD, ALS, and PD. Furthermore, a loophole in the regulatory frame work of the FDA allows autologous cell therapy to escape regulation provided that the cells have not been significantly processed. This lax regulation has spawned a veritable industry of stem cell clinics making unsubstantiated claims of success in treating nervous system diseases. Patients have died from treatments in unregulated clinics operating in countries around the world, and three patients became blind in a well-publicized incident following stem cell treatments delivered by a Florida clinic. The “stem cells” were derived from the patients’ own fat tissue and blood. These activities represent the dark side of the stem cell revolution perpetrated by practitioners who exploit the desperation of patients and their families. Legitimate and effective stem cell thera pies will emerge over time, but given the prevalence and abundance of misleading information available on the Internet and elsewhere, a trusted and well-informed physician can play a key role in helping patients navigate the current cell therapy minefield. </w:t>
      </w:r>
      <w:r w:rsidRPr="00A6019F">
        <w:rPr>
          <w:rFonts w:ascii="Arial" w:hAnsi="Arial" w:cs="Arial"/>
        </w:rPr>
        <w:t>■</w:t>
      </w:r>
      <w:r w:rsidRPr="00A6019F">
        <w:t>MSCS FOR TRAUMATIC BRAIN INJURY An allogeneic bone marrow</w:t>
      </w:r>
      <w:r w:rsidRPr="00A6019F">
        <w:rPr>
          <w:rFonts w:ascii="Aptos" w:hAnsi="Aptos" w:cs="Aptos"/>
        </w:rPr>
        <w:t>–</w:t>
      </w:r>
      <w:r w:rsidRPr="00A6019F">
        <w:t xml:space="preserve">derived MSC line received conditional marketing approval in Japan in 2024 for the indication of improving chronic motor paralysis resulting from traumatic brain injury. The MSCs were transiently transfecting with the human Notch-1 intracel lular domain gene to promote FDF-2 secretion in order to “enhance their ability to regenerate nerve cells” according to the pharmaceutical company that developed the cell-based therapy. The approval fol lowed results of a phase 2 clinical trial conducted in Japan and the United States. Forty-six patients with moderate to severe traumatic brain injury and chronic motor deficits had MSCs stereotactically infused into an area of encephalomalacia identified on MRI scan while a sham group of 15 patients had burr holes only. The trial met the primary endpoint showing significant improvement in motor function at 24 weeks on the Fugle-Meyer </w:t>
      </w:r>
      <w:r w:rsidRPr="00A6019F">
        <w:lastRenderedPageBreak/>
        <w:t xml:space="preserve">Motor Scale (FMMS) (p = .04). Inter estingly, a small improvement was noted in the sham-treated group as well, indicating the presence of a placebo effect. A larger, double-blind, randomized, sham-controlled study is now planned. </w:t>
      </w:r>
      <w:r w:rsidRPr="00A6019F">
        <w:rPr>
          <w:rFonts w:ascii="Arial" w:hAnsi="Arial" w:cs="Arial"/>
        </w:rPr>
        <w:t>■</w:t>
      </w:r>
      <w:r w:rsidRPr="00A6019F">
        <w:t xml:space="preserve">PERSPECTIVE The premise that stem cell biology would herald an era of regenerative medicine has fueled exaggerated claims, false starts, and a proliferation of bogus clinics. But now we may be on the threshold of a new era of stem cell-based therapies for neurologic diseases and disorders includ ing PD, spinal cord injury, ALS, and epilepsy. Whether this promise becomes reality will depend on the outcome of the first wave of piv otal double-blind controlled trials that are now being conducted or planned. </w:t>
      </w:r>
      <w:r w:rsidRPr="00A6019F">
        <w:rPr>
          <w:rFonts w:ascii="Arial" w:hAnsi="Arial" w:cs="Arial"/>
        </w:rPr>
        <w:t>■</w:t>
      </w:r>
      <w:r w:rsidRPr="00A6019F">
        <w:t xml:space="preserve">FURTHER READING Ayers JI et al: Different α-synuclein prion strains cause dementia with Lewy bodies and multiple system atrophy. Proc Natl Acad Sci USA 119:e2113489119, 2022. Batista AF et al: The importance of complement-mediated immune signaling in Alzheimer’s disease pathogenesis. Int J Mol Sci 25:817, 2024. Carlson GA, Prusiner SB: How an infection of sheep revealed prion mechanisms in Alzheimer’s disease and other neurodegenerative disorders. Int J Mol Sci 22:4861, 2021. Condello C et al: Expanding the prion paradigm to include Parkinson and Alzheimer diseases. JAMA Neurol 81:1023, 2024. Eichmüller OL, Knoblich JA: Human cerebral organoids: A new tool for clinical neurology research. Nat Rev Neurol 18:661, 2022. Garton T et al: Neurodegeneration and demyelination in multiple sclerosis. Neuron 112:3231, 2024. Kandel ER et al (eds): Principles of Neural Science, 6th ed. McGraw Hill, New York, 2021. Kim TW et al: Pluripotent stem cell therapies for Parkinson disease: Present challenges and future opportunities. Front Cell Dev Biol 8:729, 2020. Lee HG et al: Neuroinflammation: An astrocyte perspective. Sci Transl Med 15:eadi7828, 2023. Li Q, Barres BA: Microglia and macrophages in brain homeostasis and disease. Nat Rev Immunol 18:225, 2018. Liu L et al: Microbiota and the gut-brain-axis: Implications for new therapeutic design in the CNS. EBioMedicine 77:103908, 2022. Pallarés-Moratalla C, Bergers G: The ins and outs of microglial cells in brain health and disease. Front Immunol 15:1305087, 2024. Pease-Raissi SE, Chan JR: Building a (w)rapport between neurons and oligodendroglia: Reciprocal interactions underlying adaptive myelination. Neuron 109:1258, 2021. Section 2 Diseases of the Central Nervous System 436 Seizures and Epilepsy Patricia Dugan, Vikram R. Rao A seizure (from the Latin sacire, “to take possession of”) is a transient occurrence of signs or symptoms due to abnormal excessive or syn chronous neuronal activity in the brain. Depending on the distribution of discharges, this abnormal brain activity can have various manifesta tions, ranging from dramatic convulsive activity to experiential phe nomena not readily discernible by an observer. Although a variety of factors influence the incidence and prevalence of seizures, ~5–10% of the population will have at least one seizure, with the highest incidence occurring in early childhood and late adulthood. The meaning of the term seizure needs to be carefully distinguished from that of epilepsy. Epilepsy describes a condition in which a person has a risk of recurrent seizures due to a chronic, underlying process. This definition implies that a person with a single seizure, or recurrent Focal Seizures with Intact Awareness Focal seizures can </w:t>
      </w:r>
      <w:r w:rsidRPr="00A6019F">
        <w:lastRenderedPageBreak/>
        <w:t xml:space="preserve">have 3409 seizures due to correctable or avoidable circumstances, does not neces sarily have epilepsy (although a single seizure associated with clinical or electroencephalographic features portending high risk of recurrence may establish the diagnosis of epilepsy). Epilepsy refers to a clinical phenomenon rather than a single disease entity because many forms and causes exist. However, among the many causes of epilepsy, there are various epilepsy syndromes in which the clinical and pathologic characteristics are distinctive and suggest a specific underlying etiology. Using the definition of epilepsy as two or more unprovoked sei zures, the incidence of epilepsy is ~0.3–0.5% in different populations throughout the world, and the prevalence of epilepsy has been esti mated at 5–30 persons per 1000. CLASSIFICATION OF SEIZURES Determining the type of seizure that has occurred is essential for focusing the diagnostic approach on particular etiologies, selecting appropriate therapy, and providing information regarding prognosis. The International League Against Epilepsy (ILAE) Commission on Classification and Terminology updated their approach to classifica tion of seizures in 2017 (Table 436-1). This system is based on the clinical features of seizures and associated electroencephalographic findings. Other potentially distinctive features such as etiology or cel lular substrate are not considered in this classification system, although this will undoubtedly change in the future as more is learned about the pathophysiologic mechanisms that underlie specific seizure types. A fundamental principle is that seizures may be either focal or gen eralized. Focal seizures originate within networks limited to one brain region (note that the term partial seizures is no longer used). Gener alized seizures arise within and rapidly engage networks distributed across both cerebral hemispheres. Focal seizures are often associated with structural abnormalities of the brain. In contrast, generalized seizures may result from cellular, biochemical, or structural abnormali ties with a more widespread distribution. There are exceptions in both cases, however. </w:t>
      </w:r>
      <w:r w:rsidRPr="00A6019F">
        <w:rPr>
          <w:rFonts w:ascii="Arial" w:hAnsi="Arial" w:cs="Arial"/>
        </w:rPr>
        <w:t>■</w:t>
      </w:r>
      <w:r w:rsidRPr="00A6019F">
        <w:t xml:space="preserve">FOCAL ONSET SEIZURES Focal seizures arise from a neuronal network either discretely localized within one brain region or more broadly distributed but still within a cerebral hemisphere. With the new classification system, the subcate gories of </w:t>
      </w:r>
      <w:r w:rsidRPr="00A6019F">
        <w:rPr>
          <w:rFonts w:ascii="Aptos" w:hAnsi="Aptos" w:cs="Aptos"/>
        </w:rPr>
        <w:t>“</w:t>
      </w:r>
      <w:r w:rsidRPr="00A6019F">
        <w:t>simple focal seizures</w:t>
      </w:r>
      <w:r w:rsidRPr="00A6019F">
        <w:rPr>
          <w:rFonts w:ascii="Aptos" w:hAnsi="Aptos" w:cs="Aptos"/>
        </w:rPr>
        <w:t>”</w:t>
      </w:r>
      <w:r w:rsidRPr="00A6019F">
        <w:t xml:space="preserve"> and </w:t>
      </w:r>
      <w:r w:rsidRPr="00A6019F">
        <w:rPr>
          <w:rFonts w:ascii="Aptos" w:hAnsi="Aptos" w:cs="Aptos"/>
        </w:rPr>
        <w:t>“</w:t>
      </w:r>
      <w:r w:rsidRPr="00A6019F">
        <w:t>complex focal seizures</w:t>
      </w:r>
      <w:r w:rsidRPr="00A6019F">
        <w:rPr>
          <w:rFonts w:ascii="Aptos" w:hAnsi="Aptos" w:cs="Aptos"/>
        </w:rPr>
        <w:t>”</w:t>
      </w:r>
      <w:r w:rsidRPr="00A6019F">
        <w:t xml:space="preserve"> have been eliminated. Instead, the classification emphasizes the effect on aware ness (intact or impaired) and nature of the onset (motor or nonmotor). Focal seizures can also evolve into generalized seizures. In the past, this was referred to as focal seizures with secondary generalization, but the new system relies on descriptions of the type of generalized seizures that evolve from the focal seizure. The routine interictal (i.e., between seizures) electroencephalogram (EEG) in patients with focal seizures is often normal or may show brief discharges termed epileptiform spikes, or sharp waves. Because focal seizures can arise from the medial temporal lobe or inferior frontal lobe (i.e., regions distant from the scalp), the EEG recorded during the seizure may be nonlocalizing. However, the region of seizure onset may be defined using surgically placed intracranial electrodes. TABLE 436-1 Classification of Seizuresa 1. Focal Onset (Can be further described as having intact or </w:t>
      </w:r>
      <w:r w:rsidRPr="00A6019F">
        <w:lastRenderedPageBreak/>
        <w:t xml:space="preserve">impaired awareness, motor or nonmotor onset, or evolve from focal to bilateral tonic clonic) 2. Generalized Onset a. Motor Tonic-clonic Other motor (e.g., atonic, myoclonic) b. Nonmotor (absence) 3. Unknown Onset Motor, nonmotor, or unclassified aBased on the 2017 International League Against Epilepsy classification of seizure types. (Data from RS Fisher et al: Operational classification of seizure types by the International League Against Epilepsy: Position Paper of the ILAE Commission for Classification and Terminology. Epilepsia 58:522, 2017.) motor manifestations (such as tonic, clonic, or myoclonic move ments) or nonmotor manifestations (such as sensory, autonomic, or emotional symptoms) without impairment of awareness. For example, a patient having a focal motor seizure arising from the right primary motor cortex near the area controlling hand movement will experi ence involuntary movements of the contralateral left hand. Since the cortical region controlling hand movement is immediately adjacent to the region for facial expression, the seizure may also cause abnormal movements of the face synchronous with the movements of the hand. The EEG recorded with scalp electrodes during the seizure (i.e., an ictal EEG) may show abnormal focal discharges over the corresponding area of cerebral cortex. Three additional features of focal motor seizures are worth noting. First, in some patients, the abnormal motor movements may begin in a very restricted region, such as the fingers, and gradually progress (over seconds to minutes) to include a larger portion of the extremity. This phenomenon, described by Hughlings Jackson and known as a “Jack sonian march,” represents the spread of seizure activity over a progres sively larger region of motor cortex. Second, patients may experience a localized paresis (Todd’s paralysis) for minutes to many hours in the involved region following the seizure. Third, in rare instances, the sei zure may continue for hours or days. This condition, termed epilepsia partialis continua, is often refractory to medical therapy. Focal seizures may also manifest as changes in somatic sensation (e.g., paresthesias), vision (flashing lights or formed hallucinations), equilibrium (sensation of falling or vertigo), or autonomic function (flushing, sweating, piloerection). Focal seizures arising from the tem poral lobe may also cause the sensation of acrid odors (e.g., bleach or burning rubber) or tastes (e.g., bitter or metallic), or hearing sounds (simple noise or complex sounds), or an epigastric sensation that rises to the head. Some patients describe intense internal feelings such as fear, a dreamlike sense, depersonalization, déjá vu, or illusions that objects are growing smaller (micropsia) or larger (macropsia). These subjective, “experiential” events that are not directly observable by someone else are referred to as auras. CHAPTER 436 Seizures and Epilepsy Focal Seizures with Impaired Awareness Focal seizures may also be accompanied by a transient impairment of the patient’s abil ity to maintain normal contact with the environment. The patient is unable to respond appropriately to visual or verbal commands during the seizure and has impaired recollection or awareness of the ictal phase. The seizures frequently begin with an aura (i.e., a focal seizure without cognitive disturbance) that is stereotypic for the patient. The start of the ictal phase is often a motionless stare, which marks the onset of the </w:t>
      </w:r>
      <w:r w:rsidRPr="00A6019F">
        <w:lastRenderedPageBreak/>
        <w:t xml:space="preserve">period of impaired awareness. The impaired awareness may be accompanied by automatisms, involuntary movements that can involve basic behaviors, such as chewing, lip smacking, swallowing, or “picking” hand movements, or more elaborate behaviors, such as a display of emotion or running. The patient is typically disoriented fol lowing the seizure, and the transition to full recovery of consciousness may range from seconds to hours. Examination immediately following the seizure may show an anterograde amnesia or transient neurologic deficits (such as aphasia, hemi-neglect, or visual loss) caused by postic tal inhibition of the cortical regions most involved in the seizure. The range of potential clinical behaviors linked to focal seizures is so broad that extreme caution is advised before concluding that parox ysmal, stereotypic episodes of bizarre or atypical behavior are not due to seizure activity. In such cases, additional detailed EEG studies may be helpful. </w:t>
      </w:r>
      <w:r w:rsidRPr="00A6019F">
        <w:rPr>
          <w:rFonts w:ascii="Arial" w:hAnsi="Arial" w:cs="Arial"/>
        </w:rPr>
        <w:t>■</w:t>
      </w:r>
      <w:r w:rsidRPr="00A6019F">
        <w:t xml:space="preserve">EVOLUTION OF FOCAL SEIZURES TO GENERALIZED SEIZURES Focal seizures can spread to involve both cerebral hemispheres and produce a generalized seizure, usually of the tonic-clonic variety (discussed below). This evolution is observed frequently following focal seizures arising from a region in the frontal lobe but may also be associated with focal seizures occurring elsewhere in the brain. A focal seizure that evolves into a generalized seizure is often difficult 3410 to distinguish from a primary generalized onset tonic-clonic seizure because bystanders tend to emphasize the more dramatic, generalized convulsive phase of the seizure and overlook the more subtle, focal symptoms present at onset. In some cases, the focal onset of the seizure becomes apparent only when a careful history identifies a preceding aura. Often, however, the focal onset is not clinically evident and may be established only through careful EEG analysis. Nonetheless, distin guishing between these two entities is extremely important, because there are substantial differences in the evaluation and treatment of epilepsies characterized by focal versus generalized onset seizures. </w:t>
      </w:r>
      <w:r w:rsidRPr="00A6019F">
        <w:rPr>
          <w:rFonts w:ascii="Arial" w:hAnsi="Arial" w:cs="Arial"/>
        </w:rPr>
        <w:t>■</w:t>
      </w:r>
      <w:r w:rsidRPr="00A6019F">
        <w:t xml:space="preserve">GENERALIZED ONSET SEIZURES PART 13 Neurologic Disorders Generalized seizures arise at some point in the brain but immediately and rapidly engage neuronal networks in both cerebral hemispheres. Several types of generalized seizures have features that place them in distinctive categories and facilitate clinical diagnosis. Typical Absence Seizures Typical absence seizures are character ized by sudden, brief lapses of consciousness without loss of postural control. The seizure usually lasts for only seconds, consciousness returns as suddenly as it was lost, and there is no postictal confusion. Although the brief loss of consciousness may be clinically inapparent or the sole manifestation of the seizure, absence seizures are usually accompanied by subtle, bilateral motor signs such as rapid blinking, chewing movements, or small-amplitude, clonic movements of the hands. Typical absence seizures are associated with a group of genetically determined epilepsies with onset usually in childhood (ages 4–10 years) or early adolescence and are the main seizure type in 15–20% of children with epilepsy. The seizures can occur hundreds of times per day, but the child may be unaware of or unable to convey their existence. Because the clinical signs of the seizures are subtle, </w:t>
      </w:r>
      <w:r w:rsidRPr="00A6019F">
        <w:lastRenderedPageBreak/>
        <w:t xml:space="preserve">especially to parents who may not have had previous experience with seizures, it is not surprising that the first clue to absence epilepsy is often unex plained “daydreaming” and a decline in school performance recog nized by a teacher. Indeed, absence epilepsy is often misdiagnosed as an attention deficit disorder. The electrophysiologic hallmark of typical absence seizures is a burst of generalized, symmetric, 3-Hz, spike-and-slow-wave discharges that begins and ends suddenly, superimposed on a normal EEG background. Periods of spike-and-slow-wave discharges lasting more than a few seconds usually correlate with clinical signs, but the EEG often shows many more brief bursts of abnormal cortical activity than suspected clinically. Hyperventilation tends to provoke these electro graphic discharges and even the seizures themselves and is routinely used when recording the EEG. Atypical Absence Seizures Atypical absence seizures have fea tures that deviate both clinically and electrophysiologically from typical absence seizures. For example, the lapse of consciousness is usually longer and less abrupt in onset and cessation, and the seizure is accompanied by more obvious motor signs that may include focal or lateralizing features. The EEG shows a generalized, slow spike and-slow-wave pattern with a frequency of ≤2.5 Hz, as well as other abnormal activity. Atypical absence seizures are usually associated with diffuse or multifocal structural abnormalities of the brain and therefore may accompany other signs of neurologic dysfunction, such as developmental delay. Furthermore, the seizures are less responsive to anticonvulsants compared to typical absence seizures. Generalized, Tonic-Clonic Seizures Generalized onset tonic clonic seizures are the main seizure type in ~10% of all persons with epilepsy. They are also the most common seizure type resulting from metabolic derangements and are therefore frequently encountered in many different clinical settings. The seizure usually begins abruptly without warning, although some patients describe vague premonitory symptoms in the hours leading up to the seizure. This prodrome is distinct from the stereotypic auras associated with focal seizures that generalize. The initial phase of the seizure is usually tonic contraction of muscles throughout the body, accounting for several classic features of the event. Tonic contraction of the muscles of expiration and the larynx at the onset will produce a loud moan or “ictal cry.” Respirations are impaired, secretions pool in the oropharynx, and cyanosis devel ops. Contraction of the jaw muscles may cause biting of the tongue. A marked enhancement of sympathetic tone leads to increases in heart rate, blood pressure, and pupillary size. After 10–20 s, the tonic phase of the seizure typically evolves into the clonic phase, produced by the superimposition of periods of muscle relaxation on the tonic muscle contraction. The periods of relaxation progressively increase until the end of the ictal phase, which usually lasts no more than 1 min. The postictal phase is characterized by unresponsiveness, muscular flac cidity, and excessive salivation that can cause stridorous breathing and partial airway obstruction. Bladder or bowel incontinence may occur at this point. Patients gradually regain consciousness over minutes to hours, and, during this transition, there is typically a period of postictal confusion. Patients subsequently complain of </w:t>
      </w:r>
      <w:r w:rsidRPr="00A6019F">
        <w:lastRenderedPageBreak/>
        <w:t xml:space="preserve">headache, fatigue, and muscle ache that can last for many hours. The duration of impaired consciousness in the postictal phase can be extremely long (i.e., many hours) in patients with prolonged seizures or underlying central ner vous system (CNS) disease. The EEG during the tonic phase of the seizure shows a progressive increase in generalized low-voltage fast activity, followed by general ized high-amplitude, polyspike discharges. In the clonic phase, the high-amplitude activity is typically interrupted by slow waves to create a spike-and-slow-wave pattern. Generalized seizures tend to terminate synchronously over widespread brain regions. The postictal EEG shows diffuse suppression of all cerebral activity, followed by slowing that gradually recovers as the patient awakens. There are several variants of generalized motor seizures, including pure tonic and pure clonic seizures. Brief tonic seizures lasting only a few seconds are especially noteworthy since they are usually associated with specific epilepsy syndromes having mixed seizure phenotypes, such as the Lennox-Gastaut syndrome (discussed below). Atonic Seizures Atonic seizures are characterized by sudden loss of postural muscle tone lasting 1–2 s. Consciousness is briefly impaired, but there is usually no postictal confusion. A very brief sei zure may cause only a quick head drop or nodding movement, whereas a longer seizure will cause the patient to collapse (hence, the less formal term, drop attacks). This can be extremely dangerous because there is a substantial risk of direct head injury with the fall. The EEG shows brief, generalized spike-and-wave discharges followed immediately by diffuse slow waves that correlate with the loss of muscle tone. Like pure tonic seizures, atonic seizures are usually seen in association with known epilepsy syndromes. Myoclonic Seizures Myoclonus is a sudden and brief muscle contraction that may involve one part of the body or the entire body. A normal, common physiologic form of myoclonus is the sudden jerking movement observed while falling asleep. Pathologic myoclonus is most often seen in association with metabolic disorders, degenerative CNS diseases, or anoxic brain injury (Chap. 318). Although the distinction from other forms of myoclonus is imprecise, myoclonic seizures are true epileptic events because they are caused by cortical (vs subcorti cal or spinal) dysfunction. The EEG shows bilaterally synchronous spike-and-slow-wave discharges immediately prior to the movement and muscle artifact associated with the myoclonus. Myoclonic seizures usually coexist with other forms of generalized seizures but are the predominant feature of juvenile myoclonic epilepsy (JME) (discussed below). Epileptic Spasms Epileptic spasms are characterized by a briefly sustained flexion or extension of predominantly proximal muscles, including truncal muscles. The EEG usually shows hypsarrhythmia, a chaotic background of diffuse, large-amplitude slow waves and irregu lar, multifocal spikes and sharp waves. During the clinical spasm, there is a marked suppression of the EEG background (the “electrodecre mental response”). The electromyogram (EMG) also reveals a charac teristic rhomboid pattern that may help distinguish spasms from brief tonic and myoclonic seizures. Epileptic spasms occur predominantly 3411 in infants and likely result from differences in neuronal function and connectivity in the immature versus </w:t>
      </w:r>
      <w:r w:rsidRPr="00A6019F">
        <w:lastRenderedPageBreak/>
        <w:t xml:space="preserve">mature CNS. EPILEPSY SYNDROMES Epilepsy syndromes are disorders in which epilepsy is a predominant feature, and there is sufficient evidence (e.g., through clinical, EEG, radiologic, or genetic observations) to suggest a common underlying mechanism. Three important epilepsy syndromes are listed below; addi tional examples with a known genetic basis are shown in Table 436-2. </w:t>
      </w:r>
      <w:r w:rsidRPr="00A6019F">
        <w:rPr>
          <w:rFonts w:ascii="Arial" w:hAnsi="Arial" w:cs="Arial"/>
        </w:rPr>
        <w:t>■</w:t>
      </w:r>
      <w:r w:rsidRPr="00A6019F">
        <w:t xml:space="preserve">JUVENILE MYOCLONIC EPILEPSY JME is a generalized seizure disorder of unknown cause that appears in early adolescence and is usually characterized by bilateral myoclonic jerks that may be single or repetitive. The myoclonic seizures are most frequent in the morning after awakening and can be provoked by sleep deprivation. Awareness is preserved unless the myoclonus is especially severe. Many patients also experience generalized tonic-clonic seizures, and up to one-third have absence seizures. Although complete remis sion is uncommon, the seizures usually respond well to appropriate antiseizure medication. There is often a family history of epilepsy, and genetic studies suggest a polygenic cause. </w:t>
      </w:r>
      <w:r w:rsidRPr="00A6019F">
        <w:rPr>
          <w:rFonts w:ascii="Arial" w:hAnsi="Arial" w:cs="Arial"/>
        </w:rPr>
        <w:t>■</w:t>
      </w:r>
      <w:r w:rsidRPr="00A6019F">
        <w:t xml:space="preserve">LENNOX-GASTAUT SYNDROME Lennox-Gastaut syndrome occurs in children and is defined by the following triad: (1) multiple seizure types (usually including general ized tonic-clonic, atonic, and atypical absence seizures); (2) an EEG with slow (6 years, then variable seizure types not associated with fever Incidence of Dravet syndrome is 1 in 20,000 births, and de novo SCN1A mutation is found in ~80% of cases. Incidence in GEFS+ uncertain; identified in other families with mutations in other sodium channel subunits (SCN2B and SCN2A) and GABAA receptor subunit (GABRG2 and GABRA1); significant phenotypic heterogeneity within same family, including members with febrile seizures only. Avoid sodium channel–blocking antiseizure medications LGI1 (10q24) Leucine-rich glioma-inactivated 1 gene; previous evidence for role in glial tumor progression; recent studies suggest an influence in the postnatal development of glutamatergic circuits in the hippocampus Autosomal dominant epilepsy with auditory features (ADEAF); a form of lateral temporal lobe epilepsy with auditory symptoms or aphasia as a major focal seizure manifestation; age of onset usually between 10 and 25 years Mutations found in up to 50% of families containing two or more subjects with focal epilepsy with ictal auditory symptoms, suggesting that at least one other gene may underlie this syndrome DEPDC5 (22q12.2) Disheveled, Egl-10, and pleckstrin domain containing protein 5; exerts an inhibitory effect on mammalian target of rapamycin (mTOR)–mediated processes, such as cell growth and proliferation Autosomal dominant familial focal epilepsy with variable foci (FFEVF); family members have seizures originating from different cortical regions; neuroimaging usually normal but may harbor subtle malformations; recent studies also suggest association with benign epilepsy with centrotemporal spikes Study of families with the limited number of affected members revealed mutations in ~12% of families; thus, may be a relatively common cause of lesion-negative focal epilepsies with suspected genetic basis. Also associated with mutations in the GATOR1 genes NPRL2 and NPRL3 GRIN2A (16p13.2) Encodes NMDA receptor (NMDAR) subunit GluN2A Spectrum of phenotypes ranging from benign childhood epilepsy with centrotemporal </w:t>
      </w:r>
      <w:r w:rsidRPr="00A6019F">
        <w:lastRenderedPageBreak/>
        <w:t xml:space="preserve">spikes (BECTS) to epilepsy-aphasia syndromes such as Landau-Kleffner syndrome (LKS) and other epileptic encephalopathies Complex inheritance is implicated, and studies have shown considerable inter- and intrafamilial phenotypic variability and incomplete penetrance CDKL-5 (Xp22.13) Encodes cyclin-dependent kinase-like 5 (CDKL-5), a serine-threonine kinase involved in neural maturation and synaptogenesis CDKL-5 deficiency disorder (CDD) results from pathogenic mutation in the CDKL5 gene that causes absence or nonfunctional CDKL-5 protein. CDD is a severe developmental epileptic encephalopathy characterized by very-early onset seizures. X-linked, affects females more than males Ganaxolone is a recently approved antiseizure drug that has been shown to significantly reduce CDD-associated seizures SLC2A1 (1p34.2) Glucose transporter protein type 1 (GLUT1); transports glucose across the blood-brain barrier Loss of function of one allele leads to GLUT1 deficiency, a severe metabolic encephalopathy including intractable epilepsy, complex motor dysfunction, and intellectual disability. Milder GLUT1 deficiency causes a combination of movement disorder (paroxysmal exertional dyskinesia) and epilepsy with prominent absence seizures, though intellect is often normal Milder forms of epilepsy due to GLUT1 deficiency may respond to standard antiseizure medications, but the gold standard treatment for refractory forms is the ketogenic diet, which bypasses defective glucose transport to provide an alternative energy supply to the brain CSTB (21q22.3) Cystatin B, a noncaspase cysteine protease inhibitor; normal protein may block neuronal apoptosis by inhibiting caspases directly or indirectly (via cathepsins), or controlling proteolysis Progressive myoclonus epilepsy (PME) (Unverricht-Lundborg disease); autosomal recessive inheritance; age of onset between 6 and 15 years, myoclonic seizures, ataxia, and progressive cognitive decline; brain shows neuronal degeneration Overall rare, but relatively common in Finland and western Mediterranean (&gt;1 in 20,000); precise role of cystatin B in human disease unknown, although mice with null mutations of cystatin B have similar syndrome EPM2A (6q24) Laforin, a protein tyrosine phosphatase (PTP); involved in glycogen metabolism and may have antiapoptotic activity Progressive myoclonus epilepsy (Lafora’s disease); autosomal recessive inheritance; age of onset 6–19 years, death within 10 years; brain degeneration associated with polyglucosan intracellular inclusion bodies in numerous organs Most common PME in southern Europe, Middle East, northern Africa, and Indian subcontinent; genetic heterogeneity; unknown whether seizure phenotype due to degeneration or direct effects of abnormal laforin expression Doublecortin (Xq21-24) Doublecortin, expressed primarily in frontal lobes; directly regulates microtubule polymerization and bundling Classic lissencephaly associated with severe mental retardation and seizures in males; subcortical band heterotopia with more subtle findings in females (presumably due to random X inactivation); X-linked dominant Relatively rare but of uncertain incidence; recent increased ascertainment due to improved imaging techniques; relationship between migration defect and seizure phenotype unknown aThe first seven syndromes listed in the table (SHE, benign familial </w:t>
      </w:r>
      <w:r w:rsidRPr="00A6019F">
        <w:lastRenderedPageBreak/>
        <w:t xml:space="preserve">neonatal convulsions, GEFS+, ADEAF, FFEVF, BECTS, LKS, CDD) are examples of genetic epilepsies associated with identified gene mutations. The last three syndromes are examples of the numerous Mendelian disorders in which seizures are one part of the phenotype. Abbreviation: GABA, γ-aminobutyric acid. Seizures and Epilepsy 3413 CHAPTER 436 TABLE 436-3 Characteristics of the Mesial Temporal Lobe Epilepsy Syndrome History History of febrile seizures Rare generalized seizures Family history of epilepsy Seizures may remit and reappear Early onset Seizures often intractable Clinical Observations Aura common Postictal disorientation Behavioral arrest/stare Memory loss Complex automatisms Dysphasia (with focus in dominant hemisphere) Unilateral posturing  Laboratory Studies Unilateral or bilateral anterior temporal spikes on EEG Hypometabolism on interictal PET Hyperperfusion on ictal SPECT Material-specific memory deficits on intracarotid amobarbital (Wada) test MRI Findings Small hippocampus with increased signal on T2-weighted sequences and loss of trilaminar hippocampal internal architecture Small temporal lobe Enlarged temporal horn Pathologic Findings Highly selective loss of specific cell populations within hippocampus in most cases, granule cell layer dispersion, gliosis Abbreviations: EEG, electroencephalogram; MRI, magnetic resonance imaging; PET, positron emission tomography; SPECT, single-photon emission computed tomography. FIGURE 436-1 Mesial temporal lobe epilepsy. The electroencephalogram and seizure semiology were consistent with a left temporal lobe focus. This coronal high-resolution T2-weighted fast spin echo magnetic resonance image obtained at 3 Tesla is at the level of the hippocampal bodies and shows abnormal high signal intensity, blurring of internal laminar architecture, and reduced size of the left hippocampus (arrow) relative to the right. This triad of imaging findings is consistent with hippocampal sclerosis. TABLE 436-4 Causes of Seizures Neonates (1 month and 35 years) Cerebrovascular disease Brain tumor Alcohol withdrawal Metabolic disorders (uremia, hepatic failure, electrolyte abnormalities, hypoglycemia, hyperglycemia) Alzheimer’s disease and other degenerative CNS diseases Autoantibodies Abbreviation: CNS, central nervous system. media, respiratory infection, or gastroenteritis. The seizure is likely to occur during the rising phase of the temperature curve (i.e., during the first day) rather than well into the course of the illness. A simple febrile seizure is a single, isolated event, brief, and symmetric in appearance. Complex febrile seizures are characterized by repeated seizure activity, a duration &gt;15 minutes, or by focal features. Approximately one-third of patients with febrile seizures will have a recurrence, but 10 years are well known. In controlled studies, mild head injury, defined as a concussion with amnesia or loss of consciousness of 65 years. Acute poststroke seizures (i.e., occurring within the first 24 h after acute stroke) are more com mon after hemorrhagic strokes compared to ischemic strokes. Chronic seizures typically appear months to years after the initial event and are associated with all forms of stroke. Metabolic disturbances such as electrolyte imbalance, hypo- or hyperglycemia, renal failure, and hepatic failure may cause seizures at any age. Similarly, endocrine disorders, hematologic disorders, vas culitides, </w:t>
      </w:r>
      <w:r w:rsidRPr="00A6019F">
        <w:lastRenderedPageBreak/>
        <w:t xml:space="preserve">and many other systemic diseases may cause seizures over a broad age range. Many medications and abused substances can precipi tate seizures as well (Table 436-5). BASIC MECHANISMS </w:t>
      </w:r>
      <w:r w:rsidRPr="00A6019F">
        <w:rPr>
          <w:rFonts w:ascii="Arial" w:hAnsi="Arial" w:cs="Arial"/>
        </w:rPr>
        <w:t>■</w:t>
      </w:r>
      <w:r w:rsidRPr="00A6019F">
        <w:t xml:space="preserve">MECHANISMS OF SEIZURE INITIATION AND PROPAGATION Focal seizure activity can begin in a discrete region of cortex and then slowly invade the surrounding regions. The hallmark of an established seizure is typically an electrographic “spike” due to intense near-simultaneous firing of many local excitatory neurons, resulting in an apparent hypersynchronization of the excitatory bursts across a relatively large cortical region. The bursting activity in individual neu rons (the “paroxysmal depolarization shift”) is caused by a relatively long-lasting depolarization of the neuronal membrane due to influx of extracellular calcium (Ca2+), which leads to the opening of voltage dependent sodium (Na+) channels, influx of Na+, and generation of repetitive action potentials. This is followed by a hyperpolarizing afterpotential mediated by γ-aminobutyric acid (GABA) receptors or potassium (K+) channels, depending on the cell type. The synchronized bursts from enough neurons result in summation of field potentials producing a spike discharge on the EEG. The spreading seizure wavefront is thought to slow and ultimately halt by intact hyperpolarization and a “surround” inhibition created by feedforward activation of inhibitory neurons. With sufficient activation, there is a recruitment of surrounding neurons via a number of synaptic and nonsynaptic mechanisms, including (1) an increase in extracel lular K+, which blunts hyperpolarization and depolarizes neighboring neurons; (2) accumulation of Ca2+ in presynaptic terminals, leading to enhanced neurotransmitter release; (3) depolarization-induced activa tion of the N-methyl-d-aspartate (NMDA) subtype of the excitatory amino acid receptor, which causes additional Ca2+ influx and neuronal activation; and (4) ephaptic interactions related to changes in tissue osmolarity and cell swelling. The recruitment of a sufficient number of neurons leads to the propagation of excitatory currents into contiguous areas via local cortical connections and to more distant areas via long commissural pathways such as the corpus callosum. Many factors control neuronal excitability, and thus, there are many potential mechanisms for altering a neuron’s propensity to have TABLE 436-5 Drugs and Other Substances That Can Cause Seizures Alkylating agents (e.g., busulfan, chlorambucil) Antimalarials (chloroquine, mefloquine) Antimicrobials/antivirals β-Lactam and related compounds Quinolones Acyclovir Isoniazid Ganciclovir Anesthetics and analgesics Meperidine Fentanyl Tramadol Local anesthetics Dietary supplements Ephedra (ma huang) Gingko Immunomodulatory drugs Cyclosporine OKT3 (monoclonal antibodies to T cells) Tacrolimus Interferons Psychotropics Antidepressants (e.g., bupropion) Antipsychotics (e.g., clozapine) Lithium Radiographic contrast agents Drug withdrawal Alcohol Baclofen Barbiturates (short-acting) Benzodiazepines (short-acting) Zolpidem Drugs of abuse Amphetamine Cocaine Phencyclidine Methylphenidate Flumazenila aIn benzodiazepine-dependent patients. bursting activity. Mechanisms intrinsic to the neuron include changes in the conductance of ion channels, response characteristics of mem brane receptors, cytoplasmic buffering, second-messenger systems, and </w:t>
      </w:r>
      <w:r w:rsidRPr="00A6019F">
        <w:lastRenderedPageBreak/>
        <w:t xml:space="preserve">protein expression as determined by gene transcription, transla tion, and posttranslational modification. Mechanisms extrinsic to the neuron include changes in the amount or type of neurotransmitters present at the synapse, modulation of receptors by extracellular ions and other molecules, and temporal and spatial properties of synaptic and nonsynaptic input. Glial cells, such as astrocytes and oligodendro cytes, have an important role in many of these mechanisms as well. Certain recognized causes of seizures are explained by these mecha nisms. For example, accidental ingestion of domoic acid, an analogue of glutamate (the principal excitatory neurotransmitter in the brain) produced by naturally occurring microscopic algae, causes profound seizures via direct activation of excitatory amino acid receptors throughout the CNS. Penicillin, which can lower the seizure threshold in humans and is a potent convulsant in experimental models, reduces inhibition by antagonizing the effects of GABA at its receptor. The basic mechanisms of other precipitating factors of seizures, such as sleep deprivation, fever, alcohol withdrawal, hypoxia, and infection, are not as well understood but presumably involve analogous perturbations in 3415 neuronal excitability. Similarly, the endogenous factors that determine an individual’s seizure threshold may relate to these properties as well. Knowledge of the mechanisms responsible for initiation and propa gation of most generalized seizures (including tonic-clonic, myoclonic, and atonic types) remains rudimentary and reflects the limited under standing of the connectivity of the brain at a systems level. Much more is understood about the origin of generalized spike-and-wave discharges in absence seizures. These appear to be related to oscilla tory rhythms normally generated during sleep by circuits connecting the thalamus and cortex. This oscillatory behavior involves an interac tion between GABAB receptors, T-type Ca2+ channels, and K+ channels located within the thalamus. Pharmacologic studies indicate that mod ulation of these receptors and channels can induce absence seizures, and there is good evidence that the genetic forms of absence epilepsy may be associated with mutations of components of this system. </w:t>
      </w:r>
      <w:r w:rsidRPr="00A6019F">
        <w:rPr>
          <w:rFonts w:ascii="Arial" w:hAnsi="Arial" w:cs="Arial"/>
        </w:rPr>
        <w:t>■</w:t>
      </w:r>
      <w:r w:rsidRPr="00A6019F">
        <w:t xml:space="preserve">MECHANISMS OF EPILEPTOGENESIS Epileptogenesis refers to the transformation of a normal neuronal network into one that is chronically hyperexcitable. There is often a delay of months to years between an initial CNS injury such as trauma, stroke, or infection and the first clinically evident seizure. The injury appears to initiate a process that gradually lowers the seizure threshold in the affected region until a spontaneous seizure occurs. In many genetic and idiopathic forms of epilepsy, epileptogenesis is presumably determined by developmentally regulated events. Pathologic studies of the hippocampus from patients with temporal lobe epilepsy suggest that some forms of epileptogenesis are related to structural changes in neuronal networks. For example, many patients with MTLE have a highly selective loss of neurons that normally con tribute to inhibition of the main excitatory neurons within the dentate gyrus. There is also evidence that, in response to the loss of neurons, there is reorganization of surviving neurons in a way that affects the excitability of the network. Some of these changes can be seen in experi mental models of prolonged </w:t>
      </w:r>
      <w:r w:rsidRPr="00A6019F">
        <w:lastRenderedPageBreak/>
        <w:t xml:space="preserve">electrical seizures or traumatic brain injury. Thus, an initial injury such as head injury may lead to a focal region of structural change that causes local hyperexcitability. The local hyperex citability leads to further structural changes that evolve over time until the focal lesion produces clinically evident seizures. Similar models have provided strong evidence for long-term alterations in intrinsic, bio chemical properties of cells within the network such as chronic changes in glutamate or GABA receptor function. Induction of inflammatory cascades may be a critical factor in these processes as well. </w:t>
      </w:r>
      <w:r w:rsidRPr="00A6019F">
        <w:rPr>
          <w:rFonts w:ascii="Arial" w:hAnsi="Arial" w:cs="Arial"/>
        </w:rPr>
        <w:t>■</w:t>
      </w:r>
      <w:r w:rsidRPr="00A6019F">
        <w:t xml:space="preserve">GENETIC CAUSES OF EPILEPSY An area of ongoing progress in epilepsy research has been the iden tification of genetic mutations associated with a variety of epilepsy syndromes (Table 436-2). Although most of the mutations identified to date cause rare forms of epilepsy, their discovery has led to extremely important conceptual advances. For example, it appears that many of the inherited epilepsies are due to mutations affecting ion channel function. These syndromes are therefore part of the larger group of channelopathies causing paroxysmal disorders such as cardiac arrhyth mias, episodic ataxia, periodic weakness, and familial hemiplegic migraine. Other gene mutations are proving to be associated with path ways influencing CNS development, synaptic physiology, or neuronal homeostasis. De novo and somatic mutations may explain a significant proportion of these syndromes, especially those with onset in early childhood. A current challenge is to identify the multiple susceptibility genes that underlie the more common forms of idiopathic epilepsies. Ion channel mutations and copy number variants may be pathogenic in a subset of these patients. </w:t>
      </w:r>
      <w:r w:rsidRPr="00A6019F">
        <w:rPr>
          <w:rFonts w:ascii="Arial" w:hAnsi="Arial" w:cs="Arial"/>
        </w:rPr>
        <w:t>■</w:t>
      </w:r>
      <w:r w:rsidRPr="00A6019F">
        <w:t xml:space="preserve">MECHANISMS OF ACTION OF ANTISEIZURE DRUGS Antiseizure drugs appear to act primarily by blocking the initiation or spread of seizures. This occurs through a variety of mechanisms that modify the activity of ion channels or neurotransmitters, and in most cases, the drugs have pleiotropic effects. The mechanisms include inhi bition of Na+-dependent action potentials in a frequency-dependent manner (e.g., phenytoin, carbamazepine, lamotrigine, topiramate, zonisamide, lacosamide, rufinamide, cenobamate), inhibition of voltage-gated Ca2+ channels (phenytoin, gabapentin, pregabalin), facili tating the opening of potassium channels (ezogabine), attenuation of glutamate activity (lamotrigine, topiramate, felbamate, perampanel), potentiation of GABA receptor function (benzodiazepines, barbitu rates), increase in the availability of GABA (valproic acid, gabapentin, tiagabine), and modulation of release of synaptic vesicles (levetirace tam, brivaracetam). Two of the effective drugs for absence seizures, ethosuximide and valproic acid, probably act by inhibiting T-type Ca2+ channels in thalamic neurons. Cannabidiol (CBD), a derivative of can nabis plants, is effective for reducing seizures in children with Dravet syndrome, Lennox-Gastaut syndrome, and tuberous sclerosis but does not act through endogenous cannabinoid receptors. Rather, CBD has a multimodal mechanism of action involving modulation of intracellular calcium via G protein–coupled receptor 55, extracellular calcium influx via transient receptor potential vanilloid type 1 (TRPV1) channels, and adenosine-mediated signaling. Fenfluramine is an amphetamine deriv ative that probably exerts its </w:t>
      </w:r>
      <w:r w:rsidRPr="00A6019F">
        <w:lastRenderedPageBreak/>
        <w:t xml:space="preserve">antiseizure effect by inhibiting serotonin reuptake and increasing extracellular levels. Ganaxolone is a synthetic analogue of allopregnanolone and an allosteric modulator of GABAA receptors that reduces seizures associated with cyclin-dependent kinase-like 5 (CDKL-5) deficiency disorder. In contrast to the relatively large number of antiseizure drugs that can attenuate seizure activity, there are currently no drugs known to prevent the formation of a seizure focus following CNS injury. Eventual development of such “antiepileptogenic” drugs will provide means of preventing the emergence of epilepsy following injuries such as head trauma, stroke, and CNS infection. APPROACH TO THE PATIENT CHAPTER 436 Seizures and Epilepsy Seizure When a patient presents shortly after a seizure, the first priorities are attention to vital signs, respiratory and cardiovascular support, and treatment of seizures if they resume (see “Treatment: Seizures and Epilepsy”). Life-threatening conditions such as CNS infection, metabolic derangement, or drug toxicity must be recognized and managed appropriately. When the patient is not acutely ill, the evaluation will initially focus on whether there is a history of earlier seizures (Fig. 436-2). If this is the first seizure, then the emphasis will be to (1) establish whether the reported episode was a seizure rather than another paroxysmal event, (2) determine the cause of the seizure by identi fying risk factors and precipitating events, and (3) decide whether antiseizure drug therapy is required in addition to treatment for any underlying illness. In the patient with prior seizures or a known history of epilepsy, the evaluation is directed toward (1) identification of the underly ing cause and precipitating factors, and (2) determination of the adequacy of the patient’s current therapy. </w:t>
      </w:r>
      <w:r w:rsidRPr="00A6019F">
        <w:rPr>
          <w:rFonts w:ascii="Arial" w:hAnsi="Arial" w:cs="Arial"/>
        </w:rPr>
        <w:t>■</w:t>
      </w:r>
      <w:r w:rsidRPr="00A6019F">
        <w:t>HISTORY AND EXAMINATION The first goal is to determine whether the event was truly a seizure. A detailed history is essential, because in many cases the diagnosis of a seizure is based solely on clinical grounds</w:t>
      </w:r>
      <w:r w:rsidRPr="00A6019F">
        <w:rPr>
          <w:rFonts w:ascii="Aptos" w:hAnsi="Aptos" w:cs="Aptos"/>
        </w:rPr>
        <w:t>—</w:t>
      </w:r>
      <w:r w:rsidRPr="00A6019F">
        <w:t xml:space="preserve">the examination and labora tory studies are often normal. Questions should focus on the symptoms before, during, and after the episode to differentiate a seizure from other paroxysmal events (see “Differential Diagnosis of Seizures” below). Seizures frequently occur out-of-hospital, and the patient may be unaware of the ictal and immediate postictal phases; thus, witnesses to the event should be interviewed carefully. The history should also focus on risk factors and predisposing events. Clues for a predisposition to seizures include a history of febrile seizures, a family history of seizures, and, of particular importance, earlier auras or brief seizures not recognized as such. Epileptogenic factors such as prior head trauma, stroke, tumor, or CNS infection should be identified. In children, a careful assessment of developmental 3416 Adult Patient with a Seizure History Physical examination Exclude Syncope Transient ischemic attack Migraine Acute psychosis Other causes of episodic cerebral dysfunction No history of epilepsy PART 13 Neurologic Disorders History of epilepsy; currently treated with antiseizure drugs Assess: adequacy of antiseizure drug therapy Side effects   Serum levels Consider CBC Electrolytes, calcium, magnesium Serum glucose Liver and renal function tests Urinalysis Toxicology screen Normal Subtherapeutic antiseizure drug levels Appropriate increase or resumption of dose </w:t>
      </w:r>
      <w:r w:rsidRPr="00A6019F">
        <w:lastRenderedPageBreak/>
        <w:t xml:space="preserve">Therapeutic antiseizure drug levels Abnormal or change in neurologic examination Treat identifiable metabolic abnormalities Assess cause of   neurologic change Increase antiseizure drug therapy to maximum tolerated dose; consider alternative antiepileptic drugs Laboratory studies CBC Electrolytes, calcium, magnesium Serum glucose Liver and renal function tests Urinalysis Toxicology screen Positive metabolic screen or symptoms/signs suggesting a metabolic or infectious disorder Further workup   Lumbar puncture   Cultures   Endocrine studies   CT   MRI if focal    features present Treat underlying metabolic abnormality Negative metabolic screen MRI scan and EEG Focal features of seizures Focal abnormalities on clinical or lab examination Other evidence of neurologic dysfunction Consider: Antiseizure drug therapy Yes Consider: Mass lesion; stroke; CNS infection; trauma; degenerative disease No Idiopathic seizures Consider: Antiseizure drug therapy Treat underlying disorder Consider: Antiseizure drug therapy FIGURE 436-2 Evaluation of the adult patient with a seizure. CBC, complete blood count; CNS, central nervous system; CT, computed tomography; EEG, electroencephalogram; MRI, magnetic resonance imaging. milestones may provide evidence for underlying CNS disease. Precipi tating factors such as sleep deprivation, systemic diseases, electrolyte or metabolic derangements, acute infection, drugs that lower the seizure threshold (Table 436-5), or alcohol or illicit drug use should also be identified. The general physical examination includes a search for signs of infection or systemic illness. Careful examination of the skin may reveal signs of neurocutaneous disorders, such as tuberous sclerosis or neurofibromatosis, or chronic liver or renal disease. A finding of organomegaly may indicate a metabolic storage disease, and limb asymmetry may provide a clue to brain injury early in development. Signs of head trauma and use of alcohol or illicit drugs should be sought. Auscultation of the heart and carotid arteries may identify an abnormality that predisposes to cerebrovascular disease. 3417 All patients require a complete neurologic examination, with par ticular emphasis on eliciting signs of cerebral hemispheric disease (Chap. 433). Careful assessment of mental status (including memory, language function, and abstract thinking) may suggest lesions in the anterior frontal, parietal, or temporal lobes. Testing of visual fields will help screen for lesions in the optic pathways and occipital lobes. Screening tests of motor function such as pronator drift, deep tendon reflexes, gait, and coordination may suggest lesions in motor (frontal) cortex, and cortical sensory testing (e.g., double simultaneous stimula tion) may detect lesions in the parietal cortex. </w:t>
      </w:r>
      <w:r w:rsidRPr="00A6019F">
        <w:rPr>
          <w:rFonts w:ascii="Arial" w:hAnsi="Arial" w:cs="Arial"/>
        </w:rPr>
        <w:t>■</w:t>
      </w:r>
      <w:r w:rsidRPr="00A6019F">
        <w:t xml:space="preserve">LABORATORY STUDIES Routine blood studies are indicated to identify the more common metabolic causes of seizures such as abnormalities in electrolytes, glu cose, calcium, or magnesium, and hepatic or renal disease. A screen for toxins in blood and urine should also be obtained from all patients in appropriate risk groups, especially when no clear precipitating factor has been identified. A lumbar puncture is indicated if there is any sus picion of meningitis or encephalitis, and it is mandatory in all patients infected with HIV, even in the absence of symptoms or signs suggesting infection. Testing for autoantibodies in the serum and cerebrospinal fluid (CSF) should be </w:t>
      </w:r>
      <w:r w:rsidRPr="00A6019F">
        <w:lastRenderedPageBreak/>
        <w:t xml:space="preserve">considered in patients presenting with fulminant onset of epilepsy associated with other abnormalities such as psychiat ric symptoms or cognitive disturbances (Chap. 99). </w:t>
      </w:r>
      <w:r w:rsidRPr="00A6019F">
        <w:rPr>
          <w:rFonts w:ascii="Arial" w:hAnsi="Arial" w:cs="Arial"/>
        </w:rPr>
        <w:t>■</w:t>
      </w:r>
      <w:r w:rsidRPr="00A6019F">
        <w:t xml:space="preserve">ELECTROPHYSIOLOGIC STUDIES The electrical activity of the brain (the EEG) is easily recorded from electrodes placed on the scalp. The potential difference between pairs of electrodes on the scalp (bipolar derivation) or between individual scalp electrodes and a relatively inactive common reference point (ref erential derivation) is amplified and displayed on a computer monitor. Digital systems allow the EEG to be displayed with any desired format and to be manipulated for more detailed analysis, and they also enable computational algorithms that can automatically detect certain abnor malities. The characteristics of the nor mal EEG depend on the patient’s age and level of arousal. The rhythmic activity normally recorded represents the post synaptic potentials of vertically oriented pyramidal cells of the cerebral cortex and is characterized by its frequency. In normal awake adults lying quietly with the eyes closed, an 8- to 13-Hz alpha rhythm is seen posteriorly in the EEG, intermixed with a variable amount of generalized faster (beta) activity (&gt;13 Hz); the alpha rhythm is attenuated when the eyes are opened (Fig. 436-3). During drowsiness and light sleep, slower activity in the theta (4–7 Hz) and delta (15 s, postictal disorientation, muscle soreness, and sleepiness. In contrast, a syncopal episode is more likely if the event was provoked by acute pain or emotional stress or occurred immediately after arising from the lying or sitting position. Patients with syncope often describe a stereotyped transition from consciousness to unconsciousness that includes tiredness, sweating, nausea, and tunneling of vision, and they experience a relatively brief loss of consciousness with rapid recov ery of normal mentation. Headache and incontinence are unreliable Seizures and Epilepsy 3419 CHAPTER 436 TABLE 436-6 Differential Diagnosis of Seizures Syncope Vasovagal syncope Cardiac arrhythmia Valvular heart disease Cardiac failure Orthostatic hypotension Psychological disorders Psychogenic seizure Hyperventilation Panic attack Metabolic disturbances Alcoholic blackouts Delirium tremens Hypoglycemia Hypoxia Psychoactive drugs (e.g., hallucinogens) Migraine Confusional migraine Basilar migraine Transient ischemic attack (TIA) Basilar artery TIA Sleep disorders Narcolepsy/cataplexy Benign sleep myoclonus Movement disorders Tics Nonepileptic myoclonus Paroxysmal choreoathetosis Special considerations in children Breath-holding spells Migraine with recurrent abdominal pain and cyclic vomiting Benign paroxysmal vertigo Apnea Night terrors Sleepwalking TABLE 436-7 Features That Distinguish Generalized Tonic-Clonic Seizure from Syncope FEATURES SEIZURE SYNCOPE Immediate precipitating factors Usually none Emotional stress, Valsalva, orthostatic hypotension, cardiac etiologies Premonitory symptoms None or aura (e.g., odd odor) Tiredness, nausea, diaphoresis, tunneling of vision Posture at onset Variable Usually erect Transition to unconsciousness Often immediate Gradual over secondsa Duration of unconsciousness Minutes Seconds Duration of tonic or clonic movements 30–60 s Never &gt;15 s Facial appearance during event Cyanosis, frothing at mouth Pallor Disorientation and sleepiness after event Many </w:t>
      </w:r>
      <w:r w:rsidRPr="00A6019F">
        <w:lastRenderedPageBreak/>
        <w:t xml:space="preserve">minutes to hours 48 h) IV MDZ 0.2 mg/kg → 0.2–0.6 mg/kg/h and/or IV PRO 2 mg/kg → 2–10 mg/kg/h Focal-complex, myoclonic or absence SE Further IV/PO antiseizure drug VPA, LEV, LCM, TPM, PGB, or other PTB (THP) 5 mg/kg (1 mg/kg) → 1–5 mg/kg/h Other medications Lidocaine, verapamil, magnesium, ketogenic diet, immunomodulation Other anesthetics Isoflurane, desflurane, ketamine Other approaches Surgery, VNS, RNS, rTMS, ECT, hypothermia FIGURE 436-5 Pharmacologic treatment of generalized tonic-clonic status epilepticus (SE) in adults. CLZ, clonazepam; ECT, electroconvulsive therapy; LCM, lacosamide; LEV, levetiracetam; LZP, lorazepam; MDZ, midazolam; PGB, pregabalin; PHT, phenytoin or fosphenytoin; PRO, propofol; PTB, pentobarbital; RNS, responsive neurostimulation; rTMS, repetitive transcranial magnetic stimulation; THP, thiopental; TPM, topiramate; VNS, vagus nerve stimulation; VPA, valproic acid. (Data from AO Rossetti, DH Lowenstein: Management of refractory status epilepticus in adults: still more questions than answers. Lancet Neurol 10:922, 2011.) 3427 usually a brief lucid interval lasting up to a week, followed by days to weeks of agitated, psychotic behavior. The psychosis usually resolves spontaneously but frequently will require short-term treatment with antipsychotic or anxiolytic medications. </w:t>
      </w:r>
      <w:r w:rsidRPr="00A6019F">
        <w:rPr>
          <w:rFonts w:ascii="Arial" w:hAnsi="Arial" w:cs="Arial"/>
        </w:rPr>
        <w:t>■</w:t>
      </w:r>
      <w:r w:rsidRPr="00A6019F">
        <w:t xml:space="preserve">MORTALITY OF EPILEPSY People with epilepsy have a risk of death that is roughly two to three times greater than expected in a matched population without epilepsy. Most of the increased mortality is due to the underlying etiology of epilepsy (e.g., tumors or strokes in older adults). However, a signifi cant number of patients die from accidents, status epilepticus, and a syndrome known as sudden unexpected death in epilepsy (SUDEP), which usually affects young people with convulsive seizures and tends to occur at night. The cause of SUDEP is unknown; it may result from brainstem-mediated effects of seizures on pulmonary, cardiac, and arousal functions. Genetic mutations may be the cause of both epilepsy and a cardiac conduction defect that gives rise to sudden death. </w:t>
      </w:r>
      <w:r w:rsidRPr="00A6019F">
        <w:rPr>
          <w:rFonts w:ascii="Arial" w:hAnsi="Arial" w:cs="Arial"/>
        </w:rPr>
        <w:t>■</w:t>
      </w:r>
      <w:r w:rsidRPr="00A6019F">
        <w:t xml:space="preserve">PSYCHOSOCIAL ISSUES There continues to be a cultural stigma about epilepsy, although it is slowly declining in societies with effective health education programs. Many people with epilepsy harbor fear of progressive cognitive decline or dying during a seizure. These issues need to be carefully addressed by educating the patient about epilepsy and by ensuring that family members, teachers, fellow employees, and other associates are equally well informed. A useful source of educational material is the website www.epilepsy.com. </w:t>
      </w:r>
      <w:r w:rsidRPr="00A6019F">
        <w:rPr>
          <w:rFonts w:ascii="Arial" w:hAnsi="Arial" w:cs="Arial"/>
        </w:rPr>
        <w:t>■</w:t>
      </w:r>
      <w:r w:rsidRPr="00A6019F">
        <w:t xml:space="preserve">EMPLOYMENT, DRIVING, AND OTHER ACTIVITIES Many patients with epilepsy face difficulty in obtaining or maintaining employment, even when their seizures are well controlled. Federal and state legislation is designed to prevent employers from discriminating against people with epilepsy, and patients should be encouraged to understand and claim their legal rights. Patients in these circumstances also benefit greatly from the assistance of health providers who act as strong patient advocates. Loss of driving privileges is one of the most disruptive social con sequences of epilepsy. Physicians should be very clear about local regulations concerning driving and epilepsy because the laws vary con siderably among states and countries. In all cases, it is the physician’s responsibility to warn patients of the danger </w:t>
      </w:r>
      <w:r w:rsidRPr="00A6019F">
        <w:lastRenderedPageBreak/>
        <w:t xml:space="preserve">imposed on themselves and others while driving if their seizures are uncontrolled (unless the seizures are not associated with impairment of consciousness or motor control). In general, most states in the United States allow patients to drive after a seizure-free interval (on or off medications) of 3–18 months. Patients with incompletely controlled seizures must also contend with the risk of being in other situations where an impairment of con sciousness or loss of motor control could lead to major injury or death. Thus, depending on the type and frequency of seizures, many patients need to be instructed to avoid working at heights or with machinery or to have someone close by for activities such as bathing and swimming. The importance of quantifying seizures in people living with epi lepsy has catalyzed a burgeoning industry of wearable sensors, such as wristwatches, that can detect seizures through noninvasive measure ment of physiologic variables. Generally, non-EEG devices either have low sensitivity or high false alarm rate, but reliability is highest for detection of tonic-clonic seizures. SPECIAL ISSUES RELATED TO WOMEN AND EPILEPSY </w:t>
      </w:r>
      <w:r w:rsidRPr="00A6019F">
        <w:rPr>
          <w:rFonts w:ascii="Arial" w:hAnsi="Arial" w:cs="Arial"/>
        </w:rPr>
        <w:t>■</w:t>
      </w:r>
      <w:r w:rsidRPr="00A6019F">
        <w:t xml:space="preserve">CATAMENIAL EPILEPSY Some women experience a marked increase in seizure frequency around the time of menses. This is believed to be mediated by either the effects of estrogen and progesterone on neuronal excitability or changes in antiseizure drug levels due to altered protein binding or metabolism. Vulnerability to seizures is typically highest just before and during menses and during ovulation due to relatively high estrogen and low progesterone levels. Some women with epilepsy may benefit from increases in antiseizure drug dosages during menses. Natural progestins or intramuscular medroxyprogesterone may be of benefit to a subset of women. </w:t>
      </w:r>
      <w:r w:rsidRPr="00A6019F">
        <w:rPr>
          <w:rFonts w:ascii="Arial" w:hAnsi="Arial" w:cs="Arial"/>
        </w:rPr>
        <w:t>■</w:t>
      </w:r>
      <w:r w:rsidRPr="00A6019F">
        <w:t xml:space="preserve">PREGNANCY Most women with epilepsy who become pregnant will have an uncom plicated gestation and deliver a normal baby. However, epilepsy poses some important risks to a pregnancy. Seizure frequency during preg nancy will remain unchanged in ~50% of women, increase in ~30%, and decrease in ~20%. Changes in seizure frequency are attributed to endocrine effects on the CNS, variations in antiseizure drug pharma cokinetics (such as acceleration of hepatic drug metabolism, increased renal blood flow, increased volume of distribution, or effects on plasma protein binding), or decreased antiseizure medication absorption due to nausea and vomiting. It is useful to see patients at frequent intervals during pregnancy and monitor serum antiseizure drug levels monthly; the risk of seizure exacerbation increases when serum levels decrease &gt;35% from prepregnancy levels. Measurement of the unbound drug concentrations may be useful if there is an increase in seizure fre quency or worsening of side effects of antiseizure drugs. The overall incidence of fetal abnormalities in children born to mothers with epilepsy is 5–6%, compared to 2–3% in healthy women. Part of the higher incidence is due to teratogenic effects of antiseizure drugs, and the risk increases with the number of medications used (e.g., 10–20% risk of malformations with three drugs) and possibly with higher doses. A meta-analysis of published pregnancy registries and cohorts found that the most common malformations were defects in the cardiovascular and musculoskeletal system (1.4–1.8%). Valproic acid is strongly associated with an increased risk of adverse fetal out </w:t>
      </w:r>
      <w:r w:rsidRPr="00A6019F">
        <w:lastRenderedPageBreak/>
        <w:t xml:space="preserve">comes (7–20%). Findings from a large pregnancy registry suggest that the newer antiseizure drugs are far safer than valproic acid. Because the potential harm of uncontrolled convulsive seizures on the mother and fetus is considered greater than the teratogenic effects of antiseizure drugs, it is currently recommended that pregnant women be maintained on effective drug therapy. When possible, it seems prudent to have the patient on monotherapy at the lowest effective dose, especially during the first trimester. For some women, however, the type and frequency of their seizures may allow for them to safely wean off antiseizure drugs prior to conception. Patients should also take folate (1–4 mg/d), because the antifolate effects of anticonvulsants are thought to play a role in the development of neural tube defects, although the benefits of this treatment remain unproven in this setting. Enzyme-inducing drugs such as phenytoin, carbamazepine, oxcar bazepine, topiramate, phenobarbital, and primidone cause a transient and reversible deficiency of vitamin K–dependent clotting factors in ~50% of newborn infants. Although neonatal hemorrhage is uncom mon, the mother should be treated with oral vitamin K (20 mg/d, phylloquinone) in the last 2 weeks of pregnancy, and the infant should receive intramuscular vitamin K (1 mg) at birth. CHAPTER 436 Seizures and Epilepsy </w:t>
      </w:r>
      <w:r w:rsidRPr="00A6019F">
        <w:rPr>
          <w:rFonts w:ascii="Arial" w:hAnsi="Arial" w:cs="Arial"/>
        </w:rPr>
        <w:t>■</w:t>
      </w:r>
      <w:r w:rsidRPr="00A6019F">
        <w:t xml:space="preserve">CONTRACEPTION Special care should be taken when prescribing antiseizure medications for women who are taking oral contraceptive agents. Drugs such as carbamazepine, phenytoin, phenobarbital, and topiramate can signifi cantly decrease the efficacy of oral contraceptives via enzyme induc tion and other mechanisms. Patients should be advised to consider alternative forms of contraception, including intrauterine devices and other long-acting reversible contraceptives, or their oral contraceptive medications should be modified to offset the effects of the antiseizure medications. Estrogen-containing oral contraceptive agents induce glucuronidation of lamotrigine and can decrease lamotrigine serum levels by &gt;50%. </w:t>
      </w:r>
      <w:r w:rsidRPr="00A6019F">
        <w:rPr>
          <w:rFonts w:ascii="Arial" w:hAnsi="Arial" w:cs="Arial"/>
        </w:rPr>
        <w:t>■</w:t>
      </w:r>
      <w:r w:rsidRPr="00A6019F">
        <w:t xml:space="preserve">BREAST-FEEDING Antiseizure medications are excreted into breast milk, and the ratio of drug concentration in breast milk relative to serum ranges from ~5% (valproic acid) to 300% (levetiracetam). Given the overall benefits of breast-feeding and the lack of evidence for long-term harm to the infant by being exposed to antiseizure drugs, mothers with epilepsy should be encouraged to breast-feed unless there is evidence of drug effects on the infant, such as lethargy or poor feeding. 3428 PART 13 Neurologic Disorders SPECIAL ISSUES RELATED TO EPILEPSY IN THE ELDERLY Epilepsy has a bimodal distribution according to age, with the highest incidence in the very young and in the elderly. The increased incidence in the elderly may be attributed to age- and aging-related epileptogenic factors. The most common cause is stroke, followed by neoplasm, and dementia, resulting in a preponderance of extratemporal epilepsy. Antiseizure medication selection requires careful consideration of medical and psychiatric comorbidities, side effect profiles, effects on mood and cognition, and drug-drug interactions. </w:t>
      </w:r>
      <w:r w:rsidRPr="00A6019F">
        <w:rPr>
          <w:rFonts w:ascii="Arial" w:hAnsi="Arial" w:cs="Arial"/>
        </w:rPr>
        <w:t>■</w:t>
      </w:r>
      <w:r w:rsidRPr="00A6019F">
        <w:t xml:space="preserve">FURTHER READING Bui E: Women’s issues in epilepsy. Continuum (Minneap Minn) 28:399, 2022. Cornes SB, Shih T: Evaluation of the patient with spells. Continuum (Minneap Minn) 17:984, 2011. Crepeau AZ, Sirven JI: Management of adult </w:t>
      </w:r>
      <w:r w:rsidRPr="00A6019F">
        <w:lastRenderedPageBreak/>
        <w:t xml:space="preserve">onset seizures. Mayo Clin Proc 92:306, 2017. Ellis CA et al: Epilepsy genetics: Clinical impacts and biological insights. Lancet Neurol 19:93, 2020. Fisher RS et al: Operational classification of seizure types by the Inter national League Against Epilepsy: Position paper of the ILAE Com mission for Classification and Terminology. Epilepsia 58:522, 2017. Gavvala JR, Schuele SU: New-onset seizure in adults and adoles cents: A review. JAMA 316:2657, 2016. jetté N et al: Surgical treatment for epilepsy: The potential gap between evidence and practice. Lancet Neurol 15:982, 2016. Kanner AM: Management of psychiatric and neurological comorbidi ties in epilepsy. Nat Rev Neurol 12:106, 2016. Krumholz A et al: Evidence-based guideline: Management of an unprovoked first seizure in adults: Report of the Guideline Develop ment Subcommittee of the American Academy of Neurology and the American Epilepsy Society. Neurology 84:1705, 2015. Kwan P, Brodie MJ: Early identification of refractory epilepsy. N Engl J Med 342:314, 2000. Markert MS, Fisher RS: Neuromodulation: Science and practice in epilepsy: Vagus nerve simulation, thalamic deep brain stimulation, and responsive neurostimulation. Expert Rev Neurother 19:17, 2019. Rao VR et al: Cues for seizure timing. Epilepsia 62:S15, 2021. Sen A et al: Epilepsy in older people. Lancet 395:735, 2020. Introduction to Cerebrovascular Diseases Wade S. Smith, J. Claude Hemphill, III 437 Cerebrovascular diseases include some of the most common and devas tating disorders: ischemic stroke and hemorrhagic stroke. Stroke is the second leading cause of death worldwide, with 7.1 million dying from stroke in 2020. Nearly 7 million Americans age 20 or older report having had a stroke, and the prevalence is estimated to rise by 3.4 million adults in the next decade, representing 4% of the entire adult population. Although mortality is increased from 6.2 million in 2010, the age standardized death rate has fallen by 15% in this decade, likely due to better prevention and treatment. However, overall disease burden will continue to climb as the population ages, and stroke is likely to remain the second most common disabling condition in individuals aged 50 or older worldwide. A stroke, or cerebrovascular accident, is defined as an abrupt onset of a neurologic deficit that is attributable to a vascular cause. Thus, the definition of stroke is clinical, and laboratory studies including brain imaging are used to support the diagnosis. The clinical manifestations of stroke are highly variable because of the complex anatomy of the brain and its vasculature. Cerebral ischemia is caused by a reduction in blood flow that lasts longer than several seconds. Neurologic symp toms are manifest within seconds because neurons lack glycogen, so energy failure is rapid. If the cessation of flow lasts for more than a few minutes, infarction or death of brain tissue results. When blood flow is quickly restored, brain tissue can recover fully and the patient’s symp toms are only transient: this is called a transient ischemic attack (TIA). The definition of TIA requires that all neurologic signs and symptoms resolve within 24 h without evidence of brain infarction on brain imaging. Stroke has occurred if the neurologic signs and symptoms last for &gt;24 h or brain infarction is demonstrated. A generalized reduc tion in cerebral blood flow due to systemic hypotension (e.g., cardiac arrhythmia, sepsis, or hemorrhagic shock) usually </w:t>
      </w:r>
      <w:r w:rsidRPr="00A6019F">
        <w:lastRenderedPageBreak/>
        <w:t xml:space="preserve">produces syncope (Chap. 23). If low cerebral blood flow persists for a longer duration, then infarction in the border zones between the major cerebral artery distributions may develop. In more severe instances as in cardiac arrest, global hypoxia-ischemia causes widespread brain injury; the constel lation of cognitive sequelae that ensues is called hypoxic-ischemic encephalopathy (Chap. 318). Focal ischemia or infarction, conversely, is usually caused by thrombosis of the cerebral vessels themselves or by emboli from a proximal arterial source or the heart (Chap. 438). Intra cranial hemorrhage is caused by bleeding directly into or around the brain; it produces neurologic symptoms by producing a mass effect on neural structures, from the toxic effects of blood itself, or by increasing intracranial pressure (Chap. 439). APPROACH TO THE PATIENT Cerebrovascular Disease Rapid evaluation is essential for use of acute treatments such as thrombolysis or thrombectomy. However, patients with acute stroke often do not seek medical assistance on their own because they may lose the appreciation that something is wrong (anosognosia) or lack the knowledge that acute treatment is beneficial; it is often a fam ily member or a bystander who calls for help. Therefore, patients and their family members should be counseled to call emergency medical services immediately if they experience or witness the sudden onset of any of the following: loss of sensory and/or motor function on one side of the body (nearly 85% of ischemic stroke patients have hemiparesis); change in vision, gait, or ability to speak or understand; or a sudden, severe headache. The acronym FAST (facial weakness, arm weakness, speech abnormality, and time) is simple and helpful to teach to the lay public about the common physical symptoms of stroke and to underscore that treatments are highly time sensitive. Other causes of sudden-onset neurologic symptoms that may mimic stroke include seizure, intracranial tumor, migraine, and metabolic encephalopathy. An adequate history from an observer that no convulsive activity occurred at the onset usually excludes seizure (Chap. 436), although ongoing complex partial seizures without tonic-clonic activity can on occasion mimic stroke. Tumors (Chap. 95) may present with acute neurologic symptoms due to hemorrhage, seizure, or hydrocephalus. Surprisingly, migraine (Chap. 441) can mimic stroke, even in patients without a sig nificant migraine history. When migraine develops without head pain (acephalgic migraine), the diagnosis can be especially dif ficult. Patients without any prior history of migraine may develop acephalgic migraine even after age 65. A sensory disturbance is often prominent, and the sensory deficit, as well as any motor defi cits, tends to migrate slowly across a limb, over minutes rather than seconds as with stroke. The diagnosis of migraine becomes more secure as the cortical disturbance begins to cross vascular bound aries or if classic visual symptoms are present such as scintillating scotomata. At times, it may be impossible to make the diagnosis of migraine until there have been multiple episodes with no residual symptoms or signs and no changes on brain magnetic resonance imaging (MRI). Metabolic encephalopathies typically produce fluc tuating mental status changes without focal neurologic findings. However, in the setting of prior stroke or brain injury, a patient with </w:t>
      </w:r>
      <w:r w:rsidRPr="00A6019F">
        <w:lastRenderedPageBreak/>
        <w:t xml:space="preserve">Introduction to Cerebrovascular Diseases 3429 CHAPTER 437 Stroke or TIA ABCs, glucose Establish cause Establish cause Consider oral anticoagulant Deep venous thrombosis prophylaxis Physical, occupational, speech therapy Evaluate for rehab, discharge planning Secondary prevention based on disease Hemorrhage 15% Consider BP lowering Obtain brain imaging Ischemic stroke/ TIA, 85% Consider thrombolysis/ thrombectomy Atrial fibrillation, 17% Carotid disease, 4% Aneurysmal SAH, 4% Hypertensive ICH, 7% Other, 64% Other, 4% Consider CEA or stent Consider surgery Treat specific cause Treat specific cause Clip or coil (Chap. 440) FIGURE 437-1 Medical management of stroke and TIA. Rounded boxes are diagnoses; rectangles are interventions. Numbers are percentages of stroke overall. ABCs, airway, breathing, circulation; BP, blood pressure; CEA, carotid endarterectomy; ICH, intracerebral hemorrhage; SAH, subarachnoid hemorrhage; TIA, transient ischemic attack. fever or sepsis may manifest a recurrent hemiparesis, which clears rapidly when the infection is treated. The metabolic process serves to “unmask” a prior deficit and is termed “stroke recrudescence.” Once the diagnosis of stroke is made, a brain imaging study is necessary to determine if the cause of stroke is ischemia or hemor rhage (Fig. 437-1). Computed tomography (CT) imaging of the brain is the standard imaging modality to detect the presence or absence of intracranial hemorrhage (see “Imaging Studies,” below). If the stroke is ischemic, administration of recombinant tissue plas minogen activator (rtPA) or endovascular mechanical thrombec tomy may be beneficial in restoring cerebral perfusion (Chap. 438). Medical management to reduce the risk of complications becomes the next priority, followed by plans for secondary prevention. For ischemic stroke, several strategies can reduce the risk of subsequent stroke in all patients, while other strategies are effective for patients with specific causes of stroke such as cardiac embolus and carotid atherosclerosis. For hemorrhagic stroke, aneurysmal subarachnoid hemorrhage (SAH) and hypertensive intracerebral hemorrhage are two important causes. The treatment and prevention of hyperten sive intracerebral hemorrhage are discussed in Chap. 439. SAH is discussed in Chap. 440. </w:t>
      </w:r>
      <w:r w:rsidRPr="00A6019F">
        <w:rPr>
          <w:rFonts w:ascii="Arial" w:hAnsi="Arial" w:cs="Arial"/>
        </w:rPr>
        <w:t>■</w:t>
      </w:r>
      <w:r w:rsidRPr="00A6019F">
        <w:t xml:space="preserve">STROKE SYNDROMES A careful history and neurologic examination can often localize the region of brain dysfunction; if this region corresponds to an arterial distribution, the possible causes responsible for the syndrome can be narrowed. This is of particular importance when the patient presents with a TIA and a normal examination. For example, if a patient devel ops language loss and a right homonymous hemianopia, a search for causes of left middle cerebral emboli should be performed. A finding of an isolated stenosis of the right internal carotid artery in that patient, for example, suggests an asymptomatic carotid stenosis, and the search for other causes of stroke should continue. The following sections describe the clinical findings of cerebral ischemia associated with cere bral vascular territories depicted in Figs. 437-2 through 437-11. Stroke syndromes are divided into (1) large-vessel stroke within the anterior circulation, (2) large-vessel stroke within the posterior circulation, and (3) small-vessel disease of either vascular bed. Stroke within the Anterior Circulation The internal carotid artery </w:t>
      </w:r>
      <w:r w:rsidRPr="00A6019F">
        <w:lastRenderedPageBreak/>
        <w:t xml:space="preserve">and its branches compose the anterior circulation of the brain. These vessels can be occluded by intrinsic disease of the vessel (e.g., atherosclerosis or dissection) or by embolic occlusion from a proximal source as discussed above. Occlusion of each major intracranial vessel has distinct clinical manifestations. MIDDLE CEREBRAL ARTERY Occlusion of the proximal middle cere bral artery (MCA) or one of its major branches is most often due to an embolus (artery-to-artery, cardiac, or of unknown source) rather than intracranial atherothrombosis. Atherosclerosis of the proximal MCA may cause distal emboli to the middle cerebral territory or, less com monly, may produce low-flow TIAs. Collateral formation via leptomen ingeal vessels often prevents MCA stenosis from becoming symptomatic. The cortical branches of the MCA supply the lateral surface of the hemisphere except for (1) the frontal pole and a strip along the superomedial border of the frontal and parietal lobes supplied by the anterior cerebral artery (ACA) and (2) the lower temporal and occipital pole convolutions supplied by the posterior cerebral artery (PCA) (Figs. 437-2–437-5). The proximal MCA (M1 segment) gives rise to penetrating branches (termed lenticulostriate arteries) that supply the putamen, outer globus pallidus, posterior limb of the internal capsule, adjacent corona radiata, and most of the caudate nucleus (Fig. 437-2). In the sylvian fissure, the MCA in most patients divides into superior and inferior divisions (M2 branches). Branches of the inferior division supply the inferior parietal and temporal cortex, and those from the superior division supply the frontal and superior parietal cortex (Fig. 437-3). If the entire MCA is occluded at its origin (blocking both its pen etrating and cortical branches) and the distal collaterals are limited, the clinical findings are contralateral hemiplegia, hemianesthesia, homonymous hemianopia, and a day or two of gaze preference to the ipsilateral side. Dysarthria is common because of facial weakness. When the dominant hemisphere is involved, global aphasia is present also, and when the nondominant hemisphere is affected, anosognosia, constructional apraxia, and neglect are found (Chap. 32). Complete MCA syndromes occur most often when an embolus occludes the stem of the artery. Cortical collateral blood flow and differ ing arterial configurations are probably responsible for the development of many partial syndromes. Partial syndromes may also be due to emboli that enter the proximal MCA without complete occlusion, occlude distal MCA branches, or fragment and move distally. Partial syndromes due to embolic occlusion of a single branch include hand, or arm and hand, weakness alone (brachial syndrome) or facial weakness with nonfluent (Broca) aphasia (Chap. 32), with or without arm weakness (frontal opercular syndrome). A combination of sensory disturbance, motor weakness, and nonfluent aphasia suggests that an embolus has occluded the proximal superior division and infarcted large portions of the frontal and parietal cortices (Fig. 437-3). If a fluent (Wernicke’s) aphasia occurs without weakness, the inferior division of the MCA supplying the posterior part (temporal cortex) of the domi nant hemisphere is probably involved. Jargon speech and an inability to comprehend written and spoken language are prominent features, often accompanied by a contralateral, homonymous superior quadrantanopia. Hemineglect or spatial </w:t>
      </w:r>
      <w:r w:rsidRPr="00A6019F">
        <w:lastRenderedPageBreak/>
        <w:t xml:space="preserve">agnosia without weakness indicates that the infe rior division of the MCA in the nondominant hemisphere is involved. Occlusion of a lenticulostriate vessel produces small-vessel (lacu nar) stroke within the internal capsule (Fig. 437-2). This produces pure motor stroke or sensory-motor stroke contralateral to the lesion. Ischemia within the genu of the internal capsule causes primarily facial weakness followed by arm and then leg weakness as the ischemia moves posterior within the capsule. Alternatively, the contralateral hand may become ataxic, and dysarthria will be prominent (clumsy hand, dysarthria lacunar syndrome). Lacunar infarction affecting the globus pallidus and putamen often has few clinical signs, but parkin sonism and hemiballismus have been reported. ANTERIOR CEREBRAL ARTERY The ACA is divided into two seg ments: the precommunal (A1) circle of Willis, or stem, which connects 3430 Caudate Anterior cerebral a. (A2) Anterior cerebral a. (A1) PART 13 Internal carotid a. Uncus Internal capsule Claustrum Middle cerebral a. (M2) Putamen Lenticulostriate as. Middle cerebral a. (M1) KEY Neurologic Disorders Ant. cerebral a. Middle cerebral a. Post cerebral a. Deep branches of middle cerebral a. Deep branches of ant. cerebral a. FIGURE 437-2 Diagram of a cerebral hemisphere in coronal section showing the territories of the major cerebral vessels that branch from the internal carotid arteries. Prerolandic a. Lateral orbitofrontal a. Sup. division middle cerebral a. Ant. parietal a. Rolandic a. Temporopolar a. the internal carotid artery to the anterior communicating artery, and the postcommunal (A2) segment distal to the anterior communicating artery (Figs. 437-2 and 437-4). The A1 segment gives rise to several deep penetrating branches that supply the anterior limb of the internal capsule, the anterior perforate substance, amygdala, anterior hypo thalamus, and the inferior part of the head of the caudate nucleus. Occlusion of the proximal ACA is usually well tolerated because of collateral flow through the anterior communicating artery and col laterals through the MCA and PCA. Occlusion of a single A2 segment results in the contralateral symptoms noted in Fig. 437-4. If both A2 segments arise from a single anterior cerebral stem (contralateral A1 segment atresia), the occlusion may affect both hemispheres. Profound abulia (a delay in verbal and motor response) and bilateral pyramidal signs with paraparesis or quadriparesis and urinary incontinence result. ANTERIOR CHOROIDAL ARTERY This artery arises from the internal carotid artery and supplies the posterior limb of the internal capsule and the white matter posterolateral to it, through which pass some of the geniculocalcarine fibers (Fig. 437-5). The complete syndrome of anterior choroidal artery occlusion consists of contralateral hemiple gia, hemianesthesia (hypesthesia), and homonymous hemianopia. However, because this territory is also supplied by penetrating vessels of the proximal MCA and the posterior communicating and posterior choroidal arteries, minimal deficits may occur, and patients frequently recover substantially. Anterior choroidal strokes are usually the result of in situ thrombosis of the vessel, and the vessel is particularly vul nerable to iatrogenic occlusion during surgical clipping of aneurysms arising from the internal carotid artery. Post. parietal a. Angular a. Post. temporal a. Visual radiation Inf. division middle cerebral a. KEY Broca’s </w:t>
      </w:r>
      <w:r w:rsidRPr="00A6019F">
        <w:lastRenderedPageBreak/>
        <w:t xml:space="preserve">area Sensory cortex Contraversive eye center Ant. temporal a. Auditory area Motor cortex Wernicke’s aphasia area Visual cortex FIGURE 437-3 Diagram of a cerebral hemisphere, lateral aspect, showing the branches and distribution of the middle cerebral artery (MCA) and the principal regions of cerebral localization. Note the bifurcation of the MCA into a superior and inferior division. Signs and symptoms: Structures involved Paralysis of the contralateral face, arm, and leg; sensory impairment over the same area (pinprick, cotton touch, vibration, position, two-point discrimination, stereog nosis, tactile localization, barognosis, cutaneographia): Somatic motor area for face and arm and the fibers descending from the leg area to enter the corona radiata and corresponding somatic sensory system Motor aphasia: Motor speech area of the dominant hemisphere Central aphasia, word deafness, anomia, jargon speech, sensory agraphia, acalculia, alexia, finger agnosia, right-left confusion (the last four comprise the Gerstmann syndrome): Central, suprasylvian speech area and parietooccipital cortex of the dominant hemisphere Conduction aphasia: Central speech area (parietal operculum) Apractagnosia of the nondominant hemisphere, anosognosia, hemiasomatognosia, unilateral neglect, agnosia for the left half of external space, dressing “apraxia,” constructional “apraxia,” distortion of visual coordinates, inaccurate localization in the half field, impaired ability to judge distance, upside-down reading, visual illu sions (e.g., it may appear that another person walks through a table): Nondominant parietal lobe (area corresponding to speech area in dominant hemisphere); loss of topographic memory is usually due to a nondominant lesion, occasionally to a dominant one Homonymous hemianopsia (or less frequently a superior quadrantanopsia due to isolated anterior temporal lobe infarction or inferior quadrantanopsia due to isolated parietal lobe infarction) Paralysis of conjugate gaze to the opposite side: Frontal contraversive eye field or projecting fibers. 3431 Motor cortex Secondary motor area Medial prerolandic a. Pericallosal a. Medial rolandic a. Sensory cortex Callosomarginal a. Frontopolar a. Ant. cerebral a. Medial orbitofrontal a. Post. communicating a. Post. parietal a. Splenial a. Lateral posterior choroidal a. Post. thalamic a. Parietooccipital a. Visual cortex Striate area along calcarine sulcus Penetrating thalamosubthalamic paramedian As. Post. cerebral stem Ant. Calcarine a. Post. temporal a. Medial posterior choroidal a. Hippocampal As. temporal a. FIGURE 437-4 Diagram of a cerebral hemisphere, medial aspect, showing the branches and distribution of the anterior cerebral artery and the principal regions of cerebral localization. Signs and symptoms: Structures involved Paralysis of opposite foot and leg: Motor leg area A lesser degree of paresis of opposite arm: Arm area of cortex or fibers descending to corona radiata. Cortical sensory loss over toes, foot, and leg: Sensory area for foot and leg Urinary incontinence: Sensorimotor area in paracentral lobule Contralateral grasp reflex, sucking reflex, gegenhalten (paratonic rigidity): Medial surface of the posterior frontal lobe; likely supplemental motor area Abulia (akinetic mutism), slowness, delay, intermittent interruption, lack of spontaneity, whispering, reflex distraction to sights and sounds: Uncertain localization— probably cingulate </w:t>
      </w:r>
      <w:r w:rsidRPr="00A6019F">
        <w:lastRenderedPageBreak/>
        <w:t xml:space="preserve">gyrus and medial inferior portion of frontal, parietal, and temporal lobes Impairment of gait and stance (gait apraxia): Frontal cortex near leg motor area Dyspraxia of left limbs, tactile aphasia in left limbs: Corpus callosum INTERNAL CAROTID ARTERY The clinical picture of internal carotid occlusion varies depending on whether the cause of ischemia is propa gated thrombus, embolism, or low flow. The cortex supplied by the MCA territory is affected most often. With a competent circle of Willis, occlu sion may go unnoticed. If the thrombus propagates up the internal carotid artery into the MCA or embolizes it, symptoms are identical to proximal MCA occlusion (see above). Sometimes there is massive infarction of the entire deep white matter and cortical surface. When the origins of both the ACA and MCA are occluded at the top of the carotid artery, abulia or stupor occurs with hemiplegia, hemianesthesia, and aphasia or anosogno sia. When the PCA arises from the internal carotid artery (a configuration called a fetal PCA), it may also become occluded and give rise to symp toms referable to its peripheral territory (Figs. 437-4 and 437-5). In addition to supplying the ipsilateral brain, the internal carotid artery perfuses the optic nerve and retina via the ophthalmic artery. In ~25% of symptomatic internal carotid disease, recurrent transient monocular blindness (amaurosis fugax) warns of the lesion. Patients typically describe a horizontal shade that sweeps down or up across the field of vision. They may also complain that their vision was blurred in that eye or that the upper or lower half of vision disappeared. In most cases, these symptoms last only a few minutes. Rarely, ischemia or infarction of the ophthalmic artery or central retinal arteries occurs at the time of cerebral TIA or infarction. A high-pitched prolonged carotid bruit fading into diastole is often associated with tightly stenotic lesions. As the stenosis grows tighter and flow distal to the stenosis becomes reduced, the bruit becomes fainter and may disappear when occlusion is imminent. COMMON CAROTID ARTERY All symptoms and signs of internal carotid occlusion may also be present with occlusion of the common carotid artery. Jaw claudication may result from low flow in the exter nal carotid branches. Bilateral common carotid artery occlusions at their origin may occur in Takayasu’s arteritis (Chap. 375). Stroke within the Posterior Circulation The posterior circulation is composed of the paired vertebral arteries, the basilar artery, and the paired PCAs. The vertebral arteries join to form the basilar artery at the pontomedullary junction. The basilar artery divides into two PCAs in the interpeduncular fossa (Figs. 437-4–437-6). These major arteries give rise to long and short circumferential branches and to smaller deep pen etrating branches that supply the cerebellum, medulla, pons, midbrain, subthalamus, thalamus, hippocampus, and medial temporal and occipital lobes. Occlusion of each vessel produces its own distinctive syndrome. POSTERIOR CEREBRAL ARTERY In 75% of cases, both PCAs arise from the bifurcation of the basilar artery; in 20%, one has its origin from the ipsilateral internal carotid artery via the posterior commu nicating artery; in 5%, both originate from the respective ipsilateral internal carotid arteries (Figs. 437-4–437-6). The precommunal, or P1, segment of the true PCA is atretic in such cases. PCA syndromes usually result from atheroma </w:t>
      </w:r>
      <w:r w:rsidRPr="00A6019F">
        <w:lastRenderedPageBreak/>
        <w:t xml:space="preserve">formation or emboli that lodge at the top of the basilar artery; posterior circulation disease may also be caused by dissection of either vertebral artery or fibromus cular dysplasia. Two clinical syndromes are commonly observed with occlusion of the PCA: (1) P1 syndrome: midbrain, subthalamic, and thalamic signs, which are due to disease of the proximal P1 segment of the PCA or its penetrating branches (thalamogeniculate, Percheron, and posterior choroidal arteries); and (2) P2 syndrome: cortical temporal and occipi tal lobe signs, due to occlusion of the P2 segment distal to the junction of the PCA with the posterior communicating artery. P1 SYNDROMES Infarction usually occurs in the ipsilateral subthala mus and medial thalamus and in the ipsilateral cerebral peduncle and midbrain (Figs. 437-5 and 437-11). A third nerve palsy with contra lateral ataxia (Claude’s syndrome) or with contralateral hemiplegia (Weber’s syndrome) may result. The ataxia indicates involvement of CHAPTER 437 Introduction to Cerebrovascular Diseases 3432 Internal Ant. cerebral a. Superior cerebellar a. carotid a. Ant. choroidal a. Mesencephalic paramedian As. Splenial a. PART 13 Neurologic Disorders Parietooccipital a. Calcarine a. Post. communicating a. Post. cerebral a. Medial posterior choroidal a. Ant. temporal a. Hippocampal a. Post. temporal a. Post. thalamic a. Visual cortex Lateral posterior choroidal a. FIGURE 437-5 Inferior aspect of the brain with the branches and distribution of the posterior cerebral artery and the principal anatomic structures shown. Signs and symptoms: Structures involved Peripheral territory (see also Fig. 437-9). Homonymous hemianopia (often upper quadrantic): Calcarine cortex or optic radiation nearby. Bilateral homonymous hemianopia, cortical blindness, awareness or denial of blindness; tactile naming, achromatopia (color blindness), failure to see to-and-fro movements, inability to perceive objects not centrally located, apraxia of ocular movements, inability to count or enumerate objects, tendency to run into things that the patient sees and tries to avoid: Bilateral occipital lobe with possibly the parietal lobe involved. Verbal dyslexia without agraphia, color anomia: Dominant calcarine lesion and posterior part of corpus callosum. Memory defect: Hippocampal lesion bilaterally or on the dominant side only. Topographic disorientation and prosopagnosia: Usually with lesions of nondominant, calcarine, and lingual gyrus. Simultanagnosia, hemivisual neglect: Dominant visual cortex, contralateral hemisphere. Unformed visual halluci nations, peduncular hallucinosis, metamorphopsia, teleopsia, illusory visual spread, palinopsia, distortion of outlines, central photophobia: Calcarine cortex. Complex hallucinations: Usually nondominant hemisphere. Central territory. Thalamic syndrome: sensory loss (all modalities), spontaneous pain and dysesthesias, choreoathetosis, intention tremor, spasms of hand, mild hemiparesis: Posteroventral nucleus of thalamus; involvement of the adjacent sub thalamus body or its afferent tracts. Thalamoperforate syndrome: crossed cerebel lar ataxia with ipsilateral third nerve palsy (Claude’s syndrome): Dentatothalamic tract and issuing third nerve. Weber’s syndrome: third nerve palsy and contralateral hemiplegia: Third nerve and cerebral peduncle. Contralateral hemiplegia: Cerebral peduncle. Paralysis or paresis of vertical eye movement, skew deviation, </w:t>
      </w:r>
      <w:r w:rsidRPr="00A6019F">
        <w:lastRenderedPageBreak/>
        <w:t xml:space="preserve">sluggish pupillary responses to light, slight miosis and ptosis (retraction nystagmus and “tucking” of the eyelids may be associated): Supranuclear fibers to third nerve, interstitial nucleus of Cajal, nucleus of Darkschewitsch, and posterior commissure. Contralateral rhythmic, ataxic action tremor; rhythmic postural or “holding” tremor (rubral tremor): Dentatothalamic tract. the red nucleus or dentatorubrothalamic tract; the hemiplegia is local ized to the cerebral peduncle (Fig. 437-11). If the subthalamic nucleus is involved, contralateral hemiballismus may occur. Occlusion of the artery of Percheron produces paresis of upward gaze and drowsiness and often abulia. Extensive infarction in the midbrain and subthalamus occurring with bilateral proximal PCA occlusion presents as coma, unreactive pupils, bilateral pyramidal signs, and decerebrate rigidity. Occlusion of the penetrating branches of thalamic and thalamoge niculate arteries produces less extensive thalamic and thalamocapsular lacunar syndromes. The thalamic Déjérine-Roussy syndrome consists of contralateral hemisensory loss followed later by an agonizing, sear ing, or burning pain in the affected areas. It is persistent and responds poorly to analgesics. Anticonvulsants (carbamazepine or gabapentin) or tricyclic antidepressants may be beneficial. P2 SYNDROMES (Figs. 437-4 and 437-5) Occlusion of the distal PCA causes infarction of the medial temporal and occipital lobes. Posterior cerebral a. Middle cerebral a. Basilar a. Vertebral a. Posterior Inferior cerebellar a. Deep branches of the basilar a. Anterior Inferior cerebellar a. FIGURE 437-6 Diagram of the posterior circulation, showing the intracranial vertebral arteries forming the basilar artery that gives off the anterior inferior cerebellar, superior cerebellar, and posterior cerebral arteries. The posterior inferior cerebellar artery arises from each of the vertebral segments. The majority of brainstem blood flow arises from numerous deep branches of the basilar artery that penetrate directly into the brainstem. Contralateral homonymous hemianopia without macula sparing is the usual manifestation. (MCA strokes often produce hemianopia but typically spare the macula as calcarine cortex is perfused by the P2 segment.) Occasionally, only the upper quadrant of visual field is involved or the macula vision is spared. If the visual association areas are spared and only the calcarine cortex is involved, the patient may be aware of visual defects. Medial temporal lobe and hippocampal involvement may cause an acute disturbance in memory, particularly if it occurs in the dominant hemisphere. The defect usually clears because memory has bilateral representation. If the dominant hemi sphere is affected and the infarct extends to involve the splenium of the corpus callosum, the patient may demonstrate alexia without agraphia. Visual agnosia for faces, objects, mathematical symbols, and colors and anomia with paraphasic errors (amnestic aphasia) may also occur, even without callosal involvement. Occlusion of the PCA can produce peduncular hallucinosis (visual hallucinations of brightly colored scenes and objects). Bilateral infarction in the distal PCAs produces cortical blindness (blindness with preserved pupillary light reaction). The patient is often unaware of the blindness or may even deny it (Anton’s syndrome). Tiny islands of vision may persist, and the patient may report that vision </w:t>
      </w:r>
      <w:r w:rsidRPr="00A6019F">
        <w:lastRenderedPageBreak/>
        <w:t xml:space="preserve">fluctuates as images are captured in the preserved portions. Rarely, only peripheral vision is lost and central vision is spared, resulting in “gun-barrel” vision. Bilateral visual association area lesions may result in Balint’s syndrome, a disorder of the orderly visual scanning of the environment (Chap. 32), usually resulting from infarctions second ary to low flow in the “watershed” between the distal PCA and MCA territories, as occurs after cardiac arrest. Patients may experience per sistence of a visual image for several minutes despite gazing at another scene (palinopsia) or an inability to synthesize the whole of an image (asimultanagnosia). Embolic occlusion of the top of the basilar artery can produce any or all the central or peripheral territory symptoms. The hallmark is the sudden onset of bilateral signs, including ptosis, pupillary asymmetry or lack of reaction to light, and somnolence. Patients will often have posturing and myoclonic jerking that simulates seizure. Interrogation of the noncontrast CT scan for a hyperdense basilar artery sign (indicating thrombus in the basilar artery) or CT angiography (CTA) establishes this diagnosis. Physicians should be suspicious of this rare but potentially treatable stroke syndrome in the setting of presumed new-onset seizure and cranial nerve deficits. VERTEBRAL AND POSTERIOR INFERIOR CEREBELLAR ARTERIES The vertebral artery, which arises from the innominate artery on the right and the subclavian artery on the left, consists of four segments. The first (V1) extends from its origin to its entrance into the sixth or fifth transverse vertebral foramen. The second segment (V2) traverses the vertebral foramina from C6 to C2. The third (V3) passes through the transverse foramen and circles around the arch of the atlas to pierce the dura at the foramen magnum. The fourth (V4) segment courses Spinothalamic tract Pyramid 12th n. 3433 Medial lemniscus Ventral spinocerebellar tract Dorsal spinocerebellar tract Nucleus ambiguus– motor 9 +10 Descending nucleus and tract - 5th n. Tractus solitarius with nucleus Inferior olive 10th n. Descending sympathetic tract Vestibular nucleus 12th n. nucleus Restiform body Olivocerebellar fibers Medial longitudinal fasciculus Medullary syndrome: Lateral Medial Medulla Cerebellum FIGURE 437-7 Axial section at the level of the medulla, depicted schematically on the left, with a corresponding magnetic resonance image on the right. Note that in Figs. 437-7 through 437-11, all drawings are oriented with the dorsal surface at the bottom, matching the orientation of the brainstem that is commonly seen in all modern neuroimaging studies. Approximate regions involved in medial and lateral medullary stroke syndromes are shown. Signs and symptoms: Structures involved 1. Medial medullary syndrome (occlusion of vertebral artery or of branch of vertebral or lower basilar artery) On side of lesion Paralysis with atrophy of one-half half the tongue: Ipsilateral twelfth nerve Paralysis of arm and leg, sparing face; impaired tactile and proprioceptive sense over one-half the body: Contralateral pyramidal tract and medial lemniscus Pain, numbness, impaired sensation over one-half the face: Descending tract and nucleus fifth nerve Ataxia of limbs, falling to side of lesion: Uncertain—restiform body, cerebellar hemisphere, cerebellar fibers, spinocerebellar tract (?) Nystagmus, diplopia, oscillopsia, vertigo, nausea, vomiting: Vestibular nucleus Horner’s syndrome (miosis, </w:t>
      </w:r>
      <w:r w:rsidRPr="00A6019F">
        <w:lastRenderedPageBreak/>
        <w:t xml:space="preserve">ptosis, decreased sweating): Descending sympathetic tract Dysphagia, hoarseness, paralysis of palate, paralysis of vocal cord, diminished gag reflex: Issuing fibers ninth and tenth nerves Loss of taste: Nucleus and tractus solitarius Numbness of ipsilateral arm, trunk, or leg: Cuneate and gracile nuclei Weakness of lower face: Genuflected upper motor neuron fibers to ipsilateral facial nucleus Impaired pain and thermal sense over half the body, sometimes face: Spinothalamic tract 5. Basilar artery syndrome (the syndrome of the lone vertebral artery is equivalent): A combination of the various brainstem syndromes plus those arising in the posterior cerebral artery distribution. Bilateral long tract signs (sensory and motor; cerebellar and peripheral cranial nerve abnormalities): Bilateral long tract; cerebellar and peripheral cranial nerves Paralysis or weakness of all extremities, plus all bulbar musculature: Corticobulbar and corticospinal tracts bilaterally upward to join the other vertebral artery to form the basilar artery (Fig. 437-6); only the fourth segment gives rise to branches that supply the brainstem and cerebellum. The posterior inferior cerebellar artery (PICA) in its proximal segment supplies the lateral medulla and, in its distal branches, the inferior surface of the cerebellum. Atherothrombotic lesions have a predilection for V1 and V4 seg ments of the vertebral artery. The first segment may become diseased at the origin of the vessel and may produce posterior circulation emboli; collateral flow from the contralateral vertebral artery or the ascending cervical, thyrocervical, or occipital arteries is usually sufficient to pre vent low-flow TIAs or stroke. When one vertebral artery is atretic and an atherothrombotic lesion threatens the origin of the other, the collat eral circulation, which may also include retrograde flow down the basi lar artery, is often insufficient (Figs. 437-5 and 437-6). In this setting, low-flow TIAs may occur, consisting of syncope, vertigo, and alternat ing hemiplegia; this state also sets the stage for thrombosis. Disease of the distal fourth segment of the vertebral artery can promote thrombus formation manifest as embolism or with propagation as basilar artery thrombosis. Stenosis proximal to the origin of the PICA can threaten the lateral medulla and posterior inferior surface of the cerebellum. If the subclavian artery is occluded proximal to the origin of the verte bral artery, there is a reversal in the direction of blood flow in the ipsilateral vertebral artery. Exercise of the ipsilateral arm may increase demand on vertebral flow, producing posterior circulation TIAs, or “subclavian steal.” Although atheromatous disease rarely narrows the second and third segments of the vertebral artery, this region is subject to dissection, fibromuscular dysplasia, and, rarely, encroachment by osteophytic spurs within the vertebral foramina. Embolic occlusion or thrombosis of a V4 segment causes isch emia of the lateral medulla. The constellation of vertigo, numbness of the ipsilateral face and contralateral limbs, diplopia, hoarseness, dysarthria, dysphagia, and ipsilateral Horner’s syndrome is called the lateral medullary (or Wallenberg’s) syndrome (Fig. 437-7). Ipsilateral upper motor neuron facial weakness can also occur. Most cases result from ipsilateral vertebral artery occlusion; in the remainder, PICA occlusion is responsible. Occlusion of the medullary penetrating branches of the vertebral artery or PICA results in partial </w:t>
      </w:r>
      <w:r w:rsidRPr="00A6019F">
        <w:lastRenderedPageBreak/>
        <w:t xml:space="preserve">syndromes. Hemiparesis is not a typical feature of vertebral artery occlusion; how ever, quadriparesis may result from occlusion of the anterior spinal artery. Rarely, a medial medullary syndrome occurs with infarction of the pyramid and contralateral hemiparesis of the arm and leg, sparing the face. If the medial lemniscus and emerging hypoglossal nerve fibers are involved, contralateral loss of joint position sense and ipsilateral tongue weakness occur. Cerebellar infarction can lead to respiratory arrest due to brainstem herniation from cerebellar swelling, closure of the aqueduct of Silvius or fourth ventricle, followed by hydrocephalus and central herniation. This added downward displacement of the brainstem from hydroceph alus will exacerbate respiratory and hemodynamic instability. Drowsi ness, Babinski signs, dysarthria, and bifacial weakness may be absent, or present only briefly, before respiratory arrest ensues. Gait unsteadi ness, headache, dizziness, nausea, and vomiting may be the only early symptoms and signs and should arouse suspicion of this impending complication, which may require neurosurgical decompression, often with an excellent outcome. Separating these symptoms from those of CHAPTER 437 Introduction to Cerebrovascular Diseases 3434 Spinothalamic tract Descending tract and nucleus of 5th n. 7th n. 8th n. Dorsal cochlear nucleus PART 13 Corticospinal and corticobulbar tract 6th n. 7th n. nucleus Medial lemniscus Middle cerebellar peduncle Inferior pons 7th and 8th cranial nerves Restiform body Vestibular nucleus 6th n. nucleus complex Neurologic Disorders Inferior pontine syndrome: Lateral Medial Medial longitudinal fasciculus Cerebellum FIGURE 437-8 Axial section at the level of the inferior pons, depicted schematically on the left, with a corresponding magnetic resonance image on the right. Approximate regions involved in medial and lateral inferior pontine stroke syndromes are shown. Signs and symptoms: Structures involved Paralysis of conjugate gaze to side of lesion (preservation of convergence): Center for conjugate lateral gaze Nystagmus: Vestibular nucleus Ataxia of limbs and gait: Likely middle cerebellar peduncle Diplopia on lateral gaze: Abducens nerve Paralysis of face, arm, and leg: Corticobulbar and corticospinal tract in lower pons Impaired tactile and proprioceptive sense over one-half of the body: Medial lemniscus Horizontal and vertical nystagmus, vertigo, nausea, vomiting, oscillopsia: Vestibular nerve or nucleus Facial paralysis: Seventh nerve Paralysis of conjugate gaze to side of lesion: Center for conjugate lateral gaze Deafness, tinnitus: Auditory nerve or cochlear nucleus Ataxia: Middle cerebellar peduncle and cerebellar hemisphere Impaired sensation over face: Descending tract and nucleus fifth nerve Impaired pain and thermal sense over one-half the body (may include face): Spinothalamic tract viral labyrinthitis can be a challenge, but headache, neck stiffness, and unilateral dysmetria favor stroke. BASILAR ARTERY Branches of the basilar artery (Fig. 437-6) supply the base of the pons and superior cerebellum and fall into three groups: (1) paramedian, 7–10 in number, which supply a wedge of pons on either side of the midline; (2) short circumferential, 5–7 in number, that supply the lateral two-thirds of the pons and middle and superior cerebellar peduncles; and (3) bilateral long circumferential (superior cerebellar and anterior inferior cerebellar </w:t>
      </w:r>
      <w:r w:rsidRPr="00A6019F">
        <w:lastRenderedPageBreak/>
        <w:t xml:space="preserve">arteries), which course around the pons to supply the cerebellar hemispheres. Atheromatous lesions can occur anywhere along the basilar trunk but are most frequent in the proximal basilar and distal vertebral seg ments. Typically, lesions occlude either the proximal basilar and one or both vertebral arteries. The clinical picture varies depending on the availability of retrograde collateral flow from the posterior communi cating arteries. Rarely, dissection of a vertebral artery may involve the basilar artery and, depending on the location of true and false lumen, may produce multiple penetrating artery strokes. Although atherothrombosis occasionally occludes the distal por tion of the basilar artery, emboli from the heart or proximal vertebral or basilar segments are more commonly responsible for “top of the basilar” syndromes. Because the brainstem contains many structures in close apposition, a diversity of clinical syndromes may emerge with ischemia, reflecting involvement of the corticospinal and corticobulbar tracts, ascending sensory tracts, and cranial nerve nuclei (Figs. 437-7 to 437-11). The symptoms of transient ischemia or infarction in the territory of the basilar artery often do not indicate whether the basilar artery itself or one of its branches is diseased, yet this distinction has impor tant implications for therapy. The picture of complete basilar occlusion, however, is easy to recognize as a constellation of bilateral long tract signs (sensory and motor) with signs of cranial nerve and cerebellar dysfunction. Patients may have spontaneous posturing movements that are myoclonic in nature and simulate seizure activity. These move ments are brief, repetitive, and multifocal and often confused with status epilepticus. CT or magnetic resonance angiography can rapidly detect basilar thrombosis, and rapid treatment (thrombectomy) can be lifesaving. A “locked-in” state of preserved consciousness with quad riplegia and cranial nerve signs suggests complete pontine and lower midbrain infarction. The therapeutic goal is to identify impending basilar occlusion before devastating infarction occurs. A series of TIAs and a slowly progressive, fluctuating stroke are extremely significant, because they often herald an atherothrombotic occlusion of the distal vertebral or proximal basilar artery. TIAs in the proximal basilar distribution may produce vertigo (often described by patients as “swimming,” “swaying,” “moving,” “unsteadi ness,” or “light-headedness”). Other symptoms that warn of basilar thrombosis include diplopia, dysarthria, facial or circumoral numb ness, and hemisensory symptoms. In general, symptoms of basilar branch TIAs affect one side of the brainstem, whereas symptoms of basilar artery TIAs usually affect both sides, although a “herald” hemi paresis has been emphasized as an initial symptom of basilar occlusion. Most often, TIAs, whether due to impending occlusion of the basilar artery or a basilar branch, are short lived (5–30 min) and repetitive, occurring several times a day. The pattern suggests intermittent reduc tion of flow. Although treatment with intravenous heparin or various Temporal lobe 3435 Corticospinal and corticopontine tracts Medial lemniscus 5th n. Lateral lemniscus Middle cerebellar peduncle Spinothalamic tract 5th n. motor nucleus 5th n. sensory nucleus Superior cerebellar peduncle Midpontine syndrome: Lateral Medial Medial longitudinal fasciculus Mid-pons </w:t>
      </w:r>
      <w:r w:rsidRPr="00A6019F">
        <w:lastRenderedPageBreak/>
        <w:t xml:space="preserve">Cerebellum 5th cranial nerve FIGURE 437-9 Axial section at the level of the midpons, depicted schematically on the left, with a corresponding magnetic resonance image on the right. Approximate regions involved in medial and lateral midpontine stroke syndromes are shown. Signs and symptoms: Structures involved Ataxia of limbs and gait (more prominent in bilateral involvement): Pontine nuclei Paralysis of face, arm, and leg: Corticobulbar and corticospinal tract Variable impaired touch and proprioception when lesion extends posteriorly: Medial lemniscus Ataxia of limbs: Middle cerebellar peduncle Paralysis of muscles of mastication: Motor fibers or nucleus of fifth nerve Impaired sensation over side of face: Sensory fibers or nucleus of fifth nerve Impaired pain and thermal sense on limbs and trunk: Spinothalamic tract combinations of antiplatelet agents has been used to prevent clot propagation, there is no specific evidence to support any one approach, and endovascular intervention is also an option. Atherothrombotic occlusion of the basilar artery with infarction usually causes bilateral brainstem signs. A gaze paresis or inter nuclear ophthalmoplegia associated with ipsilateral hemiparesis may be the only manifestation of bilateral brainstem ischemia. More often, unequivocal signs of bilateral pontine disease are present. Complete basilar thrombosis carries a high mortality. Occlusion of a branch of the basilar artery usually causes unilateral symptoms and signs involving motor, sensory, and cranial nerves. If symptoms remain unilateral, concern over pending basilar occlusion should be reduced. Occlusion of the superior cerebellar artery results in severe ipsi lateral cerebellar ataxia, nausea and vomiting, dysarthria, and con tralateral loss of pain and temperature sensation over the extremities, body, and face (spino- and trigeminothalamic tract). Partial deafness, ataxic tremor of the ipsilateral upper extremity, Horner’s syndrome, and palatal myoclonus may occur rarely. Partial syndromes occur fre quently (Fig. 437-10). With large strokes, swelling and mass effects may compress the midbrain or produce hydrocephalus; these symptoms may evolve rapidly. Neurosurgical intervention may be lifesaving in such cases. Occlusion of the anterior inferior cerebellar artery produces vari able degrees of infarction because the size of this artery and the ter ritory it supplies vary inversely with those of the PICA. The principal symptoms include (1) ipsilateral deafness, facial weakness, vertigo, nausea and vomiting, nystagmus, tinnitus, cerebellar ataxia, Horner’s syndrome, and paresis of conjugate lateral gaze; and (2) contralateral loss of pain and temperature sensation. An occlusion close to the origin of the artery may cause corticospinal tract signs (Fig. 437-8). Occlusion of one of the short circumferential branches of the basilar artery affects the lateral two-thirds of the pons and middle or supe rior cerebellar peduncle, whereas occlusion of one of the paramedian branches affects a wedge-shaped area on either side of the medial pons (Figs. 437-8–437-10). </w:t>
      </w:r>
      <w:r w:rsidRPr="00A6019F">
        <w:rPr>
          <w:rFonts w:ascii="Arial" w:hAnsi="Arial" w:cs="Arial"/>
        </w:rPr>
        <w:t>■</w:t>
      </w:r>
      <w:r w:rsidRPr="00A6019F">
        <w:t xml:space="preserve">IMAGING STUDIES See also Chap. 434. CT Scans CT radiographic images identify or exclude hemorrhage as the cause of stroke, and they identify extraparenchymal hemor rhages, neoplasms, abscesses, and other conditions masquerading as stroke. Brain CT scans obtained in the first several hours after an infarction generally show no abnormality (Fig. 437-12A), and the infarct may not </w:t>
      </w:r>
      <w:r w:rsidRPr="00A6019F">
        <w:lastRenderedPageBreak/>
        <w:t xml:space="preserve">be seen reliably for 24–48 h. The decision to treat patients with IV plasminogen activators is based on the clinical diag nosis of stroke and a CT scan showing no hemorrhage. CT may fail to show small ischemic strokes in the posterior fossa because of bone artifact; small infarcts on the cortical surface may also be missed. Contrast-enhanced CT scans add specificity by showing contrast enhancement of subacute infarcts and allow visualization of venous structures. Coupled with multidetector scanners, CT angiography can be performed with administration of IV iodinated contrast allowing visualization of the cervical and intracranial arteries, intracranial veins, and aortic arch in one imaging session. Carotid disease and intracranial vascular occlusions are readily identified with this method (see Fig. 438-2). After an IV bolus of contrast, deficits in brain perfusion produced by vascular occlusion can also be demonstrated (Fig. 437-12D) and used to predict the region of infarcted brain and the brain at risk of further infarction (i.e., the ischemic penumbra, see “Pathophysiology of Isch emic Stroke” in Chap. 438). CT imaging is also sensitive for detecting SAH (although by itself does not rule it out), and CTA can readily CHAPTER 437 Introduction to Cerebrovascular Diseases 3436 Pontine nuclei and pontocerebellar fibers PART 13 Corticospinal tract Medial lemniscus Central tegmental bundle Lateral lemniscus Temporal lobe Basilar artery Spinothalamic tract Medial longitudinal fasciculus Neurologic Disorders Superior pontine syndrome: Lateral Medial Superior cerebellar peduncle Superior pons FIGURE 437-10 Axial section at the level of the superior pons, depicted schematically on the left, with a corresponding magnetic resonance image on the right. Approximate regions involved in medial and lateral superior pontine stroke syndromes are shown. Signs and symptoms: Structures involved Cerebellar ataxia (probably): Superior and/or middle cerebellar peduncle Internuclear ophthalmoplegia: Medial longitudinal fasciculus Myoclonic syndrome, palate, pharynx, vocal cords, respiratory apparatus, face, oculomotor apparatus, etc.: Localization uncertain—central tegmental bundle, dentate projection, inferior olivary nucleus Paralysis of face, arm, and leg: Corticobulbar and corticospinal tract Rarely touch, vibration, and position are affected: Medial lemniscus Ataxia of limbs and gait, falling to side of lesion: Middle and superior cerebellar peduncles, superior surface of cerebellum, dentate nucleus Dizziness, nausea, vomiting; horizontal nystagmus: Vestibular nucleus Paresis of conjugate gaze (ipsilateral): Pontine contralateral gaze Skew deviation: Uncertain Miosis, ptosis, decreased sweating over face (Horner’s syndrome): Descending sympathetic fibers Tremor: Localization unclear—Dentate nucleus, superior cerebellar peduncle Impaired pain and thermal sense on face, limbs, and trunk: Spinothalamic tract Impaired touch, vibration, and position sense, more in leg than arm (there is a tendency to incongruity of pain and touch deficits): Medial lemniscus (lateral portion) 3rd n. Crus cerebri Substantia nigra 3rd nerve nucleus Red nucleus Medial lemniscus Spinothalamic tract Periaqueductal gray matter Basilar artery Internal carotid artery Midbrain Cerebral aqueduct Midbrain syndrome: Lateral Medial Superior colliculus FIGURE 437-11 Axial section at the level of the midbrain, depicted schematically on the left, with a </w:t>
      </w:r>
      <w:r w:rsidRPr="00A6019F">
        <w:lastRenderedPageBreak/>
        <w:t xml:space="preserve">corresponding magnetic resonance image on the right. Approximate regions involved in medial and lateral midbrain stroke syndromes are shown. Signs and symptoms: Structures involved Eye “down and out” secondary to unopposed action of fourth and sixth cranial nerves, with dilated and unresponsive pupil: Third nerve fibers Paralysis of face, arm, and leg: Corticobulbar and corticospinal tract descending in crus cerebri Eye “down and out” secondary to unopposed action of fourth and sixth cranial nerves, with dilated and unresponsive pupil: Third nerve fibers and/or third nerve nucleus Hemiataxia, hyperkinesias, tremor: Red nucleus, dentatorubrothalamic pathway 3437 A P B A C CBF R D CBF 6.0s: 155 ml Mismatch volume: 43 ml Mismatch ratio: 1.4 P Tmax L FIGURE 437-12 (A) Noncontrast head computed tomography (CT) image of an 83-year-old man with sudden onset left hemiplegia, left homonymous hemianopia, rightward gaze deviation and left hemineglect showing no clear brain infarction and hyperdensity within the right middle cerebral artery (MCA) suggestive of clot. (B) CT angiography performed at the same time as the CT showing absence of the right MCA and anterior cerebral artery (ACA) vessels consistent with occlusion of the bifurcation of the right intracranial internal carotid artery. (C) Follow-up head CT 1 day later showing extensive infarction of the right frontal lobe with brain herniation. (D) CT perfusion performed with studies shown in A and B. This predicts a large core infarction (pink regions) despite attempts at revascularization with thrombectomy. CBF, cerebral blood flow. identify intracranial aneurysms (Chap. 440). Because of its speed and wide availability, noncontrast head CT is the imaging modality of choice in patients with acute stroke (Fig. 437-1), and CTA and CT per fusion imaging may also be useful and convenient adjuncts. </w:t>
      </w:r>
      <w:r w:rsidRPr="00A6019F">
        <w:rPr>
          <w:rFonts w:ascii="Arial" w:hAnsi="Arial" w:cs="Arial"/>
        </w:rPr>
        <w:t>■</w:t>
      </w:r>
      <w:r w:rsidRPr="00A6019F">
        <w:t xml:space="preserve">MRI MRI reliably documents the extent and location of infarction in all areas of the brain, including the posterior fossa and cortical surface. Diffusion-weighted imaging (DWI) identifies regions of brain infarc tion within minutes of the stroke onset (Fig. 437-13A, B), while fluid attenuated inversion recovery (FLAIR) imaging reliably reveals areas of prior brain infarction from a few days to years later (Fig. 437-13C). CT is poorly sensitive to brain infarction in the posterior fossae compared to MRI DWI images (Fig. 437-13D, E). MRI also identifies intracranial hemorrhage and other abnormalities and, using special sequences, can be as sensitive as CT for detecting acute intracerebral hemorrhage. MRI scanners with magnets of higher field strength produce more reli able and precise images. Using IV administration of gadolinium con trast, magnetic resonance (MR) perfusion studies can be performed. Brain regions showing poor perfusion but no abnormality on diffusion provide, compared to CT, an equivalent measure of the ischemic pen umbra. MR angiography is highly sensitive for stenosis of extracranial internal carotid arteries and of large intracranial vessels. With higher degrees of stenosis, MR angiography tends to overestimate the degree of stenosis when compared to conventional x-ray angiography. MRI with fat saturation is an imaging sequence used to visualize extra- or intracranial arterial dissection. This sensitive technique images clotted blood within the dissected vessel wall. Iron-sensitive imaging (ISI) is helpful to detect cerebral microbleeds that may be present in cerebral amyloid </w:t>
      </w:r>
      <w:r w:rsidRPr="00A6019F">
        <w:lastRenderedPageBreak/>
        <w:t xml:space="preserve">angiopathy and other hemorrhagic disorders. MRI is more expensive and time consuming than CT and less read ily available. Claustrophobia and the logistics of imaging acutely criti cally ill patients also limit its application. Most acute stroke protocols use CT because of these limitations. However, MRI is useful outside the acute period by more clearly defining the extent of tissue injury and discriminating new from old regions of brain infarction. MRI may have utility in patients with TIA, because it is also more likely to iden tify new infarction, which is a strong predictor of subsequent stroke. Cerebral Angiography Conventional x-ray cerebral angiography is the gold standard for identifying and quantifying atherosclerotic stenoses of the cerebral arteries and for identifying and characteriz ing other pathologies, including aneurysms, vasospasm, intraluminal thrombi, fibromuscular dysplasia, arteriovenous fistulae, vasculitis, and collateral channels of blood flow. Conventional angiography car ries risks of arterial damage, groin hemorrhage, embolic stroke, and CHAPTER 437 Introduction to Cerebrovascular Diseases 3438 PART 13 Neurologic Disorders A B C AHL D E FIGURE 437-13 Examples of magnetic resonance imaging (MRI) imaging of acute ischemic infarcts. (A) Diffusion-weighted image (DWI) revealing bright region in the left pons (arrow), and (B) dark region on apparent diffusion coefficient (ADC) in the same region. Bright regions on DWI and corresponding dark regions on ADC are consistent with acute brain ischemia (within minutes to hours of stroke onset). (C) Same region of the brain 2 days later showing bright region in the infarcted tissue on fluid-attenuated inversion recovery (FLAIR) images. The DWI and ADC values will return to normal after 10–14 days while the FLAIR abnormality will persist long term. (D) DWI MRI and (E) computed tomography (CT) images of a patient with acute-onset vertigo. The DWI image shows an acute ischemic infarction of the right posterior inferior cerebellar artery territory within the cerebellum, whereas the CT scan is only subtly hypodense in the same region. MRI is superior to CT imaging for identifying ischemic infarction especially within the posterior fossa. renal failure from contrast nephropathy, so it should be reserved for situations where less invasive means are inadequate. Acute stroke treatment with endovascular thrombectomy has proven effective in ischemic strokes caused by internal carotid terminus or MCA occlu sions and is now part of routine clinical practice at centers that have this capability (see Chap. 438). Ultrasound Techniques Stenosis at the origin of the internal carotid artery can be identified and quantified reliably by ultrasonog raphy that combines a B-mode ultrasound image with a Doppler ultra sound assessment of flow velocity (“duplex” ultrasound). Transcranial Doppler (TCD) assessment of MCA, ACA, and PCA flow and of verte brobasilar flow is also useful. This latter technique can detect stenotic lesions in the large intracranial arteries because such lesions increase systolic flow velocity. TCD can also detect microemboli from other wise asymptomatic carotid plaques. In many cases, MR angiography combined with carotid and transcranial ultrasound studies eliminates the need for conventional x-ray angiography in evaluating vascular stenosis. Alternatively, CTA of the entire head and neck can be per formed during the initial imaging of acute </w:t>
      </w:r>
      <w:r w:rsidRPr="00A6019F">
        <w:lastRenderedPageBreak/>
        <w:t xml:space="preserve">stroke. Because this images the entire arterial system relevant to stroke, with the exception of the heart, much of the clinician’s stroke workup can be completed with this single imaging study. Radionuclide Perfusion Techniques Both xenon techniques (principally xenon-CT) and positron emission tomography (PET) can quantify cerebral blood flow. These tools are generally used for research (Chap. 434) but can be useful for determining the significance of arterial stenosis and planning for revascularization surgery. Single photon emission computed tomography (SPECT) and CT or MR per fusion techniques report relative cerebral blood flow. As noted above, CT imaging is used as the initial imaging modality for acute stroke, and 3439 some centers combine both CTA and CT perfusion imaging together with the noncontrast CT scan. CT perfusion imaging increases the sen sitivity for detecting ischemia and can measure the ischemic penumbra (Fig. 437-12). Alternatively, MR perfusion can be combined with MR diffusion imaging to identify the ischemic penumbra as the mismatch between these two imaging sequences. </w:t>
      </w:r>
      <w:r w:rsidRPr="00A6019F">
        <w:rPr>
          <w:rFonts w:ascii="Arial" w:hAnsi="Arial" w:cs="Arial"/>
        </w:rPr>
        <w:t>■</w:t>
      </w:r>
      <w:r w:rsidRPr="00A6019F">
        <w:t xml:space="preserve">FURTHER READING Blumenfeld H: Neuroanatomy Through Clinical Cases, 3rd ed. New York, Sinauer Associates, 2020. Tsao CW: Heart disease and stroke statistics-2023 update: A report from the American Heart Association. Circulation 147:e93, 2023. 438 Ischemic Stroke Wade S. Smith, Anthony S. Kim, J. Claude Hemphill, III The clinical diagnosis of stroke is discussed in Chap. 437. Once this diagnosis is made and either a noncontrast computed tomography (CT) scan or magnetic resonance imaging (MRI) scan has been per formed, rapid reversal of ischemia is paramount. This chapter will focus on the stroke treatment timeline and subsequent secondary stroke prevention. </w:t>
      </w:r>
      <w:r w:rsidRPr="00A6019F">
        <w:rPr>
          <w:rFonts w:ascii="Arial" w:hAnsi="Arial" w:cs="Arial"/>
        </w:rPr>
        <w:t>■</w:t>
      </w:r>
      <w:r w:rsidRPr="00A6019F">
        <w:t xml:space="preserve">PATHOPHYSIOLOGY OF ISCHEMIC STROKE Acute occlusion of an intracranial vessel causes reduction in blood flow to the brain region it supplies (Fig. 438-1). The magnitude of flow reduction is a function of collateral blood flow, and this depends on an individual’s vascular anatomy (which may be altered by disease), the site of occlusion, and systemic blood pressure. A decrease in cerebral blood flow to zero causes death of brain tissue (neuron cell bodies, dendrites, axons, and glial cells) within 4–10 min; values 11.1 mmol/L [200 mg/dL]), so it is reason able to suppress fever and prevent hyperglycemia during and after brain ischemia. The value of induced mild hypothermia to improve stroke outcomes has not been clearly demonstrated and remains the subject of continuing clinical research. CHAPTER 438 Ischemic Stroke Arterial occlusion Mitochondrial damage Glutamate receptors Ca2+/Na+ influx Proteolysis INOS Membrane and cytoskeletal breakdown Cell death PARP Free oxygen species Lipolysis Phospholipase Thrombolysis and thrombectomy Reperfusion Inflammatory response Leukocyte adhesion Arachidonic acid production FIGURE 438-1 Major steps in the cascade of cerebral ischemia. See text for details. iNOS, inducible nitric oxide synthase; PARP, poly-A ribose polymerase. 3440 PART 13 Neurologic Disorders TREATMENT Acute Ischemic Stroke (Fig. 438-2) After the clinical diagnosis of stroke is made (Chap. 437), an orderly and prompt process of evaluation and treatment should follow. The first goal is to prevent or reverse brain injury. Attend to the patient’s airway, breathing, and circulation (ABCs), and treat hypoglycemia or hyperglycemia if </w:t>
      </w:r>
      <w:r w:rsidRPr="00A6019F">
        <w:lastRenderedPageBreak/>
        <w:t xml:space="preserve">identified by finger stick testing. Perform an emergency noncontrast head CT scan to differentiate between ischemic stroke and hemorrhagic stroke (Chap. 439); there are no reliable clinical findings that conclusively separate ischemia from hemorrhage, although a more depressed level of con sciousness, higher initial blood pressure, or worsening of symptoms after onset favor hemorrhage, and a deficit that is maximal at onset, or remits, suggests ischemia. Treatments designed to reverse or lessen the amount of tissue infarction and improve clinical outcome fall within six categories: (1) medical support, (2) IV thrombolysis, (3) endovascular revascularization, (4) antithrombotic treatment, (5) neuroprotection, and (6) stroke centers and rehabilitation. MEDICAL SUPPORT When ischemic stroke occurs, the immediate goal is to optimize cerebral perfusion in the surrounding ischemic penumbra. Atten tion is also directed toward preventing the common complications of bedridden patients—infections (pneumonia, urinary, and skin) Suspected acute stroke Give IV PA Prehospital call ahead and deep-venous thrombosis (DVT) with pulmonary embolism. Subcutaneous heparin (unfractionated and low-molecular-weight) is safe and can be used concomitantly. Use of pneumatic compres sion stockings is of proven benefit in reducing risk of DVT and is a safe alternative to heparin. Because collateral blood flow within the ischemic brain may be blood pressure dependent, there is controversy about whether blood pressure should be lowered acutely. Blood pressure should be reduced if it exceeds 220/120 mmHg, if there is malignant hypertension (Chap. 288) or concomitant myocardial ischemia, or if blood pressure is &gt;185/110 mmHg and thrombolytic therapy is anticipated. When faced with the competing demands of myo cardium and brain, lowering the heart rate with a β1-adrenergic blocker (such as esmolol) can be a first step to decrease cardiac work and maintain blood pressure. Routine lowering of blood pres sure below the limits listed above has the potential to worsen out comes. Fever is detrimental and should be treated with antipyretics and surface cooling. Serum glucose should be monitored and kept 5) may be eligible for thrombolytic and/or endovascular therapy. Based on the onset time, we follow the protocol shown in the figure. Following acute treatments, if any, we proceed with establishing the cause of the ischemic stroke. If atrial fibrillation is established or newly discovered, we favor use of apixaban 5 mg twice daily (or a reduced dose of 2.5 mg twice daily for impaired glomerular filtration rate) lifelong. If atrial fibrillation is not detected during the hospital encounter, we obtain an ambulatory electrocardiogram monitor to surveil for intermittent atrial fibrillation while treating with antiplatelet agents, then convert to oral anticoagulation if intermittent atrial fibrillation is detected. If we identify significant internal carotid stenosis, we refer for carotid endarterectomy during the same hospitalization regardless of infarct size. For all else, we use the dual antiplatelet agents aspirin (81 mg) and either clopidogrel (600 mg-load, followed by 75 mg daily) or ticagrelor (180-mg load, followed by 90 mg twice daily) daily for 21–30 days then continue aspirin at 81 mg daily. Ticagrelor has the advantage of not being affected by common polymorphisms of CYP2C19 that limit efficacy of clopidogrel in significant </w:t>
      </w:r>
      <w:r w:rsidRPr="00A6019F">
        <w:lastRenderedPageBreak/>
        <w:t xml:space="preserve">proportions of patients, particularly those of Asian descent. If the CTA revealed significant intracranial atherosclerosis or other precranial vessel stenosis within the vascular territory of the infarct (lumen caliber reduced by &gt;50%), we continue dual antiplatelet agents for at least 3 months and then convert to a single agent. Unless contraindicated, all patients receive a high intensity statin such as atorvastatin 80 mg or rosuvastatin 40 mg, with goal low-density lipoprotein level of 60 years) benefit less but still significantly. The size of the diffusion-weighted imaging volume of brain infarction during the acute stroke is a pre dictor of future deterioration requiring hemicraniectomy. Special vigilance is warranted for patients with cerebellar infarc tion. These strokes may mimic labyrinthitis because of prominent vertigo and vomiting; the presence of head or neck pain should alert the physician to consider cerebellar stroke due to vertebral artery dissection. Even small amounts of cerebellar edema can acutely increase intracranial pressure (ICP) by obstructing cerebrospinal fluid (CSF) flow leading to hydrocephalus or by directly compress ing the brainstem. The resulting brainstem compression can mani fest as coma and respiratory arrest and require emergency surgical decompression. Suboccipital decompression is recommended in patients with cerebellar infarcts who demonstrate neurologic dete rioration and should be performed before significant brainstem compression occurs. INTRAVENOUS THROMBOLYSIS The National Institute of Neurological Disorders and Stroke (NINDS) Recombinant Tissue Plasminogen Activator (rtPA) Stroke Study showed a clear benefit for IV rtPA in selected patients with acute stroke. The NINDS study used IV rtPA (0.9 mg/kg to a 90-mg maxi mum; 10% as a bolus, then the remainder over 60 min) versus pla cebo in ischemic stroke within 3 h of onset. One-half of the patients were treated within 90 min. Symptomatic intracranial hemorrhage occurred in 6.4% of patients on rtPA and 0.6% on placebo. In the rtPA group, there was a significant 12% absolute increase in the number of patients with only minimal disability (32% on placebo and 44% on rtPA) and a nonsignificant 4% reduction in mortality (21% on placebo and 17% on rtPA). Thus, despite an increased incidence of symptomatic intracranial hemorrhage, treatment with IV rtPA within 3 h of the onset of ischemic stroke improved clinical outcome. Three subsequent trials of IV rtPA did not confirm this benefit, perhaps because of the dose of rtPA used, the timing of its delivery, and small sample size. When data from all randomized IV rtPA trials were combined, however, efficacy was confirmed in the 80 years and diabetic patients with a previous stroke were excluded. In this 821-patient randomized study, efficacy was again confirmed, although the treatment effect was less robust than in the 0- to 3-h time window. In the rtPA group, 52.4% of patients achieved a good outcome at 90 days, compared to 45.2% of the placebo group (odds ratio [OR] 1.34, p = .04). The symptomatic intracranial hemorrhage rate was 2.4% in the rtPA group and 0.2% in the placebo group (p = .008). Based on these data, rtPA is approved in the 3- to 4.5-h win dow in Europe and Canada but is only approved for 0–3 h in the United States. A dose of 0.6 mg/kg is typically used in Japan and other Asian countries based on observation of &gt;600 patients given this lower dose and observing similar outcomes to historical con </w:t>
      </w:r>
      <w:r w:rsidRPr="00A6019F">
        <w:lastRenderedPageBreak/>
        <w:t xml:space="preserve">trols and a lower rate of intracranial hemorrhage. This dose also mitigates concerns that patients of Asian descent have a higher propensity to bleed from most antithrombotic and thrombolytic medications. The infrastructure to efficiently administer IV rtPA to eligible patients is a central component of primary stroke centers (see below). It represents the first treatment proven to improve clinical outcomes in ischemic stroke and is cost-effective and cost-saving. The time of stroke onset is defined as the time the patient’s symptoms were witnessed to begin or the time the patient TABLE 438-1 Administration of Intravenous Recombinant Tissue Plasminogen Activator (rtPA) or Tenecteplase for Acute Ischemic Stroke (AIS)a INDICATION Clinical diagnosis of stroke Onset of symptoms to time of drug administration ≤4.5 hb CT scan showing no hemorrhage, and no edema &gt; 1/3 of the MCA territory Age ≥18 years CONTRAINDICATION Administration of stroke thrombolysis Sustained BP &gt;185/110 mmHg despite treatment Bleeding diathesis Recent head injury or intracerebral hemorrhage Major surgery in preceding 14 days Gastrointestinal bleeding in preceding 21 days Recent myocardial infarction IV access with two peripheral IV lines (avoid arterial or central line placement) Review eligibility for stroke thrombolysis Administer 0.9 mg/kg IV (maximum 90 mg) rtPA IV as 10% of total dose by bolus, followed by remainder of total dose over 1 hc Or Administer 0.25 mg/kg IV (maximum 25 mg) tenecteplase IV push over 5 sd Frequent cuff BP monitoring No other antithrombotic treatment for 24 h For decline in neurologic status or uncontrolled BP, stop infusion, give cryoprecipitate, and reimage brain emergently Avoid urethral catheterization for ≥2 h aSee Activase (tissue plasminogen activator) package insert for complete list of contraindications and dosing. bDepending on the country, IV rtPA may be approved for up to 4.5 h with additional restrictions. cAn rtPA dose of 0.6 mg/kg is commonly used in Asia (Japan and China) based on randomized data indicating less hemorrhage and similar efficacy using this lower dose. dUse of tenecteplase for acute ischemic stroke is off-label. Abbreviations: BP, blood pressure; CT, computed tomography; MCA, middle cerebral artery. was last seen as normal. Patients who awaken with stroke have the onset defined as when they went to bed. Advanced neuroimaging techniques (see Chap. 437) may help to select patients beyond the 4.5-h window who will benefit from thrombolysis. Two trials using MRI selection beyond 4.5 h have shown clinical benefit from IV rtPA. Patients with minor stroke (nondisabling deficit and National Institutes of Health Stroke Scale [NIHSS] 0–5) appear to respond to acute aspirin or short-term dual antiplatelet therapy using the com bination of aspirin and clopidogrel as well as IV rtPA. Table 438-1 summarizes eligibility criteria and instructions for administration of IV rtPA. The plasminogen activator tenecteplase (0.25 mg/kg IV bolus over 5 s with a maximum dose of 25 mg) has been directly com pared to rtPA and is being adopted by many centers because it is given without need for a 1-h infusion. This improves the effi ciency of transferring patients to comprehensive stroke centers for thrombectomy because the IV infusion required for IV rtPA is not required for tenecteplase, thus obviating need for critical care trans port. Several trials using tenecteplase prior to endovascular therapy </w:t>
      </w:r>
      <w:r w:rsidRPr="00A6019F">
        <w:lastRenderedPageBreak/>
        <w:t xml:space="preserve">have found it to be safe. ENDOVASCULAR REVASCULARIZATION Ischemic stroke from large-vessel intracranial occlusion results in high rates of mortality and morbidity. Occlusions in such large vessels (middle cerebral artery [MCA], intracranial internal carotid artery, and the basilar artery) generally involve a large clot burden and often fail to open with IV thrombolysis alone. Endovascular mechanical thrombectomy has been studied as an alternative or adjunctive treatment of acute stroke in patients who are ineligible for, or have contraindications to, thrombolytics or in those who failed to achieve vascular recanalization with IV thrombolytics (Fig. 438-3). In 2015, the results of six randomized trials were published, all demonstrating that endovascular therapy improved clinical outcomes for internal carotid and MCA occlu sions proven by CT angiography (CTA), under 6 h from stroke CHAPTER 438 Ischemic Stroke 3442 CBF 6.0s: 57 ml Mismatch volume: 57 ml Mismatch ratio: infinite G FIGURE 438-3 (A) Noncontrast head computed tomography (CT) scan of a 78-year-old man with atrial fibrillation and hypertension who was not taking oral anticoagulants and awoke with right hemiparesis and expressive aphasia. The head CT shows no intracerebral hemorrhage. He was not treated with plasminogen activators because his last seen normal time was 8 h prior. Head CT also shows hyperdensity in the left middle cerebral artery (MCA, arrow); this finding is highly specific for MCA occlusion but is poorly sensitive, as only 20% of patients with MCA occlusion show hyperdensity. (B) To confirm a large-vessel occlusion, CT angiography (CTA) performed in the same session reveals an occlusion of a secondary branch of the left MCA (arrow). (C) CT perfusion performed immediately following the CTA shows no core infarct (no pink signal in the left image) but a large region (green shading in the right image) of ischemic tissue that will die if revascularization is not achieved. (D) Catheter angiography shows the occluded branch of the left MCA (arrow) and (E) restored flow after successful clot removal (F). (G) A subsequent diffusion-weighted imaging scan shows a very small residual brain infarction. CBF, cerebral blood flow. onset, with or without pretreatment with IV tissue plasminogen activator (tPA). One study concluded that patients were home nearly 2 months earlier if they received endovascular therapy. A combined meta-analysis of all patients in these trials confirmed a large benefit with endovascular therapy (OR, 2.49; 95% confidence interval [CI], 1.76–3.53; p 55 mm OAC • Embolization or appendage clot despite OAC OAC plus aspirin • Mitral valve prolapse • Asymptomatic No therapy • With otherwise cryptogenic stroke or TIA Aspirin • Atrial fibrillation OAC Mitral annular calcification • Without atrial fibrillation but systemic embolization, or otherwise cryptogenic stroke or TIA Aspirin • Recurrent embolization despite aspirin OAC • With atrial fibrillation OAC Aortic valve calcification • Asymptomatic No therapy • Otherwise cryptogenic stroke or TIA Aspirin Aortic arch mobile atheroma • Otherwise cryptogenic stroke or TIA Aspirin or OAC Patent foramen ovale • Otherwise cryptogenic ischemic stroke or TIA Aspirin or closure with device • Indication for OAC (deep-venous thrombosis or hypercoagulable state) OAC Mechanical heart value • Aortic position, bileaflet or Medtronic Hall tilting disk with normal left atrial size and sinus rhythm VKA </w:t>
      </w:r>
      <w:r w:rsidRPr="00A6019F">
        <w:lastRenderedPageBreak/>
        <w:t xml:space="preserve">INR 2.5, range 2–3 • Mitral position tilting disk or bileaflet valve VKA INR 3.0, range 2.5–3.5 • Mitral or aortic position, anterior-apical myocardial infarct or left atrial enlargement VKA INR 3.0, range 2.5–3.5 • Mitral or aortic position, with atrial fibrillation, or hypercoagulable state, or low ejection fraction, or atherosclerotic vascular disease Aspirin plus VKA INR 3.0, range 2.5–3.5 • Systemic embolization despite target INR Add aspirin and/or increase INR: prior target was 2.5, increase to 3.0, range 2.5–3.5; prior target was 3.0, increase to 3.5, range 3–4 Bioprosthetic valve • No other indication for VKA therapy Aspirin Infective endocarditis Avoid antithrombotic agents Nonbacterial thrombotic endocarditis • With systemic embolization Full-dose, unfractionated heparin or SC LMWH, or Xa inhibitor aCHA2 DS2-VASc score is calculated as follows: 1 point for congestive heart failure, 1 point for hypertension, 2 points for age ≥75 years, 1 point for diabetes mellitus, 2 points for stroke or TIA, 1 point for vascular disease (prior myocardial infarction, peripheral vascular disease, or aortic plaque), 1 point for age 65–74 years, 1 point for female sex category; sum of points is the total CHA2 DS2-VASc score. Note: Dose of aspirin is 50–325 mg/d; target INR for VKA is between 2 and 3 unless otherwise specified. Abbreviations: INR, international normalized ratio; LMWH, low-molecular-weight heparin; OAC, oral anticoagulant (VKA, thrombin inhibitor, or oral factor Xa inhibitors); TIA, transient ischemic attack; VKA, vitamin K antagonist. Sources: Data from DE Singer et al: Chest 133:546S, 2008; DN Salem et al: Chest 133:593S, 2008; CT January et al: JACC 64:2246, 2014. most commonly a deep-venous thrombus, may provide confirmation of the importance of a PFO with an accompanying right-to-left shunt in a particular case. Meta-analysis of three recent randomized trials reported a hazard ratio of 0.41 for recurrent stroke (about a 1% per year absolute reduction) using percutaneous occlusion devices in patients with larger PFOs and no other explanation for their stroke. Guidelines now endorse PFO closure with percutaneous devices after consultation with a neurologist and a cardiologist. Bacterial endocarditis can be a source of valvular vegetations that give rise to septic emboli. The appearance of multifocal symptoms and signs in a patient with stroke makes bacterial endocarditis more likely. Infarcts of microscopic size occur, and large septic infarcts may evolve into brain abscesses or cause hemorrhage into the infarct, which generally precludes use of anticoagulation or thrombolytics. Mycotic aneurysms caused by septic emboli may also present as subarachnoid hemorrhage (SAH) or intracerebral hemorrhage. Artery-to-Artery Embolic Stroke Thrombus formation on ath erosclerotic plaques may embolize to intracranial arteries producing an artery-to-artery embolic stroke. Less commonly, a diseased vessel may acutely thrombose. Unlike the myocardial vessels, artery-to-artery embolism, rather than local thrombosis, appears to be the dominant vascular mechanism causing large-vessel brain ischemia. Any diseased vessel may be an embolic source, including the aortic arch, common carotid, internal carotid, vertebral, and basilar arteries. CAROTID ATHEROSCLEROSIS Atherosclerosis within the carotid artery occurs most frequently within the common carotid bifurca tion and proximal internal carotid artery; the carotid siphon (portion within the cavernous sinus) is also </w:t>
      </w:r>
      <w:r w:rsidRPr="00A6019F">
        <w:lastRenderedPageBreak/>
        <w:t xml:space="preserve">vulnerable to atherosclerosis. Male gender, older age, smoking, hypertension, diabetes, and hypercholes terolemia are risk factors for carotid disease, as they are for stroke in general (Table 438-4). Carotid atherosclerosis produces an estimated 10% of ischemic stroke. For further discussion of the pathogenesis of atherosclerosis, see Chap. 244. Carotid disease can be classified by whether the stenosis is symp tomatic or asymptomatic and by the degree of stenosis (percent nar rowing of the narrowest segment compared to a nondiseased segment). Symptomatic carotid disease implies that the patient has experienced a recent (within 6 months) stroke or TIA within the vascular distribution of the artery, and it is associated with a greater risk of subsequent stroke than asymptomatic stenosis, in which the patient is symptom free and the stenosis is detected through screening. Greater degrees of arterial narrowing are generally associated with a higher risk of stroke, except that those with near occlusions are at lower risk of stroke. OTHER CAUSES OF ARTERY-TO-ARTERY EMBOLIC STROKE Intracranial atherosclerosis produces stroke either by an embolic mechanism or by in situ thrombosis of a diseased vessel. It is more common in patients of Asian and African-American descent. Recurrent stroke risk is ~15% per year, similar to untreated symptomatic carotid atherosclerosis. Dissection of the internal carotid or vertebral arteries or even ves sels beyond the circle of Willis is a common source of embolic stroke in young (age 140 mmHg or DBP &gt;90 mmHg C: Clinical symptoms Unilateral weakness Speech disturbance without weakness D: Duration &gt;60 min 10–59 min D: Diabetes (oral medications or insulin) TOTAL SCORE PART 13 Neurologic Disorders ABCD2 Score Total 0 1 2 3 in cerebral edema (Chap. 318). Patients complain of headache and manifest fluctuating neurologic symptoms and signs, especially visual symptoms. Sometimes cerebral infarction ensues, but typically, the clinical and imaging findings reverse completely. MRI findings are characteristic with edema present within the occipital lobes but also can be generalized and do not respect any single vascular territory. A closely related reversible cerebral vasoconstriction syndrome (RCVS) typically presents with sudden, severe headache closely mimicking SAH. Patients may experience ischemic infarction and intracerebral hemorrhage and typically have new-onset, severe hypertension. Con ventional x-ray angiography reveals changes in the vascular caliber throughout the hemispheres resembling vasculitis, but the process is noninflammatory. Oral calcium channel blockers may be effective in producing remission, and recurrence is rare. Leukoaraiosis, or periventricular white matter disease, is the result of multiple small-vessel infarcts within the subcortical white matter. It is readily seen on CT or MRI scans as areas of white matter injury surrounding the ventricles and within the corona radiata. The patho physiologic basis of the disease is lipohyalinosis of small penetrating arteries within the white matter, likely produced by chronic hyperten sion. Patients with periventricular white matter disease may develop a subcortical dementia syndrome, and it is likely that this common form of dementia may be delayed or prevented with antihypertensive medications (Chap. 444). CADASIL (cerebral autosomal dominant arteriopathy with subcor tical infarcts and </w:t>
      </w:r>
      <w:r w:rsidRPr="00A6019F">
        <w:lastRenderedPageBreak/>
        <w:t xml:space="preserve">leukoencephalopathy) is an inherited disorder that presents as small-vessel strokes, progressive dementia, and extensive symmetric white matter changes often including the anterior temporal lobes visualized by MRI. Approximately 40% of patients have migraine with aura, often manifest as transient motor or sensory deficits. Onset is usually in the fourth or fifth decade of life. This autosomal dominant condition is caused by one of several mutations in Notch-3, a member of a highly conserved gene family characterized by epidermal growth factor repeats in its extracellular domain. Other monogenic ischemic stroke syndromes include cerebral autosomal recessive arteriopathy with subcortical infarcts and leukoencephalopathy (CARASIL) and hereditary endotheliopathy, retinopathy, nephropathy, and stroke (HERNS). Fabry’s disease also produces both a large-vessel arteriopa thy and small-vessel infarctions. The COL4A1 mutation is associated with multiple small-vessel strokes with hemorrhagic transformation. 4 5 6 7 SCORE 1 1 2 1 2 1 1 SUM EACH CATEGORY 3-Month Rate of Stroke (%)a 0 2 3 3 8 12 17 22 aData ranges are from five cohorts. Abbreviations: DBP, diastolic blood pressure; SBP, systolic blood pressure. Source: Data from SC Johnston et al: Validation and refinement of scores to predict very early stroke risk after transient ischaemic attack. Lancet 369:283, 2007. the National Institutes of Health (NIH)–sponsored POINT trial. Failure to respond to the combination of aspirin and clopidogrel is linked to carriage of a common CYP2C19 polymorphism that leads to poor metabolism of clopidogrel into its active form. This muta tion is common, particularly in Asians. Recently, ticagrelor, 180-mg loading dose and then 90 mg twice daily, was tested in combination with aspirin compared to aspirin alone, and this also showed benefit in preventing stroke; this dual antiplatelet regimen may be favored because of the lack of genetic heterogeneity in platelet inhibition. </w:t>
      </w:r>
      <w:r w:rsidRPr="00A6019F">
        <w:rPr>
          <w:rFonts w:ascii="Arial" w:hAnsi="Arial" w:cs="Arial"/>
        </w:rPr>
        <w:t>■</w:t>
      </w:r>
      <w:r w:rsidRPr="00A6019F">
        <w:t xml:space="preserve">TRANSIENT ISCHEMIC ATTACKS TIAs are episodes of stroke symptoms that last only briefly; the stan dard definition of duration is 75 years, and men appear to benefit more than women. In summary, a patient with recent symptomatic hemispheric ischemia, high-grade stenosis in the appropriate internal carotid artery, and an institutional perioperative morbidity and mortal ity rate of ≤6% generally should undergo carotid endarterectomy. If the perioperative stroke rate is &gt;6% for any particular surgeon, however, the benefits of carotid endarterectomy are questionable. The indications for surgical treatment of asymptomatic carotid disease have been clarified by the results of the Asymptomatic Carotid Atherosclerosis Study (ACAS) and the Asymptomatic Carotid Surgery Trial (ACST). ACAS randomized asymptomatic patients with ≥60% stenosis to medical treatment with aspirin or the same medical treatment plus carotid endarterectomy. The surgical group had a risk over 5 years for ipsilateral stroke (and any perioperative stroke or death) of 5.1%, compared to a risk in the medical group of 11%. Although this demonstrates a 53% relative risk reduction, the absolute risk reduction is only 5.9% over 5 years, or 1.2% annually (Table 438-4). Nearly one-half of the strokes in the surgery group were caused by preoperative angiograms. ACST randomized asymptomatic patients with &gt;60% carotid stenosis to endarterectomy or medical therapy. The 5-year </w:t>
      </w:r>
      <w:r w:rsidRPr="00A6019F">
        <w:lastRenderedPageBreak/>
        <w:t xml:space="preserve">risk of stroke in the surgical group (including perioperative stroke or death) was 6.4%, compared to 11.8% in the medically treated group (46% relative risk reduction and 5.4% absolute risk reduction). In both ACAS and ACST, the perioperative complication rate was higher in women, perhaps negating any benefit in the reduction of stroke risk within 5 years. It is possible that with longer follow-up, a clear benefit in women will emerge. At present, carotid endarter ectomy in asymptomatic women remains particularly controversial. In summary, the natural history of asymptomatic stenosis is an ~2% per year stroke rate, whereas symptomatic patients experi ence a 13% per year risk of stroke. Whether to recommend carotid revascularization for an asymptomatic patient is somewhat contro versial and depends on many factors, including patient preference, degree of stenosis, age, gender, and comorbidities. Medical therapy for reduction of atherosclerosis risk factors, including cholesterol lowering agents and antiplatelet medications, is generally recom mended for patients with asymptomatic carotid stenosis. As with atrial fibrillation, it is imperative to counsel the patient about TIAs so that therapy can be revised if symptoms develop. ENDOVASCULAR THERAPY Balloon angioplasty coupled with stenting is one option to open stenotic carotid arteries and maintain their patency. These tech niques can treat carotid stenosis not only at the bifurcation but also near the skull base and in the intracranial segments. The Stent ing and Angioplasty with Protection in Patients at High Risk for Endarterectomy (SAPPHIRE) trial randomized high-risk patients (defined as patients with clinically significant coronary or pulmo nary disease, contralateral carotid occlusion, restenosis after end arterectomy, contralateral laryngeal-nerve palsy, prior radical neck surgery or radiation, or age &gt;80) with symptomatic carotid stenosis &gt;50% or asymptomatic stenosis &gt;80% to either stenting combined with a distal emboli-protection device or endarterectomy. The risk of death, stroke, or MI within 30 days and ipsilateral stroke or death within 1 year was 12.2% in the stenting group and 20.1% in the endarterectomy group (p = .055), suggesting that stenting is at the very least comparable to endarterectomy as a treatment option for this patient group at high risk of surgery. However, the outcomes with both interventions may not have been better than leaving the carotid stenoses untreated, particularly for the asymptomatic patients, and much of the benefit seen in the stenting group was due to a reduction in periprocedure MI. Two randomized trials com paring stents to endarterectomy in lower-risk patients have been published. The Carotid Revascularization Endarterectomy versus Stenting Trial (CREST) enrolled patients with either asymptomatic CHAPTER 438 Ischemic Stroke 3452 SAMMPRIS results and due to harm. Therefore, routine use of intracranial stenting is harmful, and medical therapy is superior for intracranial atherosclerosis. Dural Sinus Thrombosis Limited evidence exists to support short term use of anticoagulants, regardless of the presence of intracranial hemorrhage, for venous infarction following sinus thrombosis. The long-term outcome for most patients, even those with intracerebral hemorrhage, is excellent. Acknowledgment The authors acknowledge the contributions of S. Claiborne Johnston to earlier editions of this chapter. </w:t>
      </w:r>
      <w:r w:rsidRPr="00A6019F">
        <w:rPr>
          <w:rFonts w:ascii="Arial" w:hAnsi="Arial" w:cs="Arial"/>
        </w:rPr>
        <w:t>■</w:t>
      </w:r>
      <w:r w:rsidRPr="00A6019F">
        <w:t xml:space="preserve">FURTHER READING PART 13 Neurologic </w:t>
      </w:r>
      <w:r w:rsidRPr="00A6019F">
        <w:lastRenderedPageBreak/>
        <w:t xml:space="preserve">Disorders Goyal M et al: Endovascular thrombectomy after large-vessel isch aemic stroke: A meta-analysis of individual patient data from five randomised trials. Lancet 387:1723, 2016. Grotta JC et al: Prospective, multicenter, controlled trial of mobile stroke units. N Engl J Med 385:971, 2021. or symptomatic stenosis. The 30-day risk of stroke was 4.1% in the stent group and 2.3% in the surgical group, but the 30-day risk of MI was 1.1% in the stent group and 2.3% in the surgery group, suggest ing relative equivalence of risk between the procedures. At median follow-up of 2.5 years, the combined endpoint of stroke, MI, and death was the same (7.2% stent vs 6.8% surgery) and remained so at 10-year follow-up. The rate of restenosis at 2 years was also similar in both groups. The International Carotid Stenting Study (ICSS) randomized symptomatic patients to stents versus endarterectomy and found a different result: at 120 days, the incidence of stroke, MI, or death was 8.5% in the stenting group versus 5.2% in the endarterectomy group (p = .006). At median follow-up of 5 years, these differences were no longer significant except a small increase in nondisabling stroke in the stenting group but no change in the average disability. In meta-analysis, carotid endarterectomy (CEA) is less morbid in older patients (aged ≥70) than is stenting. Recently, transcarotid artery revascularization (TCAR), which involves the reversal of blood flow during an angioplasty and stenting proce dure, has been offered as an alternative to transfemoral carotid artery stenting or when CEA presents high risks. Investigation is ongoing in asymptomatic patients to compare medical therapy to stenting and CEA. This will likely answer how well medical patients do with more modern medical therapy (statins, close blood pres sure control, and lifestyle modification). BYPASS SURGERY Extracranial-to-intracranial (EC-IC) bypass surgery has been proven ineffective for atherosclerotic stenoses that are inaccessible to conventional CEA. In patients with recent stroke, an associated carotid occlusion, and evidence of inadequate perfusion of the brain as measured with positron emission tomography, no benefit from EC-IC bypass was found in a trial stopped for futility. PATENT FORAMEN OVALE In patients with PFO and/or atrial septal aneurysm with an embolic stroke and no other cause identified, three randomized trials using various endovascular closure devices individually and in meta analysis reported a significant (1% per year) reduction in second stroke compared to antiplatelet agents. If the neurologic opinion is that no other source of stroke is identified and consultation with a cardiologist knowledgeable about PFO closure supports interven tion, we recommend endovascular PFO closure. INTRACRANIAL ATHEROSCLEROSIS The WASID trial randomized patients with symptomatic stenosis (50–99%) of a major intracranial vessel to either high-dose aspirin (1300 mg/d) or warfarin (target INR, 2.0–3.0), with a combined primary endpoint of ischemic stroke, brain hemorrhage, or death from vascular cause other than stroke. The trial was terminated early because of an increased risk of adverse events related to warfarin anticoagulation. With a mean follow-up of 1.8 years, the primary endpoint was seen in 22.1% of patients in the aspirin group and 21.8% of the warfarin group. Death from any cause was seen in 4.3% of the </w:t>
      </w:r>
      <w:r w:rsidRPr="00A6019F">
        <w:lastRenderedPageBreak/>
        <w:t xml:space="preserve">aspirin group and 9.7% of the warfarin group; 3.2% of patients on aspirin experienced major hemorrhage, compared to 8.3% of patients taking warfarin. Intracranial stenting of intracranial atherosclerosis was found to be dramatically harmful compared to aspirin in the Stenting and Aggressive Medical Management for Preventing Recurrent Stroke in Intracranial Stenosis (SAMMPRIS) trial. This trial enrolled newly symptomatic TIA or minor stroke patients with associated 70–99% intracranial stenosis to primary stenting with a self-expanding stent or to medical management. Both groups received clopidogrel, aspi rin, statin, and aggressive control of blood pressure. The endpoint of stroke or death occurred in 14.7% of the stented group and 5.8% of the medically treated groups (p = .002). This low rate of second stroke was significantly lower than in the WASID trial and suggests that aggressive medical management had a marked influence on secondary stroke risk. A concomitant study of balloon-expandable stenting was halted early at 125 patients because of the negative Jiang H et al: An updated meta-analysis on the clinical outcomes of percutaneous left atrial appendage closure versus direct oral anti coagulation in patients with atrial fibrillation. J Am Coll Cardiol 200:135, 2023. Joglar JA et al: 2023 ACC/AHA/ACCP/HRS guideline for the diag nosis and management of atrial fibrillation: A report of the American College of Cardiology/American Heart Association Joint Committee on Clinical Practice Guidelines. Circulation 149:e1, 2024. Powers WJ et al: Guidelines for the early management of patients with acute ischemic stroke: 2019 update to the 2018 guidelines for the early management of acute ischemic stroke: A guideline for healthcare professionals from the American Heart Association/American Stroke Association. Stroke 50:e344, 2019. Saver JL et al: Time to treatment with endovascular thrombec tomy and outcomes from ischemic stroke: A meta-analysis. JAMA 316:1279, 2016. Sprint Research Group et al: A randomized trial of intensive versus standard blood-pressure control. N Engl J Med 373:2103, 2015. Torbey MT et al: Evidence-based guidelines for the management of large hemispheric infarction: A statement for health care profes sionals from the Neurocritical Care Society and the German Society for Neuro-intensive Care and Emergency Medicine. Neurocrit Care 22:146, 2015. 439 Intracerebral Hemorrhage J. Claude Hemphill, III, Edilberto Amorim, Wade S. Smith Intracerebral hemorrhage (ICH) is a form of stroke (see Chap. 437). Compared to ischemic stroke, patients with ICH are more likely to present with headache; however, brain imaging is required to distin guish these entities. CT imaging of the head is highly sensitive and specific for intracranial hemorrhage and determines the location(s) of bleeding. Hemorrhages are classified by their location and the under lying vascular pathology. ICH is defined as spontaneous hemorrhage directly into the brain parenchyma and will be considered here along with intracranial vascular anomalies such as arteriovenous malforma tions (AVMs) of the brain. Other categories of intracranial hemorrhage include bleeding into subarachnoid, subdural, or epidural spaces, usu ally caused by trauma (Chap. 454), and subarachnoid hemorrhage due to trauma or the rupture of an intracranial aneurysm (Chap. 440). Intracerebral </w:t>
      </w:r>
      <w:r w:rsidRPr="00A6019F">
        <w:lastRenderedPageBreak/>
        <w:t xml:space="preserve">Hemorrhage 3453 CHAPTER 439 </w:t>
      </w:r>
      <w:r w:rsidRPr="00A6019F">
        <w:rPr>
          <w:rFonts w:ascii="Arial" w:hAnsi="Arial" w:cs="Arial"/>
        </w:rPr>
        <w:t>■</w:t>
      </w:r>
      <w:r w:rsidRPr="00A6019F">
        <w:t xml:space="preserve">DIAGNOSIS Intracranial hemorrhage is often identified on noncontrast computed tomography (CT) imaging of the head during the acute evaluation of stroke. Because CT is more widely available and may be logistically easier to perform than magnetic resonance imaging (MRI), CT imag ing is generally the preferred method for acute stroke evaluation (Fig. 439-1). The location of the hemorrhage narrows the differential diagnosis to a few entities. Table 439-1 lists the causes and anatomic spaces involved in intracranial hemorrhages. </w:t>
      </w:r>
      <w:r w:rsidRPr="00A6019F">
        <w:rPr>
          <w:rFonts w:ascii="Arial" w:hAnsi="Arial" w:cs="Arial"/>
        </w:rPr>
        <w:t>■</w:t>
      </w:r>
      <w:r w:rsidRPr="00A6019F">
        <w:t xml:space="preserve">EMERGENCY MANAGEMENT Close attention should be paid to airway management because deterio ration in the level of consciousness is common and often progressive. The initial blood pressure should be maintained until the results of the CT scan are reviewed and demonstrate ICH. A higher blood pressure may promote hematoma expansion, but it remains unclear if lower ing of blood pressure reduces hematoma growth. Recent clinical trials have shown that systolic blood pressure (SBP) can be safely lowered acutely and rapidly to frontal) brain edema. The hypertension may be essential or due to chronic renal disease, acute glomerulonephritis, acute toxemia of pregnancy, pheochromocytoma, or other causes. Lowering the blood pressure reverses the process, but stroke can occur, especially if blood pressure is lowered too rapidly. Neuropathologic examination reveals multifocal to diffuse cerebral edema and hemorrhages of various sizes from pete chial to massive. Microscopically, there is necrosis of arterioles, minute cerebral infarcts, and hemorrhages. The terms hypertensive encepha lopathy and posterior reversible encephalopathy syndrome (Chap. 318) should be reserved for this syndrome and not for chronic recurrent headaches, dizziness, recurrent transient ischemic attacks, or small strokes that often occur in association with high blood pressure. Dis tinguishing hypertensive encephalopathy with ICH from hypertensive ICH is important since aggressive lowering of SBP to 130–150 mmHg acutely is often considered in hypertensive ICH, but less aggressive measures should be used in hypertensive encephalopathy. Having no alteration in mental status or other prodrome prior to the ICH favors hypertensive ICH as the disease. Primary intraventricular hemorrhage is rare and should prompt investigation for an underlying vascular anomaly. Sometimes bleeding begins within the periventricular substance of the brain and dissects into the ventricular system without leaving signs of intraparenchymal hemorrhage. Alternatively, bleeding can arise from periependymal veins. Vasculitis, usually polyarteritis nodosa or lupus erythematosus, can produce hemorrhage in any region of the central nervous system; most hemorrhages are associated with hypertension, but the arteritis itself may cause bleeding by disrupting the vessel wall. Nearly one-half of patients with primary intraventricular hemorrhage have identifiable bleeding sources seen using conventional angiography. Venous sinus thrombosis (Chap. 438) causes cortical vein hyperten sion, cerebral edema, and venous infarction. This may progress to cause intracranial hemorrhage surrounding the region of the occluded cerebral venous sinus or within the drainage region of the vein of Labbé, producing a posterior temporal or inferior parietal </w:t>
      </w:r>
      <w:r w:rsidRPr="00A6019F">
        <w:lastRenderedPageBreak/>
        <w:t xml:space="preserve">hematoma. Despite the presence of hemorrhage, IV anticoagulation is indicated to reduce the venous hypertension and limit venous ischemia and further bleeding. Sepsis can cause small petechial hemorrhages throughout the cere bral white matter. Moyamoya disease (Chap. 438), mainly an occlusive arterial disease that causes ischemic symptoms, may on occasion produce ICH. Hemorrhages into the spinal cord are usually the result of an AVM, cavernous malformation, or metastatic tumor. Epidural spinal hemorrhage produces a rapidly evolving syndrome of spinal cord or nerve root compression (Chap. 453). Spinal hemorrhages usually present with sudden back pain and some manifestation of myelopathy. Laboratory and Imaging Evaluation Patients should have rou tine blood chemistries and hematologic studies. Specific attention to the platelet count, prothrombin time, partial thromboplastin time, and international normalized ratio is important to identify coagulopathy. CT imaging reliably detects acute focal hemorrhages in the supratento rial space. Rarely, very small pontine or medullary hemorrhages may not be well delineated because of motion and bone-induced artifact that obscure structures in the posterior fossa. After the first 2 weeks, x-ray attenuation values of clotted blood diminish until they become isodense with surrounding brain. Mass effect and edema may remain. In some cases, a surrounding rim of contrast enhancement appears after 2–4 weeks and may persist for months. MRI, although more sensi tive for delineating posterior fossa lesions, is generally not necessary for primary diagnosis. MR angiography (MRA), CT angiography (CTA), and conventional x-ray angiography are used when the cause of intra cranial hemorrhage is uncertain, particularly if the patient is young or not hypertensive and the hematoma is not in one of the usual sites for hypertensive hemorrhage. CTA or postcontrast CT imaging may reveal one or more small areas of enhancement within a hematoma; this “spot sign” is thought to represent ongoing bleeding. The presence of a spot sign is associated with an increased risk of hematoma expan sion, increased mortality, and lower likelihood of favorable functional outcome. Because patients typically have focal neurologic signs and obtundation and often show signs of increased ICP, a lumbar puncture is generally unnecessary and should usually be avoided because it may induce cerebral herniation. TREATMENT CHAPTER 439 Intracerebral Hemorrhage ACUTE MANAGEMENT After immediate attention to blood pressure and airway protection (see above), focus can switch to medical and surgical management. Approximately 40% of patients with a hypertensive ICH die, but survivors can have a good to complete recovery. The ICH Score (Table 439-2) is a validated clinical grading scale that is useful for stratification of mortality risk and clinical outcome. However, a spe cific ICH clinical grading scale should not be used to precisely prog nosticate outcome because of the concern of creating a self-fulfilling prophecy of poor outcome if early aggressive care is withheld. Any identified coagulopathy should be corrected as soon as possible. For patients taking vitamin K antagonists (VKAs), rapid correction of coagulopathy can be achieved by infusing prothrombin complex concentrates (PCCs), which can be administered quickly, with Intracerebral Hemorrhage TABLE 439-2 The Intracerebral Hemorrhage </w:t>
      </w:r>
      <w:r w:rsidRPr="00A6019F">
        <w:lastRenderedPageBreak/>
        <w:t xml:space="preserve">Score CLINICAL OR IMAGING FACTOR Age 1 cm in diameter require careful observation for signs of impaired consciousness, progressive hydrocephalus, and precipi tous respiratory failure. Hydrocephalus due to cerebellar hematoma generally requires surgical evacuation and should usually not be treated solely with ventricular drainage. Tissue surrounding hematomas is displaced and compressed but not necessarily infarcted. Hence, major functional improvement often occurs as the hematoma is reabsorbed and the adjacent tis sue regains its function over several months following acute injury. Surprisingly, ICP is often normal even with large ICHs. However, if the hematoma causes marked midline shift of structures with consequent obtundation, coma, or hydrocephalus, osmotic agents can be instituted in preparation for placement of a ventriculostomy or parenchymal ICP monitor (Chap. 318). Once ICP is recorded, CSF drainage (if available), osmotic therapy, and blood pressure management can be tailored to maintain cerebral perfusion pres sure (MAP minus ICP) of 60 to ≥70 mmHg. For example, if ICP is found to be high, CSF can be drained from the ventricular space and osmotic therapy continued; persistent or progressive elevation in ICP may prompt surgical evacuation of the clot. Alternately, if ICP is normal, interventions such as osmotic therapy may be tapered. Because hyperventilation may produce ischemia due to cerebral vasoconstriction, induced hyperventilation should be lim ited to acute resuscitation of the patient with presumptive high ICP and eliminated once osmotic therapy or surgical treatments have been instituted. Glucocorticoids are not recommended for the treatment of intracerebral hemorrhage. PREVENTION Hypertension is the leading cause of primary ICH. Prevention is aimed at reducing chronic hypertension, eliminating excessive alco hol use, and discontinuing use of illicit drugs such as cocaine and amphetamines. Oral anticoagulant medications should generally be avoided in patients with high-risk features for CAA, but antiplatelet agents may be administered if there is an indication based on ath erothrombotic vascular disease. Ongoing studies are investigating the risk-benefit ratio of reinitiation of anticoagulation in patients with recent ICH who have atrial fibrillation. VASCULAR ANOMALIES </w:t>
      </w:r>
      <w:r w:rsidRPr="00A6019F">
        <w:rPr>
          <w:rFonts w:ascii="Arial" w:hAnsi="Arial" w:cs="Arial"/>
        </w:rPr>
        <w:t>■</w:t>
      </w:r>
      <w:r w:rsidRPr="00A6019F">
        <w:t xml:space="preserve">ARTERIOVENOUS MALFORMATIONS True AVMs are shunts between the arterial and venous systems that may present with headache, seizures, and intracranial hemorrhage. AVMs consist of a tangle of abnormal vessels across the cortical surface or deep within the brain substance. AVMs vary in size from a small blemish a few millimeters in diameter to a large mass of tortuous chan nels composing an arteriovenous shunt of sufficient magnitude to raise cardiac output and precipitate heart failure. Blood vessels forming the tangle interposed between arteries and veins are usually abnormally thin and histologically resemble both arteries and veins. AVMs occur in all parts of the cerebral hemispheres, brainstem, and spinal cord, but the largest ones are most frequently located in the posterior half of the hemispheres, commonly forming a wedge-shaped lesion extending from the cortex to the ventricle. Most AVMs are congenital, but cases of acquired lesions have been reported. Bleeding, headache, and seizures are most common between the ages of 10 and 30, occasionally </w:t>
      </w:r>
      <w:r w:rsidRPr="00A6019F">
        <w:lastRenderedPageBreak/>
        <w:t xml:space="preserve">as late as the fifties. AVMs are more frequent in men, and rare familial cases have been described. Familial AVM may be a part of the autosomal dominant syndrome of hereditary hemor rhagic telangiectasia (Osler-Rendu-Weber) syndrome due to mutations in either endoglin or activin receptor-like kinase 1, both involved in transforming growth factor (TGF) signaling and angiogenesis. Headache (without bleeding) may be hemicranial and throbbing, like migraine, or diffuse. Focal seizures, with or without generalization, 3457 occur in ~30% of cases. One-half of AVMs become evident as ICHs. In most, the hemorrhage is mainly intraparenchymal with extension into the subarachnoid space in some cases. Unlike primary SAHs (Chap. 440), blood from a ruptured AVM is usually not deposited in the basal cisterns, and symptomatic cerebral vasospasm is rare. The risk of AVM rupture is strongly influenced by a history of prior rup ture. Although unruptured AVMs have a hemorrhage rate of ~2–4% per year, previously ruptured AVMs may have a rate as high as 17% a year, at least for the first year. Hemorrhages may be massive, leading to death, or may be as small as 1 cm in diameter, leading to minor focal symptoms or no deficit. The AVM may be large enough to steal blood away from adjacent normal brain tissue or to increase venous pressure significantly to produce venous ischemia locally and in remote areas of the brain. This is seen most often with large AVMs in the territory of the middle cerebral artery. Large AVMs of the anterior circulation may be associated with a sys tolic and diastolic bruit (sometimes self-audible) over the eye, forehead, or neck and a bounding carotid pulse. Headache at the onset of AVM rupture is generally not as explosive as with aneurysmal rupture. MRI is better than CT for diagnosis, although noncontrast CT scanning sometimes detects calcification of the AVM and contrast may demon strate the abnormal blood vessels. Once identified, conventional x-ray angiography is the gold standard for evaluating the precise anatomy of the AVM. Surgical treatment of AVMs presenting with hemorrhage, often done in conjunction with preoperative embolization to reduce opera tive bleeding, is usually indicated for accessible lesions. Stereotactic radiosurgery, an alternative to conventional surgery, can produce a slow sclerosis of the AVM over 2–3 years. Several angiographic features can be used to help predict future bleeding risk. Paradoxically, smaller lesions seem to have a higher hem orrhage rate. The presence of deep venous drainage, venous outflow stenosis, and intranidal aneurysms may increase rupture risk. Because of the relatively low annual rate of hemorrhage and the risk of com plications due to surgical or endovascular treatment, the indications for surgery in asymptomatic AVMs are uncertain. The ARUBA (A Randomized Trial of Unruptured Brain Arteriovenous Malformations) trial randomized patients to medical management versus interven tion (surgery, endovascular embolization, combination embolization and surgery, or gamma-knife). The trial was stopped prematurely for harm, with the medical arm achieving the combined endpoint of death or symptomatic stroke in 10% of patients compared to 31% in the intervention group at a mean follow-up time of 33 months. This highly significant finding argues against routine intervention for patients presenting without hemorrhage, although </w:t>
      </w:r>
      <w:r w:rsidRPr="00A6019F">
        <w:lastRenderedPageBreak/>
        <w:t xml:space="preserve">debate ensues regarding the generalizability of these results. </w:t>
      </w:r>
      <w:r w:rsidRPr="00A6019F">
        <w:rPr>
          <w:rFonts w:ascii="Arial" w:hAnsi="Arial" w:cs="Arial"/>
        </w:rPr>
        <w:t>■</w:t>
      </w:r>
      <w:r w:rsidRPr="00A6019F">
        <w:t xml:space="preserve">CAVERNOUS ANGIOMAS Cavernous angiomas (cavernous malformations) are tufts of capil lary sinusoids that form within the deep hemispheric white matter and brainstem with no normal intervening neural structures. The pathogenesis is unclear. Most cavernous angiomas are congenital, but they may occur during life as well. Familial cavernous angiomas have been mapped to several different genes: KRIT1, CCM2, and PDCD10. Both KRIT1 and CCM2 have roles in blood vessel formation, whereas PDCD10 is an apoptotic gene. Cavernous angiomas are typically 10 mm in size may benefit from prophylactic treatment (see below). As with the treatment of asymptomatic carotid stenosis (Chap. 438), this risk-benefit ratio strongly depends on the rate of procedural complications. Giant aneurysms, those &gt;25 mm in diameter, occur at the same sites (see below) as small aneurysms, and account for 5% of cases. The three most common locations are the terminal internal carotid artery, middle cerebral artery (MCA) bifurcation, and top of the basilar artery. Their risk of rupture is ~8–10% annually after identification and may remain high indefinitely. They often cause symptoms by compressing the adjacent brain or cranial nerves. Mycotic aneurysms are usually located distal to the first bifurca tion of major arteries of the circle of Willis. Most result from infected emboli due to bacterial endocarditis causing septic degeneration of arteries and subsequent dilation and rupture. Whether these lesions should be sought and repaired prior to rupture or left to heal spontane ously with antibiotic treatment remains controversial. Pathophysiology Saccular aneurysms occur at the bifurcations of the large- to medium-sized intracranial arteries; rupture is into the subarachnoid space in the basal cisterns and sometimes into the paren chyma of the adjacent brain. Approximately 89% of aneurysms occur in the anterior circulation, mostly on the circle of Willis (Fig. 440-1). About 20% of patients have multiple aneurysms, many at mirror sites bilaterally. As an aneurysm develops, it typically forms a neck with a dome. The length of the neck and the size of the dome vary greatly and are important factors in planning neurosurgical obliteration or endovascular embolization. The arterial internal elastic lamina disappears at the base of the neck. The media thins, and connective tissue replaces smooth-muscle cells. At the site of rupture (most often the dome), the wall thins, and the tear that allows bleeding is often ≤0.5 mm long. Fusiform aneurysms, where the locations of inflow and outflow are different, typically occur in the basilar artery and are very challenging to treat. Clinical Manifestations Most unruptured intracranial aneurysms are completely asymptomatic. Symptoms are usually due to rupture Anterior communicating artery Middle cerebral artery Internal carotid artery Posterior communicating artery Basilar artery Posterior inferior cerebellar artery Anterior cerebral artery Ophthalmic artery 2 3 8 1 5 6 4 7 Anterior choroidal artery Posterior cerebral artery Superior cerebellar artery Pontine arteries Anterior inferior cerebellar artery Anterior spinal artery Vertebral artery FIGURE 440-1 View of the major blood vessels supplying the brain and common locations of saccular aneurysms: (1) Anterior communicating (12%), (2) internal carotid (30%), (3) posterior communicating (12%), (4) middle cerebral (34%), (5) basilar terminus, (6) </w:t>
      </w:r>
      <w:r w:rsidRPr="00A6019F">
        <w:lastRenderedPageBreak/>
        <w:t xml:space="preserve">superior cerebellar, (7) anterior inferior cerebellar, and (8) posterior inferior cerebellar aneurysm. Locations 1–4 are considered anterior circulation aneurysms totaling 89% overall, while locations 5–8 total 11%. and resultant SAH, although some unruptured aneurysms present with mass effect on cranial nerves or brain parenchyma. At the moment of aneurysmal rupture with a major SAH, the intracranial pressure (ICP) suddenly rises. This may account for the sudden transient loss of consciousness that occurs in nearly half of patients. Sudden loss of consciousness may be preceded by a brief moment of excruciating headache, but most patients first complain of headache upon regaining consciousness. In 10% of cases, aneurysmal bleeding is severe enough to cause loss of consciousness for several days. In ~45% of cases, severe headache associated with exertion is the presenting complaint. The patient often calls the headache “the worst headache of my life”; how ever, the most important characteristic is sudden onset. Occasionally, these ruptures may present as headache of only moderate intensity or as a change in the patient’s usual headache pattern. The headache is usually generalized, often with neck stiffness, and vomiting is common. Although sudden headache in the absence of focal neurologic symp toms is the hallmark of aneurysmal rupture, focal neurologic deficits may occur. Anterior communicating artery or MCA bifurcation aneu rysms may rupture into the adjacent brain or subdural space and form a hematoma large enough to produce mass effect. The deficits that result can include hemiparesis, aphasia, and mental slowness (abulia). Occasionally, prodromal symptoms suggest the location of a pro gressively enlarging unruptured aneurysm. A third cranial nerve palsy, particularly when associated with pupillary dilation, loss of ipsilateral (but retained contralateral) light reflex, and focal pain above or behind the eye, may occur with an expanding aneurysm at the junction of the posterior communicating artery and the internal carotid artery. A sixth nerve palsy may indicate an aneurysm in the cavernous sinus, and visual field defects can occur with an expanding supraclinoid carotid or anterior cerebral artery (ACA) aneurysm. Occipital and posterior cer vical pain may signal a posterior inferior cerebellar artery or anterior inferior cerebellar artery aneurysm (Chap. 438). Pain in or behind the eye and in the low temple can occur with an expanding MCA aneu rysm. Thunderclap headache is a variant of migraine that simulates an SAH. Before concluding that a patient with sudden, severe headache has thunderclap migraine, a definitive workup for aneurysm or other intracranial pathology is required. 3459 TABLE 440-1 Grading Scales for Subarachnoid Hemorrhage GRADE HUNT-HESS SCALE 1 2 3 4 5 Asymptomatic, or minimal headache and slight nuchal rigidity. Normal mental status, no cranial nerve or motor findings Moderate to severe headache, nuchal rigidity, normal mental status and motor function, may have cranial nerve deficit Somnolent, confused, may have cranial nerve or mild motor deficit Stupor, moderate to severe motor deficit, may have intermittent reflex posturing Coma, reflex posturing or flaccid aGlasgow Coma Scale; see Table 454-1. WORLD FEDERATION OF NEUROSURGICAL SOCIETIES (WFNS) SCALE GCSa score 15, no motor deficits GCS score 13–14, no motor deficits GCS score 13–14, </w:t>
      </w:r>
      <w:r w:rsidRPr="00A6019F">
        <w:lastRenderedPageBreak/>
        <w:t xml:space="preserve">with motor deficits GCS score 7–12, with or without motor deficits GCS score 3–6, with or without motor deficits Source: Reproduced with permission from WFNS Scale: Report of World Federation of Neurological Surgeons Committee on a Universal Subarachnoid hemorrhage Grading Scale. J Neurosurg 68:985, 1988. Aneurysms can undergo small ruptures and leaks of blood into the subarachnoid space, so-called sentinel bleeds. Sudden unexplained headache at any location should raise suspicion of SAH and be investi gated because a major hemorrhage may be imminent. The initial clinical manifestations of SAH can be graded using the Hunt-Hess or World Federation of Neurosurgical Societies classifica tion schemes (Table 440-1). For ruptured aneurysms, prognosis for a good outcome falls as the grade increases. For example, it is unusual for a Hunt-Hess grade 1 patient to die if the aneurysm is treated, but the mortality rate for grade 4 and 5 patients may be as high as 60%. Delayed Neurologic Deficits There are four major causes of delayed neurologic deficits: rerupture, hydrocephalus, delayed cerebral ischemia, and hyponatremia. 1. Rerupture. The incidence of rerupture of an untreated aneurysm in the first month following SAH is ~30%, with the peak in the first 7 days. Rerupture is associated with a 50% mortality rate and poor outcome. Early treatment eliminates this risk, and advances in endovascular and surgical techniques contribute to better outcomes. 2. Hydrocephalus. Acute hydrocephalus can cause stupor and coma and can be mitigated by placement of an external ventricular drain. More often, subacute hydrocephalus may develop over a few days or weeks and cause progressive drowsiness or slowed mentation with incontinence. Hydrocephalus may clear spontaneously, require tem porary ventricular drainage, or in some cases require placement of a ventriculoperitoneal shunt. Chronic hydrocephalus may develop weeks to months after SAH and manifest as gait difficulty, inconti nence, or impaired mentation. Subtle signs may be a lack of initiative in conversation or a failure to recover independence. 3. Delayed cerebral ischemia. Vasospasm is the narrowing of the arter ies at the base of the brain following SAH and has been associated with delayed cerebral ischemia and infarction. Delayed cerebral ischemia occurs in ~30% of patients and is the major cause of delayed morbidity and death. Signs first appear 4–14 days after the hemorrhage, most often at 7 days. While therapies can be targeted for vasospasm, there are other complex mechanisms associated with delayed cerebral ischemia and progression to infarction indepen dent of vasospasm alone. Narrowing of the arteries causing vasospasm and thickening of the vessel wall is believed to result from direct effects of clot ted blood and its breakdown products on the arteries within the subarachnoid space. In general, the more blood that surrounds the arteries, the greater is the chance of symptomatic vasospasm. Focal narrowing of major arteries produces symptoms referable to the appropriate vascular territory (Chap. 437). All of these focal symp toms may present abruptly, fluctuate, or develop over a few days. The clinical syndrome often manifests as a decline in mental status and worsening headache. Vasospasm of the large arteries can be detected reliably with conventional x-ray angiography, but this procedure is invasive and carries </w:t>
      </w:r>
      <w:r w:rsidRPr="00A6019F">
        <w:lastRenderedPageBreak/>
        <w:t xml:space="preserve">the risk of stroke and other complications. Transcutaneous Doppler ultrasound is based on the principle that the velocity of blood flow within an artery will rise as the lumen diameter is nar rowed. By directing the probe along the MCA and proximal ACA, carotid terminus, and vertebral and basilar arteries on a daily or every-other-day basis, vasospasm can be reliably detected and treat ments initiated to prevent cerebral ischemia (see below). Computed tomography (CT) angiography is another method that can detect vasospasm. The addition of CT perfusion imaging may help identify reversible ischemic deficits. In high-grade patients, invasive neuro monitoring techniques can also be considered. 4. Hyponatremia. Hyponatremia may be profound and can develop quickly in the first 2 weeks following SAH. There is both natriure sis and volume depletion with SAH, so that patients become both hyponatremic and hypovolemic. Both atrial natriuretic peptide and brain natriuretic peptide have a role in producing this “cerebral salt wasting syndrome.” Typically, it clears over the course of 1–2 weeks and, in the setting of SAH, should not be treated with free-water restriction as this may increase the risk of stroke (see below). Laboratory Evaluation and Imaging (Fig. 440-2) The hall mark of aneurysmal rupture is blood in the CSF. More than 95% of cases have enough blood to be visualized on a high-quality noncontrast CT scan obtained within 72 h. If the scan fails to establish the diagnosis of SAH and no mass lesion or obstructive hydrocephalus is found, a lumbar puncture should be performed to establish the presence of sub arachnoid blood. Lysis of the red blood cells and subsequent conversion of hemoglobin to bilirubin stains the spinal fluid yellow within 6–12 h. This xanthochromic spinal fluid peaks in intensity at 48 h and lasts for 1–4 weeks, depending on the amount of subarachnoid blood present. The extent and location of subarachnoid blood on a noncontrast CT scan help locate the underlying aneurysm, identify the cause of any neurologic deficit, and predict the occurrence of vasospasm. The likelihood of symptomatic vasospasm in the MCA and ACA can be predicted based on the size and location of clotted blood (Table 440-2). CT scans less reliably predict vasospasm in the vertebral, basilar, or posterior cerebral arteries. CHAPTER 440 Subarachnoid Hemorrhage Lumbar puncture prior to an imaging procedure is indicated only if a CT scan is not available at the time of the suspected SAH. Once the diagnosis of hemorrhage from a ruptured saccular aneurysm is confirmed, four-vessel conventional x-ray angiography (both carotids and both vertebrals) is generally performed to localize and define the anatomic details of the aneurysm and to determine if other unruptured aneurysms exist (Fig. 440-2C). The ruptured aneurysm can be treated using endovascular techniques at the time of the initial angiogram to expedite treatment and minimize the number of invasive procedures. CT angiography is an alternative method for locating the aneurysm and may be sufficient for planning definitive therapy. Close monitoring (daily or twice daily) of electrolytes is important because hyponatremia can occur precipitously during the first 2 weeks following SAH (see above). The electrocardiogram (ECG) frequently shows ST-segment and T-wave changes similar to those associated with cardiac ischemia. A </w:t>
      </w:r>
      <w:r w:rsidRPr="00A6019F">
        <w:lastRenderedPageBreak/>
        <w:t xml:space="preserve">prolonged QRS complex, increased QT interval, and prominent “peaked” or deeply inverted symmetric T waves are usually second ary to the intracranial hemorrhage. Structural myocardial lesions produced by circulating catecholamines and excessive discharge of sympathetic neurons may occur after SAH, causing these ECG changes and a reversible cardiomyopathy sufficient to cause shock. Echocar diography often reveals a pattern of regional wall motion abnormalities that follow the distribution of sympathetic nerves rather than the major coronary arteries, with relative sparing of the ventricular wall apex. The sympathetic nerves themselves appear to be injured by direct toxicity 3460 A B PART 13 Neurologic Disorders C D FIGURE 440-2 Subarachnoid hemorrhage. A. Computed tomography (CT) angiography revealing an aneurysm of the left superior cerebellar artery. B. Noncontrast CT scan at the level of the third ventricle revealing subarachnoid blood (bright) in the left sylvian fissure and within the left lateral ventricle. C. Conventional anteroposterior x-ray angiogram of the right vertebral and basilar artery showing the large aneurysm. D. Conventional angiogram following coil embolization of the aneurysm, whereby the aneurysm body is filled with platinum coils delivered through a microcatheter navigated from the femoral artery into the aneurysm neck. from the excessive catecholamine release. An asymptomatic troponin elevation is common. While arrythmias can occur after SAH, serious ventricular dysrhythmias occurring in-hospital are unusual. TREATMENT Subarachnoid Hemorrhage Early aneurysm repair prevents rerupture and allows the safe appli cation of techniques to improve blood flow (e.g., induced hyperten sion) should vasospasm and delayed cerebral ischemia develop. At many centers, definitive repair is carried out within 24 h of the bleed in all patients who are stable enough to tolerate the procedure. TABLE 440-2 Modified Fisher Grading System for Prediction of Vasospasm Risk GRADE CT SCAN FINDINGS 0 1 2 3 4 No subarachnoid or intraventicular blood Focal or diffuse thin subarachnoid blood without intraventricular blood Focal or diffuse thin subarachnoid blood with intraventricular blood Focal or diffuse thick subarachnoid blood without intraventricular blood Focal or diffuse thick subarachnoid blood with intraventricular blood Note: “Thin” is 7 days. Phe nytoin should be avoided because of its association with increased morbidity and mortality in this setting. Glucocorticoids may reduce the headache and neckache caused by the irritative effect of the subarachnoid blood; however, there is no good evidence that steroids reduce cerebral edema, are neuro protective, or reduce vascular injury, and their routine use therefore is not recommended. Antifibrinolytic agents are not routinely prescribed but have been considered in patients in whom aneurysm repair cannot proceed immediately. They are associated with a reduced incidence of aneurysmal rerupture but may also increase the risk of delayed cerebral ischemia and deep-vein thrombosis (DVT). More recent studies showed no improvement in functional outcomes, and use of these agents is not currently recommended. Delayed cerebral ischemia remains the leading cause of mor bidity and mortality following aneurysmal SAH in patients who survive the initial hemorrhage. Treatment with the calcium channel antagonist nimodipine (60 mg PO </w:t>
      </w:r>
      <w:r w:rsidRPr="00A6019F">
        <w:lastRenderedPageBreak/>
        <w:t xml:space="preserve">every 4 h) has been shown to improve outcomes, perhaps by preventing ischemic injury rather than reducing the risk of vasospasm. Nimodipine can cause sig nificant hypotension in some patients, which may worsen cere bral ischemia in patients with vasospasm. Symptomatic cerebral vasospasm can also be treated by increasing the cerebral perfusion pressure by raising mean arterial pressure through plasma volume expansion and the judicious use of IV vasopressor agents, usually phenylephrine or norepinephrine. Increasing perfusion pressure has been associated with clinical improvement in many patients, but high arterial pressure may also promote rebleeding in unre paired aneurysms. Treatment with induced hypertension in symp tomatic patients requires close monitoring of arterial pressures. Prophylactic use of induced hypertension is not recommended, as it is associated with worse outcomes. Euvolemia should be targeted as significant hypervolemia may lead to cardiopulmonary complica tions. Hypovolemia should be strictly avoided. If delayed cerebral ischemia due to vasospasm persists despite optimal medical therapy, endovascular rescue therapies with intra arterial vasodilators and percutaneous transluminal angioplasty can be considered (Fig. 440-3). Vasodilatation by direct angioplasty appears to be permanent, allowing hypertensive therapy to be A B FIGURE 440-3 Vasospasm of the right middle cerebral artery. A. Catheter angiography demonstrates significant narrowing of the right middle cerebral artery (MCA). B. Because of symptomatic delayed cerebral ischemia, soft-balloon angioplasty was used to dilate the proximal portion of the main MCA stem. tapered sooner. In contrast, the pharmacologic vasodilators (vera pamil and nicardipine) do not last more than about 24 h, and there fore, multiple treatments may be required until the subarachnoid blood is reabsorbed. Newer therapies including milrinone, neural ganglia blocks, antithrombotic agents, and intrathecal and cisternal agents are currently under investigation. Severe cerebral edema in patients with infarction from vaso spasm may increase the ICP to levels that reduce cerebral perfusion pressure. Treatment may include cerebrospinal fluid (CSF) drain age, mannitol, or hypertonic saline; for intractable cases, hemicra niectomy, deep sedation, paralysis, and moderate hypothermia may be considered. Delayed cerebral ischemia may also occur in the absence of significant large-vessel vasospasm. Potential mechanisms include microthrombosis, activation of the inflammatory cascade, micro vascular dysregulation and constriction, and cortical spreading depolarization. Targeted treatments for these mechanisms are under investigation. Acute hydrocephalus can cause stupor or coma. It may clear spontaneously or require temporary ventricular drainage. When chronic hydrocephalus develops, ventricular shunting is the treat ment of choice. Free-water restriction is contraindicated in patients with SAH at risk for delayed cerebral ischemia because hypovolemia and hypotension may occur and precipitate cerebral ischemia. Many patients continue to experience a decline in serum sodium due to cerebral salt wasting despite receiving parenteral fluids contain ing normal saline. Frequently, supplemental oral salt coupled with normal saline will mitigate hyponatremia, but often patients also require intravenous hypertonic (3%) </w:t>
      </w:r>
      <w:r w:rsidRPr="00A6019F">
        <w:lastRenderedPageBreak/>
        <w:t xml:space="preserve">saline. Care must be taken not to correct serum sodium too quickly in patients with marked hypo natremia of several days’ duration, as the osmotic demyelination syndrome (Chap. 318) may occur. All patients should have pneumatic compression stockings applied to prevent pulmonary emboli. Unfractionated heparin and low-molecular-weight heparinoids administered subcutaneously for DVT prophylaxis can be initiated within 1–2 days following endovascular treatment or craniotomy with surgical clipping; this approach is more effective than use of pneumatic compression stock ings alone. Treatment of pulmonary emboli depends on whether the aneurysm has been treated and whether or not the patient has had a craniotomy. Continuous systemic anticoagulation with heparin is contraindicated in patients with ruptured and untreated aneurysms. It is a relative contraindication following craniotomy for several days, and it may delay thrombosis of a coiled aneurysm. If DVT or pulmonary emboli occur within the first days following craniotomy, use of an inferior vena cava filter may be considered to prevent additional emboli, whereas systemic anticoagulation with heparin is preferred following successful endovascular treatment. In patients who survive their acute hospitalization, follow-up care is important to address the high prevalence of cognitive and behavioral deficits that greatly impact quality of life. Efficient recognition and treatment of these disorders can improve both short-term and long-term outcomes. In addition, some patients require ongoing follow-up to manage unruptured aneurysms that may require further care. </w:t>
      </w:r>
      <w:r w:rsidRPr="00A6019F">
        <w:rPr>
          <w:rFonts w:ascii="Arial" w:hAnsi="Arial" w:cs="Arial"/>
        </w:rPr>
        <w:t>■</w:t>
      </w:r>
      <w:r w:rsidRPr="00A6019F">
        <w:t xml:space="preserve">FURTHER READING Hoh BL et al: 2023 Guideline for the management of patients with aneurysmal subarachnoid hemorrhage: A guideline from the American Heart Association/American Stroke Association. Stroke 54:e314, 2023. Molyneux AJ et al: The durability of endovascular coiling versus neu rosurgical clipping of ruptured cerebral aneurysms: 18 year follow-up of the UK cohort of the International Subarachnoid Aneurysm Trial (ISAT). Lancet 385:691, 2015. Treggiari MM et al: Guidelines for the neurocritical care management of aneurysmal subarachnoid hemorrhage. Neurocrit Care 39:1, 2023. CHAPTER 440 Subarachnoid Hemorrhage 3462 441 Migraine and Other Primary Headache Disorders Peter J. Goadsby PART 13 Neurologic Disorders The general approach to headache as a cardinal symptom is covered else where (Chap. 17); here, disorders in which headache and associated features occur in the absence of any exogenous cause are discussed. The most common are migraine, tension-type headache (TTH), and the trigeminal autonomic cephalalgias (TACs), notably cluster headache; the complete list is summarized in Table 441-1. </w:t>
      </w:r>
      <w:r w:rsidRPr="00A6019F">
        <w:rPr>
          <w:rFonts w:ascii="Arial" w:hAnsi="Arial" w:cs="Arial"/>
        </w:rPr>
        <w:t>■</w:t>
      </w:r>
      <w:r w:rsidRPr="00A6019F">
        <w:t xml:space="preserve">MIGRAINE Migraine, the second most common cause of headache, and the most common headache-related, and indeed neurologic, cause of disability in the world, afflicts ~15% of women and 6% of men over a 1-year period. It is usually an episodic headache associated with certain features, such as sensitivity to light, sound, or movement; nausea and vomiting often accompany the headache. A useful description of migraine is a recur ring syndrome of headache associated with other symptoms of neu rologic dysfunction in varying admixtures (Table 441-2). A migraine attack has three phases: premonitory (prodrome), headache phase, and </w:t>
      </w:r>
      <w:r w:rsidRPr="00A6019F">
        <w:lastRenderedPageBreak/>
        <w:t xml:space="preserve">postdrome; each has distinct and sometimes disabling symptoms, which may overlap. About 20–25% of migraine patients have a fourth phase: aura. Migraine can often be recognized by its activators, referred to as triggers. Migraineurs are particularly sensitive to environmental and sen sory stimuli; migraine-prone patients do not habituate easily to sensory stimuli. This sensitivity is amplified in women during the menstrual cycle. Headache can be initiated or amplified by various triggers, including altered sleep patterns; hunger; let-down from stress; physical exertion; stormy weather or barometric pressure changes; hormonal fluctuations during menses; and alcohol or other chemical stimulation, such as with nitrates. Knowledge of a patient’s susceptibility to specific triggers can be useful in management strate gies involving lifestyle adjustments, although it is becoming recog nized that some apparent triggers, such as light sensitivity, may be part of the initial phase of the attack; i.e., the premonitory phase or prodrome. Pathogenesis The sensory sensitivity that is characteristic of migraine is probably due to dysfunction of monoaminergic and other sensory control systems located in the brainstem and hypothalamus (Fig. 441-1). Activation of cells in the trigeminal nucleus results in the release of vasoactive neuropeptides, notably calcitonin gene–related pep tide (CGRP) and pituitary adenylate cyclase activating polypeptide (PACAP), at vascular terminals of the trigeminal nerve and within the trigeminal nucleus. CGRP receptor antagonists, gepants, have now been shown to be effective in the acute and preventive treat ment of migraine, and four monoclonal antibodies to CGRP, or its receptor, have been shown to be effective in migraine prevention, as has one PACAP monoclonal antibody in a phase 2 study. Centrally, the second-order trigeminal neurons cross the midline and project to ventrobasal and posterior nuclei of the thalamus for further process ing. Additionally, there are projections to the periaqueductal gray and hypothalamus, from which reciprocal descending systems have established antinociceptive effects. Other brainstem regions likely to be involved in descending modulation of trigeminal pain include the locus coeruleus and parabrachial nucleus in the pons and the rostro ventromedial medulla. Pharmacologic and other data point to the involvement of the neu rotransmitter 5-hydroxytryptamine (5-HT; also known as serotonin) in migraine. In the late 1950s, methysergide was suggested to antagonize certain peripheral actions of 5-HT and was introduced, based on its anti-inflammatory properties, as a migraine preventive. The triptans were designed to stimulate selectively subpopulations of 5-HT recep tors; at least 14 different 5-HT receptors exist in humans. The triptans are potent agonists of 5-HT1B and 5-HT1D receptors, and some are active at the 5-HT1F receptor; the latter’s exclusive agonists are called ditans. Triptans arrest nerve signaling in the nociceptive pathways of the trigeminovascular system, at least in the trigeminal nucleus cauda lis and trigeminal sensory thalamus, in addition to promoting cranial vasoconstriction, whereas ditans, which are also effective in acute migraine, act only at neural targets. A range of other neural targets are currently under investigation for the acute and preventive management of migraine. Data also support a role for dopamine in the </w:t>
      </w:r>
      <w:r w:rsidRPr="00A6019F">
        <w:lastRenderedPageBreak/>
        <w:t xml:space="preserve">pathophysiology of migraine. Many migraine premonitory symptoms can be induced by dopaminergic stimulation. Moreover, there is dopamine receptor hypersensitivity in migraineurs, as demonstrated by the induction of yawning, nausea, vomiting, hypotension, and other symptoms of a migraine attack by dopaminergic agonists at doses that do not affect nonmigraineurs. Dopamine receptor antagonists are effective therapeutic agents in migraine, especially when given parenterally or concurrently with other antimigraine agents. Moreover, hypothalamic activation, anterior to that seen in cluster headache, has been shown in the premonitory (prodromal) phase of migraine using functional imaging, and this may hold a key to understanding some part of the role of dopamine in the disorder. Migraine genes identified by studying families with familial hemi plegic migraine (FHM) reveal involvement of ion channels, suggesting that alterations in membrane excitability can predispose to migraine aura. Mutations involving the Cav 2.1 (P/Q)–type voltage-gated calcium channel CACNA1A gene are now known to cause FHM 1; this muta tion is responsible for about 50% of FHM cases. Mutations in the Na+ K+ ATPase ATP1A2 gene, designated FHM 2, are responsible for about 20% of FHMs. Mutations in the neuronal voltage-gated sodium chan nel SCN1A cause FHM 3. Functional neuroimaging has suggested that brainstem regions in migraine (Fig. 441-2) and the posterior hypotha lamic gray matter region close to the human circadian pacemaker cells of the suprachiasmatic nucleus in cluster headache (Fig. 441-3) are good candidates for specific involvement in these primary headache disorders. Diagnosis and Clinical Features Classic diagnostic criteria for migraine headache are listed in Table 441-3 and should be considered together with the extended features in Table 441-2. A high index of suspicion is required to diagnose migraine: the migraine aura, consist ing of visual disturbances with flashing lights or zigzag lines moving across the visual field or of other neurologic symptoms, is reported in only 20–25% of patients. It should be distinguished from the pan-field television static-like disturbance now recognized as visual snow. The first phase of a migraine attack for most patients is the premonitory (prodromal) phase consisting of some or all of the following: yawning, sleepiness, fatigue, cognitive dysfunction, mood change, neck discom fort, polyuria, and food cravings; this can last from a few hours to days. Typically, the headache phase follows with its associated features, such as nausea, photophobia, and phonophobia as well as allodynia or vertigo. When questioned, these typical migraine symptoms also emerge in the premonitory phase, and typical premonitory symptoms also continue into the headache phase. As the headache lessens, many patients enter a postdrome, most commonly feeling tired/weary, hav ing problems concentrating, and experiencing mild neck discomfort that can last for hours and sometimes up to a day. A headache diary can often be helpful in making the diagnosis and in assessing dis ability and the frequency of acute attacks. Patients with episodes of migraine on 8 or more days per month and with at least 15 total days of headache per month are considered to have chronic migraine (see “Chronic Daily Headache” in Chap. 17). Migraine must be differen tiated from TTH (discussed below), </w:t>
      </w:r>
      <w:r w:rsidRPr="00A6019F">
        <w:lastRenderedPageBreak/>
        <w:t xml:space="preserve">which is reported to be the most common primary headache disorder. Migraine has several forms that have been defined (Table 441-1): migraine with and without aura and chronic migraine are the most important. Migraine at its most Migraine and Other Primary Headache Disorders 3463 CHAPTER 441 TABLE 441-1 Primary Headache Disorders, Modified from International Classification of Headache Disorders-III (Headache Classification Committee of the International Headache Society, 2018) 1. Migraine 1.1 Migraine without aura 1.2 Migraine with aura 1.2.1 Migraine with typical aura 1.2.1.1 Typical aura with headache 1.2.1.2 Typical aura without headache 1.2.2 Migraine with brainstem aura 1.2.3 Hemiplegic migraine 1.2.3.1 Familial hemiplegic migraine (FHM) 1.2.3.1.1 Familial hemiplegic migraine type 1 1.2.3.1.2 Familial hemiplegic migraine type 2 1.2.3.1.3 Familial hemiplegic migraine type 3 1.2.3.1.4 Familial hemiplegic migraine, other loci 1.2.3.2 Sporadic hemiplegic migraine 1.2.4 Retinal migraine 1.3 Chronic migraine 1.4 Complications of migraine 1.4.1 Status migrainosus 1.4.2 Persistent aura without infarction 1.4.3 Migrainous infarction 1.4.4 Migraine aura-triggered seizure 1.5 Probable migraine 1.5.1 Probable migraine without aura 1.5.2 Probable migraine with aura 1.6 Episodic syndromes that may be associated with migraine 1.6.1 Recurrent gastrointestinal disturbance 1.6.1.1 Cyclical vomiting syndrome 1.6.1.2 Abdominal migraine 1.6.2 Benign paroxysmal vertigo 1.6.3 Benign paroxysmal torticollis A 1.6.4 Infantile colic A 1.6.6 Vestibular migraine 2. Tension-type headache 2.1 Infrequent episodic tension-type headache 2.2 Frequent episodic tension-type headache 2.3 Chronic tension-type headache 2.4 Probable tension-type headache 3. Trigeminal autonomic cephalalgias 3.1 Cluster headache 3.1.1 Episodic cluster headache 3.1.2 Chronic cluster headache 3.2 Paroxysmal hemicrania 3.2.1 Episodic paroxysmal hemicrania 3.2.2 Chronic paroxysmal hemicrania 3.3 Short-lasting unilateral neuralgiform headache attacks 3.3.1 Short-lasting unilateral neuralgiform headache attacks with conjunctival injection and tearing (SUNCT) 3.3.1.1 Episodic SUNCT 3.3.1.2 Chronic SUNCT 3.3.2 Short-lasting unilateral neuralgiform headache attacks with cranial autonomic symptoms (SUNA) 3.3.2.1 Episodic SUNA 3.3.2.2 Chronic SUNA 3.4 Hemicrania continua 3.5 Probable trigeminal autonomic cephalalgia 4. Other primary headache disorders 4.1 Primary cough headache 4.2 Primary exercise headache 4.3 Primary headache associated with sexual activity 4.4 Primary thunderclap headache 4.5 Cold-stimulus headache 4.5.1 Headache attributed to external application of a cold stimulus 4.5.2 Headache attributed to ingestion or inhalation of a cold stimulus 4.6 External-pressure headache 4.6.1 External-compression headache 4.6.2 External-traction headache 4.7 Primary stabbing headache 4.8 Nummular headache 4.9 Hypnic headache 4.10 New daily persistent headache (NDPH) Headache Classification Committee of the International Headache Society (IHS) 38(1), pp. 1-211. Copyright © 2018 by (International Headache Society) Reprinted by Permission of SAGE Publications. 3464 TABLE 441-2 Migraine Symptoms by Attack Phase Premonitory (prodromal)- Neck discomfort- Higher center • Cognitive impairment (brain “fog”) • Mood change • Fatigue- Homeostatic • Yawning/sleepiness • </w:t>
      </w:r>
      <w:r w:rsidRPr="00A6019F">
        <w:lastRenderedPageBreak/>
        <w:t xml:space="preserve">Polyuria/polydipsia PART 13 Neurologic Disorders • Food cravings Aura- Neurologic disturbance, such as scintillating scotoma Headache phase- Pain- Nausea/vomiting- Sensory sensitivity • Photophobia • Phonophobia • Osmophobia • Allodynia • Vertigo Postdrome- Tiredness- Weariness- Concentration impairment Source: Adapted from PJ Goadsby et al: Pathophysiology of migraine: A disorder of sensory processing. Physiol Rev 97:553, 2017. Dura Cortex Cortex basic level is headache with associated features, and TTH is headache that is featureless. Most patients with disabling headache probably have migraine. Patients with acephalgic migraine (typical aura without headache, 1.2.1.2 in Table 441-1) experience recurrent neurologic symptoms, often with nausea or vomiting, but with little or no headache. Vertigo can be prominent; it has been estimated that one-third of patients referred for vertigo or dizziness have a primary diagno sis of migraine; the term vestibular migraine is often used in this setting (Table 441-1 A1.6.6). Migraine aura can have prominent brainstem symptoms, and the terms basilar artery and basilar-type migraine have now been replaced by migraine with brainstem aura (Table 441-1). TREATMENT Migraine Headache Once a diagnosis of migraine has been established, it is important to assess the extent of a patient’s disease and disability. The Migraine Disability Assessment Score (MIDAS) is a well-validated, easy-to use tool (Fig. 441-4). Patient education is an important aspect of migraine manage ment. Information for patients is available at websites such as the American Migraine Foundation (www.americanmigrainefounda tion.org) and the Migraine Trust (www.migrainetrust.org). It is helpful for patients to understand that migraine is an inherited tendency to headache; that migraine can be modified and con trolled by lifestyle adjustments and medications, but it cannot be eradicated; and that, except on some occasions in women on oral estrogens or contraceptives, migraine is not associated with serious or life-threatening illnesses. Thalamus Thalamus Hypothalamus Hypothalamus Quintothalamic Quintothalamic tract tract Dorsal raphe TCC Trigeminal ganglion Sphenopalatine ganglion Dorsal raphe nucleus nucleus Locus Locus coeruleus coeruleus Superior Superior salivatory nucleus salivatory nucleus Magnus raphe Magnus raphe nucleus nucleus FIGURE 441-1 Brainstem pathways that modulate sensory input. The key pathway for pain in migraine is the trigeminovascular input from the meningeal vessels, which passes through the trigeminal ganglion and synapses on second-order neurons in the trigeminocervical complex (TCC). These neurons in turn project in the quintothalamic tract and, after decussating in the brainstem, synapse on neurons in the thalamus. Important modulation of the trigeminovascular nociceptive input comes from the dorsal raphe nucleus, locus coeruleus, and nucleus raphe magnus. 3465 CHAPTER 441 Migraine and Other Primary Headache Disorders B A C D FIGURE 441-2 Positron emission tomography (PET) and arterial spin labelled activations in migraine. Hypothalamic, dorsal midbrain, and dorsolateral pontine activation are seen in triggered attacks in the premonitory phase before pain, whereas in migraine attacks, dorsolateral pontine activation persists, as it does in chronic migraine (not shown). The dorsolateral pontine area, which includes the </w:t>
      </w:r>
      <w:r w:rsidRPr="00A6019F">
        <w:lastRenderedPageBreak/>
        <w:t xml:space="preserve">noradrenergic locus coeruleus, is fundamental to the expression of migraine. Moreover, lateralization of changes in this region of the brainstem correlates with lateralization of the head pain in hemicranial migraine; the scans shown in panels C and D are of patients with acute migraine headache on the right and left side, respectively. (Panel A from FH Maniyar et al: Brain activations in the premonitory phase of nitroglycerin-triggered migraine attacks. Brain 137:232, 2014. Panel B from unpublished data, Karsan and Goadsby. Panels C and D from SK Afridi et al: A PET study exploring the laterality of brainstem activation in migraine using glyceryl trinitrate. Brain 128:932, 2005.) A B FIGURE 441-3 A. Posterior hypothalamic gray matter region activation demonstrated by positron emission tomography in a patient with acute cluster headache. B. High resolution T1-weighted magnetic resonance image obtained using voxel-based morphometry demonstrates increased gray matter activity, lateralized to the side of pain in a patient with cluster headache. (Panel A from A May et al: Hypothalamic activation in cluster headache attacks. Lancet 352:275, 1998. Panel B from A May et al: Correlation between structural and functional changes in brain in an idiopathic headache syndrome. Nat Med 5:836, 1999.) 3466 PART 13 Neurologic Disorders TABLE 441-3 Simplified Diagnostic Criteria for Migraine REPEATED ATTACKS OF HEADACHE LASTING 4–72 H IN PATIENTS WITH A NORMAL PHYSICAL EXAMINATION, NO OTHER REASONABLE CAUSE FOR THE HEADACHE, AND: AT LEAST 2 OF THE FOLLOWING FEATURES: PLUS AT LEAST 1 OF THE FOLLOWING FEATURES: Unilateral pain Nausea/vomiting Throbbing pain Photophobia and phonophobia Aggravation by movement Moderate or severe intensity Source: Adapted from the International Headache Society Classification (Headache Classification Committee of the International Headache Society, Cephalalgia 38:1, 2018). On how many days in the last 3 months did you miss work or school because of your headaches? How many days in the last 3 months was your productivity at work or school reduced by half or more because of your headaches (do not include days you counted in question 1 where you missed work or school)? On how many days in the last 3 months did you not do household work because of your headaches? How many days in the last 3 months was your productivity in household work reduced by half or more because of your headaches (do not include days you counted in question 3 where you did not do household work)? On how many days in the last 3 months did you miss family, social, or leisure activities because of your headaches? On how many days in the last 3 months did you have a headache? (If a headache lasted more than one day, count each day.) On a scale of 0–10, on average how painful were these headaches? (Where 0 = no pain at all, and 10 = pain as bad as it can be.) *Migraine Disability Assessment Score (Questions 1−5 are used to calculate the MIDAS score.) Grade I—Minimal or Infrequent Disability: 0–5 Grade II—Mild or Infrequent Disability: 6–10 Grade III—Moderate Disability: 11–20 Grade IV—Severe Disability: &gt; 20 © Innovative Medical Research 1997 1. 2. 3. 4. 5. A. B. days days days days days days ............................................................................................... ............................ </w:t>
      </w:r>
      <w:r w:rsidRPr="00A6019F">
        <w:lastRenderedPageBreak/>
        <w:t xml:space="preserve">................................................................................ ..................... ................................................................. ......................................... .......................................... INSTRUCTIONS: Please answer the following questions about ALL headaches you have had over the last 3 months. Write zero if you did not do the activity in the last 3 months. *MIDAS Questionnaire FIGURE 441-4 The Migraine Disability Assessment Score (MIDAS) Questionnaire. (Courtesy of Dr. Richard Lipton.)  NONPHARMACOLOGIC MANAGEMENT Migraine can often be managed to some degree by a variety of nonpharmacologic approaches. When patients can identify reli able triggers, their avoidance can be useful. A regulated lifestyle is helpful, including a healthy diet, regular exercise, regular sleep patterns, avoidance of excess caffeine and alcohol, and avoidance of acute changes in stress levels, being particularly wary of the let down effect. The measures that benefit a given individual should be used routinely because they provide a simple, cost-effective approach to migraine management. Patients with migraine do not encounter more stress than headache-free individuals; overresponsiveness to changes in stress appears to be the issue. Because the stresses of everyday living cannot be eliminated, lessening one’s response to stress by various techniques is helpful for many patients. These may include yoga, transcendental meditation, hypnosis, and con ditioning techniques such as biofeedback. For most patients seen in clinical practice, this approach is, at best, an adjunct to pharma cotherapy. Nonpharmacologic measures are unlikely to prevent all migraine attacks, and pharmacologic approaches are often needed. ACUTE ATTACK THERAPIES FOR MIGRAINE The mainstay of pharmacologic therapy is the judicious use of one or more of the many medicines that are effective in migraine (Table 441-4). The selection of the optimal regimen for a given patient depends on a number of factors, the most important of which is the severity of the attack. Mild migraine attacks can usually be managed by oral agents; the average efficacy (pain relief) rate is 50–70%. Severe migraine attacks may require parenteral therapy. Most drugs effective in the treatment of migraine are members of one of five major pharmacologic classes: nonsteroidal anti inflammatory drugs; 5-HT1B/1D receptor agonists—triptans; CGRP receptor antagonists—gepants; 5-HT1F receptor agonists—ditans; and dopamine receptor antagonists. In general, an adequate dose of whichever agent is chosen should be used as soon as possible after the onset of an attack. If additional medication is required within 60 min because symptoms return or have not abated, the initial dose should be increased for subsequent attacks or a different class of drug tried as first-line treatment. Repeat dosing of the same medicine at 2 h, while safe, is ineffective for triptans, and in contrast effective for gepants. Migraine therapy must be individualized; a standard approach for all patients is not possible. A therapeutic regimen may need to be refined until one is identified that provides the patient with rapid, complete, and con sistent relief with minimal side effects (Table 441-5). Nonsteroidal Anti-Inflammatory Drugs (NSAIDs) Both the sever ity and duration of a migraine attack can be reduced significantly by NSAIDs (Table 441-4). Indeed, many undiagnosed migraineurs self-treat with </w:t>
      </w:r>
      <w:r w:rsidRPr="00A6019F">
        <w:lastRenderedPageBreak/>
        <w:t xml:space="preserve">nonprescription NSAIDs. A general consensus is that NSAIDs are most effective when taken early in the migraine attack. However, the effectiveness of these agents in migraine is usu ally less than optimal in moderate or severe migraine attacks. The combination of acetaminophen (paracetamol), aspirin, and caffeine has been approved for use by the U.S. Food and Drug Administra tion (FDA) for the treatment of mild to moderate migraine. The combination of aspirin and metoclopramide has been shown to be Migraine and Other Primary Headache Disorders 3467 CHAPTER 441 TABLE 441-4 TREATMENT of Acute Migraine DRUG TRADE NAME DOSAGE Simple Analgesics Acetaminophen, aspirin, caffeine Excedrin Migraine Two tablets or caplets q6h (max 8 per day) NSAIDs Naproxen Aleve, Anaprox, generic 220–550 mg PO bid Ibuprofen Advil, Motrin, Nuprin, generic 400 mg PO q3–4h Tolfenamic acid Clotam Rapid 200 mg PO; may repeat ×1 after 1–2 h Diclofenac K Cambia 50 mg PO with water 5-HT1B/1D Receptor Agonists—Triptans Oral Ergotamine 1 mg, caffeine 100 mg Cafergot One or two tablets at onset, then one tablet q½h (max 6 per day, 10 per week) Naratriptan Amerge 2.5-mg tablet at onset Rizatriptan Maxalt 5–10-mg tablet at onset Maxalt-MLT Sumatriptan Imitrex 50–100-mg tablet at onset Frovatriptan Frova 2.5-mg tablet at onset Almotriptan Axert 12.5-mg tablet at onset Eletriptan Relpax 40 or 80 mg at onset Zolmitriptan Zomig 2.5-mg tablet at onset Zomig Rapimelt Nasal Dihydroergotamine Migranal Nasal Spray Trudhesa Nasal Spray Prior to nasal spray, the pump must be primed 4 times; 1 spray (0.5 mg) is administered, followed in 15 min by a second spray One spray into each nostril Sumatriptan Imitrex Nasal Spray 5–20 mg intranasal spray as 4 sprays of 5 mg or a single 20 mg spray Zolmitriptan Zomig 5 mg intranasal spray as one spray Parenteral Dihydroergotamine DHE-45 1 mg IV, IM, or SC at onset and q1h (max 3 mg/d, 6 mg per week) Sumatriptan Imitrex Injection Alsuma Sumavel DosePro 3, 4, or 6 mg SC at onset (may repeat once after 1 h for max of 2 doses in 24 h) CGRP Receptor Antagonists—Gepants Oral Rimegepant Ubrogepant Nasal Zavegepant Nurtec Ubrelvy Zavzpret 75 mg ODT PO 50 or 100 mg PO; a second dose may be taken 2 h after the first, if needed 10 mg intranasal, single spray to one nostril once in 24 h 5-HT1F Receptor Agonist—Ditans Oral Lasmiditan Reyvow 50, 100, or 200 mg PO Dopamine Receptor Antagonists Oral Metoclopramide Reglan,a generica 5–10 mg/d Prochlorperazine Compazine,a generica 1–25 mg/d Parenteral Chlorpromazine Generica 0.1 mg/kg IV at 2 mg/min; max 35 mg/d Metoclopramide Reglan,a generic 10 mg IV Prochlorperazine Compazine,a generica 10 mg IV Other Parenteral Opioids Other Neuromodulation Single-pulse transcranial magnetic stimulation (sTMS) Noninvasive vagus nerve stimulation (nVNS) Remote electrical neuromodulation (REN) Transcutaneous supraorbital nerve stimulation External concurrent occipital and trigeminal neurostimulation (eCOT-NS) Generica Savi Dual gammaCore Nerivio Cefaly Relivion Multiple preparations and dosages; see Table 14-1 Two pulses at onset followed by two further pulses Two doses each of 120 s 30- to 45-min stimulation to the upper arm 60-min stimulation 30- to 60-min stimulation aNot all drugs are specifically indicated by the U.S. Food and Drug Administration for migraine. Local regulations and guidelines </w:t>
      </w:r>
      <w:r w:rsidRPr="00A6019F">
        <w:lastRenderedPageBreak/>
        <w:t xml:space="preserve">should be consulted. Note: Antiemetics (e.g., domperidone 10 mg or ondansetron 4 or 8 mg) or prokinetics (e.g., metoclopramide 10 mg) are sometimes useful adjuncts. Abbreviations: 5-HT, 5-hydroxytryptamine; NSAIDs, nonsteroidal anti-inflammatory drugs; ODT, orally disintegrating tablets. 3468 PART 13 Neurologic Disorders TABLE 441-5 Clinical Stratification of Acute Specific Migraine Treatments CLINICAL SITUATION TREATMENT OPTIONS Failed NSAIDs/ analgesics First tier Sumatriptan 50 mg or 100 mg PO Almotriptan 12.5 mg PO Rizatriptan 10 mg PO Eletriptan 40 mg PO Zolmitriptan 2.5 mg PO Rimegepant 75 mg Ubrogepant 50 or 100 mg Lasmiditan 50, 100, or 200 mg Slower effect/better tolerability Naratriptan 2.5 mg PO Frovatriptan 2.5 mg PO Infrequent headache Ergotamine/caffeine 1–2/100 mg PO Dihydroergotamine nasal spray 2 mg Early nausea or difficulties taking tablets Zolmitriptan 5 mg nasal spray Sumatriptan 20 mg nasal spray Rizatriptan 10 mg MLT wafer Zavegepant 10 mg nasal spray Headache recurrence Ergotamine 2 mg (most effective PR/usually with caffeine) Naratriptan 2.5 mg PO Almotriptan 12.5 mg PO Eletriptan 40 mg Rimegepant 75 mg Ubrogepant 50 or 100 mg Tolerating acute treatments poorly Naratriptan 2.5 mg Almotriptan 12.5 mg Rimegepant 75 mg Ubrogepant 50, 100 mg Single-pulse transcranial magnetic stimulation Noninvasive vagus nerve stimulation Remote electrical neuromodulation Early vomiting Zolmitriptan 5 mg nasal spray Zavegepant 10 mg nasal spray Sumatriptan 25 mg PR Sumatriptan 6 mg SC Menses-related headache Prevention Ergotamine PO at night Estrogen patches Rimegepant 75 mg PO taken during the menses Treatment Triptans Dihydroergotamine nasal spray Very rapidly developing symptoms Zolmitriptan 5 mg nasal spray Zavegepant 10 mg nasal spray Sumatriptan 6 mg SC Dihydroergotamine 1 mg IM Abbreviation: NSAIDs, nonsteroidal anti-inflammatory drugs. comparable to a single dose of oral sumatriptan. Important side effects of NSAIDs include dyspepsia and gastrointestinal irritation. 5-HT1B/1D RECEPTOR AGONISTS—TRIPTANS AND ERGOTS Oral Stimulation of 5-HT1B/1D receptors can stop an acute migraine attack. Ergotamine and dihydroergotamine are nonselective recep tor agonists, whereas the triptans are selective 5-HT1B/1D recep tor agonists. A variety of triptans—sumatriptan, almotriptan, eletriptan, frovatriptan, naratriptan, rizatriptan, and zolmitriptan— are available for the treatment of migraine. Each drug in the triptan class has similar pharmacologic proper ties, varying slightly in terms of clinical efficacy. Rizatriptan and eletriptan are, on a population basis, the most efficacious of the triptans. Sumatriptan and zolmitriptan have similar rates of effi cacy as well as time to onset, with an advantage of having multiple formulations, whereas almotriptan has a similar rate of efficacy to sumatriptan and is better tolerated, and frovatriptan and nara triptan are somewhat slower in onset and are also well tolerated. Clinical efficacy appears to be related more to the tmax (time to peak plasma level) than to the potency, half-life, or bioavailability. This observation is consistent with a large body of data indicating that faster-acting analgesics are more effective than slower-acting ones. Unfortunately, monotherapy with a selective oral 5-HT1B/1D receptor agonist does not result in rapid, consistent, and complete relief of migraine in </w:t>
      </w:r>
      <w:r w:rsidRPr="00A6019F">
        <w:lastRenderedPageBreak/>
        <w:t xml:space="preserve">all patients. Triptans are generally not effec tive in migraine with aura unless given after the aura is completed and the headache initiated. Side effects are common, although often mild and transient. Moreover, 5-HT1B/1D receptor agonists are contraindicated in individuals with a history, symptoms, or signs of ischemic cardiac, cerebrovascular, or peripheral vascular syn dromes. Recurrence of headache, within the usual time course of an attack, is another important limitation of triptan use and occurs at least occasionally in most patients. Evidence from randomized controlled trials shows that coadministration of a longer-acting NSAID, naproxen 500 mg, with sumatriptan will augment the ini tial effect of sumatriptan and, importantly, reduce rates of headache recurrence. Ergotamine preparations offer a nonselective means of stimulat ing 5-HT1 receptors. A nonnauseating dose of ergotamine should be sought because a dose that provokes nausea is too high and may intensify head pain. Oral (excluding sublingual) formulations of ergotamine also contain 100 mg caffeine (theoretically to enhance ergotamine absorption and possibly to add additional analgesic activity). The average oral ergotamine dose for a migraine attack is 2 mg. Because the clinical studies demonstrating the efficacy of ergotamine in migraine predated the clinical trial methodolo gies used with the triptans, it is difficult to assess the comparative efficacy of ergotamine versus the triptans. In general, with use of ergotamine there appears to be a much higher incidence of nausea than with triptans but less headache recurrence. Nasal Nasal formulations of dihydroergotamine, zolmitriptan, or sumatriptan can be useful in patients requiring a nonoral route of administration. The nasal sprays result in substantial blood levels within 30–60 min. Although in theory nasal sprays might provide faster and more effective relief of a migraine attack than oral formu lations, their reported pain relief rate is only ~50–60%. Studies with a new inhalational formulation of dihydroergotamine indicate that its absorption problems can be overcome to produce rapid onset of action with good tolerability. Parenteral Administration of drugs by injection, such as dihydro ergotamine and sumatriptan, is approved by the FDA for the rapid relief of a migraine attack. Peak plasma levels of dihydroergotamine are achieved 3 min after IV dosing, 30 min after intramuscular (IM) dosing, and 45 min after subcutaneous (SC) dosing. If an attack has not already peaked, SC or IM administration of 1 mg of dihydroergotamine is adequate for about 80–90% of patients. Sumatriptan, 3, 4, or 6 mg SC, depending on local availability, is effective in ~50–80% of patients and can now be administered by a needle-free device. CALCITONIN GENE-RELATED PEPTIDE (CGRP) RECEPTOR ANTAGONISTS—GEPANTS Gepants are small-molecule CGRP receptor antagonists that are effective in the acute treatment of migraine. Three are currently approved by the FDA: rimegepant, and ubrogepant are oral, and zavegepant is a nasal spray (Table 441-4). They are more likely to 3469 render patients pain-free at 2 h and most bothersome symptom free when compared with placebo in large phase 3 clinical trials. The most bothersome symptom is derived by asking patients to identify which symptom—of nausea, photophobia, or phonophobia—was most bothersome during the treated attack; success required that this symptom was </w:t>
      </w:r>
      <w:r w:rsidRPr="00A6019F">
        <w:lastRenderedPageBreak/>
        <w:t xml:space="preserve">eliminated at 2 h. Gepants are extremely well tolerated with only a small percentage of patients reporting trouble some side effects, such as mild nausea. 5-HT1F RECEPTOR AGONISTS—DITANS Lasmiditan, a highly selective, orally available, 5-HT1F receptor agonist, has been approved by the FDA for the acute treatment of migraine based on large phase 3 studies where it was superior to placebo (Table 441-4). Ditans have no vascular effects because the 5-HT1F receptor is located in the central and peripheral nervous system but not vasculature; the class thus unequivocally fills a gap in therapy for patients with cardiovascular and cerebrovascular disease. The major side effect is dizziness, occurring in ~15% of patients in clinical trials, and somnolence in 6%. Patients are advised not to drive for 8 h after treatment. DOPAMINE RECEPTOR ANTAGONISTS Oral Oral dopamine receptor antagonists can be considered as adjunctive therapy in migraine. Drug absorption is impaired dur ing migraine because of reduced gastrointestinal motility. Delayed absorption occurs even in the absence of nausea and is related to the severity of the attack and not its duration. Therefore, when oral NSAIDs and/or triptan agents fail, the addition of a dopamine receptor antagonist, such as metoclopramide 10 mg, prochlorpera zine 10 mg, or domperidone 10 mg (not available in the United States), should be considered to enhance gastric absorption. In addition, dopamine receptor antagonists decrease nausea/vomiting and restore normal gastric motility. Parenteral Dopamine receptor antagonists (e.g., chlorpromazine, prochlorperazine, metoclopramide) by injection can also provide significant acute relief of migraine; they can be used in combination with parenteral 5-HT1B/1D receptor agonists. A common IV protocol used for the treatment of severe migraine is the administration over 2 min of a mixture of 5 mg of prochlorperazine and 0.5 mg of dihydroergotamine. OTHER OPTIONS FOR ACUTE MIGRAINE Oral For milder attacks of migraine, the combination of acet aminophen, aspirin, and caffeine is FDA approved (Table 441-4). Parenteral Opioids are modestly effective in the acute treatment of migraine. For example, IV meperidine (50–100 mg) is given fre quently in the emergency department (ED). This regimen “works” in the sense that the pain of migraine is eliminated. Importantly, it is clear from a randomized controlled trial that prochlorperazine is superior to hydromorphone in the ED setting. However, opioids are clearly suboptimal for patients with recurrent headache. Opi oids do not treat the underlying headache mechanism; rather, they act to alter the pain sensation, and there is evidence their use may decrease the likelihood of a response to triptans in the future. More over, in patients taking oral opioids, such as oxycodone or hydro codone, habituation or addiction can greatly confuse the treatment of migraine. Opioid craving and/or withdrawal can aggravate and accentuate migraine. Therefore, it is recommended that opioid use in migraine be limited to patients with severe, but infrequent, head aches that are unresponsive to other pharmacologic approaches or who have contraindications to other therapies. Neuromodulation Single-pulse transcranial magnetic stimula tion (sTMS) is FDA cleared for the acute treatment of migraine. Two pulses can be applied at the onset of an attack, and this can be repeated. </w:t>
      </w:r>
      <w:r w:rsidRPr="00A6019F">
        <w:lastRenderedPageBreak/>
        <w:t xml:space="preserve">The use of sTMS is safe where there is no cranial metal implant and offers an option to patients seeking nonpharmaceuti cal approaches to treatment. Similarly, a noninvasive vagus nerve stimulator (nVNS) is FDA cleared for the treatment of migraine attacks in adults. One to two 120-s doses may be applied for attack treatment. Remote electrical neuromodulation using a smartphone app that stimulates the upper arm for 30–45 min is also effective for treatment of acute migraine. Transcutaneous supraorbital nerve stimulation for 60 min and external concurrent occipital and tri geminal neurostimulation (eCOT-NS) for 30–60 min are both FDA cleared. MEDICATION-OVERUSE HEADACHE Acute attack medications, particularly opioid or barbiturate containing compound analgesics, have a propensity to aggravate headache frequency and induce a state of refractory daily or near daily headache called medication-overuse headache. This condition is likely not a separate headache entity but a reaction of the patient’s underlying migraine biology to a particular medicine. Migraine patients who have two or more headache days a week should be cautioned about frequent analgesic use (see “Chronic Daily Headache” in Chap. 17). PREVENTIVE TREATMENTS FOR MIGRAINE Patients with an increasing frequency of migraine attacks or with attacks that are either unresponsive or poorly responsive to abortive treatments are good candidates for preventive agents. In general, a preventive medication should be considered in patients with four or more migraine days a month. Significant side effects are associated with the use of many agents; furthermore, determination of dose can be difficult because the recommended doses have been derived for conditions other than migraine. The mechanism of action of older medicines is unclear; it seems likely that the brain sensitivity that underlies migraine is modified. Patients are usually started on a low dose of a chosen treatment; the dose is then gradually increased, up to a reasonable maximum, to achieve clinical benefit. Treatments that have the capacity to stabilize migraine are listed in Table 441-6. Most treatments must be taken daily, and there is usually a lag of 2–12 weeks before an effect is seen. The drugs that have been approved by the FDA for the preventive treatment of migraine include propranolol, timolol, sodium valproate, topi ramate, eptinezumab, erenumab, fremanezumab, galcanezumab, rimegepant, and atogepant. In addition, a number of other drugs appear to display preventive efficacy. This group includes amitripty line, candesartan, nortriptyline, flunarizine, phenelzine, and cypro heptadine. Placebo-controlled trials of onabotulinum toxin type A in episodic migraine were negative, whereas, overall, placebo controlled trials in chronic migraine were positive. The FDA has approved a range of neuromodulation approaches for the preventive treatment of migraine (Table 441-6). They offer a well-tolerated, effective option for patients. Phenelzine is a monoamine oxidase inhibitor (MAOI); therefore, tyramine-containing foods, decon gestants, and meperidine are contraindicated, and it is reserved for only very recalcitrant cases. Methysergide is now of historical interest only because it is no longer manufactured. Melatonin has been reported to be useful, with controlled trial evidence, but is not approved for this indication in the United States. The probability of success </w:t>
      </w:r>
      <w:r w:rsidRPr="00A6019F">
        <w:lastRenderedPageBreak/>
        <w:t xml:space="preserve">with any one of the antimigraine drugs is ~40–50%. Many patients are managed adequately with well-tolerated doses of candesartan, propranolol, amitriptyline, topiramate, or valproate. As data on fetal developmental issues have arisen, both topiramate and valproate are now considered less attractive for use in females during reproductive years. If these agents fail or produce unacceptable side effects, neuromodulation approaches can be used (Table 441-6). Once effective stabilization is achieved, the drug is continued for ~6–12 months and then slowly tapered, assuming the patient agrees, to assess the continued need. Many patients are able to discontinue medication and experience fewer and milder attacks for long periods. The advent of CGRP monoclonal antibodies and CGRP receptor antagonists has sig nificantly changed the landscape of preventive treatment; with the combination of efficacy that is often within the first month and excellent tolerability, expectations of outcomes have changed. CHAPTER 441 Migraine and Other Primary Headache Disorders 3470 PART 13 Neurologic Disorders TABLE 441-6 Preventive Treatments in Migrainea DRUG DOSE SELECTED SIDE EFFECTS Beta blocker Propranolol Metoprolol 40–120 mg bid 25–100 mg bid Reduced energy Tiredness Postural symptoms Contraindicated in asthma Antidepressants Amitriptyline 10–75 mg at night Drowsiness Dosulepin 25–75 mg at night Nortriptyline 25–75 mg at night Note: Some patients may only need a total dose of 10 mg, although generally 1–1.5 mg/kg body weight is required. Venlafaxine 75–150 mg/d Anticonvulsants Topiramate 25–200 mg/d Paresthesias Cognitive symptoms Weight loss Glaucoma Caution with nephrolithiasis Valproate 400–600 mg bid Drowsiness Weight gain Tremor Hair loss Fetal abnormalities Hematologic or liver abnormalities Serotonergic drugs Pizotifenb 0.5–2 mg qd Weight gain CGRP pathway blockers Eptinezumab Erenumab Fremanezumab Galcanezumab 100 or 300 mg IV every 12 weeks 70 or 140 mg SC monthly 225 mg monthly or 675 mg q3 months, SC 240 mg loading then 120 mg monthly, SC Nasopharyngitis Nasopharyngitis, constipation Injection site reactions Nasopharyngitis Rimegepant Atogepant 75 mg every other day 10, 30, or 60 mg once daily Nausea abdominal pain/dyspepsia Constipation, nausea Other classes Flunarizineb 5–15 mg qd Drowsiness Weight gain Depression Parkinsonism Candesartan 4–24 mg daily Dizziness Memantine 5–20 mg daily Dizziness, tiredness Melatonin 3–12 mg nightly Drowsiness Neuromodulation Single-pulse transcranial magnetic stimulation (sTMS) Noninvasive vagus nerve stimulation (nVNS) Remote electrical neuromodulation (REN) Transcutaneous supraorbital nerve stimulation 4–24 pulses per day 120-s treatments 2–3 times daily 45 min every other day 20 min daily Lightheadedness Tingling Tinnitus Site discomfort, irritation or pain Muscle twitching Well-tolerated; some local sensory symptoms Local paresthesia Chronic migraine Onabotulinum toxin type A 155 U Loss of brow furrow No convincing evidence from controlled trials Verapamil Controlled trials demonstrate no effect Nimodipine Clonidine Selective serotonin reuptake inhibitors: fluoxetine aCommonly used preventives are listed with typical doses and common side effects. Not all listed medicines are approved by the U.S. Food and Drug Administration; local regulations </w:t>
      </w:r>
      <w:r w:rsidRPr="00A6019F">
        <w:lastRenderedPageBreak/>
        <w:t xml:space="preserve">and guidelines should be consulted. bNot available in the United States. Migraine and Other Primary Headache Disorders 3471 CHAPTER 441 </w:t>
      </w:r>
      <w:r w:rsidRPr="00A6019F">
        <w:rPr>
          <w:rFonts w:ascii="Arial" w:hAnsi="Arial" w:cs="Arial"/>
        </w:rPr>
        <w:t>■</w:t>
      </w:r>
      <w:r w:rsidRPr="00A6019F">
        <w:t xml:space="preserve">TENSION-TYPE HEADACHE Clinical Features The term tension-type headache is commonly used to describe a chronic head-pain syndrome characterized by bilateral tight, bandlike discomfort. The pain typically builds slowly, fluctuates in severity, and may persist more or less continuously for many days. The headache may be episodic or chronic (present &gt;15 days per month). A useful clinical approach is to diagnose TTH in patients whose headaches are completely without accompanying features such as nausea, vomiting, photophobia, phonophobia, osmophobia, throbbing, and aggravation with movement. Such an approach neatly separates migraine, which has one or more of these features and is the main dif ferential diagnosis, from TTH. The International Headache Society’s main definition of TTH allows an admixture of nausea, photophobia, or phonophobia in various combinations, although the appendix defi nition does not; this illustrates the difficulty in distinguishing these two clinical entities. In clinical practice, using the appendix definition to dichotomize patients on the basis of the presence of associated features (migraine) and the absence of associated features (TTH) is highly rec ommended. Indeed, patients whose headaches fit the TTH phenotype and who have migraine at other times, along with a family history of migraine, migrainous illnesses of childhood, or typical migraine triggers to their migraine attacks, may be biologically different from those who have TTH headache with none of the features. TTH may be infrequent (episodic) or occur on 15 days or more a month (chronic). Pathophysiology The pathophysiology of TTH is incompletely understood. It seems likely that TTH is due to a primary disorder of central nervous system pain modulation alone, unlike migraine, which involves a more generalized disturbance of sensory modulation. Data suggest a genetic contribution to TTH, but this may not be a valid finding: given the current diagnostic criteria, the studies undoubtedly included many migraine patients. The name tension-type headache implies that pain is a product of nervous tension, but there is no clear evidence for tension as an etiology. Muscle contraction has been considered to be a feature that distinguishes TTH from migraine, but there appear to be no differences in contraction between the two head ache types. In primary care, 90% have migraine. TREATMENT Tension-Type Headache The pain of TTH can generally be managed with simple analgesics such as acetaminophen, aspirin, or NSAIDs. Behavioral approaches including relaxation can also be effective. Clinical studies have demonstrated that triptans in pure TTH are not helpful, although triptans are effective in apparent TTH when the patient also has migraine. For chronic TTH, amitriptyline is the only proven treat ment (Table 441-6); other tricyclics, selective serotonin reuptake inhibitors, and the benzodiazepines have not been shown to be effective. There is no evidence for the efficacy of acupuncture. Placebo-controlled trials of onabotulinum toxin type A in chronic TTH were negative. </w:t>
      </w:r>
      <w:r w:rsidRPr="00A6019F">
        <w:rPr>
          <w:rFonts w:ascii="Arial" w:hAnsi="Arial" w:cs="Arial"/>
        </w:rPr>
        <w:t>■</w:t>
      </w:r>
      <w:r w:rsidRPr="00A6019F">
        <w:t xml:space="preserve">TRIGEMINAL AUTONOMIC CEPHALALGIAS, INCLUDING CLUSTER HEADACHE The TACs describe a grouping of primary headache disorders including cluster headache, paroxysmal hemicrania (PH), SUNCT (short-lasting </w:t>
      </w:r>
      <w:r w:rsidRPr="00A6019F">
        <w:lastRenderedPageBreak/>
        <w:t xml:space="preserve">unilateral neuralgiform headache attacks with conjunctival injection and tearing)/SUNA (short-lasting unilateral neuralgiform headache attacks with cranial autonomic symptoms), and hemicrania continua (Table 441-1). TACs are characterized by relatively short-lasting attacks of head pain associated with lateralized cranial autonomic symptoms, such as lacrimation, conjunctival injection, aural fullness, or nasal con gestion (Table 441-7). Pain is usually severe and may occur more than once a day. Because of the associated nasal congestion or rhinorrhea, patients are often misdiagnosed with “sinus headache” and treated with decongestants, which are ineffective. TABLE 441-7 Clinical Features of the Trigeminal Autonomic Cephalalgias CLUSTER HEADACHE PAROXYSMAL HEMICRANIA SUNCT/SUNA Gender M &gt; F F = M F ~ M Pain Type Stabbing, boring Throbbing, boring, stabbing Burning, stabbing, sharp Severity Excruciating Excruciating Severe to excruciating Site Orbit, temple Orbit, temple Periorbital Attack frequency 1/alternate day–8/d 1–20/d (&gt;5/d for more than half the time) 3–200/d Duration of attack 15–180 min 2–30 min 5–240 s Autonomic features Yes Yes Yes (prominent conjunctival injection and lacrimation)a Migrainous featuresb Yes Yes Yes Alcohol trigger Yes No No Cutaneous triggers No No Yes Indomethacin effect — Yesc — Abortive treatment Sumatriptan injection or nasal spray Zolmitriptan nasal spray Oxygen nVNSc No effective treatment Lidocaine (IV) Preventive treatment Verapamil Galcanezumab Indomethacind nVNS Lamotrigine Topiramate Melatonin Topiramate Lithium Gabapentin aIf conjunctival injection and tearing are not present, consider SUNA. bNausea, photophobia, or phonophobia; photophobia and phonophobia are typically unilateral on the side of the pain. cNoninvasive vagus nerve stimulation is U.S. Food and Drug Administration approved in episodic cluster headache dIndicates complete response to indomethacin. Abbreviations: nVNS, non-invasive vagus nerve stimulation; SUNA, short-lasting unilateral neuralgiform headache attacks with cranial autonomic features; SUNCT, short-lasting unilateral neuralgiform headache attacks with conjunctival injection and tearing. 3472 TACs must be differentiated from short-lasting headaches that do not have prominent cranial autonomic syndromes, notably trigeminal neuralgia (TN), primary stabbing headache, and hypnic headache. The cycling pattern and length, frequency, and timing of attacks are useful in classifying patients. Patients with TACs should be considered, if clinically indicated, to undergo pituitary imaging and pituitary func tion tests because there is an excess of TAC presentations in clinical practice in patients with pituitary tumor–related headache, particularly prolactin and growth hormone secreting tumors. PART 13 Neurologic Disorders Cluster Headache Cluster headache is a relatively rare form of primary headache, although nonetheless a common condition, with a population frequency of ~0.1%. The pain is deep, usually retroorbital, often excruciating in intensity, nonfluctuating, and explosive in qual ity. A core feature of cluster headache is periodicity. Usually one of the daily attacks of pain recurs at about the same hour each day for the duration of a cluster bout. The typical cluster headache patient has daily bouts of one to two attacks of relatively short-duration unilateral pain for 8–10 weeks a </w:t>
      </w:r>
      <w:r w:rsidRPr="00A6019F">
        <w:lastRenderedPageBreak/>
        <w:t xml:space="preserve">year; this is usually followed by a pain-free inter val that averages a little less than 1 year. Cluster headache is character ized as chronic when there is 5 a day); marked autonomic features ipsilateral to the pain; rapid course (200 mg/d) of indomethacin. In patients with apparent bilateral PH, raised cerebro spinal fluid (CSF) pressure should be suspected. It is important to note that indomethacin reduces CSF pressure. When a diagnosis of PH is considered, magnetic resonance imaging (MRI) is indicated to exclude a pituitary lesion. </w:t>
      </w:r>
      <w:r w:rsidRPr="00A6019F">
        <w:rPr>
          <w:rFonts w:ascii="Arial" w:hAnsi="Arial" w:cs="Arial"/>
        </w:rPr>
        <w:t>■</w:t>
      </w:r>
      <w:r w:rsidRPr="00A6019F">
        <w:t>SUNCT/SUNA SUNCT is a rare primary headache syndrome characterized by severe, unilateral orbital or temporal pain that is stabbing or throbbing in quality. Diagnosis requires at least 20 attacks, lasting for 5</w:t>
      </w:r>
      <w:r w:rsidRPr="00A6019F">
        <w:rPr>
          <w:rFonts w:ascii="Aptos" w:hAnsi="Aptos" w:cs="Aptos"/>
        </w:rPr>
        <w:t>–</w:t>
      </w:r>
      <w:r w:rsidRPr="00A6019F">
        <w:t xml:space="preserve">240 s; ipsilateral conjunctival injection and lacrimation should be present. In some patients, conjunctival injection or lacrimation is missing, and the diagnosis of SUNA can be made. Diagnosis The pain of SUNCT/SUNA is unilateral and may be located anywhere in the head. Three basic patterns can be seen: single stabs, which are usually short-lived; groups of stabs; or a longer attack comprising many stabs between which the pain does not completely resolve, thus giving a “saw-tooth” phenomenon with attacks lasting many minutes. Each pattern may be seen in the context of an under lying continuous head pain. Characteristics that lead to a suspected diagnosis of SUNCT are the cutaneous (or other) triggers of attacks, a lack of refractory period to triggering between attacks, and the lack of a response to indomethacin. Apart from trigeminal sensory disturbance, the neurologic examination is normal in primary SUNCT/SUNA. The diagnosis of SUNCT/SUNA is often confused with TN, par ticularly in first-division TN (Chap. 452). Minimal or no cranial auto nomic symptoms and a clear refractory period to triggering indicate a diagnosis of TN. Secondary (Symptomatic) SUNCT SUNCT can be seen with posterior fossa or pituitary lesions. All patients with SUNCT/SUNA should be evaluated with pituitary function tests and a brain MRI with pituitary views. TREATMENT SUNCT/SUNA ABORTIVE THERAPY Therapy of acute attacks is not a useful concept in SUNCT/SUNA because the attacks are of such short duration. However, IV lido caine, which arrests the symptoms, can be used in hospitalized patients. PREVENTIVE THERAPY Long-term prevention to minimize disability and hospitalization is the goal of treatment. The most effective treatment for prevention is lamotrigine, 200–400 mg/d. Topiramate and gabapentin may also be effective. Carbamazepine, 400–500 mg/d, has been reported by patients to offer modest benefit. Surgical approaches such as microvascular decompression or destructive trigeminal procedures are seldom useful and often produce long-term complications. Greater occipital nerve injection has produced limited benefit in some patients. nVNS may be use ful. Occipital nerve stimulation is probably helpful in a subgroup of these patients. For intractable cases, short-term prevention with IV lidocaine can be effective. </w:t>
      </w:r>
      <w:r w:rsidRPr="00A6019F">
        <w:rPr>
          <w:rFonts w:ascii="Arial" w:hAnsi="Arial" w:cs="Arial"/>
        </w:rPr>
        <w:t>■</w:t>
      </w:r>
      <w:r w:rsidRPr="00A6019F">
        <w:t xml:space="preserve">HEMICRANIA CONTINUA The essential features of hemicrania continua are moderate and con tinuous unilateral pain associated with fluctuations of severe pain; complete resolution of pain with indomethacin; and exacerbations that may be associated with cranial autonomic features, including conjunc tival injection, lacrimation, and photophobia on the </w:t>
      </w:r>
      <w:r w:rsidRPr="00A6019F">
        <w:lastRenderedPageBreak/>
        <w:t xml:space="preserve">affected side. The age of onset ranges from 10 to 70 years; women are affected twice as often as men. The cause is unknown. TREATMENT Hemicrania Continua Treatment consists of indomethacin; other NSAIDs appear to be of little or no benefit. The IM injection of 100 mg of indomethacin has been proposed as a diagnostic tool, and administration with a placebo injection in a blinded fashion can be very useful diagnosti cally. Alternatively, a trial of oral indomethacin, starting with 25 mg tid, then 50 mg tid, and then 75 mg tid, can be given. Up to 2 weeks at the maximal dose may be necessary to assess whether a dose has a useful effect. Topiramate can be helpful in some patients. nVNS can be very useful in these patients. Melatonin can be useful as an indomethacin-sparing agent. Occipital nerve stimulation probably has a role in patients with hemicrania continua who are unable to tolerate indomethacin. </w:t>
      </w:r>
      <w:r w:rsidRPr="00A6019F">
        <w:rPr>
          <w:rFonts w:ascii="Arial" w:hAnsi="Arial" w:cs="Arial"/>
        </w:rPr>
        <w:t>■</w:t>
      </w:r>
      <w:r w:rsidRPr="00A6019F">
        <w:t xml:space="preserve">OTHER PRIMARY HEADACHE DISORDERS Primary Cough Headache Primary cough (Valsalva maneuver) headache is a generalized headache that begins suddenly, lasts for seconds or several minutes, sometimes up to a few hours, and is pre cipitated by coughing; it is preventable by avoiding coughing or other precipitating events, which can include sneezing, straining, laughing, or stooping. In all patients with this syndrome, serious etiologies must be excluded before a diagnosis of “benign” primary cough headache can be established. A Chiari malformation or any lesion causing obstruction of CSF pathways or displacing cerebral structures can be the cause of the head pain. Other conditions that can present with cough or exertional headache as the initial symptom include cerebral aneurysm, carotid stenosis, and vertebrobasilar disease. Benign cough headache can resemble benign exertional headache (below); patients with the former condition are typically older. CHAPTER 441 Migraine and Other Primary Headache Disorders TREATMENT Primary Cough Headache Indomethacin 25–50 mg two to three times daily is the treatment of choice. Some patients with cough headache obtain complete cessation of their attacks with lumbar puncture; this is a simple option when compared to prolonged use of indomethacin, and it is effective in about one-third of patients. The mechanism of this response is unclear. Primary Exercise Headache Primary exercise headache has features resembling both cough headache and migraine. It may be precipitated by any form of exercise; it often has the pulsatile quality of migraine. The pain lasts 40 additional common genetic variants that, individually, have small (i.e., odds ratios ~1.1–1.2 or 0.8–0.9) impact on the risk of AD. Implicated genes converge in biological path ways related to innate immunity, lipid metabolism, and synaptic func tion. Examples include the clusterin (CLU), phosphatidylinositol-binding clathrin assembly protein (PICALM), and complement component 3480 (3b/4b) receptor 1 (CR1) genes, among others. CLU may play a role in synapse turnover, PICALM participates in clathrin-mediated endo cytosis, and CR1 may be involved in amyloid clearance or synapse loss through the complement pathway. TREM2 is a gene involved with inflammation that increases the likelihood of dementia. Homo zygous mutation carriers develop a frontal dementia with bone cysts (Nasu-Hakola disease), whereas heterozygotes are predisposed to the development of AD. TREM2 risk alleles are rare but </w:t>
      </w:r>
      <w:r w:rsidRPr="00A6019F">
        <w:lastRenderedPageBreak/>
        <w:t xml:space="preserve">have strong effects, with odds ratios estimated at 3–4 for developing clinical AD. Polygenic hazard scores that integrate the presence of multiple risk and protec tive alleles may be useful in predicting an individual’s lifetime risk of developing AD. The vast majority of AD genetic studies have focused on white populations of European descent, and much less is known about the genetics of AD in nonwhite populations. PART 13 TREATMENT Alzheimer’s Disease Neurologic Disorders The management of AD requires a multidomain approach that includes neurotransmitter-based therapies to manage symptoms, emerging molecular therapies that target AD pathophysiology with the goal of slowing disease progression and clinical decline, and ongoing patient and caregiver education. NEUROTRANSMITTER-BASED THERAPIES Donepezil (target dose, 10 mg daily), rivastigmine (target dose, 6 mg twice daily or 9.5-mg patch daily), galantamine (target dose, 24 mg daily, extended-release), and memantine (target dose, 10 mg twice daily) are approved by the U.S. Food and Drug Administra tion (FDA) for the treatment of AD. Dose escalations for each of these medications must be carried out over 4–6 weeks to minimize side effects. The pharmacologic action of donepezil, rivastigmine, and galantamine is inhibition of the cholinesterases, primarily acetylcholinesterase, with a resulting increase in cerebral acetyl choline levels. Memantine appears to act by blocking overexcited N-methyl-d-aspartate (NMDA) glutamate receptors. Double-blind, placebo-controlled, crossover studies with cholinesterase inhibitors (in mild-to-severe AD dementia) and memantine (in moderate to-severe AD dementia) have shown them to be associated with modestly improved caregiver ratings of patients’ functioning and with an apparent decreased rate of decline in cognitive test scores over periods of up to 3 years. The average patient on an anticholin esterase inhibitor maintains their mini-mental state examination (MMSE) score for close to a year, whereas a placebo-treated patient declines 2–3 points over the same time period. Memantine, used in conjunction with cholinesterase inhibitors or by itself, slows cogni tive deterioration and decreases caregiver burden for patients with moderate to severe AD, but is not approved for mild AD. Neither cholinesterase inhibitors nor memantine have proven efficacious in patients with MCI, though the clinical trials lacked biomark ers at the time, and in retrospect likely included a mix of patients with AD and non-AD-related memory impairment. Cholinesterase inhibitors are easy to administer, and their major side effects are gastrointestinal symptoms (nausea, diarrhea, cramps), altered sleep with unpleasant or vivid dreams, bradycardia (usually benign), and muscle cramps. Potential side effects associated with memantine include constipation, dizziness, headache, and somnolence. A com mon approach to AD drug therapy is to initiate a cholinesterase inhibitor for a patient diagnosed with mild AD dementia and to add memantine when patients enter the moderate stage of disease. Cholinesterase inhibitors may also be effective in treating delusions and hallucinations, while memantine can reduce agitation. THERAPIES TARGETING AMYLOID-b A novel class of antiamyloid monoclonal antibodies has recently been approved for treatment of early clinical stages of AD. These drugs promote clearance of target Aβ epitopes, substantially lower amyloid </w:t>
      </w:r>
      <w:r w:rsidRPr="00A6019F">
        <w:lastRenderedPageBreak/>
        <w:t xml:space="preserve">plaque burden on amyloid PET, and comprise the first class of disease-modifying therapies to receive FDA approval for treatment of AD. Lecanemab (which targets Aβ protofibrils) and donanemab (which targets a pyroglutamate form of Aβ in plaques) are fully FDA approved for clinical use in early-stage AD based on evidence of clinical efficacy in phase 3, double-blinded, random ized, placebo-controlled clinical trials. Lecanemab is delivered as an intravenous infusion every 2 weeks, while donanemab is admin istered intravenously monthly. A third antibody, aducanumab, was the first to receive accelerated FDA approval based on reduction of amyloid PET signal, but evidence of clinical efficacy was ambigu ous, and ultimately this drug has been removed from clinical use. All three of these antibodies lead to robust reductions in amyloid burden as measured by PET. Interestingly, drug trials of Aβ-targeting antibodies that showed less robust amyloid lowering on PET (e.g., solanezumab, crenezumab, gantenerumab) did not find a clinical benefit. Antiamyloid antibody therapy is currently restricted to patients with MCI or mild dementia and biomarker confirmation of Aβ pathology by PET or CSF. Clinical trials are underway for cognitively unimpaired individuals with biomarker evidence of Aβ pathology (i.e., preclinical AD). Patients with clini cal features suggestive of non-AD causes of cognitive decline were excluded from the pivotal clinical trials and should not be treated, regardless of biomarker status. In Clarity-AD, a phase 3, randomized, placebo-controlled trial of lecanemab in patients with early symptomatic AD, patients who received lecanemab for 18 months experienced an average 27% slowing in their rate of clinical decline compared to placebo, as measured by change in the Clinical Dementia Rating Scale sum of boxes score (CDR-SB), a clinical scale that measures cognition and function and was the study’s primary outcome. Similar slowing of decline was reported on all secondary cognitive and functional out comes. In TRAILBLAZER-ALZ2, a phase 3, randomized, placebo controlled trial of donanemab in early symptomatic AD, patients on active treatment showed 22% slowing on the integrated Alzheimer Disease Rating Scale (iADRS; primary outcome) and 28% slowing on the CDR-SB (secondary outcome) over 76 weeks compared to placebo, with similar effects on all other secondary clinical end points. Patients in TRAILBLAZER-ALZ2 were stratified by tau PET at baseline, with patients with low-medium tau PET at trial entry showing the greatest clinical benefit (35% slowing on iADRS, 36% slowing on CDR-SB), suggesting that amyloid lowering may particularly benefit patients in earlier stages of tau spread. The duration of treatment was titrated based on amyloid PET response, with patients switched from donanemab to placebo when complete amyloid clearance was seen on PET. These findings suggest that limited-duration treatment until PET clearance may be sufficient to derive a robust clinical response. Given these results, future clinical practice may leverage baseline biomarkers of tau burden to identify patients more likely to benefit from antiamyloid therapy, whereas longitudinal biomarkers of Aβ burden may help to define the neces sary duration of therapy. Antiamyloid antibodies are associated with significant potential side effects, including infusion reactions and a form of secondary brain </w:t>
      </w:r>
      <w:r w:rsidRPr="00A6019F">
        <w:lastRenderedPageBreak/>
        <w:t xml:space="preserve">inflammation and hemorrhage, collectively referred to as amyloid-related imaging abnormalities (ARIA) (Fig. 442-4). Rates of infusion reactions in the active treatment arms of the phase 3 trials were 26% for lecanemab and 9% for donanemab. ARIA-E manifests as focal areas of edema or sulcal effusions, detected by T2/fluid-attenuated inversion recovery (FLAIR) hyperintensities on MRI. ARIA-H typically manifests as microbleeds or superficial sid erosis detected by gradient echo (GRE) or susceptibility-weighted imaging (SWI) MRI sequences, although lobar hemorrhages can rarely occur. Both ARIA-E and ARIA-H are thought to be related to CAA. Spontaneous ARIA-H occurs frequently in AD, but spontane ous ARIA-E (also known as inflammatory CAA) occurs very rarely in lieu of antiamyloid therapies. In the phase 3 trials, overall rates of ARIA-E were 13% for lecanemab and 24% for donanemab, whereas ARIA-H rates were 17% for lecanemab and 31% for donanemab. Approximately 75% of ARIA cases were asymptomatic and detected on safety MRI scans conducted throughout the study. When present, Alzheimer’s Disease 3481 CHAPTER 442 ARIA symptoms are typically mild and nonspecific (e.g., headache, dizziness, greater confusion). However, severe symptoms, including seizures, stroke-like episodes, malignant hypertension, and (very rarely) death can occur. The risk of ARIA increases with each copy of the Apo ε4 allele and is highest in Apo ε4 homozygotes. Apo ε4 homozygotes are also at increased risk of symptomatic, severe, and recurrent ARIA, leading the FDA to issue a box warning for ε4 homozygotes in the prescribing information for both lecanemab and donanemab. Clinical Apo ε genotyping is recommended prior to initiating anti-Aβ antibody therapy to adequately inform shared decision-making about treatment risks and benefits. In a clinical setting, uncontrolled hypertension, radiographic evidence of extensive CAA (&gt;4 brain microhemorrhages or ≥1 region of cortical siderosis), and other factors that may increase ARIA risk are regarded as contraindications for antiamyloid anti bodies. Limited data are available about the safety of anticoagulants in the context of anti-Aβ therapy, with the concern that anticoagu lation may increase the risk of ARIA-H. Expert recommendations suggest excluding patients on anticoagulants from treatment until more safety data are available. Patients treated with a single anti platelet agent do not appear to be at higher risk for ARIA. Patients treated with lecanemab or donanemab should be moni tored for ARIA with multiple surveillance MRIs during the first 6–12 months of treatment, following the schedule recommended by the FDA in the prescribing information. T2/FLAIR and GRE/ SWI sequences should be performed, and patients should ideally be imaged longitudinally on the same MRI scanner and sequences to allow optimal comparisons between time points. An urgent MRI should be performed whenever ARIA is clinically suspected based on symptoms. The severity of ARIA is graded based on radiographic criteria, as well as the presence and severity of clinical symptoms. Patients can be treated safely through asymptomatic and radiographically mild ARIA, provided MRI scans are performed monthly to monitor evolution. Symptomatic or radiographically moderate to severe ARIA should lead to temporary suspension of treatment until ARIA-E resolves and ARIA-H stabilizes. </w:t>
      </w:r>
      <w:r w:rsidRPr="00A6019F">
        <w:lastRenderedPageBreak/>
        <w:t xml:space="preserve">Permanent cessation of treatment is recommended if symptoms are severe, ARIA has recurred more than twice, ARIA-H has led to macrohe morrhage or &gt;10 additional microhemorrhages since treatment ini tiation, or more than one area of superficial siderosis has emerged. Cases of catastrophic, multifocal brain hemorrhages due to severe ARIA-E and ARIA-H leading to death have been reported in patients receiving antiamyloid antibody therapy while being treated with thrombolytic medications (e.g., tissue plasminogen activa tor) for acute stroke. When presenting with stroke-like symptoms, patients receiving anti-Aβ monoclonal antibodies should receive an immediate MRI to differentiate acute stroke from ARIA. Until more data are available, treatment with lecanemab or donanemab should therefore be considered a contraindication to peripheral thrombolysis. It is current practice at our institution to restrict use of antiamy loid monoclonal antibodies to patients with biomarker-confirmed Aβ pathology and early symptomatic disease, including MCI or mild AD dementia, who are not expected to require anticoagulant therapy. We corroborate interpretation of Aβ biomarkers and scru tinize baseline brain MRI for disqualifying lesions that may increase risk of ARIA and intracerebral hemorrhage, such as radiographic evidence of extensive CAA. All patients must know their ApoE allele status and understand their associated ARIA risk before start ing treatment. Apo ε4 homozygous patients may elect to pursue therapy at our institution after careful consideration of their ARIA risk, although several institutions do prohibit or carefully restrict FLAIR hyperintensity confined to sulcus and/or cortex/subcortex white matter in one location 10 cm with associated gyral swelling and sulcal effacement. One or more separate/independent sites of involvement may be noted. Includes one or more of the following: • ≤4 new incident microhemorrhages • 1 new focal area of superficial siderosis Includes one or more of the following: • 5 to 9 new incident microhemorrhage • 12 focal areas of superficial siderosis Includes one or more of the following: • 10 or more microhemorrhages • &gt;2 focal areas of superficial siderosis • ≥1 macrohemorrhage(s) (≥10 cm) FIGURE 442-4 Radiographic staging of amyloid-related imaging abnormalities (ARIAs). A. Axial fluid-attenuated inversion recovery (FLAIR) image depicting radiographically mild ARIA-E in an asymptomatic patient receiving lecanemab treatment. Cortical edema and adjacent sulcal effacement are present in a right superior frontal region with 70 years. Memory is frequently not impaired until late in the disease, but attention, judgment, self-awareness, and executive functions are often deficient at an early stage. Depression, apathy, social withdrawal, irritability, and intermittent disinhibition are com mon. Delusions and obsessive-compulsive behavior may occur. Disease duration is variable but typically lasts ~15 years. NPH is a relatively uncommon but treatable syndrome. The clinical, physiologic, and neuroimaging characteristics of NPH must be care fully distinguished from those of other dementias associated with gait impairment. Historically, many patients treated for NPH have suffered from other dementias, particularly AD, vascular dementia, DLB, and PSP (Chap. 443). For NPH, the clinical triad includes an abnormal gait (ataxic or apractic), </w:t>
      </w:r>
      <w:r w:rsidRPr="00A6019F">
        <w:lastRenderedPageBreak/>
        <w:t xml:space="preserve">dementia (usually mild to moderate, with an emphasis on executive impairment), and urinary urgency or inconti nence. Neuroimaging reveals enlarged lateral ventricles (hydrocepha lus) with little or no cortical atrophy, although the sylvian fissures may appear propped open (so-called “boxcarring”), which can be mistaken for perisylvian atrophy. Crowding of dorsal frontal-parietal gyri helps distinguish NPH from other movement disorders, such as PSP and CBD, in which dorsal atrophy with sulcal widening is common. NPH is a communicating hydrocephalus with a patent aqueduct of Sylvius (see Fig. 31-3), in contrast to aqueductal stenosis, in which the aqueduct is small. Lumbar puncture opening pressure falls in the high-normal range, and the CSF protein, glucose, and cell counts are normal. NPH may be caused by obstruction to normal CSF flow over the cerebral convexities and delayed resorption into the venous system. The indo lent nature of the process results in enlarged lateral ventricles with rela tively little increase in CSF pressure. Presumed edema, stretching, and distortion of subfrontal white matter tracts may lead to clinical symp toms, but the precise underlying pathophysiology remains unclear. Some patients provide a history of conditions that produce meningeal scarring (blocking CSF resorption) such as previous meningitis, sub arachnoid hemorrhage, or head trauma. Others with longstanding but asymptomatic congenital hydrocephalus may have adult-onset dete rioration in gait or memory that is confused with NPH. In contrast to AD, the patient with NPH complains of an early and prominent gait disturbance without cortical atrophy on CT or MRI. Numerous attempts to improve NPH diagnosis with various spe cial studies and predict the success of ventricular shunting have been undertaken. These tests include radionuclide cisternography (showing a delay in CSF absorption over the convexity) and various efforts to monitor and alter CSF flow dynamics, including a constant-pressure infusion test. None has proven to be specific or consistently useful. A transient improvement in gait or cognition may follow lumbar punc ture (or serial punctures) with removal of 30–50 mL of CSF, but this finding has also not proved to be consistently predictive of postshunt improvement. Perhaps the most reliable strategy is a period of close inpatient evaluation before, during, and after lumbar CSF drainage. Occasionally, when a patient with AD presents with gait impairment (at times due to comorbid subfrontal vascular injury) and absent or only mild cortical atrophy on CT or MRI, distinguishing NPH from AD can be challenging. Hippocampal atrophy on MRI favors AD, whereas a characteristic “magnetic” gait with external hip rotation, low foot clearance, and short strides, along with prominent truncal sway or instability, favors NPH. The diagnosis of NPH should be avoided when hydrocephalus is not detected on imaging studies, even if the symptoms otherwise fit. Thirty to fifty percent of patients identified by careful diagnosis as having NPH will improve with ventricular shunting. Gait may improve more than cognition, but many reported failures to improve cognitively may have resulted from comorbid AD. Importantly, the presence of positive CSF AD biomarkers or amyloid PET is associated with lower likelihood of response to shunting. Short lasting improvement is common. Patients should be carefully selected </w:t>
      </w:r>
      <w:r w:rsidRPr="00A6019F">
        <w:lastRenderedPageBreak/>
        <w:t xml:space="preserve">for shunting, because subdural hematoma, infection, and shunt failure are known complications and can be a cause for early nursing home placement in an elderly patient with previously mild dementia. Intracranial hypotension, sometimes called sagging brain syndrome, is a disorder caused by low CSF pressure, leading to downward pres sure on the subcortical structures and disruption of cerebral function. It presents in a variable manner with headache, often exacerbated by coughing or a Valsalva maneuver or by moving from lying to stand ing. Other common symptoms include dizziness, vomiting, disruption of sleep-wake cycles, and sometimes a progressive behavioral variant FTD-like syndrome (Chap. 443). Although sometimes idiopathic, this syndrome can be caused by CSF leaks secondary to lumbar puncture, head trauma, or spinal cord arachnoid cysts. Treatment consists of finding and patching the CSF leak. Dementia can accompany chronic alcoholism (Chap. 464) and may result from associated malnutrition, especially of B vitamins, par ticularly thiamine. Other poorly defined aspects of chronic alcohol ism may, however, also produce cerebral damage. A rare idiopathic syndrome of dementia and seizures with degeneration of the corpus callosum has been reported primarily in male Italian red wine drinkers (Marchiafava-Bignami disease). Thiamine (vitamin B1 ) deficiency causes Wernicke’s encephalopa thy (Chap. 318). The clinical presentation is usually a malnourished patient (frequently but not necessarily alcoholic) with confusion, ataxia, and diplopia resulting from inflammation and necrosis of peri ventricular midline structures, including dorsomedial thalamus, mam millary bodies, midline cerebellum, periaqueductal gray matter, and trochlear and abducens nuclei. Damage to the dorsomedial thalamus correlates most closely with the memory loss. Prompt administration of parenteral thiamine (100 mg intravenously for 3 days followed by daily oral dosage) may reverse the disease if given within the first days of symptom onset. Prolonged untreated thiamine deficiency can result in an irreversible and profound amnestic syndrome (Korsakoff’s syndrome) or even death. CHAPTER 442 Alzheimer’s Disease In Korsakoff’s syndrome, the patient is unable to recall new informa tion despite normal immediate memory, attention span, and level of consciousness. Memory for new events is seriously impaired, whereas knowledge acquired prior to the illness remains relatively intact. Patients are easily confused, disoriented, and cannot store information for more than a few minutes. Superficially, they may be conversant, engaging, and able to perform simple tasks and follow immediate com mands. Confabulation is common, although not always present. There is no specific treatment because the previous thiamine deficiency has produced irreversible damage to the medial thalamic nuclei and mam millary bodies. Mammillary body atrophy may be visible on MRI in the chronic phase (see Fig. 318-6). Vitamin B12 deficiency, as can occur in pernicious anemia, causes a megaloblastic anemia and may also damage the nervous system (Chaps. 104 and 453). Neurologically, it most commonly produces a spinal cord syndrome (myelopathy) affecting the posterior columns (loss of vibration and position sense) and corticospinal tracts (hyper active tendon reflexes with Babinski signs); it also damages peripheral nerves (neuropathy), </w:t>
      </w:r>
      <w:r w:rsidRPr="00A6019F">
        <w:lastRenderedPageBreak/>
        <w:t xml:space="preserve">resulting in sensory loss with depressed tendon reflexes. Damage to myelinated axons may also cause dementia. The mechanism of neurologic damage is unclear but may be related to a deficiency of S-adenosyl methionine (required for methylation of myelin phospholipids) due to reduced methionine synthase activity or accumulation of methylmalonate, homocysteine, and propionate, providing abnormal substrates for fatty acid synthesis in myelin. Use of histamine blockers or metformin, vegan diets, autoimmunity against gastric parietal cells, and various causes of malabsorption are the typical causes for vitamin B12 deficiency. The neurologic sequelae of 3484 vitamin B12 deficiency may occur in the absence of hematologic mani festations, making it critical to avoid using the complete blood count (CBC) and blood smear as a substitute for measuring B12 blood levels. Treatment with parenteral vitamin B12 (1000 μg intramuscularly daily PART 13 Neurologic Disorders for a week, weekly for a month, and monthly for life for pernicious anemia) stops progression of the disease if instituted promptly, but complete reversal of advanced nervous system damage will not occur. Deficiency of nicotinic acid (pellagra) is associated with skin rash over sun-exposed areas, glossitis, and angular stomatitis (Chap. 344). Severe dietary deficiency of nicotinic acid along with other B vitamins such as pyridoxine may result in spastic paraparesis, peripheral neu ropathy, fatigue, irritability, and dementia. This syndrome has been seen in prisoners of war and in concentration camps but should be con sidered in any malnourished individual. Low serum folate levels appear to be a rough index of malnutrition, but isolated folate deficiency has not been proved as a specific cause of dementia. CNS infections usually cause delirium and other acute neurologic syndromes. However, some chronic CNS infections, particularly those associated with chronic meningitis (Chap. 144), may produce a dementing illness. The possibility of chronic infectious menin gitis should be suspected in patients presenting with a dementia or behavioral syndrome, who also have headache, meningismus, cranial neuropathy, and/or radiculopathy. Between 20 and 30% of patients in the advanced stages of HIV infection become demented (Chap. 208). Cardinal features include psychomotor retardation, apa thy, and impaired memory. This syndrome may result from secondary opportunistic infections but can also be caused by direct infection of CNS neurons with HIV. Neurosyphilis (Chap. 187) was a common cause of dementia in the preantibiotic era; it is now uncommon but can still be encountered in patients with multiple sex partners, particularly among patients with HIV. Characteristic CSF changes consist of pleo cytosis, increased protein, and a positive Venereal Disease Research Laboratory (VDRL) test. The recent SARS-CoV-2 pandemic was associated in some individuals with persistent postrecovery changes in memory, executive, and other cognitive functions; responsible mechanisms might include effects of inflammation, multiorgan system failure, or virus-associated vascular injury. Primary and metastatic neoplasms of the CNS (Chap. 95) usually produce focal neurologic findings and seizures rather than dementia, but if tumor growth begins in the frontal or temporal lobes, the initial manifestations may be memory loss or behavioral changes. An auto </w:t>
      </w:r>
      <w:r w:rsidRPr="00A6019F">
        <w:lastRenderedPageBreak/>
        <w:t xml:space="preserve">immune, sometimes paraneoplastic, syndrome of dementia associated with occult carcinoma (often small-cell lung cancer) is termed limbic encephalitis. In this syndrome, confusion, agitation, seizures, poor memory, emotional changes, and frank dementia may occur. Paraneo plastic encephalitis associated with NMDA receptor antibodies presents as a progressive psychiatric disorder with memory loss and seizures; affected patients are often young women with ovarian teratoma. Autoimmune etiologies also include antibodies targeting leucine-rich glioma-inactivated 1 (LGI1; faciobrachial dystonic seizures); contactin- associated protein-like 2 (Caspr2; insomnia, ataxia, myotonia); and α-amino-3-hydroxy-5-methylisoxazole-4-propionic acid (AMPA) receptor (limbic encephalitis with relapses), among others (Chap. 99). A nonconvulsive seizure disorder (Chap. 436) may underlie a syn drome of confusion, clouding of consciousness, and garbled speech. Often, psychiatric disease is suspected, but an EEG demonstrates the epileptic nature of the illness. If recurrent or persistent, the condition may be termed complex partial status epilepticus. The cognitive dis turbance often responds to anticonvulsant therapy. The etiology may be previous small strokes or head trauma; some cases are idiopathic. Nonconvulsive temporal lobe seizures can also emerge early in the course of AD. It is important to recognize systemic diseases that indirectly affect the brain and produce chronic confusion or dementia. Such conditions include hypothyroidism; vasculitis; and hepatic, renal, or pulmonary disease. Hepatic encephalopathy may begin with irritability and confu sion and slowly progress to agitation, lethargy, and coma. Isolated vasculitis of the CNS (CNS granulomatous angiitis) (Chaps. 375 and 438) occasionally causes a chronic encephalopathy associated with confusion, disorientation, and clouding of conscious ness. Headache is common, and strokes and cranial neuropathies may occur. Brain imaging studies may be normal or nonspecifically abnormal. CSF analysis reveals a mild pleocytosis or protein eleva tion. Cerebral angiography can show multifocal stenoses involving medium-caliber vessels, but some patients have only small-vessel disease that is not revealed on angiography. The angiographic appear ance is not specific and may be mimicked by atherosclerosis, infec tion, or other causes of vascular disease. Brain or meningeal biopsy demonstrates endothelial cell proliferation and mononuclear infil trates within blood vessel walls. The prognosis is often poor, although the disorder may remit spontaneously. Some patients respond to glucocorticoids or chemotherapy. Chronic metal exposure represents a rare cause of dementia. The key to diagnosis is to elicit a history of exposure at work or home. Chronic lead poisoning from inadequately fire-glazed pottery has been reported. Fatigue, depression, and confusion may be associated with episodic abdominal pain and peripheral neuropathy. Gray lead lines appear in the gums, usually accompanied by an anemia with basophilic stippling of red blood cells. The clinical presentation can resemble that of acute intermittent porphyria (Chap. 428), including elevated levels of urine porphyrins as a result of the inhibition of δ-aminolevulinic acid dehydrase. The treatment is chelation therapy with agents such as ethylenediamine tetraacetic acid </w:t>
      </w:r>
      <w:r w:rsidRPr="00A6019F">
        <w:lastRenderedPageBreak/>
        <w:t xml:space="preserve">(EDTA). Chronic mercury poisoning produces dementia, peripheral neuropathy, ataxia, and tremulousness that may progress to a cerebellar intention tremor or choreoathetosis. The confusion and memory loss of chronic arsenic intoxication is also associated with nausea, weight loss, peripheral neuropathy, pigmenta tion and scaling of the skin, and transverse white lines of the fingernails (Mees’ lines). Treatment is chelation therapy with dimercaprol (BAL). Aluminum poisoning is rare but was documented with the dialysis dementia syndrome, in which water used during renal dialysis was contaminated with excessive amounts of aluminum. This poisoning resulted in a progressive encephalopathy associated with confusion, nonfluent aphasia, memory loss, agitation, and, later, lethargy and stupor. Speech arrest and myoclonic jerks were common and associ ated with severe and generalized EEG changes. The condition has been eliminated by the use of deionized water for dialysis. Recurrent head trauma in professional athletes may lead to a dementia previously referred to as “punch-drunk” syndrome or dementia pugilistica but now known as chronic traumatic encepha lopathy (CTE) to signify its relevance to contact sport athletes other than boxers (Chap. 454). The symptoms can be progressive, beginning late in an athlete’s career or, more often, after retirement. Early in the course, a personality change occurs, associated with social instability, explosive rage, and sometimes paranoia and delusions. Later, memory loss progresses to full-blown dementia, often associated with parkin sonian signs and ataxia or intention tremor. At autopsy, the cerebral cortex shows tau-immunoreactive NFTs that are more prominent than amyloid plaques (which are usually diffuse or absent rather than neu ritic). NFTs and tau-positive reactive astrocytes are often clustered in the depths of cortical sulci and in a perivascular distribution. TDP-43 inclusions have also been reported, highlighting the overlap with the FTD spectrum (Chap. 443). Loss of neurons in the substantia nigra is a variable feature, and some with TDP-43 inclusions also develop motor neuron disease (MND) (Chap. 448). Chronic subdural hematoma (Chap. 454) is also occasionally associated with dementia, often in the context of underlying cortical atrophy from conditions such as AD or HD. Transient global amnesia (TGA) is characterized by the sudden onset of a severe episodic memory deficit, usually occurring in persons aged &gt;50 years. Often the amnesia occurs in the setting of an emotional stimulus or physical exertion. During the attack, the individual is alert and communicative, general cognition seems intact, and there are no other neurologic signs or symptoms. The patient may seem confused and repeatedly ask about their location in place and time. The ability to form new memories returns after a period of hours, and the individual returns to normal with no recall for the period of the attack. Frequently no cause is determined, but cerebrovascular disease, epilepsy (7% in 3485 one study), migraine, or cardiac arrhythmias have all been implicated. Approximately one-quarter of patients experience recurrent attacks. Rare instances of permanent memory loss have been reported in patients with TGA-like spells, usually representing ischemic infarction of the hippocampus or dorsomedial thalamic nucleus bilaterally. Sei zure </w:t>
      </w:r>
      <w:r w:rsidRPr="00A6019F">
        <w:lastRenderedPageBreak/>
        <w:t xml:space="preserve">activity due to AD should always be suspected in this syndrome. The ALS/parkinsonian/dementia complex of Guam is a rare degen erative disease that has occurred in the Chamorro natives on the island of Guam. Individuals may have any combination of parkinsonian fea tures, dementia, and MND. The most characteristic pathologic features are the presence of NFTs in degenerating neurons of the cortex and substantia nigra and loss of motor neurons in the spinal cord, although recent reanalysis has shown that some patients with this illness also show coexisting TDP-43 pathology. Epidemiologic evidence supports a possible environmental cause, such as exposure to a neurotoxin or an infectious agent with a long latency period. One interesting but unproven candidate neurotoxin is the seed of the false palm tree, which Guamanians traditionally used to make flour. The amyotrophic lateral sclerosis (ALS) syndrome is no longer present in Guam, but a dement ing illness with rigidity continues to be seen. Rarely, adult-onset leukodystrophies, lysosomal storage diseases, and other genetic disorders can present as a dementia in middle to late life. Metachromatic leukodystrophy (MLD) causes a progres sive psychiatric or dementia syndrome associated with an extensive, confluent frontal white matter abnormality. MLD is diagnosed by measuring reduced arylsulfatase A enzyme activity in peripheral white blood cells. Adult-onset presentations of adrenoleukodystrophy have been reported in female carriers, and these patients often feature spinal cord and posterior white matter involvement. Adrenoleuko dystrophy is diagnosed by demonstrating increased levels of plasma very-long-chain fatty acids. CADASIL (cerebral autosomal dominant arteriopathy with subcortical infarcts and leukoencephalopathy) is another genetic syndrome associated with white matter disease, often frontally and temporally predominant. Diagnosis is made with skin biopsy, which shows osmophilic granules in arterioles, or increasingly through genetic testing for mutations in Notch 3. The neuronal ceroid lipofuscinoses are a genetically heterogeneous group of disorders asso ciated with myoclonus, seizures, vision loss, and progressive dementia. Diagnosis is made by finding eosinophilic curvilinear inclusions within white blood cells or neuronal tissue. Psychogenic amnesia for personally important memories can be seen. Whether this results from deliberate avoidance of unpleasant memories, outright malingering, or unconscious repression remains unknown and probably depends on the patient. Event-specific amnesia is more likely to occur after violent crimes such as homicide of a close relative or friend or sexual abuse. It may develop in association with severe drug or alcohol intoxication and sometimes with schizophrenia. More prolonged psychogenic amnesia occurs in fugue states that also commonly follow severe emotional stress. The patient with a fugue state suffers from a sudden loss of personal identity and may be found wandering far from home. In contrast to neurologic amnesia, fugue states are associated with amnesia for personal identity and events closely associated with the personal past. At the same time, memory for other recent events and the ability to learn and use new information are pre served. The episodes usually last hours or days and occasionally weeks or months while the patient takes on a new identity. On recovery, </w:t>
      </w:r>
      <w:r w:rsidRPr="00A6019F">
        <w:lastRenderedPageBreak/>
        <w:t xml:space="preserve">there is a residual amnesia gap for the period of the fugue. Very rarely does selective loss of autobiographic information reflect a focal injury to the brain areas involved with these functions. Psychiatric diseases may mimic dementia. Severely depressed or anxious individuals may appear demented, a phenomenon sometimes called pseudodementia. Memory and language are usually intact when carefully tested, and a significant memory disturbance usually suggests an underlying dementia, even if the patient is depressed. Patients in this condition may feel confused and unable to accomplish routine tasks. Vegetative symptoms, such as insomnia, lack of energy, poor appetite, and concern with bowel function, are common. Onset is often more abrupt, and the psychosocial milieu may suggest prominent reasons for depression. Such patients respond to treatment of the underlying psychiatric illness. Schizophrenia is usually not difficult to distinguish from dementia, but occasionally the distinction can be problematic. Schizophrenia generally has a much earlier age of onset (second and third decades) than most dementing illnesses and is associated with intact memory. The delusions and hallucinations of schizophrenia are usually more complex, bizarre, and threatening than those of demen tia. Some chronic schizophrenics develop an unexplained progressive dementia late in life that is not related to AD. Conversely, FTD, HD, vascular dementia, DLB, AD, or leukoencephalopathy can begin with schizophrenia-like features, leading to the misdiagnosis of a psychiatric condition. Later age of onset, significant deficits on cognitive testing, or the presence of abnormal neuroimaging suggest a degenerative condi tion. Memory loss may also be part of a conversion disorder. In this situ ation, patients commonly complain bitterly of memory loss, but careful cognitive testing either does not confirm the deficits or demonstrates inconsistent or unusual patterns of cognitive problems. The patient’s behavior and “wrong” answers to questions often indicate that they understand the question and know the correct answer. Clouding of cognition by chronic drug or medication use, often pre scribed by physicians, is an important cause of dementia. Sedatives, tranquilizers, and analgesics used to treat insomnia, pain, anxiety, or agitation may cause confusion, memory loss, and lethargy, especially in the elderly. Discontinuation of the offending medication often improves mentation. </w:t>
      </w:r>
      <w:r w:rsidRPr="00A6019F">
        <w:rPr>
          <w:rFonts w:ascii="Arial" w:hAnsi="Arial" w:cs="Arial"/>
        </w:rPr>
        <w:t>■</w:t>
      </w:r>
      <w:r w:rsidRPr="00A6019F">
        <w:t>FURTHER READING Andrews SJ et al: Interpretation of risk loci from genome-wide asso ciation studies of Alzheimer</w:t>
      </w:r>
      <w:r w:rsidRPr="00A6019F">
        <w:rPr>
          <w:rFonts w:ascii="Aptos" w:hAnsi="Aptos" w:cs="Aptos"/>
        </w:rPr>
        <w:t>’</w:t>
      </w:r>
      <w:r w:rsidRPr="00A6019F">
        <w:t>s disease. Lancet Neurol 19:326, 2020. Belloy ME et al: A quarter century of APOE and Alzheimer</w:t>
      </w:r>
      <w:r w:rsidRPr="00A6019F">
        <w:rPr>
          <w:rFonts w:ascii="Aptos" w:hAnsi="Aptos" w:cs="Aptos"/>
        </w:rPr>
        <w:t>’</w:t>
      </w:r>
      <w:r w:rsidRPr="00A6019F">
        <w:t xml:space="preserve">s disease: Progress to date and the path forward. Neuron 101:820, 2019. Cummings J et al: Progress in pharmacologic management of neu ropsychiatric syndromes in neurodegenerative disorders: A review. JAMA Neurol 81:645, 2024. Graff-Radford J et al: New insights into atypical Alzheimer’s disease in the era of biomarkers. Lancet Neurol 20:222, 2021. CHAPTER 443 Frontotemporal Dementia Jack CR et al: Revised criteria for the diagnosis and staging of Alzheimer’s disease. Nat Med 30:2121, 2024. Schindler SE et al: Acceptable performance of blood biomarker tests of amyloid pathology: Recommendations from the Global CEO Ini tiative on Alzheimer’s Disease. Nat Rev Neurol 20:426, 2024. Sims JR et al: Donanemab in early symptomatic Alzheimer </w:t>
      </w:r>
      <w:r w:rsidRPr="00A6019F">
        <w:lastRenderedPageBreak/>
        <w:t xml:space="preserve">disease: The TRAILBLAZER-ALZ 2 randomized clinical trial. JAMA 330:512, 2023. Van Dyck CH et al: Lecanemab in early Alzheimer’s disease. N Engl J Med 388:9, 2023. 443 Frontotemporal Dementia William W. Seeley, Bruce L. Miller Frontotemporal dementia (FTD) refers to a group of clinical syndromes united by their links to underlying frontotemporal lobar degenera tion (FTLD) pathology. FTD, like the other major neurodegenerative diseases, is considered a disease of abnormal protein aggregation, with either tau or transactive response DNA-binding protein of 43 kDa (TDP-43) implicated in most cases. FTD most often begins in the fifth to seventh decades of life and is nearly as prevalent as Alzheimer’s disease (AD) in this age group. Early studies suggested that FTD may be more common in men than women; however, more recent reports 3486 cast doubt on this finding. Although a family history of dementia is common, autosomal dominant inheritance is seen in only 10–20% of all FTD cases. </w:t>
      </w:r>
      <w:r w:rsidRPr="00A6019F">
        <w:rPr>
          <w:rFonts w:ascii="Arial" w:hAnsi="Arial" w:cs="Arial"/>
        </w:rPr>
        <w:t>■</w:t>
      </w:r>
      <w:r w:rsidRPr="00A6019F">
        <w:t xml:space="preserve">CLINICAL MANIFESTATIONS PART 13 Neurologic Disorders Familial and sporadic forms of FTLD present with remarkable clinical heterogeneity. Three core clinical syndromes have been described (Fig. 443-1). In the behavioral variant (bvFTD), the most common FTD syn drome, social and emotional dysfunction manifests as apathy, disinhibi tion, compulsivity, loss of empathy, and overeating, often but not always accompanied by deficits in executive control. Two forms of primary progressive aphasia (PPA), the semantic and nonfluent/agrammatic variants, are commonly due to FTLD and are included under the FTD umbrella. In the semantic variant, patients slowly lose the ability to decode word, object, person-specific, and emotion meaning, whereas patients with the nonfluent/agrammatic variant develop profound inability to produce words, often with prominent motor speech impair ment. Any of these three clinical syndromes, but most often bvFTD, may be accompanied by motor neuron disease (MND) (Chap. 448), in which case the term FTD-MND is applied. In addition, the corticobasal syndrome (CBS) and progressive supranuclear palsy–Richardson syn drome (PSP-RS) can be considered part of the FTD clinical spectrum. Furthermore, patients may evolve from any of the major syndromes described above to have prominent features of another syndrome. Findings at the bedside are dictated by the anatomic localization of the disorder. Degeneration with atrophy occurs in the medial and orbital frontal cortex and anterior insula in bvFTD; the anterior tem poral region in semantic variant PPA; and the opercular frontal and precentral gyrus of the dominant hemisphere in nonfluent/agrammatic PPA. Typically, parietal functions such as visuospatial processing and arithmetic calculations are unaffected even late in the FTD syndromes. Many patients with nonfluent aphasia or bvFTD later develop aspects of PSP-RS as disease spreads into subcortical or brainstem structures or CBS-like features appear as disease moves into perirolandic cortices. </w:t>
      </w:r>
      <w:r w:rsidRPr="00A6019F">
        <w:rPr>
          <w:rFonts w:ascii="Arial" w:hAnsi="Arial" w:cs="Arial"/>
        </w:rPr>
        <w:t>■</w:t>
      </w:r>
      <w:r w:rsidRPr="00A6019F">
        <w:t xml:space="preserve">GENETIC CONSIDERATIONS Autosomal dominant forms of FTD can result from mutations in C9orf72 (chromosome 9), GRN (chromosome 17), and MAPT (chromosome 17) genes. A hexanucleotide (GGGGCC) expan sion in a noncoding exon of C9ORF72 is the most common genetic cause of familial or sporadic FTD (usually presenting as bvFTD with or </w:t>
      </w:r>
      <w:r w:rsidRPr="00A6019F">
        <w:lastRenderedPageBreak/>
        <w:t xml:space="preserve">without MND) and amyotrophic lateral sclerosis (ALS). The expansion is associated with C9orf72 haploinsufficiency, nuclear mRNA foci con taining transcribed portions of the expansion and other mRNAs, neu ronal cytoplasmic inclusions containing dipeptide repeat proteins translated from the repeat mRNA, and TDP-43 neuronal cytoplasmic and glial inclusions. The pathogenic significance of these various fea tures is a topic of vigorous investigation. MAPT mutations lead to a change in the alternate splicing of tau or cause loss of function in the tau molecule, thereby altering microtubule binding. With GRN, muta tions in the coding sequence of the gene encoding progranulin protein result in mRNA degradation due to nonsense-mediated decay, leading to a ~50% reduction in circulating progranulin protein levels. Intrigu ingly, homozygous GRN mutations cause neuronal ceroid lipofuscino sis, focusing investigators on the lysosome as a site of molecular dysfunction in GRN-related FTD. Progranulin is a growth factor that binds to tumor necrosis factor (TNF) and sortilin receptors and partici pates in tissue repair and tumor growth. How progranulin mutations lead to FTD remains unknown, but the most likely mechanisms include lysosomal dysfunction and neuroinflammation. Often, MAPT and GRN mutations are associated with parkinsonian features, whereas ALS is rare. Infrequently, mutations in the valosin-containing protein (VCP, chromosome 9), TANK binding kinase 1 (TBK-1), T cell restricted intracellular antigen-1 (TIA1), and charged multivesicular body protein 2b (CHMP2b, chromosome 3) genes also lead to autoso mal dominant familial FTD. Mutations in the TARDBP (encoding TDP-43) and FUS (encoding fused in sarcoma [FUS]) genes (see below) cause familial ALS, sometimes in association with an FTD syn drome, although a few patients presenting with FTD alone have been reported. </w:t>
      </w:r>
      <w:r w:rsidRPr="00A6019F">
        <w:rPr>
          <w:rFonts w:ascii="Arial" w:hAnsi="Arial" w:cs="Arial"/>
        </w:rPr>
        <w:t>■</w:t>
      </w:r>
      <w:r w:rsidRPr="00A6019F">
        <w:t xml:space="preserve">NEUROPATHOLOGY The pathological hallmark of FTLD is a focal atrophy of frontal, insular, and/or temporal cortex, which can be visualized with neuroimaging studies (Fig. 443-1) and is often profound at autopsy. Neuroimaging studies suggest that atrophy often begins focally in one hemisphere before spreading to anatomically interconnected cortical and subcorti cal regions. Loss of cortical serotonergic innervation is seen in many patients. In contrast to AD, the cholinergic system is relatively spared in FTD, which accounts for the poor efficacy of acetylcholinesterase inhibitors in this group. Although early studies suggested that 15–30% of patients with FTD showed underlying AD at autopsy, progressive refinement in clinical diagnosis has improved prediction accuracy, and most patients diagnosed with FTD at a dementia clinic will show underlying FTLD pathology. Microscopic findings seen across all patients with FTLD include gliosis, microvacuolation, and neuronal loss, but the disease is subtyped according to the protein composition of neuronal and glial inclusions, which contain either tau or TDP-43 in ~90% of patients, with the remaining ~10% showing inclusions containing the FET fam ily of proteins (FUS, Ewing sarcoma protein, TAF-15) (Fig. 443-2). </w:t>
      </w:r>
      <w:r w:rsidRPr="00A6019F">
        <w:rPr>
          <w:rFonts w:ascii="Arial" w:hAnsi="Arial" w:cs="Arial"/>
        </w:rPr>
        <w:t>■</w:t>
      </w:r>
      <w:r w:rsidRPr="00A6019F">
        <w:t xml:space="preserve">PATHOGENESIS FIGURE 443-1 Three major frontotemporal dementia (FTD) clinical syndromes. Coronal magnetic resonance imaging sections from representative patients with behavioral variant FTD (left) and the semantic (center) and nonfluent/ agrammatic (right) variants of primary progressive </w:t>
      </w:r>
      <w:r w:rsidRPr="00A6019F">
        <w:lastRenderedPageBreak/>
        <w:t xml:space="preserve">aphasia (PPA). Areas of early and severe atrophy in each syndrome are highlighted (white arrowheads). The behavioral variant features anterior cingulate and frontoinsular atrophy, spreading to orbital and dorsolateral prefrontal cortex. Semantic variant PPA shows prominent temporopolar atrophy, more often on the left. Nonfluent/agrammatic variant PPA is associated with dominant frontal opercular and dorsal insula degeneration. In FTLD-tau, the toxicity and spreading capacity of misfolded tau are critical for the pathogenesis of inherited and sporadic tauopathies, although loss of tau microtubule stabilizing function may also play a role. In recent years, the distinctive structures of the misfolded tau in each FTLD tauopathy have been resolved using cryo-electron microscopy, opening up new approaches to diagnosis and treatment. TDP-43 and FET family proteins in contrast, are RNA/DNA binding proteins whose roles in neuronal function are still being actively investigated. TDP-43 is a master regulator of gene expression, and loss of TDP-43 function results in mis-splicing events leading to mRNA degradation (via nonsense-mediated decay) or aber rant transcripts that give rise to stable but dysfunctional peptides. One key role of TDP-43 and FET family proteins may be the chaperoning of mRNAs to the distal neuron for activity-dependent translation within dendritic spines. Because these proteins also form intra cellular aggregates and produce similar anatomic progression, protein toxicity and spreading may also factor heavily bvFTD svPPA nfvPPA FTD-MND CBS PSP-RS 3487 Frontotemporal lobar degeneration (FTLD) FTLD-tau FTLD-TDP Pick’s 3R tau CBD 4R tau PSP 4R tau Type A (PGRN) (C9ORF72) Type B (C9ORF72) Type C aFTLD-U Alzheimer’s disease FTLD-FET BIBD FTDP-17 MAPT Other: CTE, AGD, MST, GGT Type D VCP Type U (C9ORF72) (TARDBP) NIFID/ NIBD FUS NOS FUS FTLD-3 CHMP2B FIGURE 443-2 Frontotemporal dementia syndromes are united by underlying frontotemporal lobar degeneration pathology, which can be divided according to the presence of tau, TDP-43, or FUS-containing inclusions in neurons and glia. Correlations between clinical syndromes and major molecular classes are shown with colored shading. Despite improvements in clinical syndromic diagnosis, a small percentage of patients with some frontotemporal dementia syndromes will show Alzheimer’s disease neuropathology at autopsy (gray shading). aFTLD-U, atypical frontotemporal lobar degeneration with ubiquitin-positive inclusions; AGD, argyrophilic grain disease; BIBD, basophilic inclusion body disease; bvFTD, behavioral variant frontotemporal dementia; CBD, corticobasal degeneration; CBS, corticobasal syndrome; CTE, chronic traumatic encephalopathy; FET, FUS, Ewing sarcoma protein, TAF-15 family of proteins; FTD-MND, frontotemporal dementia with motor neuron disease; FTDP-17, frontotemporal dementia with parkinsonism linked to chromosome 17; FUS, fused in sarcoma; GGT, globular glial tauopathy; MST, multisystem tauopathy; nfvPPA, nonfluent/ agrammatic variant primary progressive aphasia; NIBD, neurofilament inclusion body disease; NIFID, neuronal intermediate filament inclusion disease; PSP, progressive supranuclear palsy; PSP-RS, progressive supranuclear palsy–Richardson syndrome; svPPA, semantic variant primary progressive aphasia; Type U, unclassifiable type. in the pathogenesis of </w:t>
      </w:r>
      <w:r w:rsidRPr="00A6019F">
        <w:lastRenderedPageBreak/>
        <w:t xml:space="preserve">FTLD-TDP and FTLD-FET. As with tau, the ultrastructural characteristics of the TDP-43 and FET family protein misfolding events are now being actively characterized, with each pathologically recognized morphological subtype corresponding to a disease-specific fold. behaviors that may accompany FTD, such as depression, hyperorality, compulsions, and irritability, can be ameliorated with antidepressants, especially selective serotonin reuptake inhibitors (SSRIs). Because FTD is often accompanied by parkinsonism, antipsychotics, which can exacerbate this problem, must be used with caution. Experimental therapeutics, most targeting genetic forms of FTD, have just begun to enter clinical trials, but to date, no disease-modifying treatments have shown efficacy. A general approach to the symptomatic management of dementia is presented in Chap. 31. CHAPTER 443 Frontotemporal Dementia Increasingly, misfolded proteins in neurodegenerative disease are recognized as having “prion-like” or “corruptive” properties in that they can template the misfolding of their natively folded (or unfolded) protein counterparts, a process that creates exponential amplification of protein misfolding within a cell and may promote transcellular and even transsynaptic protein propagation between cells. This hypothesis could provide a unifying explanation for the stereotypical and network-rooted patterns of disease spread observed in each syndrome (Chap. 435). Although the term Pick’s disease was once used to describe a pro gressive degenerative disorder characterized by selective involvement of the anterior frontal and temporal neocortex and pathologically by intraneuronal cytoplasmic inclusions (Pick bodies), it is now used only in reference to a specific FTLD-tau histopathologic subtype. Classical Pick bodies are argyrophilic, staining positively with the Bielschowsky silver method (but not with the Gallyas method) and also with immunostaining for hyperphosphorylated tau. Recognition of the three FTLD major molecular classes has allowed delineation of distinct FTLD subtypes within each class. These subtypes, based on the morphology and distribution of the neuronal and glial inclusions (Fig. 443-3), account for the vast majority of patients, and some sub types show strong clinical or genetic associations (Fig. 443-2). Despite this progress, clinical features do not allow reliable prediction of the underlying FTLD subtype, or even the major molecular class, for all clinical syndromes. Molecular positron emission tomography (PET) imaging with ligands chosen to bind misfolded tau protein shows promise, but to date, these ligands only show robust and specific bind ing to AD-related misfolded tau. Because FTLD-tau and FTLD-TDP account for 90% of FTLD patients, the ability to detect pathologic tau (or TDP-43) protein deposition in vivo would greatly improve predic tion accuracy, especially when amyloid PET imaging is negative. </w:t>
      </w:r>
      <w:r w:rsidRPr="00A6019F">
        <w:rPr>
          <w:rFonts w:ascii="Arial" w:hAnsi="Arial" w:cs="Arial"/>
        </w:rPr>
        <w:t>■</w:t>
      </w:r>
      <w:r w:rsidRPr="00A6019F">
        <w:t xml:space="preserve">TREATMENT Caregivers for patients with FTD carry a heavy burden, especially when the illness disrupts core emotional and personality functions of the loved one. Treatment is symptomatic, and there are currently no thera pies known to slow progression or improve symptoms. Many of the </w:t>
      </w:r>
      <w:r w:rsidRPr="00A6019F">
        <w:rPr>
          <w:rFonts w:ascii="Arial" w:hAnsi="Arial" w:cs="Arial"/>
        </w:rPr>
        <w:t>■</w:t>
      </w:r>
      <w:r w:rsidRPr="00A6019F">
        <w:t xml:space="preserve">PROGRESSIVE SUPRANUCLEAR PALSY SYNDROME PSP-RS is a degenerative disorder that involves the brainstem, basal ganglia, diencephalon, and selected areas of cortex. Clinically, PSP RS begins with falls </w:t>
      </w:r>
      <w:r w:rsidRPr="00A6019F">
        <w:lastRenderedPageBreak/>
        <w:t xml:space="preserve">and executive dysfunction or subtle personality changes (such as mental rigidity, impulsivity, or apathy). Shortly thereafter, a progressive oculomotor syndrome ensues that begins with square wave jerks, followed by slowed saccades (vertical worse than horizontal) before resulting in progressive supranuclear oph thalmoparesis. Dysarthria, dysphagia, and symmetric axial rigidity can be prominent features that emerge at any point in the illness. A stiff, unstable posture with hyperextension of the neck and a slow, jerky, toppling gait are characteristic. Frequent unexplained and sometimes spectacular falls are common secondary to a combination of axial rigidity, inability to look down, and impaired judgment. Even once patients have severely limited voluntary eye movements, they retain oculocephalic reflexes (demonstrated using a vertical doll’s head maneuver); thus, the oculomotor disorder is supranuclear. The dementia overlaps with bvFTD, featuring apathy, frontal-executive dysfunction, poor judgment, slowed thought processes, impaired verbal fluency, and difficulty with sequential actions and shifting from one task to another. These features are common at presentation and often precede the motor syndrome. Some patients with a pathologic diagnosis of PSP begin with a nonfluent aphasia or motor speech dis order and progress to classical PSP-RS. Response to l-dopa is limited or absent; no other treatments exist. Death occurs within 5–10 years of onset. Like Pick’s disease, increasingly the term PSP is used to refer to a specific histopathologic entity within the FTLD-tau class. In PSP, accu mulation of hyperphosphorylated 4-repeat tau is seen within neurons and glia. Tau neuronal inclusions often appear tangle-like and may be large, spherical (“globose”), and coarse in subcortical and brainstem 3488 A B C PART 13 Neurologic Disorders D E F FIGURE 443-3 Neuropathology in frontotemporal lobar degeneration (FTLD). FTLD-tau (A–C) and FTLD-TDP (D–F) account for &gt;90% of patients with FTLD, and immunohistochemistry reveals characteristic lesions in each of the major histopathologic subtypes within each class: A. Pick bodies in Pick’s disease; B. a tufted astrocyte in progressive supranuclear palsy; C. an astrocytic plaque in corticobasal degeneration; D. small compact or crescentic neuronal cytoplasmic inclusions and short, thin neuropil threads in FTLD-TDP, type A; E. diffuse/granular neuronal cytoplasmic inclusions (with a relative paucity of neuropil threads) in FTLD-TDP, type B; and F. long, tortuous dystrophic neurites in FTLD-TDP, type C. TDP can be seen within the nucleus in neurons lacking inclusions but mislocalizes to the cytoplasm and forms inclusions in FTLD-TDP. Immunostains are 3-repeat tau (A), phospho-tau (B and C), and TDP-43 (D–F). Sections are counterstained with hematoxylin. Scale bar applies to all panels and represents 50 μm in A, B, C, and E and 100 μm in D and F. structures. The most prominent involvement is in the subthalamic nucleus, globus pallidus, substantia nigra, periaqueductal gray, tectum, oculomotor nuclei, pontine nuclei, and dentate nucleus of cerebellum. Neocortical tangle-like inclusions, like those in AD, often take on a more flame-shaped morphology, but the tau folds in AD and PSP are distinct. Prominent tau-positive glial inclusions are an essential feature of PSP. Tufted astrocytes in the neocortex or striatum are the signature lesion (Fig. 443-3). Coiled oligodendroglial inclusions (“coiled bodies”) are </w:t>
      </w:r>
      <w:r w:rsidRPr="00A6019F">
        <w:lastRenderedPageBreak/>
        <w:t xml:space="preserve">common but nonspecific. Most patients with PSP-RS show PSP at autopsy, although small numbers will show another tauopathy (corti cobasal degeneration [CBD] or globular glial tauopathy, or FTLD with a MAPT mutation; Fig. 443-2). In addition to its overlap with FTD and CBS (see below), PSP is often confused with idiopathic Parkinson’s disease (PD). Although elderly patients with PD may have restricted upgaze, they do not develop downgaze paresis or other abnormalities of voluntary eye movements typical of PSP. Dementia ultimately occurs in most patients with PD, often due to the emergence of a full-blown dementia with Lewy bodies (DLB)-like syndrome or comorbid AD-type dementia. Furthermore, the behavioral syndromes seen with DLB differ from PSP (see below). Dementia in PD becomes more likely with increasing age, increasing severity of extrapyramidal signs, long disease duration, and the pres ence of depression. Patients with PD who develop dementia also show cortical atrophy on brain imaging. Neuropathologically, there may be AD-related changes in the cortex or Lewy body disease (LBD)-related α-synuclein inclusions in both the limbic system and cerebral cortex. DLB and PD are discussed in Chaps. 445 and 446, respectively. </w:t>
      </w:r>
      <w:r w:rsidRPr="00A6019F">
        <w:rPr>
          <w:rFonts w:ascii="Arial" w:hAnsi="Arial" w:cs="Arial"/>
        </w:rPr>
        <w:t>■</w:t>
      </w:r>
      <w:r w:rsidRPr="00A6019F">
        <w:t xml:space="preserve">CORTICOBASAL SYNDROME CBS is a slowly progressive dementia-movement disorder associated with severe degeneration in the perirolandic cortex and basal ganglia (substantia nigra and striatopallidum). Patients typically present with asymmetric rigidity, dystonia, myoclonus, and apraxia that render a progressively incapacitated limb, at times associated with alien limb phenomena in which the limb exhibits unintended motor actions such as grasping, groping, drifting, or undoing. Eventually CBS becomes bilateral and leads to dysarthria, slow gait, action tremor, and a frontal predominant dementia. Whereas CBS refers to the clinical syndrome, CBD refers to a specific histopathologic FTLD-tau entity (Fig. 443-2). Although CBS was once thought to be pathognomonic for CBD, increasingly it has been recognized that CBS can be due to CBD, PSP, FTLD-TDP, and AD, with the latter accounting for up to 30% of CBS in some series. In CBD, the microscopic features include ballooned, achromatic, tau-positive neurons; astrocytic plaques (Fig. 443-3); and other dystrophic glial tau pathomorphologies that overlap with those seen in PSP. Most specifically, CBD features a severe tauopathy bur den in the subcortical white matter, consisting of axonal threads and oligodendroglial coiled bodies. As shown in Fig. 443-2, patients with bvFTD, nonfluent/agrammatic PPA, and PSP-RS may also show CBD at autopsy, emphasizing the importance of distinguishing clinical and pathologic constructs and terminology. Treatment of CBS remains symptomatic; no disease-modifying therapies are available. </w:t>
      </w:r>
      <w:r w:rsidRPr="00A6019F">
        <w:rPr>
          <w:rFonts w:ascii="Arial" w:hAnsi="Arial" w:cs="Arial"/>
        </w:rPr>
        <w:t>■</w:t>
      </w:r>
      <w:r w:rsidRPr="00A6019F">
        <w:t xml:space="preserve">FURTHER READING Boeve BF et al: Advances and controversies in frontotemporal dementia: Diagnosis, biomarkers, and therapeutic considerations. Lancet Neurol 21:258, 2022. Creekmore BC et al: Neurodegenerative disease tauopathies. Annu Rev Pathol 19:345, 2024. Irwin DJ et al: Frontotemporal lobar degeneration: Defining pheno typic diversity through personalized medicine. Acta Neuropathol 129:469, 2015. Roberson ED: Mouse models of frontotemporal dementia. Ann Neurol 72:837, 2012. Seeley WW: Behavioral variant frontotemporal dementia. Continuum (Minneap Minn) </w:t>
      </w:r>
      <w:r w:rsidRPr="00A6019F">
        <w:lastRenderedPageBreak/>
        <w:t xml:space="preserve">25:76, 2019. 444 Vascular Dementia </w:t>
      </w:r>
      <w:r w:rsidRPr="00A6019F">
        <w:rPr>
          <w:rFonts w:ascii="Arial" w:hAnsi="Arial" w:cs="Arial"/>
        </w:rPr>
        <w:t>■</w:t>
      </w:r>
      <w:r w:rsidRPr="00A6019F">
        <w:t xml:space="preserve">GLOBAL CONSIDERATIONS 3489 Steven M. Greenberg, William W. Seeley The term vascular dementia has traditionally been used to describe a subset of dementia cases due primarily to one or more symptomatic strokes. Considered as such, vascular dementia is usually ranked the second most frequent cause of dementia, exceeded only by Alzheimer’s disease (Chap. 442), and is especially common in populations with limited access to medical care, where vascular risk factors are under treated. More recently, this relatively narrow definition of vascular dementia has been substantially broadened to encompass the full impact of cerebrovascular disease on age-related cognitive decline. The term vascular contributions to cognitive impairment and dementia (VCID) reflects the observation that pathologic changes involving the cerebral vasculature are highly prevalent in the elderly and contribute to cognitive impairment, whether occurring in isolation or—more commonly—in conjunction with other neurodegenerative processes. The concept of VCID is one facet of the contemporary understanding of age-related cognitive decline as due to cumulative effects of distinct and overlapping neuropathologic changes. Multifactorial or “mixed” dementias appear to be more prevalent than single-etiology dementias and thus represent the rule rather than the exception. Symptomatic stroke and asymptomatic vascular lesions, most com monly detected with brain magnetic resonance imaging (MRI) scans, both contribute importantly to cognitive impairment. At least some cognitive impairment is present in approximately half of stroke sur vivors and progressively increases with longer periods of follow-up. Population-based studies also demonstrate substantially increased risk of cognitive impairment among individuals without symptomatic stroke but with MRI evidence of cerebrovascular disease. The high risk for subsequent cognitive impairment or dementia conferred by MRI markers of otherwise silent vascular brain injury highlights the cumu lative impact of small distributed brain injuries—often associated with small-vessel brain disease—on compromising brain function. Further support for this framework comes from the correlation of cognitive performance during life with postmortem neuropathology. Analysis of large community-based samples demonstrates independent contri butions to cognitive dysfunction and decline from both grossly vis ible infarcts and pathologic markers of overall cerebrovascular disease severity such as atherosclerosis, arteriolosclerosis, and cerebral amyloid angiopathy scores. The Religious Orders Study and Memory and Aging Project analysis of 1079 community-based participants, for example, found each of these cerebrovascular entities to be moderate to severe in &gt;30% of postmortem brains and, when present, to each account for ~20% of an individual’s premortem cognitive decline. Recent epidemiologic evidence of a decline in age-adjusted dementia incidence hints at the potential public impact of improving vascular health. The population-based Framingham Study reported 5-year age- and sex-adjusted cumulative hazard rates for dementia of 3.6 per 100 persons during the late 1970s to early 1980s, 2.8 in the late 1980s to early 1990s, 2.2 in the late 1990s to early 2000s, and 2.0 in the late 2000s to early 2010s. These time intervals coincide with </w:t>
      </w:r>
      <w:r w:rsidRPr="00A6019F">
        <w:lastRenderedPageBreak/>
        <w:t xml:space="preserve">parallel trends in hypertension control and stroke prevention, though the associations do not prove causation. Evidence supporting a potential causative effect of blood pressure control came from the SPRINT-MIND trial target ing systolic blood pressure (SBP) of 90% of patients. Imaging of the dopamine system and new biomarkers (see below) further increase diagnostic accuracy. The International Parkinson’s Disease and Movement Disorder Society (MDS) has proposed revised clinical criteria for PD (known as the MDS Clinical Diagnostic Criteria for Parkinson’s disease), which are thought to increase diagnostic accuracy even further, particularly in early cases where levodopa has not yet been introduced. While motor parkinsonism has been retained as the core feature of the disease, in these criteria, the specific diagnosis of PD relies on three additional categories of diagnostic features: supportive criteria (features that increase confidence in the diagnosis of PD), absolute exclusion criteria, and red flags (which must be counterbalanced by supportive criteria to permit a diagnosis of PD). Utilizing these criteria, two levels of certainty have been delineated: clinically established PD and clinically probable PD (see Berg et al. in “Further Reading”). Recently, two new classifications have been developed aimed at defining the early stages of PD based on biological research criteria. The first stages PD based on neuronal α-synuclein accumulation. The second takes into account α-synuclein deposition, but also the distribution of neurodegen eration and pathogenic variants in known PD-causative genes. CHAPTER 446 Parkinson’s Disease </w:t>
      </w:r>
      <w:r w:rsidRPr="00A6019F">
        <w:rPr>
          <w:rFonts w:ascii="Arial" w:hAnsi="Arial" w:cs="Arial"/>
        </w:rPr>
        <w:t>■</w:t>
      </w:r>
      <w:r w:rsidRPr="00A6019F">
        <w:t xml:space="preserve">DIAGNOSIS AND DIFFERENTIAL DIAGNOSIS Parkinsonism is a term that is used to define a syndrome manifest by bradykinesia with rigidity and/or tremor. The differential diagnosis includes PD, atypical parkinsonisms such as multiple-system atrophy (MSA) and progressive supranuclear palsy (PSP), secondary parkinson ism, and parkinsonism associated with other neurodegenerative condi tions in which parkinsonian features are present (see Table 446-2 and discussion below). These conditions affect the basal ganglia, a group of subcortical nuclei that include the striatum (putamen and caudate nucleus), subthalamic nucleus (STN), globus pallidus pars externa (GPe), globus pallidus pars interna (GPi), and the SNc (Fig. 446-2). They differ, however, in the precise site of involvement within the basal Striatum (Putamen and Caudate) Globus Pallidus Globus Pallidus SNc Imaging of the brain dopamine system can be helpful in diagnos ing PD and is performed using positron emission tomography (PET) or single-photon emission computed tomography (SPECT). These studies typically show reduced and asymmetric uptake in the stria tum, particularly in the posterior putamen with relative sparing of the caudate nucleus (Fig. 446-3). These findings reflect the degeneration STN SNc Striatum Globus Pallidus A B FIGURE 446-2 Basal ganglia nuclei. Schematic (A) and postmortem (B) coronal sections illustrating the various components of the basal ganglia. SNc, substantia nigra pars compacta; STN, subthalamic nucleus. 3496 in a research setting, but the development of a blood-based assay may extend its use into a clinical role. This assay also has the potential to permit diagnosis in early-stage and even prodromal PD. A PART 13 Neurologic Disorders B FIGURE 446-3 [11C]Dihydrotetrabenazine positron emission </w:t>
      </w:r>
      <w:r w:rsidRPr="00A6019F">
        <w:lastRenderedPageBreak/>
        <w:t xml:space="preserve">tomography (a marker of VMAT2) in healthy control (A) and Parkinson’s disease (B) patient. Note the reduced striatal uptake of tracer, which is most pronounced in the posterior putamen and tends to be asymmetric. (Courtesy of Dr. Jon Stoessl.) of nigrostriatal dopaminergic neurons and the loss of their striatal terminals. Imaging is useful in patients where there is diagnostic uncertainty (e.g., early-stage disease, essential tremor, dystonic tremor, psychogenic tremor) or in research studies in order to ensure diagnos tic accuracy, but it is not routinely required in clinical practice. This may change in the future when a disease-modifying therapy becomes available and it becomes critically important to make a correct diagno sis as early as possible. There is also some evidence suggesting that a diagnosis of PD, and even prodromal PD, may be made based on the presence of increased iron in the SNc using transcranial sonography or special magnetic resonance imaging (MRI) protocols. There have been intensive efforts to image α-synuclein in the brain but, in con trast to beta-amyloid or tau imaging in Alzheimer’s disease, this has proven difficult as most of the abnormal α-synuclein protein is located within cells. This makes it difficult to develop a marker that binds to α-synuclein and that can be detected with imaging. There has been a longstanding interest in developing a biomarker for PD that could aid in diagnosis, differentiate PD from other parkinsonian conditions, potentially assess the effects of a putative disease-modifying therapy, and be used as an endpoint in clinical trials. Considerable interest has focused on detecting abnormal α-synuclein deposits in cerebrospinal fluid (CSF), blood, muscle, and other tissues, but results to date have been inconsistent. The development of the α-synuclein seeding amplification assay (SAA) has provided a novel means to support a clinical diagnosis of PD. The SAA was developed for use on CSF and skin and provides a binary result indicating the presence or absence of endogenous α-synuclein sufficient to result in aggregation upon addition of α-synuclein “seeds.” This assay has very high sensitivity and specificity and is able to distinguish PD from other parkinsonisms. At present, the test has been primarily applied Genetic testing can be helpful for establishing a diagnosis but is not routinely employed as monogenic forms of PD are relatively uncom mon and account for only 5% of cases, although this increases to 15% when pathogenic variants in the strongest known risk gene, glucocer ebrosidase (GBA1), are included (see discussion below), and this num ber may increase as more knowledge is acquired. A genetic form of PD should be considered in patients with a strong positive family history, early age of onset (70 years. ET is characterized by a high-frequency tremor (6–10 Hz) that predominantly affects the upper extremities. The tremor is most often manifest as a postural or action tremor and, in severe cases, can interfere with functions such as eating and drinking. It is typically bilat eral and symmetric but may begin on one side and remain asymmetric. Patients with severe ET can have an intention tremor with overshoot and slowness of movement, along with mild ataxia, suggesting the possibility of a cerebellar origin. Tremor involves the head in ~30% of cases, voice in ~20%, tongue in ~20%, face/jaw in ~10%, and lower limbs in ~10%. Multiple body parts are involved in ~50% of cases. The tremor is </w:t>
      </w:r>
      <w:r w:rsidRPr="00A6019F">
        <w:lastRenderedPageBreak/>
        <w:t xml:space="preserve">characteristically improved by alcohol and worsened by stress. Usually, the neurologic examination is normal aside from tremor, but subtle impairment of coordination or tandem walking may be present, and disturbances of hearing, cognition, personality, mood, and olfaction have been described. The differential diagnosis includes dystonic tremor (see below) or PD. PD can usually be differentiated from ET because the former tends to be present primarily at rest and to be suppressed by a voluntary action. Further, PD is typically associated with bradykinesia with progressive slowing of sequential movements (sequence effect), rigidity, gait, postural instability, and other parkinso nian features. However, the examiner should be aware that PD patients may have a postural tremor and ET patients may develop a rest tremor, but these typically only begin after a latency of a few seconds (emergent tremor). In contrast to the micrographia of PD, ET patients have rela tively large handwriting with evidence of tremor in writing samples. The examiner must be careful to identify tremor when assessing tone in order to distinguish the interruption of movement associated with tremor from the cogwheel rigidity found in PD. </w:t>
      </w:r>
      <w:r w:rsidRPr="00A6019F">
        <w:rPr>
          <w:rFonts w:ascii="Arial" w:hAnsi="Arial" w:cs="Arial"/>
        </w:rPr>
        <w:t>■</w:t>
      </w:r>
      <w:r w:rsidRPr="00A6019F">
        <w:t xml:space="preserve">ETIOLOGY AND PATHOPHYSIOLOGY The etiology and pathophysiology of ET are not known. Approximately 50% of ET patients have a positive family history with an autosomal dominant pattern of inheritance. Linkage studies have detected pos sible loci in large ET families. Expansion of a GGC repeat in the human-specific NOTCH2NLC gene has been found to be associated with ET, but no independently confirmed causative gene has been identified to date. It is likely that there are several as yet undiscovered genes underlying ET that have thus far escaped detection because of the heterogeneity of the syndrome and the high frequency of ET in the population, likely resulting in a large number of phenocopies (i.e., fam ily members with a similar clinical syndrome but not carrying the same causative mutation). The cerebellum and inferior olives have been implicated as possible sites of an altered “tremor pacemaker” based on the presence of cerebellar signs in ~10% of ET patients, as well as increased metabolic activity and blood flow in these regions in some patients. Some pathologic studies have described cerebellar pathology with a loss of Purkinje cells and axonal torpedoes, suggesting a neuro degenerative disease, but these findings remain controversial, and the precise pathologic correlate of ET remains to be defined. Interest has also focused on the possibility that ET is caused by degeneration of GABAergic cerebellar neurons with defects in neurotransmission. It is likely that multiple causes of ET will ultimately be identified. </w:t>
      </w:r>
      <w:r w:rsidRPr="00A6019F">
        <w:rPr>
          <w:rFonts w:ascii="Arial" w:hAnsi="Arial" w:cs="Arial"/>
        </w:rPr>
        <w:t>■</w:t>
      </w:r>
      <w:r w:rsidRPr="00A6019F">
        <w:t xml:space="preserve">TREATMENT Many cases are mild, do not cause any functional impairment, and require no treatment other than reassurance. Occasionally, tremor can be severe and interfere with eating, writing, and activities of daily living. This is more likely to occur as the patient ages and is often associated with a reduction in tremor frequency. Beta blockers and primidone are the standard drug therapies for ET and are useful in ~50% of cases. Propranolol (20–120 mg daily, given in divided doses) is usually effective at relatively low doses, but higher doses may be needed in some patients. The drug is contraindicated in patients with bradycardia or asthma. Hand tremor tends to be most improved, while head tremor is </w:t>
      </w:r>
      <w:r w:rsidRPr="00A6019F">
        <w:lastRenderedPageBreak/>
        <w:t xml:space="preserve">often refractory. Primidone can be helpful but should be started at low doses (12.5 mg) and gradually increased as necessary (125–250 mg three times daily) to avoid sedation, nausea, and dizzi ness. Benefits have also been reported with gabapentin and topiramate, but these drugs have not been widely employed. Botulinum toxin injections may be helpful for limb or voice tremor, but treatment can be associated with muscle weakness. Surgical therapies targeting the ventro-intermediate (VIM) nucleus of the thalamus can be very effec tive for severe and drug-resistant cases. More recently, focal ultrasound (a procedure that does not require surgery) has also been shown to be an effective therapy against tremor in some cases of ET. CHAPTER 447 Tremor, Chorea, and Other Movement Disorders DYSTONIA </w:t>
      </w:r>
      <w:r w:rsidRPr="00A6019F">
        <w:rPr>
          <w:rFonts w:ascii="Arial" w:hAnsi="Arial" w:cs="Arial"/>
        </w:rPr>
        <w:t>■</w:t>
      </w:r>
      <w:r w:rsidRPr="00A6019F">
        <w:t xml:space="preserve">CLINICAL FEATURES Dystonia is a movement disorder characterized by sustained or inter mittent synchronous muscle contractions of agonist and antagonist muscles causing abnormal, often repetitive, painful movements and postures. Dystonic movements are typically patterned and twisting and may be associated with a “dystonic” tremor. This tremor can usu ally be distinguished from ET as the tremor is most pronounced when the body part is moved in the direction of the dystonia and relieved when the body part is moved in the direction opposite to the dysto nia. Dystonia can range from minor contractions affecting only an individual muscle group (focal) to severe and disabling contractions with involvement of multiple muscle groups (i.e., multifocal, seg mental, or generalized). Nonmotor features such as pain, depression, anxiety, and impaired sleep can be associated with, or even precede onset of, the dystonia. The frequency of dystonia is estimated to be about 30 per 100,000 but is likely to be higher because many cases are not recognized or correctly diagnosed. Dystonia is often brought out by voluntary movements (action dystonia) and can extend to involve other muscle groups and body regions not required for the intended action (overflow contractions). Dystonia can be aggravated by stress and fatigue and attenuated by relaxation and sensory tricks such as touching the affected body part (geste antagoniste). Historically, dystonia has been described as primary or secondary. However, because of a confusing and not always congruent combina tion of phenotypic and etiologic features, the older terms are no longer 3510 TABLE 447-2 Monogenic Forms of Isolated and Combined Dystonia FORM OF DYSTONIA Isolateda PART 13 Neurologic Disorders Combinedb GENE TOR1A KMT2B THAP1 ANO3 GNAL VPS16 EIF2AK2 PRKRA HPCA AOPEP Dystonia plus parkinsonism  Dystonia plus myoclonus  GCH1 TAF1 ATP1A3 SGCE KCTD17 DESIGNATION AND PHENOTYPIC SUBGROUP DYT-TOR1A DYT-KMT2B DYT-THAP1 DYT-ANO3 DYT-GNAL DYT-VPS16 DYT-EIF2AK2 DYT-PRKRA DYT-HPCA DYT-AOPEP DYT-GCH1 DYT-TAF1 DYT-ATP1A3 DYT-SGCE DYT-KCTD17 aKMT2B pathogenic variants may present with mild syndromic features. bSelected examples. Abbreviations: AD, autosomal dominant; AR, autosomal recessive; XL, X-linked. recommended. A Movement Disorder Society Task Force recom mended classifying dystonia along the same axes as ET: clinical and etiologic. On clinical grounds, dystonia can be categorized by age of onset (infancy, childhood, adolescence, early and late adulthood), body distribution (focal, segmental, multifocal, </w:t>
      </w:r>
      <w:r w:rsidRPr="00A6019F">
        <w:lastRenderedPageBreak/>
        <w:t xml:space="preserve">and generalized), temporal pattern (static or progressive, action-specific [diurnal and paroxys mal]), and association with additional features. Clinical description along these lines enables formulating specific dystonia syndromes (e.g., early-onset generalized isolated dystonia). From an etiologic point of view, dystonia primarily reflects genetic abnormalities, although occasionally it may be secondary to other causes, such as trauma and stroke. Genetic features used for classification include mode of inheritance or identification of a specific pathogenic gene variant. More than 200 genes have been linked to different types of dystonia, primarily childhood-onset and generalized forms. These include forms in which dystonia is the only disease manifestation with the exception of tremor (“isolated dystonia”) and forms in which dystonia co-occurs with another movement disorder such as parkinsonism, myoclonus, or other neurologic and/or nonneurologic manifestations (“combined dystonia”) and may not even be the dominant clinical feature. This group represents the most heterogeneous class in terms of clinical expression. A list of confirmed monogenic mutations associated with isolated or combined dystonias is provided in Table 447-2. </w:t>
      </w:r>
      <w:r w:rsidRPr="00A6019F">
        <w:rPr>
          <w:rFonts w:ascii="Arial" w:hAnsi="Arial" w:cs="Arial"/>
        </w:rPr>
        <w:t>■</w:t>
      </w:r>
      <w:r w:rsidRPr="00A6019F">
        <w:t xml:space="preserve">ISOLATED DYSTONIAS Focal, Multifocal, and Segmental Dystonia Adult-onset, focal dystonia is by far the most frequent form of isolated dystonia. Women are affected about twice as often as men, with the exception of writer’s cramp, which occurs more frequently in men than in women. Focal dystonia typically presents in the fourth to sixth decade. The major clinical phenotypes are: (1) Cervical dystonia—dystonic contractions of neck muscles causing the head to deviate to one side (laterocollis), twist (torticollis), move in a forward direction (anterocollis), or move in a backward direction (retrocollis). Muscle contractions can be painful and occasionally can be complicated by a secondary cervical radicu lopathy and even myelopathy. (2) Blepharospasm—dystonic contrac tion of the eyelids resulting in increased blinking and eye closure that can interfere with reading, watching television, working on a com puter, and driving. This can sometimes be so severe as to cause func tional blindness. (3) Oromandibular dystonia (OMD)—contractions of muscles of the lower face, lips, tongue, and jaw (opening or clos ing). Meige’s syndrome is a combination of OMD and blepharospasm that predominantly affects women aged &gt;60 years. (4) Spasmodic ADDITIONAL DISTINGUISHING FEATURES Childhood or adolescent onset, generalized Early onset, generalized, mild syndromic features Adolescent onset, cranial or generalized Adult onset, focal or segmental Mostly adult onset, focal or segmental Frequent cervical and laryngeal dystonia Childhood or adolescent onset, focal to generalized Generalized Childhood onset Frequent cervical and laryngeal dystonia Dopa-responsive Neurodegeneration Rapid onset Alcohol responsive Childhood onset MODE OF INHERITANCE AD AD AD AD AD AD or AR AD or AR AR AR AR AD XL AD AD AD dysphonia—dystonic contractions of the vocal cords during phonation, causing impaired speech. Most cases affect the adductor muscles and cause speech to have a choking or strained quality. Less commonly, the abductors are affected, leading to speech with a breathy or whispering quality. (5) Limb dystonias—these can be present in either arms or legs and are often </w:t>
      </w:r>
      <w:r w:rsidRPr="00A6019F">
        <w:lastRenderedPageBreak/>
        <w:t xml:space="preserve">brought out by task-specific activities such as handwrit ing (writer’s cramp), playing a musical instrument (musician’s cramp), or putting in golf (the yips). The vast majority of patients with focal dystonia have cervical dystonia (~40%) or blepharospasm (~15%). Focal hand or leg dystonia (~10%), musician’s dystonia (~3%), spas modic dysphonia (~2%), and OMD (~1%) are much less common. Focal dystonias can extend to involve other body regions (~30% of cases) and are frequently misdiagnosed as psychiatric or orthopedic in origin. Their cause is usually not known. They are rarely mono genic (~1%); autoimmunity and trauma have been suggested as other possible etiologies. Focal dystonias are often associated with a high frequency tremor that can resemble ET. Dystonic tremor can usually be distinguished from ET because it tends to occur in the direction of the dystonic contraction and disappears when the dystonia is relieved (i.e., turning the head in the opposite direction of the dystonia). Generalized Dystonia Generalized dystonia is often hereditary and, unlike focal dystonia, typically has an age of onset in childhood or adolescence. There are currently at least 10 well-established genes that, when mutated, can cause mostly isolated, segmental or generalized dystonia: ANO3, AOPEP, EIF2AK2, GNAL, HPCA, KMT2B, PRKRA, THAP1, TOR1A, and VPS16. The AOPEP, HPCA, and PRKRA patho genic mutations are recessively inherited, while others (e.g., EIF2AK2 and VPS16) can be either dominantly or recessively inherited. Accord ing to the recommendations of the International Parkinson’s Disease and Movement Disorder Society, monogenic forms of dystonia are classified according to the absence or presence of accompanying additional clinical features and preceded by a “DYT” prefix, e.g., DYT-TOR1A. Mutations in the TOR1A gene (torsin family 1 member A—formerly known as the DYT1 gene) are the most common cause of early-onset generalized dystonia. The first, and currently the only, clearly estab lished mutation is a 3-base pair deletion in the TOR1A gene. The mutation is frequently found among Ashkenazi Jewish patients due to a founder effect. Mutation carriers usually present with dystonia in an extremity in childhood that later progresses to affect other body parts, but the face and neck are typically spared. Rare carriers of two mutated alleles have been described and are characterized by a severe neurode velopmental syndrome and arthrogryposis. 3511 Missense mutations in KMT2B (lysine methyltransferase 2B) are another relatively frequent cause of early-onset generalized dystonia, which may be accompanied by other syndromic features, including intellectual disability, microcephaly, psychiatric features, dysmorphia, or skin lesions. The majority of the mutations occur de novo. KMT2B mutations may account for up to 10% of early-onset generalized dysto nia, but further validation is warranted, and placement into the group of isolated versus complex dystonias is currently under debate. Mutations in the THAP1 gene (THAP domain containing apoptosis associated protein 1) have been linked to adolescent-onset dystonia with mixed phenotype. About 100 different mutations have been reported in THAP1. Mutations typically manifest with dysphonia or writer’s cramp beginning in late childhood or adolescence. Over the course of the disease, dystonia can spread to other body parts with prominent </w:t>
      </w:r>
      <w:r w:rsidRPr="00A6019F">
        <w:lastRenderedPageBreak/>
        <w:t xml:space="preserve">craniocervical involvement. While DYT-Tor1A and DYT KMT2B typically respond well to deep brain stimulation (DBS) of the globus pallidus internus bilaterally, the DBS response is much more variable in carriers of pathogenic variants in the THAP1 gene. Mutations in the ANO3 gene (anoctamin 3) were first reported in patients with predominantly craniocervical dystonia with a broad range of ages of onset. While a large number of missense variants can be found in healthy individuals, a pathogenic role of ANO3 mutations has been confirmed by the description of additional families with dys tonia and myoclonic jerks. Mutations in the GNAL gene (guanine nucleotide-binding protein subunit alpha L) are a rare cause of cervical or cranial dystonia, with a few patients developing generalized dystonia. The mean age of onset is in the thirties. Pathogenic variants in the VPS16 gene can be inherited in a recessive or dominant fashion, with the latter mode of inheritance being more common. Currently, &gt;30 carriers of ~20 different, often truncating, heterozygous pathogenic variants have been described. The median age of onset is 14 years. Dystonia tends to generalize and is typically isolated, although more complex phenotypes have also been described. Pathogenic missense variants in EIF2AK2, coding for the eukaryotic translation initiation factor 2-alpha kinase 2, cause dystonia with a median age at onset of 6 years and onset often in the limbs followed by generalization. There is a recurrent missense variant (p.Gly130Arg) in most patients. The EIF2AK2 protein is one of the kinases responsible for eIF2a phosphorylation and is thus linked to the same pathway as PRKRA. The vast majority of PRKRA mutation carriers develop a generalized dystonia, frequently with laryngeal involvement. Likewise, all patients described to carry HPCA mutations are characterized by generalized dystonia with childhood onset. The median age at onset of carriers of recessively inherited, bial lelic, and typically truncating pathogenic variants in the AOPEP gene is 20 years, with frequent onset in the hands. Most patients progress to isolated, generalized dystonia. </w:t>
      </w:r>
      <w:r w:rsidRPr="00A6019F">
        <w:rPr>
          <w:rFonts w:ascii="Arial" w:hAnsi="Arial" w:cs="Arial"/>
        </w:rPr>
        <w:t>■</w:t>
      </w:r>
      <w:r w:rsidRPr="00A6019F">
        <w:t xml:space="preserve">COMBINED DYSTONIAS A number of other well-established genes have been described that are associated with combined forms of dystonia in which dystonia occurs in conjunction with a different movement disorder (e.g., parkinsonism or myoclonus) or with other neurologic and/or nonneurologic features. Dopa-responsive dystonia (DRD; also known as Segawa syndrome) is caused by mutations in the GCH1 gene (GTP cyclohydrolase-1) that encodes for the rate-limiting enzyme in the biosynthesis of dopamine via the biopterin pathway. It manifests as a childhood-onset form of dystonia with diurnal fluctuations, and it is important to recognize as the condition dramatically responds to low doses of levodopa. Parkinsonism can be a major or even the only finding, and there may be a presynaptic dopaminergic deficit as evidenced by single-photon emission computed tomography. Younger patients are frequently misdiagnosed as having cerebral palsy, mistaking dystonia for spastic ity, and it is important that young-onset forms of dystonia should be tested with levodopa to exclude the possibility of DRD. To date, &gt;100 different mutations have been reported with a penetrance of ~50% and incidence considerably higher in women compared to men. Recessively inherited (biallelic) mutations in GCH1 result in </w:t>
      </w:r>
      <w:r w:rsidRPr="00A6019F">
        <w:lastRenderedPageBreak/>
        <w:t xml:space="preserve">a much more severe clinical phenotype with developmental delay and infantile onset. Due to the enzymatic defect in the levodopa biosynthesis, there is a life long and dramatic response to levodopa therapy. Importantly, since dopamine terminals do not degenerate and the dopamine neuronal network is anatomically preserved, fluctuations in dopamine levels can be avoided, and accordingly, these patients do not develop dyskinesia with chronic levodopa treatment. X-linked dystonia-parkinsonism (Lubag) presents with a combined form of dystonia and parkinsonism that is found exclusively in patients of Filipino origin due to a founder effect that seems to be fully pen etrant. The typical presentation is a focal (cranial) dystonia that rapidly generalizes and, after 5–10 years, is gradually replaced by a form of L-dopa-unresponsive parkinsonism. A retrotransposon insertion in the TAF1 (TATA-box binding protein associated factor 1) gene is the cause of the disease. Sixty-five percent of the age-at-onset variability is explained by the variable length of a hexameric repeat expansion within the retrotransposon and genotypes at three single-nucleotide polymorphisms in the MSH3 and PMS1 genes acting as age-at-onset modifiers. Mutations in the ATP1A3 (ATPase Na+/K+ transporting subunit alpha 3) gene present with a characteristic, sudden-onset dystonia, usually in adolescence or young adulthood, often triggered by high fever, physi cal exertion, or emotional stress. Dystonic symptoms frequently show a rostrocaudal gradient with a strong involvement of the bulbar region, often accompanied by parkinsonian features such as bradykinesia. In addition, mutations in ATP1A3 have been linked to a variety of clini cal syndromes (pleiotropy), including epileptic or hemiplegic attacks, ataxia, cognitive decline, and other neurologic disorders, often with a more severe course and an earlier age at onset. Myoclonic-dystonia is characterized by action-induced, alcohol responsive myoclonic jerks predominantly involving the upper body half. Onset is usually in childhood or adolescence. Many individuals also develop psychiatric features such as depression, anxiety-related disorders, and alcohol dependence. The disorder is primarily related to mutations in the SGCE gene (sarcoglycan epsilon), which codes for the ε member of the sarcoglycan family. About 80 different mutations have been reported in SGCE, including deletions of the entire gene. The latter type of mutation often also involves loss of adjacent genes, leading to additional clinical features such as joint problems. SGCE mutations are incompletely penetrant and only manifest when inher ited from the father due to the epigenetic effect of maternal imprinting of SGCE. KCTD17 mutations are another recently identified cause of myoclonus-dystonia. CHAPTER 447 Tremor, Chorea, and Other Movement Disorders A number of additional monogenic causes have been suggested for isolated and combined forms of dystonia but still await independent confirmation. Table 447-2 provides a list of the confirmed monogenic forms of isolated and combined dystonias. Diagnostic Considerations In the largest group of combined dystonias, dystonia is a part of a more complex syndrome that is char acterized by multiple different clinical manifestations of the disease. Most frequently, they are hereditary, such as Wilson’s disease (WD), Lesch-Nyhan syndrome, corticobasal ganglionic disorders, and a variety </w:t>
      </w:r>
      <w:r w:rsidRPr="00A6019F">
        <w:lastRenderedPageBreak/>
        <w:t xml:space="preserve">of other neurologic, neurometabolic, neurodevelopmental, and mitochondrial disorders. Dystonia may also develop as a consequence of drugs or toxins. Drug-induced dystonia may be acute or chronic and is most commonly seen with neuroleptic drugs or after chronic levodopa treatment in PD patients. Dystonia can also be observed following discrete lesions in the striatum (e.g., caudate/putamen) and occasionally in the globus pallidus, thalamus, cortex, or brainstem due to infarction, hemorrhage anoxia, trauma, tumor, infection, or toxins such as manganese or carbon monoxide. In these cases, dystonia often assumes a segmental distribution but may be generalized when lesions are bilateral or widespread. More rarely, dystonia can develop follow ing peripheral nerve injury and be associated with features of complex regional pain syndrome (Chap. 19). A psychogenic origin is respon sible for some cases of dystonia; these typically present with fixed, immobile dystonic postures (see below). </w:t>
      </w:r>
      <w:r w:rsidRPr="00A6019F">
        <w:rPr>
          <w:rFonts w:ascii="Arial" w:hAnsi="Arial" w:cs="Arial"/>
        </w:rPr>
        <w:t>■</w:t>
      </w:r>
      <w:r w:rsidRPr="00A6019F">
        <w:t xml:space="preserve">PATHOPHYSIOLOGY OF DYSTONIA 3512 PART 13 Neurologic Disorders Even in cases with a known dystonia gene mutation, the pathophysi ologic basis of dystonia is not completely known. Physiologically, dys tonia is characterized by co-contracting synchronous bursts of agonist and antagonist muscle groups with recruitment of muscle groups that are not required for a given movement (overflow). Dystonia is char acterized by derangement of the basic physiologic principle of action selection, leading to abnormal recruitment of inappropriate muscles for a given action with inadequate inhibition of this undesired motor activity. Loss of surround inhibition is observed at multiple levels of the motor system (e.g., cortex, brainstem, spinal cord), accompanied by increased cortical excitability and reorganization. Attention has focused on the basal ganglia as the site of origin of most types of dystonia, as there are alterations in blood flow and metabolism in these structures. Further, lesions of the basal ganglia (particularly the putamen) can induce dystonia, and surgical ablation or DBS of specific regions of the globus pallidus may ameliorate dystonia. The dopa mine system has been specifically implicated because dopaminergic therapies can both induce and treat some forms of dystonia in different circumstances. However, no specific pathology has been consistently identified that underlies dystonia. TREATMENT Dystonia Treatment of acute dystonia should include the immediate with drawal of any precipitating agent. A variety of drug therapies may be beneficial including diphenhydramine, benztropine, benzodiaz epines, or dopamine agonists. Treatment of chronic dystonia is for the most part symptomatic except in rare cases where correction of a primary underlying con dition is possible. WD should be ruled out, particularly in young patients with dystonia. Levodopa should be tried in all cases of childhood-onset dystonia to test for DRD. High-dose anticholin ergics (e.g., trihexyphenidyl 20–120 mg/d) may be beneficial in children, but adults can rarely tolerate high doses because of side effects related to cognitive impairment and hallucinations. Oral baclofen (20–120 mg) may also be helpful, but benefits, if present at all, are usually modest, and side effects of sedation, weakness, and memory loss can be problematic. Intrathecal infusion of baclofen is more likely to be useful, particularly for leg and trunk dystonia, but benefits are frequently not </w:t>
      </w:r>
      <w:r w:rsidRPr="00A6019F">
        <w:lastRenderedPageBreak/>
        <w:t xml:space="preserve">sustained, and complications can be serious and include infection, seizures, and coma. Tetrabenazine is another consideration; the usual starting dose is 12.5 mg/d and the average treating dose is 25–75 mg/d, but its use may be limited by sedation and the development of parkinsonism. Parkinsonian side effects can be minimized with deuterated tetrabenazine (discussed below). Neuroleptics can both improve and induce dystonia, but they are typically not recommended because of their potential to induce parkinsonism and other movement disorders, including tar dive dystonia. Clonazepam and diazepam are sometimes effective. Botulinum toxin is the preferred treatment for patients with focal and segmental dystonia, particularly where involvement is limited to small muscle groups such as in blepharospasm, torticollis, and spasmodic dysphonia. Botulinum toxin acts by blocking the release of acetylcholine at the neuromuscular junction, leading to reduced dystonic muscle contractions. However, treatment with botulinum toxin can be complicated by excessive weakness that can be trouble some, particularly if injections involve the neck and swallowing muscles. No systemic side effects are encountered with the doses typically used, but benefits are transient, and repeat injections are typically required at 2- to 4-month intervals. Some patients fail to respond after having experienced an initial benefit. This has been attributed to the development of neutralizing antibodies, but improper muscle selection, injection technique, and inadequate dose should be excluded. A new long-acting formulation of botu linum toxin (daxibotulinumtoxinA-l) that provides benefits for up to 6 months has recently been approved in the United States for the treatment of cervical dystonia. Surgical therapy is a consideration for patients with severe gener alized dystonia who are not responsive to other treatments. Periph eral procedures such as rhizotomy and myotomy were used in the past to treat cervical dystonia but are now rarely employed. DBS of the pallidum can provide dramatic benefits for some patients with various forms of hereditary and nonhereditary generalized dysto nia. This represents a major therapeutic advance because previously there was no consistently effective therapy, especially for patients with generalized dystonia and severe disability. Benefits tend to be obtained with a lower frequency of stimulation than used in PD or ET and often occur only after a relatively long latency (weeks to months). Better results are typically obtained in younger patients with shorter disease duration and in those with certain monogenic forms, such as DYT-Tor1A. DBS may also be valuable for patients with focal and secondary dystonias, although results are less consis tent. Neurophysiologic studies suggest that DBS acts by suppressing theta oscillations in the basal ganglia network that correlate with the dystonia. Adverse effects of DBS in dystonia patients include pares thesia, dysarthria, gait disturbance, and mood change. Dyskinesia can occur with stimulation of the subthalamic nucleus (STN), while bradykinesia and impaired coordination have been reported with stimulation of the globus pallidus pars interna (GPi). Focal ultra sound is being assessed as a possible alternative to surgical therapy. Supportive treatments such as physical therapy and education should be a part of the treatment regimen for all types </w:t>
      </w:r>
      <w:r w:rsidRPr="00A6019F">
        <w:lastRenderedPageBreak/>
        <w:t xml:space="preserve">of dystonia. Physicians should be aware of dystonic storm, a rare but poten tially fatal condition that can occur in response to a stress situation such as a surgical procedure or a systemic infection in patients with preexisting dystonia. It consists of the acute onset of generalized and persistent dystonic contractions that can involve the vocal cords or laryngeal muscles leading to airway obstruction. Patients may experience rhabdomyolysis with renal failure and should be managed in an intensive care unit with airway protection if required. Treatment can be instituted with one or a combination of anticholinergics, diphenhydramine, baclofen, benzodiazepines, and dopaminergic agents. In severe cases, anesthesia with muscle paralysis may be required. CHOREAS </w:t>
      </w:r>
      <w:r w:rsidRPr="00A6019F">
        <w:rPr>
          <w:rFonts w:ascii="Arial" w:hAnsi="Arial" w:cs="Arial"/>
        </w:rPr>
        <w:t>■</w:t>
      </w:r>
      <w:r w:rsidRPr="00A6019F">
        <w:t>HUNTINGTON</w:t>
      </w:r>
      <w:r w:rsidRPr="00A6019F">
        <w:rPr>
          <w:rFonts w:ascii="Aptos" w:hAnsi="Aptos" w:cs="Aptos"/>
        </w:rPr>
        <w:t>’</w:t>
      </w:r>
      <w:r w:rsidRPr="00A6019F">
        <w:t xml:space="preserve">S DISEASE Huntington’s disease (HD) is a progressive, fatal, highly penetrant autosomal dominant disorder characterized by motor, behavioral, ocu lomotor, and cognitive dysfunction. The disease is named for George Huntington, a family physician who described cases on Long Island, New York, in the nineteenth century. Onset is typically between the ages of 25 and 45 years (range, 3–70 years) with a prevalence of 2–8 cases per 100,000 and an average age at death of 60 years. It is prevalent in Europe, North America, South America, and Australia but is rare in African blacks and Asians. HD is characterized by rapid, nonpat terned, semi-purposeful, involuntary choreiform movements, and for this reason was formerly referred to as Huntington’s chorea. However, dysarthria, gait disturbance, parkinsonism, oculomotor abnormalities, behavioral disturbance, and cognitive impairment with dementia are also common clinical features. Thus, the condition is currently referred to as Huntington’s disease. In the early stages, chorea tends to be focal or segmental but progresses over time to involve multiple body regions. With advancing disease, there tends to be a reduction in chorea and the emergence of dystonia, rigidity, bradykinesia, and myoclonus. Functional decline is often predicted by progressive weight loss despite adequate calorie intake. In younger patients (~10% of cases), HD can present as an akinetic-rigid parkinsonian syndrome known as the West phal variant. Eye movement abnormalities may be an early manifesta tion of HD. These include slowed and reduced amplitude saccades with intrusions in smooth pursuit movements and impaired convergence. HD patients eventually develop behavioral and cognitive disturbances, and the majority progress to dementia. Depression with suicidal ten dencies, aggressive behavior, and psychosis can be prominent features. HD patients may also develop non-insulin-dependent diabetes mellitus 3513 A B FIGURE 447-1 Huntington’s disease. A. Coronal fluid-attenuated inversion recovery (FLAIR) magnetic resonance imaging shows enlargement of the lateral ventricles reflecting typical atrophy (arrows). B. Axial FLAIR image demonstrates abnormal high signal in the caudate and putamen (arrows). and neuroendocrine abnormalities (e.g., hypothalamic dysfunction). A clinical diagnosis of HD can be strongly suspected in cases of chorea with a positive family history, but genetic testing provides the ultimate confirmation of the diagnosis. The disease predominantly affects the striatum but progresses to involve the cerebral cortex and other brain regions. Progressive atrophy of the head of the caudate nucleus, which </w:t>
      </w:r>
      <w:r w:rsidRPr="00A6019F">
        <w:lastRenderedPageBreak/>
        <w:t xml:space="preserve">forms the lateral margin of the lateral ventricles, can be readily visualized on magnetic resonance imaging (MRI) (Fig. 447-1), but the putamen can be equally or even more severely affected. More diffuse cortical atrophy can be seen in the middle and late stages of the disease. Supportive studies include reduced metabolic activity in the caudate nucleus and putamen and reduced brain metabolites on magnetic resonance spectroscopy. Genetic testing can be used to confirm the diagnosis and to detect at risk individuals in the family, but it must be performed in conjunction with trained counselors because advising patients of positive results can worsen depression and even generate suicidal reactions. Indeed, genetic counseling is a requirement in some regions. The neuropa thology of HD consists of prominent neuronal loss and gliosis in the caudate nucleus and putamen; similar changes can also be widespread in the cerebral cortex. Intraneuronal inclusions containing aggregates of ubiquitin and the mutant protein huntingtin are found in the nuclei of some affected neurons. In anticipation of developing neuroprotective therapies, an inten sive effort has been made to define the earliest stage of HD. Subtle motor impairment, cognitive alterations, and imaging changes can be detected in at-risk individuals who later develop the manifest form of the disease. Defining the rate of progression of these features is paramount for future studies of putative disease-modifying therapies designed to slow the rate of disease progression and the development of cumulative disability. </w:t>
      </w:r>
      <w:r w:rsidRPr="00A6019F">
        <w:rPr>
          <w:rFonts w:ascii="Arial" w:hAnsi="Arial" w:cs="Arial"/>
        </w:rPr>
        <w:t>■</w:t>
      </w:r>
      <w:r w:rsidRPr="00A6019F">
        <w:t xml:space="preserve">ETIOLOGY Expansion of repeat length tends to occur, particularly in males, with subsequent generations having larger numbers of repeats and earlier age of disease onset, a phenomenon referred to as anticipation. There is also evidence of postnatal somatic gene expansion that occurs over time as well as genetic modifiers of disease progression, for exam ple, in the FAN1 and MSH3 genes, the latter overlapping with X-linked dystonia-parkinsonism. New-onset gene expansion in patients with no family history is rare. The Huntingtin gene encodes the highly conserved cytoplasmic pro tein huntingtin (HTT), which is widely distributed in neurons through out the central nervous system (CNS). Mutated HTT RNA is toxic and disrupts transcription, impairs immune and mitochondrial function, and is aberrantly modified posttranslationally. Genome-wide asso ciation studies have nominated DNA repair pathways as modifiers of somatic instability and disease course in HD. Fragments of the mutant HTT can also be toxic, possibly by translocating into the nucleus and interfering with transcriptional regulation of proteins. Neuronal inclusions found in affected regions in HD may represent a protective mechanism aimed at segregating and facilitating the clearance of these toxic proteins. There is also interest in the possibility that the accumula tion and aggregation of toxic proteins in HD, like Alzheimer’s disease (Chap. 442) and PD (Chap. 446), may be critical to the disease process and reflect a prion-like disorder (Chap. 449; see also Chap. 435). Models of HD with striatal pathology can be induced in multiple trans genic animals that express the mutant gene and by excitotoxic agents such as kainic acid and 3-nitropropionic acid, which promote calcium entry into the cell and cytotoxicity. These relevant animal models can be helpful in assessing potential therapeutic agents. </w:t>
      </w:r>
      <w:r w:rsidRPr="00A6019F">
        <w:lastRenderedPageBreak/>
        <w:t xml:space="preserve">Interestingly, when correcting the neurotransmitter deficit present in HD mice in the very first week of life, disease development can be prevented. TREATMENT CHAPTER 447 Tremor, Chorea, and Other Movement Disorders HD is caused by a mutation in which there is an increase in the num ber of polyglutamine (CAG) repeats (&gt;40) in the coding sequence of the Huntingtin gene located on the short arm of chromosome 4. The larger the number of repeats, the earlier the disease is manifest. Inter mediate forms of the disease with 36–39 repeats are described in some patients, typically with less severe clinical involvement and reduced penetrance (i.e., not every mutation carrier develops the disease). These clinic-genetic observations have recently been incorporated into a new research classification of HD. Carriers of a fully penetrant (&gt;40 repeats) allele are defined as having stage 0 HD, irrespective of their affected status. These developments are meant to facilitate the inclu sion of at-risk individuals or those in the earliest disease stages into clinical trials. Huntington’s Disease Although the gene for HD was identified &gt;30 years ago, there is still no disease-modifying therapy for this disorder, and clinically mean ingful symptomatic treatment is limited. Current treatment involves a multidisciplinary approach, with medical, neuropsychiatric, and social approaches, as well as genetic counseling for patients and their families. Dopamine-blocking agents such as tetrabenazine and val benazine have been approved to treat the choreiform movements but can be associated with secondary parkinsonism as an adverse event. Deuterated tetrabenazine (Austedo) and a long-acting version of deuterated tetrabenazine have also been approved as treatments for chorea in HD. Deuteration interferes with the metabolism of 3514 tetrabenazine and avoids the high maximum concentration (Cmax ), an abnormally expanded CTG/CAG trinucleotide repeat expansion in the junctophilin-3 (JPH3) gene. The pathology of HDL-2 consists of intranuclear inclusions immunoreactive for ubiquitin and expanded polyglutamine repeats. HDL-4, the most common condition in this group, is caused by expansion of trinucleotide repeats in TBP, the gene that encodes the TATA box-binding protein involved in regulat ing transcription; this condition is identical to spinocerebellar ataxia (SCA) 17 (Chap. 450), and most patients present with ataxia rather than chorea. Like in HD, a certain range of repeat expansions in the TBP gene is associated with reduced penetrance, whereby penetrance was recently identified to be full when a variant in the Stub1 gene is present in conjunction with the repeat expansion. Mutations of the C9Orf72 gene associated with frontotemporal dementia and amyo trophic lateral sclerosis (Chaps. 443 and 448) have also been reported in some individuals with an HDL phenotype. PART 13 Neurologic Disorders </w:t>
      </w:r>
      <w:r w:rsidRPr="00A6019F">
        <w:rPr>
          <w:rFonts w:ascii="Arial" w:hAnsi="Arial" w:cs="Arial"/>
        </w:rPr>
        <w:t>■</w:t>
      </w:r>
      <w:r w:rsidRPr="00A6019F">
        <w:t xml:space="preserve">OTHER CHOREAS Chorea can be seen in a number of other disorders related to genetic mutations or other disease states. which is thought to contribute to adverse effects. In clinical trials, deuterated tetrabenazine has been shown to have fewer dose-related side effects and less parkinsonism than tetrabenazine and, therefore, can be administered in higher doses with potentially superior clini cal benefits. Neuroleptics are generally not recommended because of their potential to induce other troubling movement disorders and because </w:t>
      </w:r>
      <w:r w:rsidRPr="00A6019F">
        <w:lastRenderedPageBreak/>
        <w:t xml:space="preserve">HD chorea tends to be self-limited and is usually not disabling. These drugs may be used, however, in patients with severe and disabling chorea. There are currently no therapies approved for treating the more disabling motor features of HD, but large-scale platform studies are ongoing, which are assessing a variety of differ ent therapeutic approaches using a common placebo group. Depres sion and anxiety can be major problems, and patients should be treated with appropriate antidepressant and antianxiety drugs and monitored for mania and suicidal ideations. Psychosis can be treated with atypical antipsychotics such as clozapine (50–600 mg/d), que tiapine (50–600 mg/d), and risperidone (2–8 mg/d). A neuroprotective therapy that slows or stops disease progres sion is the major unmet medical need. Some strategies are designed to reduce the formation or accumulation of mutant HTT. These largely focus on inhibiting mRNA synthesis either by blocking transcription (zinc finger motif protein), preventing posttranscrip tional processes, promoting early mRNA degradation (antisense oligonucleotides [ASO]), or inhibiting translation with short inter fering RNA. The most advanced of these experimental therapeu tic approaches investigated intrathecal administration of an ASO in patients with early HD in a randomized, placebo-controlled, double-blind clinical trial. While a dose-dependent reduction in concentrations of mutant HTT was observed and there were no side effects, the study was terminated early because no clinical benefit was detected. Drugs that enhance mitochondrial func tion and increase the clearance of defective mitochondria are also being tested as possible disease-modifying therapies. Other inves tigative approaches include immunotherapy, dietary supplements (resveratrol), lipid-lowering medication (fenofibrate), anaplerotic therapy (triheptanoin), and DBS of the GPi. A promising therapy is the sigma 1 receptor agonist pridopidine. Various clinical trials have suggested that the drug may provide benefit with respect to total motor function and total functional capacity, particularly in patients with relatively mild disease. Double-blind studies are cur rently underway. Preliminary clinical trials testing cell-based thera pies (stem cells and fetal striatal cells) have been initiated, aimed at replacing damaged striatal neurons, but efficacy and safety of these procedures have not yet been determined. Experimentally, there is great interest in the potential of using CRISPR (gene editing) techniques to target and destroy or prevent the formation of mutant Huntingtin RNA and to reduce accumulation of the abnormal pro tein. Numerous other molecular and gene-based approaches are being evaluated to interfere with the formation and promote the clearance of the toxic protein, and many clinical studies are antici pated to begin within the next few years. HUNTINGTON’S DISEASE–LIKE DISORDERS A group of rare inherited conditions that can mimic HD, designated HD-like (HDL) disorders, have also been identified. HDL-1, -2, and -4 are autosomal dominant conditions that typically present in adult hood. HDL-3 is recessively inherited, presents in early childhood, and differs markedly from HD and the other HDLs. HDL-1 is due to expansion of an octapeptide repeat in PRNP, the gene encoding the prion protein (Chap. 449). Thus, HDL-1 is properly considered a prion disease. Patients exhibit onset of </w:t>
      </w:r>
      <w:r w:rsidRPr="00A6019F">
        <w:lastRenderedPageBreak/>
        <w:t xml:space="preserve">personality change in the third or fourth decade, followed by chorea, rigidity, myoclonus, ataxia, and epilepsy. HDL-2 manifests in the third or fourth decade with a variety of movement disorders, including chorea, dystonia, or parkinsonism, and dementia. Most patients are of African descent. Acanthocytosis can sometimes be seen in these patients, and this condition must be distinguished from neuroacanthocytosis (below). HDL-2 is caused by Among the hereditary forms of childhood-onset chorea, mutations in the NKX2-1 gene cause a benign hereditary chorea. Mutations in the ADCY5 (adenylate cyclase 5) gene are an increasingly recognized and relatively common cause of childhood-onset chorea, often in combina tion with dystonia and developmental delay. Characteristic perioral movements are a hallmark of the disorder. Notably, patients respond well to caffeine. Chorea-acanthocytosis (neuroacanthocytosis) is a progressive and typically fatal autosomal recessive disorder that is characterized by chorea coupled with red cell abnormalities on peripheral blood smear (acanthocytes). The chorea can be severe and associated with self mutilating behavior, dystonia, tics, seizures, and a polyneuropathy. Mutations in the VPS13A gene encoding chorein have been described. A phenotypically similar X-linked form of the disorder has been described in older individuals who have reactivity with Kell blood group antigens (McLeod syndrome). A benign hereditary chorea of childhood (BHC1) due to mutations in the gene for thyroid transcrip tion factor 1 and a late-onset benign senile chorea (BHC2) have also been reported. It is important to do genetic testing in these patients to ensure that they do not have HD. Chorea may also occur in association with a variety of infections and degenerative disorders as well as vascular diseases and hypo- and hyperglycemia. Sydenham’s chorea (originally called St. Vitus’s dance) is more common in females and is typically seen in childhood (5–15 years). It often develops in association with prior exposure to group A streptococcal infection (Chap. 153) and is thought to be autoimmune in nature. It is characterized by the acute onset of choreiform movements and behavioral disturbances. With the reduc tion in the incidence of rheumatic fever, the incidence of Sydenham’s chorea has fallen, but it can still be seen in developing countries. The chorea generally responds to dopamine-blocking agents, valproic acid, and carbamazepine, and is usually self-limited. Treatment is gener ally restricted to those with severe chorea. Chorea may recur in later life, particularly in association with pregnancy (chorea gravidarum) or treatment with sex hormones. Several reports have documented cases of chorea associated with N-methyl-d-aspartate (NMDA) recep tor antibody–positive encephalitis, following herpes simplex virus encephalitis, and in paraneoplastic syndromes associated with anti CRMP-5 or anti-Hu antibodies (Chap. 99). Systemic lupus erythe matosus (Chap. 368) is the most common systemic disorder that is associated with chorea. The chorea may last for only a few days but can be long-lasting and persist for years. Chorea can also be seen with hyperthyroidism, autoimmune disorders including Sjögren’s syn drome, infectious disorders including HIV, metabolic alterations, and polycythemia rubra vera. Chorea has been described following open heart surgery in the pediatric </w:t>
      </w:r>
      <w:r w:rsidRPr="00A6019F">
        <w:lastRenderedPageBreak/>
        <w:t xml:space="preserve">population. It may also occur in associa tion with many medications (especially anticonvulsants, cocaine, CNS stimulants, estrogens, and lithium). In particular, chorea is commonly seen as a side effect of chronic levodopa treatment in patients with PD (Chap. 446). </w:t>
      </w:r>
      <w:r w:rsidRPr="00A6019F">
        <w:rPr>
          <w:rFonts w:ascii="Arial" w:hAnsi="Arial" w:cs="Arial"/>
        </w:rPr>
        <w:t>■</w:t>
      </w:r>
      <w:r w:rsidRPr="00A6019F">
        <w:t xml:space="preserve">BALLISM/HEMIBALLISMUS 3515 Ballism is a violent form of choreiform movement composed of wild, flinging, large-amplitude movements most frequently affecting proxi mal limb muscles on one side of the body (hemiballism). The move ments may only affect one limb (monoballism) or, more exceptionally, both upper or lower limbs (paraballism). The movements may be so severe as to cause exhaustion, dehydration, local injury, and, in extreme cases, death. Fortunately, dopamine-blocking drugs can be very help ful, and importantly, hemiballismus is usually self-limiting and tends to resolve spontaneously after weeks or months. The most common cause is a partial lesion (infarct or hemorrhage) in the STN, but in 30–40% of cases, the lesion is found in the putamen, thalamus, or parietal cortex. In extreme cases, pallidotomy or DBS of the GPi can be effective and abolish the involuntary movements. Interestingly, surgically induced lesions and DBS of the STN in PD patients are usually not associated with hemiballismus. TICS A tic is a brief, rapid, recurrent, stereotyped and seemingly purpose less motor contraction. Motor tics can be simple, with movement only affecting an individual muscle group (e.g., blinking, twitching of the nose, jerking of the neck), or complex, with coordinated involvement of multiple muscle groups (e.g., jumping, sniffing, head banging, and echopraxia [mimicking movements]). Phonic (or vocal) tics can also be simple (e.g., grunting) or complex (e.g., echolalia [repeating other people’s words], palilalia [repeating one’s own words], and coprolalia [expression of obscene words]). Patients may also experience sensory tics, composed of unpleasant focal sensations in the face, head, or neck. These can be mild and of little clinical consequence or severe and dis abling. Tics may present in adulthood and can be seen in association with a variety of disorders, including PD, HD, trauma, dystonia, drugs (e.g., levodopa, neuroleptics), and toxins. TOURETTE’S SYNDROME Tourette’s syndrome (TS) is a neurobehavioral disorder named after the French neurologist Georges Gilles de la Tourette. It predominantly affects males, and the prevalence is estimated to be 0.03–1.6%, but it is likely that many mild cases do not come to medical attention. TS is characterized by multiple motor tics, often accompanied by vocaliza tions (phonic tics). Patients characteristically can voluntarily suppress tics for short periods of time but then experience an irresistible urge to express them. Tics vary in intensity and may be absent for days or weeks only to recur, occasionally in a different pattern. Tics tend to present between ages 2 and 15 years (mean 7 years) and often lessen or even disappear in adulthood, particularly in males. Associated behavioral disturbances include anxiety, depression, attention-deficit hyperactivity disorder (ADHD), and obsessive-compulsive disorder. Patients may experience personality disorders, self-destructive behav iors, difficulties in school, and impaired interpersonal relationships. Etiology and Pathophysiology TS has a high heritability and is thus thought to be a genetic disorder, but no specific monogenic cause has yet been identified. Current evidence supports a </w:t>
      </w:r>
      <w:r w:rsidRPr="00A6019F">
        <w:lastRenderedPageBreak/>
        <w:t xml:space="preserve">complex inheritance pattern with an important contribution of de novo, likely gene-disrupting variants. Genome-wide linkage studies have suggested Slit, Trk-like 1, and histidine decarboxylase (HDC) genes as conferring genetic risk for TS. The risk of a family with one affected child having a second one with TS is ~25%. The pathophysiology of TS is not known, but alterations in dopamine neurotransmission, opioids, and second messenger systems have been proposed. TREATMENT Tics and Tourette’s Syndrome There is no cure for tics or TS. Patients with mild disease often only require education and counseling (for themselves and family mem bers). In a high proportion of patients, the severity of tics wanes in adult life, becoming less of a medical problem, thus arguing for conservative management if possible during the first decades of life. Drug treatment to help control tics is indicated when the tics are disabling and interfere with quality of life and social interactions. Therapy is individualized, and few treatment regimens have been properly evaluated in double-blind trials. Some physicians use the α-agonist clonidine, starting at low doses and gradually increas ing the dose and frequency until satisfactory control is achieved. Guanfacine (0.5–2 mg/d) is an α-agonist that is preferred by some because it only requires once-daily dosing. Other physicians prefer to use neuroleptics, but treatment can be complicated by tardive dyskinesia and weight gain. Atypical neuroleptics are usually used initially (risperidone, olanzapine, ziprasidone) because they are thought to be associated with a reduced risk of tardive dyskinesia. If they are not effective, low doses of classical neuroleptics such as hal operidol, fluphenazine, pimozide, or tiapride can be tried because the risk of tardive dyskinesia in young people is relatively low. Tet rabenazine and deuterated tetrabenazine may be recommended but are associated with depression. The dopamine D1 antagonist ecopi pam was reported to provide benefits without serious side effects in a controlled trial of short duration in TS. Antiepileptic drugs such as topiramate may provide benefit for some patients. Botulinum toxin injections can be effective in controlling focal tics that involve small muscle groups. There is also interest in the potential value of a wrist device that delivers electrical pulses and has been reported to reduce the frequency and severity of tics in an open-label study. The potential value of closed-loop DBS targeting the anterior portion of the internal capsule, the GPi, or the thalamus is currently being explored for severely affected patients. A large-scale public database and registry for DBS in TS has been established. Behavioral fea tures, and particularly anxiety and compulsions, can be a disabling feature of TS and should be treated as appropriate. Behavioral and speech therapies are also occasionally employed but have not been formally tested. ADHD medications such as methylphenidate are sometimes used to increase attention and concentration but may also exacerbate tics. MYOCLONUS Myoclonus is a brief, rapid (12 weeks increases the risk of TD. Because TD can be permanent and resistant to treatment, antipsychotics should be used judiciously and atypical neuroleptics should be the preferred agent whenever possible, although there are now questions as to the risk of TD with atypical neuroleptics as well. In all patients on these agents, the need for </w:t>
      </w:r>
      <w:r w:rsidRPr="00A6019F">
        <w:lastRenderedPageBreak/>
        <w:t xml:space="preserve">continued use should be regularly evaluated. The cause of TD is not known with certainty, but it is thought to be related to hypersensitivity of dopamine receptors following the use of dopa mine D2–blocking agents. This concept is based on observations that acute discontinuation can lead to accentuation of TD, while higher doses of these agents or the introduction of more potent neuroleptics can alleviate symptoms (at least transiently). Another hypothesis is that structural changes at the receptor level due to toxic effects of the neuroleptic may be causative. It has also been suggested that there may be a genetic predisposition in individuals who develop TD. Treatment primarily consists of tapering and withdrawal of the offending agent. If the patient is receiving a traditional antipsychotic, and withdrawal is not possible, replacement with an atypical antipsy chotic (e.g., clozapine) should be tried. Abrupt cessation of a neurolep tic should be avoided because acute withdrawal can induce worsening. TD can persist after withdrawal of antipsychotics and can be difficult to treat. Tetrabenazine, a vesicular monoamine transporter type 2 (VMAT-2) inhibitor that blocks storage of dopamine, has been used to treat TD but is short-acting and is associated with a dose-related 3517 new onset or worsening of parkinsonian features. Valbenazine, an ester of tetrabenazine, has been approved for the treatment of tardive dyskinesia in a dose of 80 mg/d based on efficacy in double-blind trials, but it is associated with sleepiness and QT prolongation. Deuterated tetrabenazine has also been approved for this indication. Deuteration provides a longer half-life with lower Cmax , reducing risk of parkinso nian side effects. It can be individually titrated and permits the use of higher doses with lower risk of side effects. In open-label studies, benefits have also been reported with valproic acid (750–3000 mg/d), anticholinergics, and botulinum toxin injections. Other approaches include baclofen (40–80 mg/d) and clonazepam (1–8 mg/d). In some refractory cases, pallidal DBS may be an option. Chronic neuroleptic exposure can also be associated with a tardive dystonia, with preferential involvement of axial muscles and charac teristic rocking movements of the trunk and pelvis. Gray coloration of skin can be a clue that the patient is receiving a neuroleptic in patients for whom the cause of the dystonia is not obvious. Tardive dystonia can be more troublesome than tardive dyskinesia and frequently persists despite stopping medication. Valproic acid, anticholinergics, and botulinum toxin may occasionally be beneficial, but patients are frequently refractory to medical therapy. Tardive akathisia, tardive TS, and tardive tremor syndromes are rare but may also occur after chronic neuroleptic exposure. Neuroleptic medications can also be associated with a neuroleptic malignant syndrome (NMS). NMS is characterized by the acute or subacute onset of muscle rigidity, elevated temperature, altered mental status, hyperthermia, tachycardia, labile blood pressure, and renal fail ure with markedly elevated creatine kinase levels. Symptoms typically evolve within days or weeks after initiating the drug. NMS can also be precipitated by the abrupt withdrawal of dopaminergic medications in PD patients. Treatment involves immediate cessation of the offending antipsychotic drug and the introduction of a dopaminergic agent (e.g., a </w:t>
      </w:r>
      <w:r w:rsidRPr="00A6019F">
        <w:lastRenderedPageBreak/>
        <w:t xml:space="preserve">dopamine agonist or levodopa), dantrolene, or a benzodiazepine. In very severe cases, when oral intake is not possible, a patch (delivering rotigotine subcutaneously) or an infusion pump (delivering apomor phine or levodopa subcutaneously) may be required. Treatment may need to be undertaken in an intensive care setting and include sup portive measures such as control of body temperature (antipyretics and cooling blankets), hydration, electrolyte replacement, and control of renal function and blood pressure. Drugs that have serotonin-like activity (tryptophan, MDMA or “ecstasy,” meperidine) or that block serotonin reuptake can induce a rare, but potentially fatal, serotonin syndrome that is characterized by confusion, hyperthermia, tachycardia, and coma, as well as rigidity, ataxia, and tremor. Myoclonus is often a prominent feature, in contrast to NMS, which it resembles in other respects. Patients can be managed with propranolol, diazepam, diphenhydramine, chlorpromazine, or cyproheptadine, as well as supportive measures. A variety of other drugs can be associated with hyperkinetic move ment disorders. Some examples include phenytoin (chorea, dystonia, tremor, myoclonus), carbamazepine (tics and dystonia), tricyclic antidepressants (dyskinesias, tremor, myoclonus), fluoxetine (myoclo nus, chorea, dystonia), oral contraceptives (dyskinesia), β-adrenergics (tremor), buspirone (akathisia, dyskinesias, myoclonus), digoxin, cimetidine, diazoxide, lithium, methadone, and fentanyl (dyskinesias). And as described in an earlier chapter (Chap. 446), treatment of PD with levodopa can be associated with dyskinetic movements; these are typically choreiform, but dystonia and myoclonus may also occur. PAROXYSMAL DYSKINESIAS Paroxysmal dyskinesias are a group of rare disorders characterized by episodic, brief involuntary movements that can manifest as various types of hyperkinetic movements, including chorea, dystonia, tremor, myoclonus, and ballism. There are three main types: (1) paroxysmal kinesigenic dyskinesia (PKD), where the involuntary movements are triggered by sudden movement; (2) paroxysmal nonkinesigenic dyski nesias (PNKD), where the attacks are not induced by movement; and (3) rare cases of paroxysmal exertion-induced dyskinesia (PED), where attacks are induced by prolonged exercise. PKDs are characterized by brief, self-limited attacks induced by the onset of movement such as running but also occasionally by unex pected sound or photic stimulation. Attacks may affect one side of the body, last seconds to minutes at a time, and recur several times a day. They usually manifest as a mixed hyperkinetic movement disor der with dystonic posturing of a limb, ballismus, and chorea, which may also become generalized. PKD is most commonly familial with an autosomal dominant pattern of inheritance and mutations in the proline-rich transmembrane protein 2 (PRRT2) gene but may also occur secondary to various brain disorders such as multiple sclerosis or hyperglycemia. PKD is more frequent in males (4:1), and the onset is typically in the first or second decade of life. About 70% report sensory symptoms such as tingling or numbness of the affected limb preceding the attack by a few milliseconds. The evolution is relatively benign, and there is a trend toward resolution of the attacks over time. Treatment with low-dose anticonvulsant therapy such as carbamazepine or phe nytoin is advised when the </w:t>
      </w:r>
      <w:r w:rsidRPr="00A6019F">
        <w:lastRenderedPageBreak/>
        <w:t xml:space="preserve">attacks are frequent and interfere with daily life activities and is effective in ~80% of patients. Some clinical features of PKD (abrupt and short-lasting attacks preceded by an “aura”), the association with true seizure episodes, and its favorable response to anticonvulsant drugs have led to speculation that it is epileptic in ori gin, but this has not been established. PNKD involves attacks of generalized dyskinesias precipitated by alcohol, caffeine, stress, or fatigue. In comparison to PKD, the epi sodes have a relatively longer duration (minutes to hours) and are less frequent (one to three per day). PNKD is inherited as an autosomal dominant condition with high (~80%) but incomplete penetrance. A missense mutation in the myofibrillogenesis regulator (PNKD) gene has been identified in several families. Recognition of the condition and elimination of the underlying precipitating factors, where possible, are the first priorities. Tetrabenazine, neuroleptics, dopamine-blocking agents, propranolol, clonazepam, and baclofen may be helpful. Treat ment may not be required if the condition is mild and self-limited. Most patients with PNKD do not benefit from anticonvulsant drugs, but these should be tried, and some may respond to clonazepam or other benzodiazepines. PED is characterized by a combination of chorea, athetosis, and dystonia in excessively exercised body regions, with the legs being most frequently affected. They are frequently familial. A single attack lasts from a few minutes to an hour and occurs after prolonged physi cal exercise. In addition to the movement disorder, several patients have other disease manifestations between episodes such as epilepsy, hemolytic anemia, and migraine. The SLC2A1 (solute carrier family 2 member 1) gene, previously linked to GLUT1 (glucose transporter of the blood-brain barrier) deficiency syndrome, can also cause parox ysmal PED. Treatment includes avoiding prolonged physical exercise. Whereas anticonvulsants and most medications are typically not effec tive, a ketogenic diet may be an effective therapeutic option. CHAPTER 447 Tremor, Chorea, and Other Movement Disorders Other (rare) forms of paroxysmal dyskinesia are caused by pathogenic variants in the ECHS1, GLDC, KCNMA1, SCN8A, and TMEM151A genes. RESTLESS LEGS SYNDROME Restless legs syndrome (RLS) is a neurologic disorder that affects ~10% of the adult population (it is rare in Asians). It was first described in the seventeenth century by the English physician Thomas Willis but has only recently been appreciated to be a bona fide movement disorder. The four core symptoms required for diagnosis are an urge to move the legs usually caused or accompanied by an unpleasant sensation in the legs; symptoms that begin or worsen with rest; partial or complete relief by movement; and worsening during the evening or night. Symptoms are often mild but can cause significant morbidity in some individuals. Symptoms most commonly begin in the legs but can spread to, or even begin in, the upper limbs. The unpleasant sensation is often described as a creepy-crawly feeling, paresthesia, or burning. In ~80% of patients, RLS is associated with periodic leg movements (PLMs) during sleep and occasionally while awake. These involuntary move ments are usually brief, lasting no more than a few seconds, and recur every 5–90 s. The restlessness and PLMs are a major cause of 3518 sleep disturbance, leading to poor-quality sleep and daytime sleepi ness. RLS is also </w:t>
      </w:r>
      <w:r w:rsidRPr="00A6019F">
        <w:lastRenderedPageBreak/>
        <w:t xml:space="preserve">commonly associated with depression, anxiety, and hypertension. PART 13 Neurologic Disorders The mean age of onset in familial forms is in the third decade, although pediatric cases are recognized. The severity of symptoms is variable. Secondary RLS may be associated with pregnancy or a range of underlying disorders, including anemia, ferritin deficiency, renal failure, and peripheral neuropathy. There is an association with abnormalities of iron metabolism, possibly because low iron can result in reduced dopamine levels. Diagnosis is made on clinical grounds but can be supported by polysomnography and the demonstration of PLMs. Recent studies suggest that age, sex, and genetic markers can be used to accurately predict who is likely to develop RLS in 90% of cases. The neurologic examination is normal. Secondary causes of RLS should be excluded, and ferritin levels, glucose, and renal func tion should be measured. The pathogenesis is thought to be associated with an alteration in dopamine function, which may be peripheral or central, but this has not been specifically defined. Primary RLS is often familial and has a strong genetic component; however, no causative gene has yet been identified. Genome association studies have identi fied &gt;150 variants associated with RLS risk, with the strongest candi dates in the PTPRD, BTBD9, and MEIS1 genes. Interestingly no genetic linkage to iron has been identified. Most RLS sufferers have mild symptoms that do not require specific treatment. General measures to improve sleep hygiene and quality should be attempted first. If symptoms remain intrusive, low doses of dopamine agonists, e.g., pramipexole (0.25–0.5 mg), ropinirole (1–2 mg), or patch rotigotine (2–3 mg), taken 1–2 h before bedtime are generally effective. Levodopa may also be effective but is more likely to be associated with augmentation (spread and worsening of symptoms and emergence during the day) or rebound (reappearance sometimes with worsening of symptoms at a time related to the drug’s short half life). Augmentation can also be seen with chronic use of drugs such as dopamine agonists, particularly if higher doses are employed. Other drugs that have been reported to be effective in individual cases include anticonvulsants, analgesics, and opiates, but these are not commonly employed. Tonic motor activation (TOMAC) is a nonpharmacologic approach to RLS that has not responded to drug therapy and has recently been approved in the United States. The treatment involves electrical stimulation of the peroneal nerves during the night and is reported to be effective and to improve sleep quality. Management of secondary RLS should be directed to correcting the underlying disor der (e.g., iron replacement for anemia). OTHER DISORDERS THAT MAY PRESENT WITH A COMBINATION OF PARKINSONISM AND HYPERKINETIC MOVEMENTS </w:t>
      </w:r>
      <w:r w:rsidRPr="00A6019F">
        <w:rPr>
          <w:rFonts w:ascii="Arial" w:hAnsi="Arial" w:cs="Arial"/>
        </w:rPr>
        <w:t>■</w:t>
      </w:r>
      <w:r w:rsidRPr="00A6019F">
        <w:t>WILSON</w:t>
      </w:r>
      <w:r w:rsidRPr="00A6019F">
        <w:rPr>
          <w:rFonts w:ascii="Aptos" w:hAnsi="Aptos" w:cs="Aptos"/>
        </w:rPr>
        <w:t>’</w:t>
      </w:r>
      <w:r w:rsidRPr="00A6019F">
        <w:t>S DISEASE (SEE ALSO CHAP. 427) Wilson</w:t>
      </w:r>
      <w:r w:rsidRPr="00A6019F">
        <w:rPr>
          <w:rFonts w:ascii="Aptos" w:hAnsi="Aptos" w:cs="Aptos"/>
        </w:rPr>
        <w:t>’</w:t>
      </w:r>
      <w:r w:rsidRPr="00A6019F">
        <w:t xml:space="preserve">s disease (WD) is an inherited autosomal recessive disorder of copper metabolism that produces neurologic, psychiatric, and liver manifestations, alone or in combination. It is caused by mutations in the ATP7B gene encoding a P-type ATPase. The disease was first described by the English neurologist Kinnier Wilson at the beginning of the twentieth century, although at around the same time, the Ger man physicians Kayser and Fleischer separately noted the characteris tic association of corneal pigmentation </w:t>
      </w:r>
      <w:r w:rsidRPr="00A6019F">
        <w:lastRenderedPageBreak/>
        <w:t>(Kayser-Fleischer rings) along with hepatic and neurologic features. WD has a worldwide prevalence of ~1 in 30,000, with a mutation carrier frequency of 1 in 90. About half of WD patients (especially younger patients) present with liver abnormalities. The remainder present with neurologic disease (with or without underlying liver abnormalities), and a small proportion have hematologic or psychiatric problems at disease onset. Neurologic onset usually manifests in the second decade with tremor, rigidity, and dystonia. The tremor is usually in the upper limbs, bilateral, and asymmetric. Tremor can be on intention or occasionally at rest, and in advanced disease can take on a wing-beating character istic (a flapping movement when the arms are held outstretched with the fingers opposed). Other features can include parkinsonism with bradykinesia, dystonia (particularly facial grimacing), dysarthria, and dysphagia. More than half of those with neurologic features have a his tory of psychiatric disturbances, including depression, mood swings, and overt psychosis. Kayser-Fleischer (KF) rings are seen in virtually all patients with neurologic features and 80% of those with hepatic pre sentations. KF rings represent the deposition of copper in Descemet’s membrane around the cornea. They consist of a characteristic grayish rim or circle at the limbus of the cornea and are best detected by slit lamp examination. Neuropathologic examination is characterized by neurodegeneration and astrogliosis in the basal ganglia, particularly in the striatum. WD should always be considered in the differential diagnosis of a movement disorder, particularly when arising in the first decades of life. Low levels of blood copper and ceruloplasmin and high levels of urinary copper may be present, but normal levels do not exclude the diagnosis. Brain imaging usually reveals generalized brain atrophy in established cases, and ~50% have signal hypointensity in the caudate head, puta men, globus pallidus, substantia nigra, and red nucleus on T2-weighted MRI scans. However, the correlation of imaging changes with clinical features is not good. Liver biopsy with demonstration of high copper levels and genetic testing remain the gold standard for diagnosis. In the absence of treatment, the course is progressive and leads to severe neurologic dysfunction and early death in most patients, although a small proportion experience a relatively benign course. Treatment is directed at reducing tissue copper levels and maintenance therapy to prevent reaccumulation. There is no clear consensus on optimal treatment, and patients should be managed in a unit with expertise in treating this disease. Penicillamine is frequently used to increase copper excretion but may lead to a worsening of symptoms in the initial stages of therapy. Side effects are common and can to some degree be attenuated by co-administration of pyridoxine. Tetrathiomolybdate blocks the absorption of copper and can be used instead of penicillamine. Trientine tetrahydrochloride and zinc are useful drugs for maintenance therapy. Effective treatment can reverse the neurologic features in most patients, particularly when started early. However, some patients may still progress, especially those with hepatocerebral disease. KF rings tend to decrease after 3–6 months and disappear by 2 years. Adherence to maintenance therapy is a major challenge in long-</w:t>
      </w:r>
      <w:r w:rsidRPr="00A6019F">
        <w:lastRenderedPageBreak/>
        <w:t xml:space="preserve">term care. Patients with advanced hepatic disease may require a liver transplant, and the potential role of organ-specific chelation therapy is under investigation. Gene therapy studies that involve an infusion of a working copy of the ATP7B gene into the liver are being investigated clinically, while preclinical studies are testing the novel chelator methanobactin. </w:t>
      </w:r>
      <w:r w:rsidRPr="00A6019F">
        <w:rPr>
          <w:rFonts w:ascii="Arial" w:hAnsi="Arial" w:cs="Arial"/>
        </w:rPr>
        <w:t>■</w:t>
      </w:r>
      <w:r w:rsidRPr="00A6019F">
        <w:t xml:space="preserve">NEURODEGENERATION WITH BRAIN IRON ACCUMULATION Neurodegeneration with brain iron accumulation (NBIA) represents a group of inherited disorders characterized by iron accumulation in the basal ganglia. Clinically, they can manifest as a progressive neurologic disorder with a variety of clinical features including parkinsonism, dystonia, neuropsychiatric abnormalities, and retinal degeneration. Cognitive disorders and cerebellar dysfunction may also be seen. Pre sentation is usually in childhood, but adult cases have been described. Multiple genes have been identified. Pantothenate kinase-associated neurodegeneration (PKAN), formerly known as Hallervordan-Spatz disease, is caused by a mutation in the PANK2 gene and is the most common form of NBIA, accounting for ~50% of cases. Onset is usu ally in early childhood and is manifest as a combination of dystonia, parkinsonism, and spasticity. MRI shows a characteristic low signal abnormality in the center of the globus pallidus on T2-weighted scans caused by iron accumulation and known as the “eye of the tiger” sign. Numerous other gene mutations have been described associated with iron accumulation, including PLA2G6, C19orf12, FA2H, ATP13A2, WDR45, FTL, CP, COASY, and DCAF17. One must be cautious, however, not to assume that all cases with iron accumulation in the basal ganglia represent an NBIA because iron accumulation in some basal ganglia regions is normal, and excess iron accumulation may occur in the basal ganglia as a nonspecific secondary consequence of 3519 neurodegeneration unrelated to a defect in iron metabolism. There are no specific treatments; iron binding may help slow progression, but this has not been established. FUNCTIONAL (PSYCHOGENIC) DISORDERS Virtually all movement disorders including tremor, tics, dystonia, myoclonus, chorea, ballism, and parkinsonism can be psychogenic in origin. The term functional neurologic symptom disorder (FND)/ conversion disorder has been suggested to replace the term psychogenic disorder in order to remove the criterion of psychological stress as a prerequisite for diagnosis; however, the terminology remains contro versial and both terms are used. A diagnosis can be made by identi fying neurologic signs that are specific to FNDs without reliance on psychological stressors or suggestive historical clues. Tremor affecting the upper limbs is the most common psychogenic movement disorder. Psychogenic movements can result from a somatoform or conversion disorder, malingering (e.g., seeking financial gain), or a factitious disorder (e.g., seeking psychological gain) (Chap. 463). Functional movement disorders are relatively common (estimated at 2–3% of patients seen in a movement disorder clinic), more frequent in women, disabling for the patient and family, and expensive for society. Clinical features suggesting a functional or psychogenic movement disorder include an acute onset with a pattern of abnormal movement that is inconsistent with the phenotype of a known movement disorder. Diag nosis is based on </w:t>
      </w:r>
      <w:r w:rsidRPr="00A6019F">
        <w:lastRenderedPageBreak/>
        <w:t xml:space="preserve">the nonorganic quality of the movement, the absence of findings of an organic disease process, and positive features that spe cifically point to a functional illness such as variability and distractibil ity. For example, in a functional tremor disorder, the magnitude of the tremor is increased with attention and diminishes or even disappears when the patient is distracted by being asked to perform a different task or is unaware that he or she is being observed. This is the opposite of what is seen with an organic tremor where the magnitude of tremor is increased with distraction and tends to be reduced when observed. Other positive features suggesting a psychogenic problem include vari able tremor frequency, entrainment of the tremor frequency with the frequency of a designated movement in the contralateral limb such as tapping, and a response to placebo interventions. Associated features can include nonanatomic sensory findings, give-way weakness, astasia abasia (an odd, gyrating gait or posture) (Chap. 28), and multiple somatic complaints with no underlying pathology (somatoform disor der). Comorbid psychiatric problems such as anxiety, depression, and emotional trauma may be present but are not necessary for the diagno sis, which is why some prefer to call the movement disorder functional rather than psychogenic. Functional movement disorders typically occur as an isolated entity but may be seen in association with an underlying organic problem. The diagnosis can usually be made based on history and clinical features alone, and unnecessary tests or medi cations can be avoided. If there are underlying psychiatric problems, they should be identified and treated, but as noted, many patients with functional movement disorders have no obvious psychiatric pathology. Treatment of FND starts with explaining the diagnosis to the patient in a nonthreatening manner, but many are resistant to accepting this diag nosis. Psychological therapies (especially cognitive-behavioral) are the method of choice. An increasing role of physiotherapy has also recently been recognized, and a recent trial of physiotherapy and cognitive behavioral therapy in combination was found to effectively improve symptoms in nearly half of patients. Comorbid depression, anxiety, and pain may be treated pharmacologically. Patients with hypochondriasis, factitious disorders, and malingering have a poor prognosis. </w:t>
      </w:r>
      <w:r w:rsidRPr="00A6019F">
        <w:rPr>
          <w:rFonts w:ascii="Arial" w:hAnsi="Arial" w:cs="Arial"/>
        </w:rPr>
        <w:t>■</w:t>
      </w:r>
      <w:r w:rsidRPr="00A6019F">
        <w:t xml:space="preserve">FURTHER READING Baumgartner AJ et al: Novel targets in deep brain stimulation for movement disorders. Neurosurg Rev 45:2593, 2022. Bhatia KP et al: Tremor Task Force of the International Parkinson and Movement Disorder Society. Mov Disord 33:75, 2018. Billnitzer A, Jankovic J: Current management of tics and Tourette syndrome: Behavioral, pharmacologic, and surgical treatments. Neu rotherapeutics 17:1681, 2020. Elias WJ, Shah BB: Essential tremor. JAMA 332:418, 2024. Espay AJ et al: Current concepts in diagnosis and treatment of func tional neurological disorders. JAMA Neurol 75:1132, 2018. Lange LM et al: Nomenclature of Genetic Movement Disorders: Recommendations of the International Parkinson and Movement Disorder Society Task Force—An update. Mov Disord 37:905, 2022. Macias-Garcia D et al: Combined physiotherapy and cognitive behavioral therapy for functional movement disorders: A random ized clinical trial. JAMA Neurol 81:966, 2024. Mestre TA: Recent advances in the </w:t>
      </w:r>
      <w:r w:rsidRPr="00A6019F">
        <w:lastRenderedPageBreak/>
        <w:t xml:space="preserve">therapeutic development for Hun tington disease. Parkinsonism Relat Disord 59:125, 2019. Tabrizi SJ et al: Potential disease-modifying therapies for Huntington’s disease: Lessons learned and future opportunities. Lancet Neurol 21:645, 2022. Thomsen M et al: Genetics and pathogenesis of dystonia. Annu Rev Pathol 19:99, 2024. 448 Amyotrophic Lateral Sclerosis and Other Motor Neuron Diseases Robert H. Brown, Jr. AMYOTROPHIC LATERAL SCLEROSIS Amyotrophic later sclerosis (ALS) is the most common progressive motor neuron disease. It is a prime example of a neurodegenerative disease and is arguably the most devastating of the neurodegenera tive disorders. </w:t>
      </w:r>
      <w:r w:rsidRPr="00A6019F">
        <w:rPr>
          <w:rFonts w:ascii="Arial" w:hAnsi="Arial" w:cs="Arial"/>
        </w:rPr>
        <w:t>■</w:t>
      </w:r>
      <w:r w:rsidRPr="00A6019F">
        <w:t xml:space="preserve">PATHOLOGY The pathologic hallmark of motor neuron degenerative disorders is death of lower motor neurons (consisting of anterior horn cells in the spinal cord and their brainstem homologues innervating bulbar muscles) and upper, or corticospinal, motor neurons (originating in layer five of the motor cortex and descending via the pyramidal tract to synapse with lower motor neurons, either directly or indirectly via interneurons) (Chap. 26). Although at its onset ALS may involve selec tive loss of function of only upper or lower motor neurons, it ultimately causes progressive loss of both categories of motor neurons. Indeed, in the absence of clear involvement of both motor neuron types, the diagnosis of ALS is questionable. In a subset of cases, ALS arises concurrently with frontotemporal dementia (Chap. 443); in these instances, there is degeneration of frontotemporal cortical neurons and corresponding cortical atrophy. CHAPTER 448 Amyotrophic Lateral Sclerosis and Other Motor Neuron Diseases Other motor neuron diseases involve only particular subsets of motor neurons (Tables 448-1 and 448-2). Thus, in bulbar palsy and spinal muscular atrophy (SMA, predominantly in children) and pro gressive muscular atrophy (PMA, in adults), the lower motor neurons of brainstem and spinal cord, respectively, are most severely involved. By contrast, pseudobulbar palsy, primary lateral sclerosis (PLS), and hereditary spastic paraplegia (HSP) affect only upper motor neurons innervating the brainstem and spinal cord. In each of these diseases, the affected motor neurons undergo shrinkage, often with accumulation of the pigmented lipid (lipofuscin) that normally develops in these cells with advancing age. In ALS, the motor neuron cytoskeleton is typically affected early in the illness. Focal enlargements are frequent in proximal motor axons; ultrastruc turally, these “spheroids” are composed of accumulations of neuro filaments and other proteins. Commonly in both sporadic and familial ALS, the affected neurons demonstrate ubiquitin-positive aggregates, often associated with the protein TDP43 (see below). Also seen is 3520 PART 13 Neurologic Disorders TABLE 448-1 Etiology of Motor Neuron Disorders DIAGNOSTIC CATEGORY INVESTIGATION Structural lesions Parasagittal or foramen magnum tumors Cervical spondylosis Chiari malformation of syrinx Spinal cord arteriovenous malformation MRI scan of head (including foramen magnum and cervical spine) Infections Bacterial—tetanus, Lyme Viral—poliomyelitis, herpes zoster Retroviral—myelopathy CSF exam, culture Lyme titer Antiviral antibody HTLV-1 titers Intoxications, physical agents Toxins—lead, aluminum, others Drugs—strychnine, phenytoin Electric short, x-irradiation 24-h </w:t>
      </w:r>
      <w:r w:rsidRPr="00A6019F">
        <w:lastRenderedPageBreak/>
        <w:t xml:space="preserve">urine for heavy metals Serum lead level Immunologic mechanisms Plasma cell dyscrasias Autoimmune polyradiculopathy Motor neuropathy with conduction block Paraneoplastic Paracarcinomatous Complete blood counta Sedimentation ratea Total proteina Anti-GM1 antibodiesa Anti-Hu antibody MRI scan, bone marrow biopsy Metabolic Hypoglycemia Hyperparathyroidism Hyperthyroidism Deficiency of folate, vitamin B12 , vitamin E Malabsorption Deficiency of copper, zinc Mitochondrial dysfunction Fasting blood sugara Routine chemistries including calciuma PTH Thyroid functiona Vitamin B12 , vitamin E, folatea Serum zinc, coppera 24-h stool fat, carotene, prothrombin time Fasting lactate, pyruvate, ammonia Consider mtDNA Hyperlipidemia Lipid electrophoresis Hyperglycinuria Urine and serum amino acids CSF amino acids Hereditary disorders C9orf72 Superoxide dismutase TDP43 FUS/TLS Androgen receptor defect (Kennedy’s disease) WBC DNA for mutational analysis aShould be obtained in all cases. Abbreviations: CSF, cerebrospinal fluid; FUS/TLS, fused in sarcoma/translocated in liposarcoma; HTLV-1, human T-cell lymphotropic virus; MRI, magnetic resonance imaging; PTH, parathyroid; WBC, white blood cell. FIGURE 448-1 Amyotrophic lateral sclerosis. Axial T2-weighted magnetic resonance imaging (MRI) scan through the lateral ventricles of the brain reveals abnormal high signal intensity within the corticospinal tracts (arrows). This MRI feature represents an increase in water content in myelin tracts undergoing Wallerian degeneration secondary to cortical motor neuronal loss. This finding is commonly present in ALS but can also be seen in AIDS-related encephalopathy, infarction, or other disease processes that produce corticospinal neuronal loss in a symmetric fashion. TABLE 448-2 Sporadic Motor Neuron Diseases CHRONIC ENTITY Upper and lower motor neuron Amyotrophic lateral sclerosis Predominantly upper motor neuron Primary lateral sclerosis Predominantly lower motor neuron Multifocal motor neuropathy with conduction block  Motor neuropathy with paraproteinemia or cancer  Motor predominant peripheral neuropathies Other  Associated with other neurodegenerative disorders   Secondary motor neuron disorders (see Table 448-1)   Acute  Poliomyelitis  Herpes zoster  Coxsackie virus  West Nile virus  proliferation of astroglia and microglia, the inevitable accompaniment of all degenerative processes in the central nervous system (CNS). The death of the peripheral motor neurons in the brainstem and spinal cord leads to denervation and atrophy of the corresponding muscle fibers. Histochemical and electrophysiologic evidence indicates that in the early phases of the illness denervated muscle can be rein nervated by sprouting of nearby distal motor nerve terminals, although reinnervation in this disease is considerably less extensive than in most other disorders affecting motor neurons (e.g., poliomyelitis, peripheral neuropathy). As denervation progresses, muscle atrophy is readily recognized in muscle biopsies and on clinical examination. This is the basis for the term amyotrophy. The loss of cortical motor neurons results in thinning of the corticospinal tracts that travel via the inter nal capsule (Fig. 448-1) and pyramidal tracts in the brainstem to the lateral and anterior white matter columns of the spinal cord. The loss of fibers in the lateral columns and resulting fibrillary gliosis impart a </w:t>
      </w:r>
      <w:r w:rsidRPr="00A6019F">
        <w:lastRenderedPageBreak/>
        <w:t xml:space="preserve">particular firmness (lateral sclerosis). A remarkable feature of the disease is the selectivity of neuronal cell death. By light microscopy, the entire sensory apparatus and cerebellar structures that control the coordination of movement remain intact. Except in cases of fronto temporal dementia, the components of the brain required for cognitive processing are also preserved. However, immunostaining indicates that neurons bearing ubiquitin, a marker for degeneration, are also detected in nonmotor systems. Moreover, studies of glucose metabolism in the illness also indicate that there is neuronal dysfunction outside of the motor system. Pathologic studies reveal proliferation of microglial cells and astrocytes in affected regions; in some cases, this phenomenon, designated neuroinflammation, can be visualized using positron emis sion tomography (PET) scanning for ligands that are recognized by activated microglia. Within the motor system, there is some selectivity 3521 of involvement. Thus, motor neurons required for ocular motility remain unaffected, as do the parasympathetic neurons in the sacral spinal cord (the nucleus of Onufrowicz, or Onuf) that innervate the sphincters of the bowel and bladder. </w:t>
      </w:r>
      <w:r w:rsidRPr="00A6019F">
        <w:rPr>
          <w:rFonts w:ascii="Arial" w:hAnsi="Arial" w:cs="Arial"/>
        </w:rPr>
        <w:t>■</w:t>
      </w:r>
      <w:r w:rsidRPr="00A6019F">
        <w:t xml:space="preserve">CLINICAL MANIFESTATIONS The manifestations of ALS are somewhat variable depending on whether corticospinal neurons or lower motor neurons in the brain stem and spinal cord are more prominently involved. With lower motor neuron dysfunction and early denervation, typically the first evidence of the disease is insidiously developing asymmetric weakness, usually first evident distally in one of the limbs. A detailed history often discloses recent development of cramping with volitional movements, typically in the early hours of the morning (e.g., while stretching in bed). Weakness caused by denervation is associated with progressive wasting and atrophy of muscles and, particularly early in the illness, spontaneous twitching of motor units, or fasciculations. In the hands, a preponderance of extensor over flexor weakness is common. When the initial denervation involves bulbar rather than limb muscles, the problem at onset is difficulty with chewing, swallowing, and move ments of the face and tongue. Rarely, early involvement of the muscles of respiration may lead to death before the disease is far advanced elsewhere. With prominent corticospinal involvement, there is hyper activity of the muscle-stretch reflexes (tendon jerks) and, often, spastic resistance to passive movements of the affected limbs. Patients with significant reflex hyperactivity complain of muscle stiffness often out of proportion to weakness. Degeneration of the corticobulbar projections innervating the brainstem results in dysarthria and exaggeration of the motor expressions of emotion. The latter leads to involuntary excess in weeping or laughing (pseudobulbar affect). Virtually any muscle group may be the first to show signs of dis ease, but, as time passes, more and more muscles become involved until ultimately the disorder takes on a symmetric distribution in all regions. It is characteristic of ALS that, regardless of whether the initial disease involves upper or lower motor neurons, both will eventually be implicated. Even in the late stages of the illness, sensory, bowel and bladder, and cognitive functions are preserved. Even when there is severe brainstem disease, ocular motility is spared until the very late stages of </w:t>
      </w:r>
      <w:r w:rsidRPr="00A6019F">
        <w:lastRenderedPageBreak/>
        <w:t xml:space="preserve">the illness. As noted, in some cases (particularly those that are familial), ALS develops concurrently with frontotemporal dementia, characterized by early behavioral abnormalities with prominent behav ioral features indicative of frontal lobe dysfunction. A committee of the World Federation of Neurology has established diagnostic guidelines for ALS. Essential for the diagnosis is simulta neous upper and lower motor neuron involvement with progressive weakness and the exclusion of all alternative diagnoses. The disorder is ranked as “definite” ALS when three or four of the following are involved: bulbar, cervical, thoracic, and lumbosacral motor neurons. When two sites are involved, the diagnosis is “probable,” and when only one site is implicated, the diagnosis is “possible.” An exception is made for those who have progressive upper and lower motor neuron signs at only one site and a mutation in the gene encoding superoxide dismutase (SOD1; see below). It is now recognized that another clinical manifestation in most cases of ALS is the presence in cerebrospinal fluid (CSF) and serum of markers of neurodegeneration, such as elevated levels of neurofilament light chains (Nfl) or phosphorylated neurofilament heavy chains; some markers of inflammation (e.g., monocyte chemoattractant protein 1) are also elevated. Higher levels of serum or CSF Nfl are correlated with more aggressive disease and more rapid disease progression. Accord ingly, these CSF biomarkers are increasingly used as endpoints in clinical trials. </w:t>
      </w:r>
      <w:r w:rsidRPr="00A6019F">
        <w:rPr>
          <w:rFonts w:ascii="Arial" w:hAnsi="Arial" w:cs="Arial"/>
        </w:rPr>
        <w:t>■</w:t>
      </w:r>
      <w:r w:rsidRPr="00A6019F">
        <w:t>EPIDEMIOLOGY The illness is relentlessly progressive, leading to death from respiratory paralysis; the median survival is from 3 to 5 years. There are very rare reports of stabilization or even regression of ALS. In most societies, there is an incidence of 1</w:t>
      </w:r>
      <w:r w:rsidRPr="00A6019F">
        <w:rPr>
          <w:rFonts w:ascii="Aptos" w:hAnsi="Aptos" w:cs="Aptos"/>
        </w:rPr>
        <w:t>–</w:t>
      </w:r>
      <w:r w:rsidRPr="00A6019F">
        <w:t>3 per 100,000 and a prevalence of 3</w:t>
      </w:r>
      <w:r w:rsidRPr="00A6019F">
        <w:rPr>
          <w:rFonts w:ascii="Aptos" w:hAnsi="Aptos" w:cs="Aptos"/>
        </w:rPr>
        <w:t>–</w:t>
      </w:r>
      <w:r w:rsidRPr="00A6019F">
        <w:t xml:space="preserve">5 per 100,000. It is striking that about 1 in 500 deaths in North America and Western Europe (and probably elsewhere) are due to ALS; this finding predicts that &gt;500,000 individuals now alive in the United States will die of ALS. Several endemic foci of higher prevalence exist in the western Pacific (e.g., in specific regions of Guam or Papua New Guinea). In the United States and Europe, men are somewhat more fre quently affected than women. Epidemiologic studies have incriminated risk factors for this disease including exposure to pesticides and insec ticides, silica, smoking, and possibly service in the military. Although ALS is overwhelmingly a sporadic disorder, some 10% of cases are inherited as an autosomal dominant trait. </w:t>
      </w:r>
      <w:r w:rsidRPr="00A6019F">
        <w:rPr>
          <w:rFonts w:ascii="Arial" w:hAnsi="Arial" w:cs="Arial"/>
        </w:rPr>
        <w:t>■</w:t>
      </w:r>
      <w:r w:rsidRPr="00A6019F">
        <w:t xml:space="preserve">FAMILIAL ALS Several forms of selective motor neuron disease are inheritable (Table 448-3). Familial ALS (FALS) involves both corticospinal and lower motor neurons. Apart from its inheritance as an autosomal dominant trait, it is clinically indistinguishable from sporadic ALS. Genetic studies have identified mutations in multiple genes, includ ing those encoding the protein C9orf72 (open reading frame 72 on chromosome 9), cytosolic enzyme SOD1 (superoxide dismutase), the RNA binding proteins TDP43 (encoded by the TAR DNA bind ing protein gene), and fused in sarcoma/translocated in liposarcoma (FUS/TLS), as the most common causes of FALS. Mutations in C9orf72 account for ~45–50% of FALS and perhaps 5–10% of sporadic ALS cases. Mutations in SOD1 explain another 20% of cases of FALS, whereas TDP43 and FUS/TLS each represent about 5% of familial cases. </w:t>
      </w:r>
      <w:r w:rsidRPr="00A6019F">
        <w:lastRenderedPageBreak/>
        <w:t xml:space="preserve">Mutations in several other genes (e.g., NEK1, optineurin, TBK1, KIF5A, TUBA4, and PFN11) each cause ~1% of cases. Rare mutations in other genes are also clearly implicated in ALS-like diseases. Thus, a familial, dominantly inherited motor disorder that in some individuals closely mimics the ALS phenotype arises from mutations in a gene that encodes a vesicle-binding protein. Mutations in senataxin, a helicase, cause an early-adult-onset, slowly evolving ALS variant. Kennedy’s syndrome is an X-linked, adult-onset disorder that may mimic ALS, as described below. Tau gene mutations usually underlie frontotemporal dementia but in some instances may be asso ciated with prominent motor neuron findings. Genetic analyses are also beginning to illuminate the pathogenesis of some childhood-onset motor neuron diseases. For example, a slowly disabling degenerative, predominantly upper motor neuron disease that starts in the first decade is caused by mutations in a gene that expresses a novel signaling molecule with properties of a guanine exchange factor, termed alsin. </w:t>
      </w:r>
      <w:r w:rsidRPr="00A6019F">
        <w:rPr>
          <w:rFonts w:ascii="Arial" w:hAnsi="Arial" w:cs="Arial"/>
        </w:rPr>
        <w:t>■</w:t>
      </w:r>
      <w:r w:rsidRPr="00A6019F">
        <w:t xml:space="preserve">DIFFERENTIAL DIAGNOSIS Because ALS is currently untreatable, it is imperative that poten tially remediable causes of motor neuron dysfunction be excluded (Table 448-1). This is particularly true in cases that are atypical by virtue of (1) restriction to either upper or lower motor neurons, (2) involvement of neurons other than motor neurons, and (3) evidence of motor neuronal conduction block on electrophysiologic testing. Com pression of the cervical spinal cord or cervicomedullary junction from tumors in the cervical regions or at the foramen magnum or from cer vical spondylosis with osteophytes projecting into the vertebral canal can produce weakness, wasting, and fasciculations in the upper limbs and spasticity in the legs, closely resembling ALS. The absence of cranial nerve involvement may be helpful in differentiation, although some foramen magnum lesions may compress the twelfth cranial (hypoglossal) nerve, with resulting paralysis of the tongue. Absence of pain or of sensory changes, normal bowel and bladder function, normal radiologic studies of the spine, and normal CSF all favor ALS. Where doubt exists, magnetic resonance imaging (MRI) scans and possibly contrast myelography should be performed to visualize the cervical spinal cord. CHAPTER 448 Amyotrophic Lateral Sclerosis and Other Motor Neuron Diseases Another important entity in the differential diagnosis of ALS is multifocal motor neuropathy with conduction block (MMCB), discussed below. A diffuse, lower motor axonal neuropathy mimicking ALS sometimes evolves in association with hematopoietic disorders such as lymphoma or multiple myeloma. In this clinical setting, the presence of an M-component in serum should prompt consideration of a bone 3522 PART 13 Neurologic Disorders TABLE 448-3 Genetic Motor Neuron Diseases DISEASE GENE SYMBOL GENE NAME INHERITANCE U.S. FREQUENCY % FALS USUAL ONSET PROTEIN FUNCTION UNUSUAL FEATURES I. Selected Upper and Lower Motor Neurons (Familial ALS) + Frontotemporal Dementia (FTD) ALS/ALS-FTD C9ORF72 Chromosome 9 open reading frame 72 AD 45% (6–10% SALS) Adult Regulates vesicle trafficking May also be associated with parkinsonism, PLS ALS SOD1 Cu/Zn superoxide dismutase 1 AD 20% (2% SALS) Adult Protein antioxidant  ALS/ALS-FTD TARDBP TAR DNA binding protein AD </w:t>
      </w:r>
      <w:r w:rsidRPr="00A6019F">
        <w:lastRenderedPageBreak/>
        <w:t xml:space="preserve">5% Adult DNA, RNA binding  ALS/ALS-FTD FUS/TLS Fused in sarcoma/ translocated in liposarcoma AD 5% Adult DNA, RNA binding  ALS/ALS-FTD CCNF E3 ubiquitin ligase cyclin F AD 2% Adult Mediates ubiquitination   ALS NEK1 NMA-related kinase AR 2% Adult Microtubules, nuclear transport   ALS/ALS-FTD TBK1 Tank binding kinase 1 AD 2% Adult Regulates autophagy, inflammation   ALS KIF5A Kinesin family member 5A AD 1–2% Early adult Microtubule motor CMT ALS PFN1 Profilin 1 AD ~1% Adult Involved in actin polymerization   ALS/ALS-FTD OPTN Optineurin AD/AR ~1% Adult Attenuates NF-κB  ALS SPG11 Spastic paraplegia 11 AR ~1% Adult Vesicle trafficking Spastic paraplegia ALS SETX Senataxin AD ~1% Late juvenile DNA helicase Late childhood onset ALS/ALS-FTD VCP Valosin-containing protein AD ~ 1% Adult ATPase Paget’s, myopathy ALS-FTD UBQLN2 Ubiquilin 2 XR 80 genetic types of HSP for which causative mutations in &gt;60 genes have been identified. Table 448-3 lists more commonly identified genetic types of HSP. Symptoms usually begin in the third or fourth decade of life, presenting as progressive spastic weakness beginning in the lower extremities; however, there are variants with onset so early that the differential diagnosis includes cerebral palsy. HSP typically has a long survival, presumably because respiratory function is spared. Late in the illness, there may be urinary urgency and incontinence and sometimes fecal incontinence; sexual function tends to be preserved. In pure forms of HSP, the spastic leg weakness is often accompanied by posterior column (vibration and position) abnormalities and distur bance of bowel and bladder function. Some family members may have spasticity without clinical symptoms. By contrast, particularly when recessively inherited, HSP may have complex or complicated forms in which altered corticospinal and dorsal column function is accompanied by significant involvement of other regions of the nervous system, including amyotrophy, intellectual disability, optic atrophy, and sensory neuropathy. Neuropathologically, in HSP, there is degeneration of the cortico spinal tracts, which appear nearly normal in the brainstem but show increasing atrophy at more caudal levels in the spinal cord; in effect, this pathologic picture is of a dying-back or distal axonopathy of long neuronal fibers within the CNS. Defects at numerous loci underlie both dominantly and recessively inherited forms of HSP (Table 448-3). The gene most commonly implicated in dominantly inherited HSP is spastin, which encodes a microtubule interacting protein. The most common childhood-onset dominant form arises from mutations in the atlastin gene. An infantile-onset form of X-linked, recessive HSP arises from mutations in the gene for myelin proteolipid protein. This is an example of rather striking allelic variation, as most other mutations in the same gene cause not HSP but Pelizaeus-Merzbacher disease, a widespread disorder of CNS myelin. Another recessive variant is caused by defects in the paraplegin gene. Paraplegin has homology to metalloproteases that are important in mitochondrial function in yeast. A slowly progressive, adult-onset X-linked progressive spastic paraly sis designated adrenomyeloneuropathy is caused by mutations in the ABCD1 gene; these cases are associated with elevated serum levels of very-long-chain fatty acids (Chap. 453). </w:t>
      </w:r>
      <w:r w:rsidRPr="00A6019F">
        <w:rPr>
          <w:rFonts w:ascii="Arial" w:hAnsi="Arial" w:cs="Arial"/>
        </w:rPr>
        <w:t>■</w:t>
      </w:r>
      <w:r w:rsidRPr="00A6019F">
        <w:t>FURTHER READING Ak</w:t>
      </w:r>
      <w:r w:rsidRPr="00A6019F">
        <w:rPr>
          <w:rFonts w:ascii="Aptos" w:hAnsi="Aptos" w:cs="Aptos"/>
        </w:rPr>
        <w:t>ç</w:t>
      </w:r>
      <w:r w:rsidRPr="00A6019F">
        <w:t xml:space="preserve">imen F et al: Amyotrophic lateral </w:t>
      </w:r>
      <w:r w:rsidRPr="00A6019F">
        <w:lastRenderedPageBreak/>
        <w:t xml:space="preserve">sclerosis: Translating genetic discoveries into therapies. Nat Rev Genetics 44:642, 2023. Baryshnikov VA et al: Antisense oligonucleotide silencing of FUS expression as as therapeutic approach in amyotrophic lateral sclero sis. Nat Med 28(1):104, 2022. Brown RH, Al-Chalabi A: Review article: Amyotrophic lateral scle rosis. N Engl J Med 377:162, 2017. Chio A et al: Cognitive impairment across ALS clinical stages in a population cohort. Neurology 93:e984, 2018. Finkel RS et al: Treatment of infantile-onset spinal muscular atrophy with nusinersin: A phase 2, open-label, dose-escalation study. Lancet 388:3017, 2016. Gendron TF et al: Poly(GP) proteins are a useful pharmacodynamic marker for C9ORF72-associated amyotrophic lateral sclerosis. Sci Transl Med 9:pii:eaai7866, 2017. Miller TM et al: Trial of antisense oligonucleotide tofersen for ALS. N Engl J Med 387:1099, 2022. Mueller C et al: SOD1 suppression with adeno-associated virus and microRNA in familial ALS. N Engl J Med 383:151, 2020. Schüle R et al: Hereditary spastic paraplegia: Clinicogenetic lessons from 608 patients. Ann Neurol 79:646, 2016. Shahim P et al: Neurofilaments in sporadic and familial amyotrophic lateral sclerosis: A systematic review and meta-analysis. Genes 15:496, 2024. Taylor JP et al: Decoding ALS: From genes to mechanism. Nature 539:197, 2016. Van Damme P, Robberecht W: STING-induced inflammation—A novel therapeutic target in ALS? N Engl J Med 384:765, 2021. Visser AE et al: Multicentre, population-based, case-control study of particulates, combustion products and amyotrophic lateral sclerosis risk. J Neurol Neurosurg Psychiatry 90:854, 2019. </w:t>
      </w:r>
      <w:r w:rsidRPr="00A6019F">
        <w:rPr>
          <w:rFonts w:ascii="Arial" w:hAnsi="Arial" w:cs="Arial"/>
        </w:rPr>
        <w:t>■</w:t>
      </w:r>
      <w:r w:rsidRPr="00A6019F">
        <w:t xml:space="preserve">WEBSITES CHAPTER 449 Prion Diseases Several websites provide valuable information on ALS including those offered by the Muscular Dystrophy Association (www.mdausa.org), the Amyotrophic Lateral Sclerosis Association (www.alsa.org), the World Federation of Neurology and the Neuromuscular Unit at Washing ton University in St. Louis (www.neuro.wustl.edu), and the Northeast Amyotrophic Lateral Sclerosis Consortium (www.neals.org). 449 Prion Diseases Stanley B. Prusiner, Michael D. Geschwind Prions are proteins that adopt alternative conformations, which become self-propagating. Some prions cause degeneration of the cen tral nervous system (CNS). Once relegated to causing a group of rare CNS disorders, such as Creutzfeldt-Jakob disease (CJD), increasing evidence argues that prions also cause more common neurodegenera tive diseases (NDs) including Alzheimer’s disease (AD) and Parkinson’s disease (PD). While CJD is caused by the accumulation of PrPSc prions (Table 449-1), α-synuclein prions cause multiple system atrophy (MSA) (Chap. 451). Infectious MSA prions have been recovered from human brain samples stored in formalin for up to 20 years. Similar resistance to formalin was demonstrated for brain samples from sheep with scrapie. Increasing data suggest that Aβ and tau prions together may cause AD, α-synuclein prions PD in addition to MSA, and tau prions frontotemporal lobar degeneration (FTLD). CJD typically pres ents as a rapidly progressive dementia accompanied by other motor abnormalities and behavioral changes. The illness is relentlessly pro gressive and generally causes death within ~7 months from onset. Most patients with sporadic CJD (sCJD) are between 50 and 75 years of age, although patients as young as 12 and as old as 96 have been </w:t>
      </w:r>
      <w:r w:rsidRPr="00A6019F">
        <w:lastRenderedPageBreak/>
        <w:t xml:space="preserve">described. 3526 TABLE 449-1 Glossary of PrP Prion Terminology Prion PrPSc PrPC PrP 27-30 PRNP PART 13 Prion rod Proteinaceous infectious particle that lacks nucleic acid. Prions are composed entirely of alternatively folded proteins that undergo self-propagation. Distinct strains of prions exhibit different biologic properties, which are epigenetically heritable. PrP prions cause scrapie in sheep and goats, mad cow disease, and related neurodegenerative diseases of humans such as Creutzfeldt-Jakob disease (CJD). Disease-causing Scrapie isoform of the prion protein. This protein is the only identifiable macromolecule in purified preparations of scrapie prions. Cellular isoform of the prion protein. PrPC is the precursor of PrPSc. A fragment of PrPSc, generated by truncation of the NH2-terminus by limited digestion with proteinase K. PrP 27-30 retains prion infectivity and polymerizes into amyloid. PrP gene located on human chromosome 20. An aggregate of prions composed largely of PrP 27-30 molecules. Created by detergent extraction and limited proteolysis of PrPSc. Morphologically and histochemically indistinguishable from many amyloids. PrP amyloid Amyloid containing PrP in the brains of animals or humans with prion disease; often accumulates as plaques. Neurologic Disorders The potential role of prions in the pathogenesis of NDs is reviewed in Chap. 435. CJD is one malady in a group of disorders caused by prions com posed of the human prion protein (PrP). PrP prions reproduce by binding to the normal, cellular isoform of the prion protein (PrPC) and stimulating conversion of PrPC into the disease-causing isoform PrPSc. PrPC is rich in α-helix and has little β-structure, whereas PrPSc has less α-helix and a high amount of β-structure. The α-to-β structural transi tion in PrP is the fundamental event underlying this group of prion diseases. Four new concepts have emerged from studies of PrP prions: (1) Prions are the only known transmissible pathogens that are devoid of nucleic acid; all other infectious agents possess genomes composed of either RNA or DNA that direct the synthesis of their progeny. (2) Prion diseases may manifest as infectious, genetic, or sporadic disorders; no other group of illnesses with a single etiology presents with such a wide spectrum of clinical manifestations. (3) Prion diseases result from the accumulation of PrPSc, the conformation of which dif fers substantially from that of its precursor, PrPC. (4) Distinct strains of prions exhibit different biologic properties, which are epigeneti cally inherited. In other words, PrPSc can exist in a variety of different conformations, many of which seem to specify disease phenotypes. How a specific conformation of a PrPSc molecule is imparted to PrPC during prion replication to produce nascent PrPSc with the same conformation is not well understood. Additionally, it is unclear what factors determine where in the CNS a particular PrPSc molecule will be created. SPECTRUM OF PrP PRION DISEASES The sporadic form of CJD is the most common PrP prion disorder in humans. sCJD accounts for ~85% of all cases of human PrP prion disease, and genetic prion diseases account for 10–15% of all cases (Table 449-2). Genetic prion diseases were historically divided into three forms: familial CJD (fCJD), Gerstmann-Sträussler-Scheinker (GSS) disease, and fatal familial insomnia (FFI). All dominantly inher ited PrP prion diseases are caused by mutations in the PrP gene. Although infectious PrP prion </w:t>
      </w:r>
      <w:r w:rsidRPr="00A6019F">
        <w:lastRenderedPageBreak/>
        <w:t xml:space="preserve">diseases account for 50 years. Iatrogenic CJD (iCJD) results from the accidental inoculation of patients with prions TABLE 449-2 The PrP Prion Diseases DISEASE Human Kuru iCJD vCJD fCJD GSS FFI sCJD sFI Animal Scrapie BSE TME CWD FSE Exotic ungulate encephalopathy HOST Fore people Humans Humans Humans Humans Humans Humans Humans Sheep, goats Cattle Mink Mule deer, elk, or moose Cats Greater kudu, nyala, or oryx MECHANISM OF PATHOGENESIS Infection through ritualistic cannibalism Infection from prion-contaminated hGH, dura mater grafts, etc. Infection from bovine prions Germline mutations in PRNP Germline mutations in PRNP Germline mutation in PRNP (D178N, M129) Somatic mutation or spontaneous conversion of PrPC into PrPSc? Somatic mutation or spontaneous conversion of PrPC into PrPSc? Infection in genetically susceptible sheep and goats Infection with prion-contaminated MBM Infection with prions from sheep or cattle Unknown Infection with prion-contaminated beef Infection with prion-contaminated MBM Abbreviations: BSE, bovine spongiform encephalopathy; CJD, Creutzfeldt Jakob disease; CWD, chronic wasting disease; fCJD, familial Creutzfeldt-Jakob disease; FFI, fatal familial insomnia; FSE, feline spongiform encephalopathy; GSS, Gerstmann-Sträussler-Scheinker disease; hGH, human growth hormone; iCJD, iatrogenic Creutzfeldt-Jakob disease; MBM, meat and bone meal; sCJD, sporadic Creutzfeldt-Jakob disease; sFI, sporadic fatal insomnia; TME, transmissible mink encephalopathy; vCJD, variant Creutzfeldt-Jakob disease. through medical procedures such as cadaver-derived dura mater grafts and human pituitary hormones. Variant CJD (vCJD) that mostly occurs in teenagers and young adults in Europe, predominantly the United Kingdom and France, is the result of exposure to tainted beef from cattle with bovine spongiform encephalopathy (BSE). Although occasional cases of iCJD still occur, this form of CJD is currently on the decline due to public health measures aimed at preventing the spread of PrP prions. More than seven diseases of animals are caused by prions (Table 449-2). Scrapie of sheep and goats is the prototypic PrP prion disease. Mink encephalopathy, BSE, feline spongiform encephalopathy, exotic ungulate encephalopathy, and nonhuman primate prion dis ease are all thought to occur after the consumption of prion-infected foodstuffs. The BSE epidemic emerged in Britain in the late 1980s and was shown to be due to industrial cannibalism. Whether BSE began as a sporadic case of BSE in a cow or started with scrapie in sheep is unknown. The origin of chronic wasting disease (CWD), a prion dis ease endemic in deer and elk in regions of North America, and more recently identified in isolated populations in Scandinavia and Korea, is uncertain. In contrast to other prion diseases, CWD is highly transmis sible among cervids. Bodily excretions, such as feces, urine, and saliva, from asymptomatic, infected cervids contain prions that are likely to be responsible for the spread of CWD. Notably, mink are carnivores and mink encephalopathy is spread from one animal to another. </w:t>
      </w:r>
      <w:r w:rsidRPr="00A6019F">
        <w:rPr>
          <w:rFonts w:ascii="Arial" w:hAnsi="Arial" w:cs="Arial"/>
        </w:rPr>
        <w:t>■</w:t>
      </w:r>
      <w:r w:rsidRPr="00A6019F">
        <w:t>EPIDEMIOLOGY CJD is found throughout the world. The incidence of sCJD is ~1</w:t>
      </w:r>
      <w:r w:rsidRPr="00A6019F">
        <w:rPr>
          <w:rFonts w:ascii="Aptos" w:hAnsi="Aptos" w:cs="Aptos"/>
        </w:rPr>
        <w:t>–</w:t>
      </w:r>
      <w:r w:rsidRPr="00A6019F">
        <w:t>2</w:t>
      </w:r>
      <w:r w:rsidRPr="00A6019F">
        <w:rPr>
          <w:rFonts w:ascii="Aptos" w:hAnsi="Aptos" w:cs="Aptos"/>
        </w:rPr>
        <w:t> </w:t>
      </w:r>
      <w:r w:rsidRPr="00A6019F">
        <w:t>cases per million population, although a person</w:t>
      </w:r>
      <w:r w:rsidRPr="00A6019F">
        <w:rPr>
          <w:rFonts w:ascii="Aptos" w:hAnsi="Aptos" w:cs="Aptos"/>
        </w:rPr>
        <w:t>’</w:t>
      </w:r>
      <w:r w:rsidRPr="00A6019F">
        <w:t xml:space="preserve">s lifetime risk of dying from CJD is ~1 in 5000 to 6000 deaths. Because sCJD is an age dependent ND, its incidence is expected to increase steadily as </w:t>
      </w:r>
      <w:r w:rsidRPr="00A6019F">
        <w:lastRenderedPageBreak/>
        <w:t xml:space="preserve">older segments of populations in developed and developing countries con tinue to expand. Although many geographic clusters of CJD have been reported, each has been shown to segregate with a PrP gene mutation and/or included misdiagnoses. Attempts to identify common exposure to some etiologic agent have been unsuccessful for both the sporadic 3527 and familial cases. Ingestion of scrapie-infected sheep or goats as a cause of CJD in humans has not been demonstrated, and epidemiologic studies do not support this, although speculation about this potential route of infection continues. Whether PrP prion disease in deer, elk, or moose has passed to cows, sheep, or directly to humans remains unknown. Studies with mice modified to carry the human PRNP gene demonstrate that oral infection with CWD prions can occur, but the process is inefficient compared to intracerebral inoculation. The U.S. Centers for Disease Control and Prevention (CDC) conducts surveil lance of CJD in the United States to ascertain the number and type of cases annually. Because up to 90% of culled deer in some game herds have been shown to harbor CWD prions, the CDC also has a study fol lowing deer hunters to determine if they have an increased rate of prion disease and whether it is a novel prion disorder. </w:t>
      </w:r>
      <w:r w:rsidRPr="00A6019F">
        <w:rPr>
          <w:rFonts w:ascii="Arial" w:hAnsi="Arial" w:cs="Arial"/>
        </w:rPr>
        <w:t>■</w:t>
      </w:r>
      <w:r w:rsidRPr="00A6019F">
        <w:t xml:space="preserve">PATHOGENESIS The human PrP prion diseases were initially classified as NDs of unknown etiology. Even though the familial nature of GSS and a subset of CJD cases was well described, the significance of this observation became more obscure with the transmission of GSS and CJD to ani mals since genetic NDs were not considered transmissible. With the transmission of kuru and CJD to nonhuman primates, investigators began to view these diseases as infectious CNS illnesses caused by slow viruses. Eventually, the true cause of GSS and a minority of CJD cases became clear with the discovery in 1989 of mutations in the PRNP gene of these familial patients. The prion concept explains how a single dis ease can manifest as sporadic, heritable (i.e., genetic), and infectious. Moreover, the hallmark of all PrP prion diseases, whether sporadic, dominantly inherited, or acquired by infection, is that they involve the aberrant folding of the PrP protein. A major feature that distinguishes PrP prions from viruses is the finding that both the normal and disease-causing PrP isoforms are encoded by a chromosomal gene. In humans, the PrP gene is desig nated PRNP and is located on the short arm of chromosome 20. Lim ited proteolysis of PrPSc produces a smaller, protease-resistant molecule of ~142 amino acids designated PrP 27-30, whereas PrPC is completely hydrolyzed under the same conditions (Fig. 449-1). PrP 27-30 polymer izes into prion rods that are morphologically indistinguishable from the filaments that aggregate to form PrP amyloid plaques in the CNS. This discovery raised the possibility that many other NDs might be caused by different proteins, all of which can fold into prions. Prion Strains Distinct strains of PrP prions exhibit different bio logic properties, which are epigenetically heritable. The existence of prion strains raised the question of how heritable biologic informa tion can be enciphered in a molecule other than nucleic acid. Various strains of PrP prions have been defined by incubation times, distribu tion of neuronal vacuolation (i.e., spongiform change) on neuropathol ogy, and stabilities of PrPSc to denaturation. Subsequently, the patterns of PrPSc deposition </w:t>
      </w:r>
      <w:r w:rsidRPr="00A6019F">
        <w:lastRenderedPageBreak/>
        <w:t xml:space="preserve">were found to correlate with the neuroanatomic PrP Polypeptide CHOCHO GPI S S PrPC PrPSc 209 amino acids 209 amino acids PrP 27-30 Codon ~142 amino acids 1 23 50 9 4 131 188 231 254 FIGURE 449-1 PrP prion protein isoforms. Bar diagram of Syrian hamster PrP, which consists of 254 amino acids. After processing of the NH2 and COOH termini, both PrPC and PrPSc consist of 209 residues. After limited proteolysis, the NH2 terminus of PrPSc is truncated to form PrP 27-30 composed of ~142 amino acids. CHO, N-linked sugars; GPI, glycosylphosphatidylinositol anchor attachment site; S–S, disulfide bond. location and pattern of vacuolation, and these patterns were also used to characterize prion strains. Persuasive evidence that strain-specific information is enciphered in the tertiary structure of PrPSc comes from transmission of two different inherited human prion diseases to mice expressing a chimeric human mouse PrP transgene. In most forms of fCJD and the majority of sCJD cases, the protease-resistant fragment of PrPSc after deglycosylation has a molecular mass of 21 kDa (i.e., type 1 prions), whereas in FFI, and a minority of sCJD cases, it is 19 kDa (type 2 prions) (Table 449-3). This difference in molecular mass was shown to be due to different sites of proteolytic cleavage at the NH2 termini of the two human PrPSc molecules, reflecting different tertiary structures. These distinct con formations were not unexpected because the amino acid sequences of the PrP fragments differ. Extracts from the brains of patients with FFI transmitted disease to the mice expressing the chimeric human–mouse PrP transgene and resulted in the formation of 19-kDa PrPSc, whereas brain extracts from patients with fCJD and sCJD harboring 21-kDa PrPSc resulted in 21-kDa PrPSc in mice expressing the same transgene. On second passage, these differences were maintained, demonstrating that chimeric PrPSc can exist in two different conformations as demon strated by the sizes of the protease-resistant fragments, even though the amino acid sequence of PrPSc is invariant. This analysis was extended when patients with sporadic fatal insom nia (sFI) were identified. Although they did not carry a PRNP muta tion, the patients demonstrated a clinical and pathologic phenotype that was indistinguishable from that of patients with FFI. Furthermore, 19-kDa PrPSc was found in their brains, and on passage of sFI prion disease to mice expressing the chimeric human–mouse PrP transgene, 19-kDa PrPSc was also found. These findings indicate that the disease phenotype is dictated by the conformation of PrPSc and not the amino acid sequence. PrPSc acts as a template for the conversion of PrPC into nascent PrPSc. On the passage of prions into mice expressing a chimeric hamster–mouse PrP transgene, a change in the conformation of PrPSc was accompanied by the emergence of a new strain of prions. CHAPTER 449 Prion Diseases Many new strains of prions were generated using recombinant PrP (recPrP) produced in bacteria; recPrP was polymerized into amy loid fibrils to make “synthetic prions,” which were inoculated into transgenic mice overexpressing high levels of wild-type mouse PrPC. Approximately 500 days later, the mice died of prion disease. The incu bation times (i.e., time to clinical disease onset) of the “synthetic prions” in mice were dependent on the conditions used for polymerization of the amyloid fibrils, which affected the stability of those amyloid </w:t>
      </w:r>
      <w:r w:rsidRPr="00A6019F">
        <w:lastRenderedPageBreak/>
        <w:t xml:space="preserve">fibrils. Highly stable amyloids gave rise to stable prions with long incubation times; low-stability amyloids led to prions with short incubation times. Amyloids of intermediate stability gave rise to prions with intermediate stabilities and intermediate incubation times. Such findings are consis tent with earlier studies showing that the incubation times of synthetic and naturally occurring prions are directly proportional to the stability of the prion. Species Barrier Studies on the role of the primary and tertiary structures of PrP in the transmission of prion disease have provided new insights into the pathogenesis of these maladies. The amino acid sequence of PrP encodes the species of the prion, and the prion derives its PrPSc sequence from the last mammal in which it was passaged. While the primary structure (i.e., amino acid sequence) of PrP is likely to be the most important or even the sole determinant of the tertiary structure of PrPC, PrPSc seems to function as a template in determining the tertiary structure of nascent PrPSc molecules as they are formed from PrPC. In turn, prion diversity appears to be enciphered in the conformation of PrPSc, and thus prion strains seem to represent differ ent conformers of PrPSc. In general, transmission of PrP prion disease from one species to another is inefficient, in that not all intracerebrally inoculated animals develop disease, and those that fall ill do so only after long incubation times that can approach the natural life span of the animal. This “spe cies barrier” to transmission is correlated with the degree of similarity between the amino acid sequences of PrPC in the inoculated host and of PrPSc in the inoculum. The importance of sequence similarity between 3528 TABLE 449-3 Distinct Prion Strains Generated in Humans with Inherited Prion Diseases and Transmitted to Transgenic Micea INOCULUM None FFI FFI → Tg(MHu2M) None fCJD fCJD → Tg(MHu2M) HOST SPECIES Human Mouse Mouse Human Mouse Mouse aTg(MHu2M) mice express a chimeric mouse–human PrP gene. HOST PrP GENOTYPE FFI(D178N, M129)  Tg(MHu2M) Tg(MHu2M) fCJD(E200K)  Tg(MHu2M) Tg(MHu2M) INCUBATION TIME [DAYS ± SEM] (n/n0 ) 206 ± 7 (7/7) 136 ± 1 (6/6) 170 ± 2 (10/10) 167 ± 3 (15/15) PrPSc (kDa) 19 19 19 21 21 21 Notes: Clinicopathologic phenotype is determined by the conformation of PrPSc in accord with the results of the transmission of human prions from patients with FFI to transgenic mice. Abbreviations: fCJD, familial Creutzfeldt-Jakob disease; FFI, fatal familial insomnia; SEM, standard error of the mean. PART 13 Neurologic Disorders the host and donor PrP argues that PrPC directly interacts with PrPSc in the prion conversion process. SPORADIC AND INHERITED PrP PRION DISEASES Several different scenarios might explain the initiation of sporadic prion disease: (1) A somatic mutation in a single cell may be the cause and thus follow a path similar to that for germline mutations in inherited disease. In this situation, the primary structure of PrPC made from the mutated gene would be more susceptible to misfolding into PrPSc. This mutant PrPSc then must be capable of targeting wild-type PrPC, a process known to be possible for some mutations (i.e., high penetrance) but less likely for others (low penetrance). (2) The activa tion energy barrier separating wild-type PrPC from PrPSc, preventing conversion to PrPSc, could be crossed on rare occasions in the context of a population. </w:t>
      </w:r>
      <w:r w:rsidRPr="00A6019F">
        <w:lastRenderedPageBreak/>
        <w:t xml:space="preserve">Most individuals would be spared, but presentations in older persons who have had more time for this conversion to occur would be seen. (3) PrPSc may be present at low levels in some normal cells, where it performs an important, but yet unknown, function. The level of PrPSc in such cells is hypothesized to be sufficiently low as not to be detected by routine bioassay. In some altered metabolic states, the cellular mechanisms for clearing PrPSc might become compromised, and the rate of PrPSc formation would then begin to exceed the capacity of the cell to clear it. The third possible mechanism is attractive because it suggests that PrPSc is not simply a misfolded protein, as proposed for the first and second mechanisms, but that it is an alternatively folded molecule with a function. Moreover, the multitude of conformational states that PrPSc can adopt, as described above, raises the possibility that PrPSc or another protein might function in a process such as short term memory where information storage is thought to occur in the absence of new protein synthesis. More than 40 different mutations resulting in nonconservative substitutions in the human PRNP gene have been found to segregate with inherited human prion diseases. Missense mutations, a dele tion, expansions in the octapeptide repeat region of the gene, called octapeptide repeat insertions (OPRIs), and stop codon mutations are responsible for genetic forms of prion disease. Although phenotypes may vary dramatically, even within families, specific phenotypes observed with certain mutations appear to cause fCJD. More than 20 missense variants—including substitutions at codons 102, 105, 117, 198, and 217, and mid to longer OPRIs—cause the GSS form of PrP prion disease, with prominent parkinsonism and/or cerebellar features and typically onset of dementia later in the course. Regarding OPRI mutations, the normal human PrP sequence contains an unstable section in the N-terminal region comprised of five repeats—a nine-amino-acid sequence or nonapeptide (R1) fol lowed by four octapeptide repeats (R2, R2, R3, R4), which includes two tandem R2 domains. Insertions from 2 to 12 extra octapeptide repeats cause variable phenotypes including conditions indistinguishable from sCJD, GSS-like presentations, and even a slowly progressive dementing illness of many years’ duration to an early-age-of-onset disorder that is similar to AD. A mutation at codon 178 that results in substitution of asparagine for aspartic acid generally causes FFI if methionine is encoded at codon 129 on the same allele. In contrast, a typical CJD phenotype generally occurs when there is a valine at codon 129 of the same allele. Stop codon (nonsense) mutations are rare and cause a range of phenotypes, including some with a prolonged course of years to decades, GSS- or AD-like presentations, autonomic and sensory peripheral nervous system involvement, chronic gastrointestinal upset, and extensive PrPSc amyloid deposits. </w:t>
      </w:r>
      <w:r w:rsidRPr="00A6019F">
        <w:rPr>
          <w:rFonts w:ascii="Arial" w:hAnsi="Arial" w:cs="Arial"/>
        </w:rPr>
        <w:t>■</w:t>
      </w:r>
      <w:r w:rsidRPr="00A6019F">
        <w:t xml:space="preserve">HUMAN PRNP GENE POLYMORPHISMS Polymorphisms influence the susceptibility to sporadic, genetic, and acquired forms of PrP prion disease. The methionine [M] or valine [V] polymorphism at codon 129 of human PRNP not only modulates the age of onset of some genetic prion diseases but also can affect the clinical phenotype. Sporadic CJD can be divided into six different molecular subtypes, based on the combination of </w:t>
      </w:r>
      <w:r w:rsidRPr="00A6019F">
        <w:lastRenderedPageBreak/>
        <w:t xml:space="preserve">codon 129 poly morphism (MM, MV, or VV) and the prion type (1 or 2), with each subtype having a particular clinical and pathological presentation. MM1/MV1 subtypes are the most common (~40–70% of cases) and usually have the most prototypic form of sCJD with rapidly progres sive dementia, ataxia, and myoclonus and a mean survival of ~4–7 months. The VV2 subtype represents ~15% of sCJD cases, usually starts with ataxia, and has a similar survival as MM1/MV1. The MV2 subtype represents ~10% of cases and has a longer mean survival of ~17 months. The vast majority of MV2 cases are a form with kuru plaques in the cerebellum, called MV2K, which are clinically similar to VV2 (i.e., early ataxia) but have a slower progression and longer survival. A minority of MV2 cases are of a cortical subtype called MV2-cortical (MV2C) with significant vacuolation (spongiform change) surrounded by perivacuolar PrPSc staining in all cortical lay ers and are usually without kuru plaques or cerebellar involvement. The MV2C cases present as a slowly progressive cognitive/dementia syndrome with motor symptoms occurring late in the disease course. The MM2 subtype represents ~4% of sCJD cases, has a mean survival of ~15.5 months, and is divided about equally into two subtypes: MM2-thalamic (MM2T, also called sFI) and MM2-cortical (MM2C). MM2T is clinicopathologically nearly identical to FFI (see below), whereas MM2C presents similarly to MV2C with a relatively slow progressive dementia and has a mean age of onset in the 50s, about a decade younger than most sCJD. VV1 is the least common subtype, representing ~1% of cases, presenting as a progressive dementia with a mean age of onset in the mid to late 40s, about two decades earlier than most other sCJD subtypes. Substitution of the basic residue lysine for glutamine at position 218 in mouse PrP produced dominant-negative inhibition of prion replica tion in transgenic mice. This same lysine substituted for glutamine at position 219 in human PrP has been found in 12% of the Japanese population, a group that appears to be resistant to prion disease. Dominant-negative inhibition of prion replication was also found with substitution of the basic residue arginine at position 171; sheep with arginine were resistant to scrapie prions but were susceptible to BSE prions that were inoculated intracerebrally. A very interesting poly morphism at codon 127 in PRNP was identified among longtime sur vivors of the kuru epidemic in the Fore people of Papua New Guinea, which when expressed in transgenic mice with humanized PRNP prevented the animals from acquiring prion disease. ACQUIRED (TRANSMITTED) 3529 PrP PRION DISEASES </w:t>
      </w:r>
      <w:r w:rsidRPr="00A6019F">
        <w:rPr>
          <w:rFonts w:ascii="Arial" w:hAnsi="Arial" w:cs="Arial"/>
        </w:rPr>
        <w:t>■</w:t>
      </w:r>
      <w:r w:rsidRPr="00A6019F">
        <w:t xml:space="preserve">IATROGENIC CJD Accidental transmission of CJD to humans through medical proce dures (i.e., iatrogenic) appears to have occurred with cadaver-derived human pituitary hormones, dura mater grafts, and corneal trans plants, as well as through contaminated electroencephalogram (EEG) electrode implantation and possibly through other neurosurgical procedures. Corneas from donors with unsuspected CJD have been transplanted to apparently healthy recipients who developed CJD after variable incubation periods. Two other cases arose due to contamina tion during epilepsy surgery from depth EEG electrodes previously used in a patient who unknowingly had CJD; these electrodes were subsequently implanted in a </w:t>
      </w:r>
      <w:r w:rsidRPr="00A6019F">
        <w:lastRenderedPageBreak/>
        <w:t xml:space="preserve">chimpanzee, causing CJD 18 months later. Surgical procedures may have resulted in other accidental inocula tions of patients with prions, presumably because some instrument or apparatus in the operating theater became contaminated when a CJD patient underwent surgery. Although the epidemiology of these studies is highly suggestive, no proof for such episodes exists. Dura Mater Grafts More than 200 cases of CJD after implanta tion of dura mater grafts (dCJD) have been recorded. Dura mater is normally collected from cadavers, mass sterilized in a heated vat, freeze-dried, and prepared for use in a variety of surgical procedures. Unfortunately, some of the donor cadavers unknowingly had prion disease. All but possibly two of the grafts appear to have been acquired from a single manufacturer. More than two-thirds of the cases occurred in Japan. Patients with dCJD usually present with cerebellar ataxia, visual symptoms, and dementia and have a mean incubation period of 12 years (range 1.3–30 years). Two subtypes of dCJD have been identi fied in Japan, a type with PrPSc plaques and a type without plaques (synaptic PrPSc). Human Growth Hormone and Pituitary Gonadotropin Therapy The transmission of CJD prions from contaminated human growth hormone (hGH) preparations derived from human pituitaries has been responsible for fatal cerebellar disorders with dementia in &gt;200 patients ranging in age from 5 to 42 years, most occurring in France, the United Kingdom, and the United States. These patients received injections of hGH every 2–4 days for ~2–12 years. If it is thought that these patients developed CJD from injections of prion-contaminated hGH preparations, the possible incubation periods range from 4 to 30 years. Recombinant hGH is now exclusively used therapeutically so that possible contamination with prions is no longer an issue. Four cases of CJD also occurred in women in Australia receiving human pituitary gonadotropin, with incubation periods of 12–16 years. Notably, there is some evidence that deceased patients who received hGH early in life may have inadvertently received Aβ prions also, which can lead to amyloid and even tau pathology. Whether iatrogenic propagation of Aβ or tau prions in the human CNS led to an ND, such as AD or cerebral amyloid angiopathy (CAA), in these patients is still controversial. </w:t>
      </w:r>
      <w:r w:rsidRPr="00A6019F">
        <w:rPr>
          <w:rFonts w:ascii="Arial" w:hAnsi="Arial" w:cs="Arial"/>
        </w:rPr>
        <w:t>■</w:t>
      </w:r>
      <w:r w:rsidRPr="00A6019F">
        <w:t xml:space="preserve">VARIANT CJD The restricted geographic occurrence and chronology of vCJD raised the possibility that BSE prions had been transmitted to humans through the consumption of tainted beef. More than 200 cases of vCJD have occurred, with &gt;90% of these in Britain. Variant CJD has also been reported in people either living in or originating from France, Ireland, Italy, the Netherlands, Portugal, Spain, Saudi Arabia, the United States, Canada, and Japan. For some of these patients, such as those from North America, evidence suggests they acquired the disease while living or traveling outside their home country. The steady decline in the number of vCJD cases over the past decade argues that there will not be a prion disease epidemic in Europe, similar to those seen for BSE and kuru. What is certain is that PrP-prion-tainted meat should be prevented from entering the human food supply. The most compelling evidence that vCJD is caused by BSE prions was obtained from experiments in mice expressing the bovine PrP transgene. Both BSE and vCJD prions were efficiently transmitted to these </w:t>
      </w:r>
      <w:r w:rsidRPr="00A6019F">
        <w:lastRenderedPageBreak/>
        <w:t xml:space="preserve">transgenic mice and with similar incubation periods. In contrast to sCJD prions, vCJD prions did not transmit disease efficiently to mice expressing a chimeric human–mouse PrP transgene. Earlier stud ies with nontransgenic mice suggested that vCJD and BSE might be derived from the same source because both inocula transmitted disease with similar but very long incubation periods. Attempts to determine the origin of BSE and vCJD prions have relied on passaging studies in mice, some of which are described above, as well as studies of the conformation and glycosylation of PrPSc. One scenario suggests that a particular conformation of bovine PrPSc was selected for heat resistance during the rendering process and was then reselected multiple times as cattle infected by ingesting prion-contaminated meat and bone meal (MBM) were slaughtered and their offal rendered into more MBM. Variant CJD cases have virtually disappeared with protec tion of the beef supply in Europe. Interestingly, almost all of the ~238 cases of vCJD reported as of 2024 have been homozygous for methionine (MM) at codon 129 in PRNP. However, two cases (one probable and one definite) were codon 129 MV, which is the most common codon 129 polymorphism in most of the world. This finding raises the concern that persons with this polymorphism might have a longer incubation period and that another rise in cases might still occur. Of particular concern is that four known (and a fifth possible) secondary cases of vCJD infec tion occurred from blood product transfusions. These persons received blood components (non-leukodepleted red blood cells [RBCs] in the four known cases and factor X in the fifth case) from asymptomatic donors who later developed vCJD infection. The second of four RBC recipients did not die from vCJD but was found to have vCJD prions in the lymphoreticular system. The RBC donors did not develop vCJD infection until ~1.5–3.3 years after donation, and the incubation period for recipients of RBCs ranged from 5 to 8.5 years. Thus, vCJD is the only form of human prion disease proven to be transmissible by blood. Further evidence of the transmissibility of vCJD is that among the two most recent cases of vCJD identified, one in France and one in Italy, both had laboratory exposure to BSE-infected brain tissue. The French patient accidentally stabbed herself with forceps being used on frozen brain sections from a transgenic mouse overexpressing human PrP and inoculated with BSE. She developed symptoms 7.5 years later at age 31 and died from definite vCJD after 19 months in 2019. The last reported case of vCJD worldwide was in France in 2021, and the prior two cases occurred in the United Kingdom in 2013 and 2016. CHAPTER 449 Prion Diseases </w:t>
      </w:r>
      <w:r w:rsidRPr="00A6019F">
        <w:rPr>
          <w:rFonts w:ascii="Arial" w:hAnsi="Arial" w:cs="Arial"/>
        </w:rPr>
        <w:t>■</w:t>
      </w:r>
      <w:r w:rsidRPr="00A6019F">
        <w:t xml:space="preserve">NEUROPATHOLOGY Frequently, the brains of patients with CJD have no recognizable abnormalities on gross examination. Patients who survive for several years have variable degrees of cerebral atrophy. On light microscopy, the pathologic hallmarks of CJD are spon giform degeneration (vacuolation), neuronal loss, and astrocytic gliosis. The lack of an inflammatory response in CJD and other prion diseases is an important pathologic feature of these degenerative dis orders. Spongiform degeneration is characterized by many 1- to 5-μm vacuoles in the neuropil between nerve cell bodies. Generally, the vacuolation occurs in the cerebral cortex, putamen, caudate nucleus, </w:t>
      </w:r>
      <w:r w:rsidRPr="00A6019F">
        <w:lastRenderedPageBreak/>
        <w:t xml:space="preserve">thalamus, and molecular layer of the cerebellum. Astrocytic gliosis is a constant but nonspecific feature of PrP prion diseases. Widespread proliferation of fibrous astrocytes is found throughout the gray matter of brains infected with CJD prions. Astrocytic processes filled with glial filaments form extensive networks. The degree and location of these pathologic hallmarks vary depending on the type of human prion disease, including between sCJD subtypes described above. Amyloid plaques have been found in ~10% of CJD cases. Purified CJD prions from humans and animals exhibit the ultrastructural and histochemical characteristics of amyloid when treated with detergents during limited proteolysis. On first passage of samples from some human Japanese CJD cases into mice, amyloid plaques were found. These plaques stain with antibodies raised against PrP, demonstrating that the amyloid is composed of PrP. 3530 The amyloid plaques of GSS disease are morphologically distinct from those seen in kuru or scrapie. GSS plaques consist of a central dense core of amyloid surrounded by smaller globules of amyloid. Ultrastructurally, they consist of a radiating fibrillar network of amy loid fibrils, with scant or no neuritic degeneration. The plaques can be distributed throughout the brain but are most frequently found in the cerebellum. They are often located adjacent to blood vessels. Congo philic angiopathy has been noted in some cases of GSS disease. In vCJD, a characteristic feature is the presence of “florid plaques.” These are composed of a central core of PrP amyloid, surrounded by vacuoles in a pattern suggesting petals on a flower. </w:t>
      </w:r>
      <w:r w:rsidRPr="00A6019F">
        <w:rPr>
          <w:rFonts w:ascii="Arial" w:hAnsi="Arial" w:cs="Arial"/>
        </w:rPr>
        <w:t>■</w:t>
      </w:r>
      <w:r w:rsidRPr="00A6019F">
        <w:t xml:space="preserve">CLINICAL FEATURES PART 13 Neurologic Disorders Nonspecific prodromal symptoms occur in approximately a third of patients with CJD and may include fatigue, sleep disturbance, weight loss, headache, anxiety, vertigo, malaise, and ill-defined pain. Most patients with CJD present with cognitive and/or motor deficits. Behavioral and psychiatric symptoms, such as depression, anxiety, irritability, apathy, insomnia, appetite changes, psychosis, and visual hallucinations, are very common and often early features. These deficits usually progress over weeks or months to a state of profound dementia characterized by memory loss, impaired judgment, and a decline in virtually all aspects of intellectual function. A minority of patients present early with either isolated visual impairment or cere bellar gait and coordination deficits, referred to as the Heidenhain and Brownell-Oppenheim variants, respectively. Frequently, the cerebellar deficits are rapidly followed by progressive dementia. Visual problems often begin with blurred vision and diminished acuity, rapidly fol lowed by dementia. Patients with early visual deficits often have a faster decline overall. Motor symptoms and signs other than cerebellar ataxia include extrapyramidal dysfunction manifested as rigidity, masklike facies, dystonia, myoclonus, or less commonly choreoathetoid movements and pyramidal signs (usually mild and not actual weakness). Some uncommon features include seizures (usually major motor), hypo esthesia, supranuclear gaze palsy, motor neuron disease, or dysauto nomic signs such as changes in body temperature and sweating. Most patients with the most common subtype of CJD will eventually develop myoclonus. Unlike other involuntary movements, myoclonus usually persists during sleep. Startle myoclonus </w:t>
      </w:r>
      <w:r w:rsidRPr="00A6019F">
        <w:lastRenderedPageBreak/>
        <w:t xml:space="preserve">elicited by loud sounds, bright lights, or a person or object suddenly appearing in a patient’s visual field is frequent. It is important to stress that myoclonus is nei ther specific nor confined to CJD and tends to occur later in the course of CJD. Dementia with myoclonus can also be due to AD (Chap. 442), dementia with Lewy bodies (Chap. 445), corticobasal degeneration (Chap. 443), cryptococcal encephalitis (Chap. 221), or the myoclonic epilepsy disorder Unverricht-Lundborg disease (Chap. 436). Clinical Course Most patients with sCJD and most types of fCJD live ~6–12 months after the onset of clinical signs and symptoms. Life expectancies can be longer, up to a few years, for less common sCJD subtypes, and some mutations causing genetic prion disease can have durations of a decade or longer. </w:t>
      </w:r>
      <w:r w:rsidRPr="00A6019F">
        <w:rPr>
          <w:rFonts w:ascii="Arial" w:hAnsi="Arial" w:cs="Arial"/>
        </w:rPr>
        <w:t>■</w:t>
      </w:r>
      <w:r w:rsidRPr="00A6019F">
        <w:t xml:space="preserve">DIAGNOSIS The constellation of a rapid onset of cognitive impairment over weeks to months, with myoclonus and other motor symptoms, and typical mag netic resonance imaging (MRI) findings (see below) in an afebrile 60- to 70-year-old patient generally indicates CJD—most commonly sCJD. Variations in the typical course appear in genetic and transmitted (i.e., acquired) forms of the disease. As noted above, most mutations causing fCJD have a slightly earlier mean age of onset, although usu ally an otherwise similar clinical and radiologic presentation as sCJD. In GSS, cerebellar ataxia is usually a prominent and presenting feature, with dementia occurring late in the disease course. GSS also presents earlier than sCJD (mean age ~43 years) and usually progresses more slowly, leading to death ~5 years after symptom onset. FFI is typically characterized by insomnia and dysautonomia; dementia occurs only in the terminal phase of the illness; survival is typically 1–2 years) often will show nonspecific atrophy on brain MRI or head computed tomography (CT). To a limited extent, the pattern of these MRI abnormalities can also help determine the subtype of sCJD present. For example, MRI findings in the MM1/MV1 subtype are typically located in the cortex (i.e., cortical ribboning) and deep nuclei (striatum +/– thalamus), MV2K and VV2 involve deep nuclei, and MM2/MV2C are predominantly cortical. These abnor malities may be unilateral or bilateral; when they are bilateral, they may be symmetric or asymmetric. The pattern and type of MRI abnor malities in CJD are not seen with other NDs but can overlap with viral encephalitis, paraneoplastic/autoimmune encephalopathy syndromes, metabolic disorders, or seizures. To establish the diagnosis of either sCJD or familial prion disease, sequencing the PRNP gene must be performed. Finding the wild-type PRNP gene sequence permits the diagnosis of sCJD if there is no history to suggest infection from an exogenous source of prions. The identifi cation of a mutation in the PRNP gene sequence that encodes a non conservative amino acid substitution argues for familial prion disease. 3531 A B C FIGURE 449-2 Brain magnetic resonance imaging (MRI) in a 72-year-old patient with sporadic Creutzfeldt-Jakob disease, MM1 subtype (classic subtype), showing axial (A) fluid-attenuated inversion recovery (FLAIR), (B) diffusion-weighted imaging (DWI), and (C) attenuation deficient coefficient (ADC) sequences at three different levels. There is cortical ribboning indicating restricted diffusion in the left much greater than right temporal (solid white arrow), occipital (solid white arrow), </w:t>
      </w:r>
      <w:r w:rsidRPr="00A6019F">
        <w:lastRenderedPageBreak/>
        <w:t xml:space="preserve">parietal (solid white arrow), insular (no arrow), and posterior cingulate cortices (dashed arrows). There is also restricted diffusion in the left greater than the right caudate head (arrowheads). The corresponding hypointensity (very dark) areas on the ADC sequence confirm that the hyperintensity (bright) areas on DWI and FLAIR are regions of reduced diffusion, not artifacts. Note that the abnormalities are best seen on DWI sequences. Images are radiologic orientation (right side of image is left side of brain). General cerebrospinal fluid (CSF) laboratory testing (i.e., cell count, protein, glucose) is nearly always normal, except that mild and non specific protein elevation and, rarely, mild pleocytosis can be seen in a minority of cases. The first CSF surrogate biomarker used in clinical practice and still incorporated in several diagnostic criteria for sCJD is the 14-3-3 protein, which is elevated in many forms of brain cell injury. Although newer enzyme-linked immunosorbent assays (ELISAs) quantitatively measuring the 14-3-3γ isoform have improved sensitiv ity and specificity, this test is still less accurate diagnostically than some other biomarkers. The sensitivity of 14-3-3 ELISAs in sCJD ranges from ~60% to almost 90% depending on the sCJD subtype (highest in MM1/MV1), whereas the range of specificity has been reported to be as low as 40% to as high as 96% depending on the controls used, making its utility questionable. The level of total tau protein (t-tau), a microtubule-associated protein expressed in neurons and glia, is ele vated in the CSF in many conditions associated with brain cell injury. ELISAs measuring t-tau appear to have a sensitivity and a specificity in the low to mid 90%, which is clinically superior to 14-3-3; however, there is no consensus at this time regarding the best t-tau ELISA or cutoff that should be used to support a diagnosis of sCJD. Assays that amplify PrPSc into amyloid PrPSc fibrils and detect the fibrils by adding thioflavin, which binds amyloid and fluoresces, have greatly enhanced premortem diagnosis of human prion diseases. The first such assay developed was the protein misfolding cyclic ampli fication (PMCA), which was modified into the more user-friendly RT-QuIC assay that is now widely used in clinical practice but still primarily performed at national prion surveillance centers. The sen sitivity and specificity of the current CSF RT-QuIC assay (i.e., second generation) for sCJD are about 90–95% and 98–99%, respectively. The advantage of PMCA and RT-QuIC is that they detect prions; however, false positives for RT-QuIC do occur, and as noted by the sensitivity, upward of 10% of sCJD cases are negative for RT-QuIC. As with other surrogate biomarkers, RT-QuIC is less sensitive for some uncommon sCJD subtypes, for several genetic prion diseases (i.e., GSS and other slower progressing forms), and particularly for vCJD. In contrast, PMCA seems to be more sensitive when applied to CSF and possibly blood and urine from patients with vCJD, but this test is not available for clinical practice in most countries. Improved methods to detect prions in blood, urine, skin, and even tears will be welcomed. EEG can be useful in the diagnosis of CJD, particularly when other ancillary tests are unrevealing, although only ~60% of patients (mostly with the MM1/MV1 subtype of sCJD) show the typical pattern of peri odic sharp wave complexes (PSWCs). PSWCs are usually repetitive, high-voltage, bi- or triphasic sharp discharges </w:t>
      </w:r>
      <w:r w:rsidRPr="00A6019F">
        <w:lastRenderedPageBreak/>
        <w:t xml:space="preserve">that normally appear quite late in the clinical course. Even when PSWCs are seen, they may be transient and might require serial EEGs to detect. During the early phase of CJD, the EEG is usually normal or shows only scattered theta and even delta slow wave activity. The presence of these stereotyped periodic bursts of PSWCs, 95% of patients. Normal persons have 7–22 GAA repeats, and patients have 200–900 GAA repeats. A more varied clinical syndrome has been described in compound heterozy gotes who have one copy of the GAA expansion and the other copy a point mutation in the frataxin gene. When the point mutation is located in the region of the gene that encodes the amino-terminal half of frataxin, the phenotype is milder, often consisting of a spastic gait, retained or exaggerated reflexes, no dysarthria, and mild or absent ataxia. Patients with Friedreich’s ataxia have undetectable or extremely low levels of frataxin mRNA, as compared with carriers and unrelated FIGURE 450-2 Sagittal magnetic resonance imaging (MRI) of the brain and spinal cord of a patient with Friedreich’s ataxia, demonstrating spinal cord atrophy. (Reproduced with permission from RN Rosenberg, P Khemani, in RN Rosenberg, JM Pascual [eds]: Rosenberg’s Molecular and Genetic Basis of Neurological and Psychiatric Disease, 5th ed. London, Elsevier, 2015.) 3537 individuals; thus, disease appears to be caused by a loss of expression of the frataxin protein. Frataxin is a mitochondrial protein involved in iron homeostasis. Mitochondrial iron accumulation due to loss of the iron transporter coded by the mutant frataxin gene results in a deficiency in iron/sulfur clusters containing mitochondrial enzymes, decreased ATP production, and accumulation of iron in the heart. Excess oxidized iron results in turn in the oxidation of cellular compo nents and irreversible cell injury. Two forms of hereditary ataxia associated with abnormalities in the interactions of vitamin E (α-tocopherol) with very-low-density lipo protein (VLDL) have been delineated. These are abetalipoproteinemia (Bassen-Kornzweig syndrome) and ataxia with vitamin E deficiency (AVED). Abetalipoproteinemia is caused by mutations in the gene coding for the larger subunit of the microsomal triglyceride transfer protein (MTP). Defects in MTP result in impairment of formation and secretion of VLDL in liver. This defect results in a deficiency of delivery of vitamin E to tissues, including the central and peripheral nervous system, as VLDL is the transport molecule for vitamin E and other fat-soluble substitutes. AVED is due to mutations in the gene for α-tocopherol transfer protein (α-TTP). These patients have an impaired ability to bind vitamin E into the VLDL produced and secreted by the liver, resulting in a deficiency of vitamin E in periph eral tissues. Hence, either absence of VLDL (abetalipoproteinemia) or impaired binding of vitamin E to VLDL (AVED) causes an ataxic syn drome. Once again, a genotype classification has proved to be essential in sorting out the various forms of the Friedreich’s disease syndrome, which may be clinically indistinguishable. RFC1-Related CANVAS Syndrome Biallelic intronic AAGGG repeat expansions in the replication factor C subunit 1 (RFC1) gene are the cause of late-onset ataxia, particularly if associated with sensory neuronopathy and bilateral vestibular areflexia (CANVAS syndrome). A chronic unexplained cough is often associated with and may precede the onset of neurologic </w:t>
      </w:r>
      <w:r w:rsidRPr="00A6019F">
        <w:lastRenderedPageBreak/>
        <w:t xml:space="preserve">symptoms. Ataxia Telangiectasia • SYMPTOMS AND SIGNS Patients with ataxia telangiectasia (AT) present in the first decade of life with pro gressive telangiectatic lesions associated with deficits in cerebellar function and nystagmus. The neurologic manifestations correspond to those in Friedreich’s disease, which should be included in the differ ential diagnosis. Truncal and limb ataxia, dysarthria, extensor plantar responses, myoclonic jerks, areflexia, and distal sensory deficits may develop. There is a high incidence of recurrent pulmonary infections and neoplasms of the lymphatic and reticuloendothelial system in patients with AT. Thymic hypoplasia with cellular and humoral (IgA and IgG2) immunodeficiencies, premature aging, and endocrine disorders such as type 1 diabetes mellitus are described. There is an increased incidence of lymphomas, Hodgkin’s disease, acute T-cell leukemias, and breast cancer. The most striking neuropathologic changes include loss of Purkinje, granule, and basket cells in the cerebellar cortex as well as of neurons in the deep cerebellar nuclei. The inferior olives of the medulla may also have neuronal loss. There is a loss of anterior horn neurons in the spinal cord and of dorsal root ganglion cells associated with posterior column spinal cord demyelination. A poorly developed or absent thy mus gland is the most consistent defect of the lymphoid system. </w:t>
      </w:r>
      <w:r w:rsidRPr="00A6019F">
        <w:rPr>
          <w:rFonts w:ascii="Arial" w:hAnsi="Arial" w:cs="Arial"/>
        </w:rPr>
        <w:t>■</w:t>
      </w:r>
      <w:r w:rsidRPr="00A6019F">
        <w:t>GENETIC CONSIDERATIONS The gene for AT (the ATM gene) at 11q22-23 encodes a protein that is similar to several yeast and mammalian phosphatidylinositol-3</w:t>
      </w:r>
      <w:r w:rsidRPr="00A6019F">
        <w:rPr>
          <w:rFonts w:ascii="Aptos" w:hAnsi="Aptos" w:cs="Aptos"/>
        </w:rPr>
        <w:t>′</w:t>
      </w:r>
      <w:r w:rsidRPr="00A6019F">
        <w:t xml:space="preserve"> kinases involved in mitogenic signal transduction, meiotic recombina tion, and cell cycle control. Defective DNA repair in AT fibroblasts exposed to ultraviolet light has been demonstrated. The discovery of ATM permits early diagnosis and identification of heterozygotes who are at risk for cancer (e.g., breast cancer). Elevated serum alpha fetoprotein and immunoglobulin deficiency are noted. </w:t>
      </w:r>
      <w:r w:rsidRPr="00A6019F">
        <w:rPr>
          <w:rFonts w:ascii="Arial" w:hAnsi="Arial" w:cs="Arial"/>
        </w:rPr>
        <w:t>■</w:t>
      </w:r>
      <w:r w:rsidRPr="00A6019F">
        <w:t xml:space="preserve">MITOCHONDRIAL ATAXIAS Spinocerebellar syndromes have been identified with mutations in mitochondrial DNA (mtDNA). Thirty pathogenic mtDNA point mutations and 60 different types of mtDNA deletions are known, sev eral of which cause or are associated with ataxia (Chap. 460). TREATMENT Ataxic Disorders The most important goal in management of patients with ataxia is to identify treatable disease entities. Mass lesions must be recog nized promptly and treated appropriately. Autoimmune paraneo plastic disorders can often be identified by the clinical patterns of disease that they produce, measurement of specific autoanti bodies, and uncovering the primary cancer; these disorders are often refractory to therapy, but some patients improve following removal of the tumor or immunotherapy (Chap. 99). Ataxia with antigliadin antibodies and gluten-sensitive enteropathy may improve with a gluten-free diet. Malabsorption syndromes lead ing to vitamin E deficiency may lead to ataxia. The vitamin E deficiency form of Friedreich’s ataxia must be considered, and serum vitamin E levels measured. Vitamin E therapy is indi cated for these rare patients. Vitamin B1 and B12 levels in serum should be measured, and the vitamins administered to patients having deficient levels. Hypothyroidism is easily treated. The cerebrospinal fluid should be tested for a syphilitic infection in patients with progressive ataxia and other features of tabes dor salis. Similarly, antibody titers for Lyme disease and Legionella should be measured and </w:t>
      </w:r>
      <w:r w:rsidRPr="00A6019F">
        <w:lastRenderedPageBreak/>
        <w:t xml:space="preserve">appropriate antibiotic therapy should be instituted in antibody-positive patients. Aminoacidopathies, leukodystrophies, urea-cycle abnormalities, and mitochondrial encephalomyopathies may produce ataxia, and some dietary or metabolic therapies are available for these disorders. The deleteri ous effects of phenytoin and alcohol on the cerebellum are well known, and these exposures should be avoided in patients with ataxia of any cause. CHAPTER 450 Ataxic Disorders There is no proven therapy for any of the autosomal dominant ataxias (SCA1 to SCA43). Omaveloxolone, a NRF2 agonist, is the only U.S. Food and Drug Administration–approved agent for Friedreich’s ataxia. NRF2 is a transcription factor that regulates gene transcripts involved in mitochondrial energy production and addresses the root cause of mitochondrial dysfunction in Fried reich’s ataxia. Iron chelators and antioxidant drugs are potentially harmful in Friedreich’s patients because they may increase heart muscle injury. Acetazolamide can reduce the duration of symptoms of EA. At present, identification of an at-risk person’s genotype, together with appropriate family and genetic counseling, can reduce the incidence of these cerebellar syndromes in future generations (Chap. 480). </w:t>
      </w:r>
      <w:r w:rsidRPr="00A6019F">
        <w:rPr>
          <w:rFonts w:ascii="Arial" w:hAnsi="Arial" w:cs="Arial"/>
        </w:rPr>
        <w:t>■</w:t>
      </w:r>
      <w:r w:rsidRPr="00A6019F">
        <w:t xml:space="preserve">GENETIC DIAGNOSTIC LABORATORIES 1. Baylor College of Medicine; Houston, Texas, 1-713-798-6522 http://www.bcm.edu/genetics/index.cfm?pmid=21387 2. The University of Chicago Genetic Services Laboratories https://dnatesting.uchicago.edu   3. GeneDx http://www.genedx.com   4. Transgenomic, 1-877-274-9432 http://www.transgenomic.com/labs/neurology   </w:t>
      </w:r>
      <w:r w:rsidRPr="00A6019F">
        <w:rPr>
          <w:rFonts w:ascii="Arial" w:hAnsi="Arial" w:cs="Arial"/>
        </w:rPr>
        <w:t>■</w:t>
      </w:r>
      <w:r w:rsidRPr="00A6019F">
        <w:t xml:space="preserve">GLOBAL FEATURES Ataxias with autosomal dominant, autosomal recessive, X-linked, or mitochondrial forms of inheritance are present on a worldwide basis. MJD (SCA3) (autosomal dominant) and Friedreich’s ataxia (autosomal recessive) are the most common types in most populations. Genetic markers are now commercially available to precisely identify the genetic mutation for correct diagnosis and also for family planning. Early detection of asymptomatic preclinical disease can reduce or eliminate the inherited form of ataxia in some families on a global, worldwide basis. 3538 </w:t>
      </w:r>
      <w:r w:rsidRPr="00A6019F">
        <w:rPr>
          <w:rFonts w:ascii="Arial" w:hAnsi="Arial" w:cs="Arial"/>
        </w:rPr>
        <w:t>■</w:t>
      </w:r>
      <w:r w:rsidRPr="00A6019F">
        <w:t xml:space="preserve">FURTHER READING Anheim M et al: The autosomal recessive cerebellar ataxias. N Engl J Med 16:636, 2012. Cortese A et al: Biallelic expansion of an intronic repeat in RFC1 is a common cause of late-onset ataxia. Nat Genet 51:649, 2019. Jacobi H et al: Long-term disease progression in spinocerebellar ataxia types 1, 2, 3, and 6: A longitudinal cohort study. Lancet Neurol 14:1101, 2015. Lynch DR et al: Omaveloxolone for the treatment of Friedreich ataxia: Clinical trial results and practical considerations. Expert Rev Neu rother 24:251, 2024. Paulson HL et al: Polyglutamine spinocerebellar ataxias—from genes to potential therapy. Nat Rev Neurosci 18:613; 2017. Pellerin D et al: Deep intronic FGF14 GAA repeat expansion in late onset cerebellar ataxia. N Engl J Med 388:128, 2023. PART 13 Neurologic Disorders 451 Disorders of the Autonomic Nervous System Safwan S. Jaradeh The autonomic nervous system (ANS) has a large central nervous sys tem (CNS) organization and an extensive peripheral nervous system (PNS) network that innervates and influences all organ systems. As such, it is important in securing normal homeostasis. The ANS has three major components: parasympathetic, sympathetic, </w:t>
      </w:r>
      <w:r w:rsidRPr="00A6019F">
        <w:lastRenderedPageBreak/>
        <w:t xml:space="preserve">and enteric. The parasympathetic component has mainly a craniosacral localiza tion (brainstem and sacral cord), while the sympathetic component has mainly a thoracolumbar localization (first thoracic to second lumbar segments). ANS neurons of these components project thinly myelin ated fibers to autonomic ganglia, where they synapse with postgangli onic, mainly unmyelinated fibers that innervate the respective target organs. The enteric nervous system (ENS) has its own set of autonomic neurons and neurotransmitters but is heavily regulated by the central and peripheral autonomic nervous systems. The ANS also sensitizes endocrine organs to the effect of hormones, influencing how hormonal balances may affect neurologic diseases. The classification of autonomic dysfunction (or dysautonomia) can be based on the impaired component (sympathetic, parasympathetic, or enteric), but a more practical clinical approach is based on organ specificity: heart, blood vessels, sweat glands, pupils, gastrointestinal, and genitourinary, either in isolation or in any potential combination. The time course of the development of dysautonomia (acute, subacute, or chronic; progressive or static) is especially useful in the differential etiologic diagnosis. The ANS functions as a reflex circuit, using the sensory and sen sorial feedback from the organs to modulate the ANS output and maintain homeostasis. This requires exquisite integration of the cen tral ANS, peripheral ANS, and target organs. In the CNS, autonomic circuits operate at several levels: cerebral supratentorial, cerebral infratentorial, and spinal. Supratentorial areas include the insular cor tex, prefrontal cortex, limbic lobe located on the medial surface of the cerebral hemispheres, hypothalamus, and hypothalamic-pituitary axis. Infratentorial areas are mainly the nucleus tractus solitaries (NTS), dorsal motor nucleus of the vagus (DMV) and nucleus ambiguous (NA). Spinal areas are in the intermediate lateral horns (IML) of the spinal cord gray matter between the first thoracic segment and the fourth sacral segment. Descending CNS information to the brainstem and IML allows the CNS to modulate autonomic activity. Peripheral, visceral, spinal, and brainstem afferent information conveyed to the CNS is also important in influencing autonomic function in health and disease. ANS dysfunction may explain many symptoms related to the aging process and various degenerative neurologic disorders, such as Parkinson’s disease, multiple system atrophy, Lewy body disease, and pure autonomic failure. It features prominently in various autoimmune disorders, particularly autoimmune autonomic ganglionopathy and certain paraneoplastic disorders. ANS dysfunction in a more restricted form is present in various cyclical disorders such as migraine, cyclic vomiting, and other circadian rhythm disorders. It plays an important role in the genesis of various conditions of orthostatic intolerance (OI) including orthostatic hypotension (OH), postural orthostatic tachycar dia syndrome (POTS), and syncope. A detailed discussion of syncope can be found in Chap. 23. ANATOMIC, BIOCHEMICAL, AND PHARMACOLOGIC ORGANIZATION Connections between ANS centers in the cerebral cortex and brain stem coordinate autonomic outflow and their integration with emo tional and higher mental functions. The preganglionic parasympathetic neurons leave the CNS in the third, seventh, ninth, and tenth cranial </w:t>
      </w:r>
      <w:r w:rsidRPr="00A6019F">
        <w:lastRenderedPageBreak/>
        <w:t xml:space="preserve">nerves as well as the second to fourth sacral nerves. The preganglionic sympathetic neurons exit the spinal cord between the first thoracic and the second lumbar segments (Fig. 451-1). The autonomic ganglia reside outside the CNS. The sym pathetic ganglia are located in paravertebral and prevertebral ganglia, while the parasympathetic ganglia are located near, or sometimes within, the target organs. Responses to sympathetic and parasympa thetic stimulation are frequently antagonistic (Table 451-1), allowing fine-tuning of autonomic responses. In general, increased sympathetic activity leads to the “fight or flight” response, while parasympathetic activity leads to the “rest and digest” response. Biochemically, acetylcholine (ACh) is the preganglionic neurotrans mitter for both sympathetic and parasympathetic divisions of the ANS as well as the postganglionic neurotransmitter of the parasympathetic neurons; all preganglionic receptors are nicotinic, while postgangli onic receptors are muscarinic in type. Norepinephrine (NE) is the neurotransmitter of postganglionic sympathetic neurons, except for sympathetic cholinergic neurons innervating the eccrine sweat glands where the neurotransmitter is also ACh. As stated above, the ENS has a large number of neurons organized in plexuses. Meissner’s (submucosal) plexus, Auerbach’s (myenteric) and interstitial cells of Cajal (circular muscular) compose the majority of the ENS; they contain numerous neurotransmitters. Parasympathetic control of the gastrointestinal system is mediated through the cranio spinal nerves (vagus and S2–S4 nerves), while sympathetic control is mediated through the thoracolumbar (T1–L2) nerves. CLINICAL EVALUATION Disorders of the ANS are rather common and can occur with either CNS or PNS pathology that disrupts the afferent limb, CNS processing center, efferent limb, or any combination of these. It is also important to recognize that clinical manifestations can result from decreased function, overactivity, or dysregulation of autonomic circuits. The evaluation begins by taking an accurate and complete auto nomic medical history. The chief complaint and history of present illness should be sought from the patient, assisted by family members or significant others when necessary. Records from previous hospi talizations and test results are useful but cannot substitute for direct history taking. It is important to obtain the sequence of symptoms as accurately as possible. Antecedent events such as a viral illness or surgi cal procedure followed by subacute OI suggests an autoimmune cause, while a history of frequent fainting since childhood or adolescence favors a congenital or genetic condition. Therefore, a detailed family history is often essential, particularly in younger patients. In a patient with POTS, which occurs mainly in young women, it is important to ask privately about emotional or physical abuse in childhood. Physical deconditioning often exacerbates chronic OI and POTS. A prior his tory of irradiation to the neck in a patient with labile blood pressure and OI suggests arterial baroreflex failure due to injury to the carotid sinus baroreceptors. 3539 CHAPTER 451 Disorders of the Autonomic Nervous System Parasympathetic nerves Preganglionic fibers Postganglionic fibers Sympathetic nerves Preganglionic fibers Postganglionic fibers Lacrimal gland Ciliary ganglion Eye Submandibular and sublingual salivary glands III VII Parotid gland Otic g. </w:t>
      </w:r>
      <w:r w:rsidRPr="00A6019F">
        <w:lastRenderedPageBreak/>
        <w:t xml:space="preserve">Lungs Heart Stomach Celiac g. Small intestine Kidney Suprarenal gland Colon Rectum Urinary bladder Sup. mes. g. Renal g. Inf. mes. g. IX X T1 T2 T3 T4 T5 T6 T7 T8 T9 T10 T11 T12 L1 L2 Sex organs S3 S4 S2 Pelvic splanchnic nerve in that situation. However, given the widespread autonomic network underlying many dysautonomic states, these conditions are often mul tisystemic, and specific symptoms can vary from day to day. A review of autonomic symptoms begins with questions about OI (lightheadedness, dizziness, orthostatic weakness or dyspnea, orthostatic neck and shoulder discomfort, orthostatic headache), a history of supine hypertension, unpredictable blood pressure swings, FIGURE 451-1 Schematic representation of the autonomic nervous system. (Reproduced with permission from R Snell: Clinical Neuroanatomy, 7th ed. Philadelphia: Wolters Kluwer Health/Lippincott Williams &amp; Wilkins, 2009.) Like other medical histories, it is important to determine exac erbating and alleviating factors. In patients with OI, the positional nature of symptoms (standing vs supine or sitting) can be a key clue to diagnosis. Patients with neurogenic OH are often more symptomatic in the morning, after exercise particularly in the heat, or after eating a large meal, especially with alcohol. Patients with POTS may feel worse when standing in a warm shower and notice reddish or purplish feet 3540 TABLE 451-1 Effects of Sympathetic and Parasympathetic Systems on Various Effector Organs SYMPATHETIC Pupil Accommodation Heart Arteries Veins Tracheobronchial tree PART 13 Neurologic Disorders Gastrointestinal tract Bladder Salivary glands Pupillodilation (alpha) Decreased Positive chronotropic effect (beta) Positive inotropic effect (beta) Vasoconstriction (alpha) Vasodilation (beta) Vasoconstriction (alpha) Vasoconstriction (beta) Bronchodilation (beta) Decreased motility (beta) Contraction of sphincters (alpha) Detrusor relaxation (beta) Contraction of sphincter (alpha) PARASYMPATHETIC Pupilloconstriction Increased Negative chronotropic effect Negative inotropic effect Vasodilation Bronchoconstriction Increased bronchial gland secretions Increased motility Relaxation of sphincter Detrusor contraction Relaxation of sphincter Scant, thick, viscid saliva (alpha) Copious, thin, watery saliva Skin Sweat glands Genitalia Adrenal medulla Glycogen Piloerection (cutis anserina) Increased secretion (cholinergic) Ejaculation Catecholamine release  Glycogenolysis (alpha and beta) Lipolysis (alpha and beta) No piloerection Decreased secretion Ejaculation/Erection Glycogen synthesis Source: Reproduced with permission from WW Campbell: The autonomic nervous system, in DeJong’s The Neurologic Examination, 8th ed. Wolters Kluwer, 2020. or syncopal episodes. Gastrointestinal symptoms may resemble those of irritable bowel syndrome (constipation, diarrhea, or both), but also constant nausea and bloating, unexplained vomiting, or dumping syn drome may be present, both in diabetics and in others. Genitourinary symptoms include dysuria, incontinence, urgency, and male erectile dysfunction. Sweating abnormalities (dry skin, excessive sweating) and body temperature changes reflect disordered thermoregulation and heat dissipation. Sicca syndrome may resemble that of Sjögren syndrome. Blurred vision from dark to light suggests slow, tonic pupil lary dilation. Pertinent nonautonomic </w:t>
      </w:r>
      <w:r w:rsidRPr="00A6019F">
        <w:lastRenderedPageBreak/>
        <w:t xml:space="preserve">symptoms such as acroparesthesias or burning feet (and hands) suggest an autonomic small-fiber neuropa thy. Impaired olfaction, impaired balance, abnormal movements, and abnormal sleep behavior (apnea, stridor, or excessive moving and talk ing during sleep known as dream enactment behavior) are red flags for a degenerative neurologic extrapyramidal disorder. A complete listing of all prescribed drugs, over-the-counter medica tions, herbal remedies, and dietary supplements is important because they can affect autonomic function and may produce unexpected adverse events. For instance, certain diet supplements have sympa thomimetic activity and cause unexpected hypertension, tachycardia, or both. Physical examination begins by obtaining full vital signs, including supine blood pressure and heart rate, followed by orthostatic blood pressure values at 1 and 3 min after rising from a seated position. An abnormal body temperature, either hyperthermia or hypothermia, may be a clue to a systemic or endocrine illness. Next comes the inspection of the limbs, looking for changes in the feet (pes cavus or planus), vasomotor color changes in the distal limbs, neuropathic foot or toe ulcers, scoliosis, chest deformity (pectus excavatum or carinii), hyper mobility, skin elasticity, arachnodactyly, an abnormal pattern of sweat ing or hair distribution, or angiokeratoma (Fabry’s disease). Head and neck evaluation begins with a careful pupillary examination in a dark room, looking for asymmetry, miosis, mydriasis, reaction to light and accommodation, and rate and symmetry of redilation. A high-arched palate is present in some patients with OI and Ehlers-Danlos syndrome (Chap. 425). The tongue’s appearance (smooth vs normal) and size (macroglossia suggests amyloidosis) should be noted. For patients in whom a neurologic cause is likely, a complete evalu ation of the cranial nerves, strength and muscle tone, reflexes, sensory function including small-fiber modalities (pinprick, temperature), cer ebellar function, and gait is important (Chap. 433). This may require a neurologic referral if the primary care physician is uncomfortable with the assessment. LOCALIZATION Once the history and examination are complete, an initial localization is usually possible, based on a working knowledge of the anatomy and pharmacology of ANS components. For example, parasympathetic dysfunction is mainly cholinergic. Patients will report dry mouth and constipation, urinary retention, and erectile failure in men. On the other hand, sympathetic dysfunction is mainly adrenergic (nor epinephrine, epinephrine, dopamine) and symptoms and signs of OI predominate, given the prominent effect of these neurotransmitters on cardiac function and vasomotor tone. These patients will report lightheadedness, dizziness, faintness, visual changes, and a need to sit down. Muscarinic dysfunction leads to reduced sweating, hyperthermia, reduced salivation and lacrimation (sicca syndrome), mydriasis with blurred vision, slow gastrointestinal motility, and urinary retention. Tachycardia and arrhythmias are less common. Some CNS symptoms such as delirium and hallucinations may occur. Adrenergic dysfunction presents with excessive sweating, vasomo tor changes, irritable bowel syndrome, dysuria and stress incontinence. Tachycardia and arrhythmias are common. Miosis or mydriasis may occur, usually without blurred vision. Some CNS symptoms are panic, </w:t>
      </w:r>
      <w:r w:rsidRPr="00A6019F">
        <w:lastRenderedPageBreak/>
        <w:t xml:space="preserve">anxiety, and mood disorders. Certain features favor preganglionic versus postganglionic localiza tion. Preganglionic disorders are more likely to cause body temperature dysregulation, syncope and POTS, sleep disturbances, and autonomic storms. Postganglionic disorders are more likely in the presence of acral pain, acral anhidrosis, severe OH, and severe gastrointestinal or urinary dysmotility. However, overlap may occur as some pathologic conditions involve both preganglionic and postganglionic systems; examples include autoimmune, paraneoplastic, and neurodegenerative disorders. LABORATORY EVALUATION Testing begins by obtaining basic blood tests (complete blood count with differential, comprehensive metabolic panel, erythrocyte sedi mentation rate). It is important to check iron, ferritin, vitamin B12 , and vitamin D levels as well as folic acid. In patients with gastrointestinal distress, particularly with significant weight loss, measurement of vari ous nutritional factors and vitamins is important, including less com mon ones such as thiamine, vitamin B6 , niacin, riboflavin, vitamin C, vitamin E, serum copper, coenzyme Q10, and carnitine levels. A search for endocrine disorders such as diabetes, thyroid disease, or disorders of adrenal cortical (cortisol) and medullary (catecholamine) function may be necessary, as well as 5-hydroxyindoleacetic acid (5-HIAA) to look for carcinoid tumors. In patients with small-fiber neuropathy and normal hemoglobin A1c , a 2-h glucose tolerance test is necessary, as glucose intolerance is a rather frequent cause of isolated small-fiber neuropathy in the absence of overt diabetes. In patients with OI, supine and upright catecholamine levels can provide useful information. In patients with central or preganglionic adrenergic dysautonomia, supine catecholamine levels tend to be normal but fail to rise significantly in the upright position; the normal healthy response is a doubling or greater. In patients with peripheral or postganglionic adrenergic dys autonomia, supine catecholamine levels tend to be low and also fail to rise significantly in the upright position. In some acquired autonomic disorders, rheumatologic test screen ing, particularly for Sjögren’s syndrome (Chap. 373), scleroderma (Chap. 372), and mixed connective tissue disease (Chap. 372), is use ful. If the bedside examination or autonomic testing shows evidence Disorders of the Autonomic Nervous System 3541 CHAPTER 451 TABLE 451-2 Classification of Clinical Autonomic Disorders I. Autonomic Disorders with Brain Involvement A. Associated with multisystem degeneration 1. Multisystem degeneration: autonomic failure clinically prominent a. Multiple-system atrophy (MSA) b. Parkinson’s disease with autonomic failure c. Diffuse Lewy body disease with autonomic failure 2. Multisystem degeneration: autonomic failure clinically not usually prominent a. Parkinson’s disease without autonomic failure b. Other extrapyramidal disorders (inherited spinocerebellar atrophies, progressive supranuclear palsy, corticobasal degeneration, Machado-Joseph disease, fragile X syndrome [FXTAS]) B. Unassociated with multisystem degeneration (focal CNS disorders) 1. Disorders mainly due to cerebral cortex involvement a. Frontal cortex lesions causing urinary/bowel incontinence b. Focal seizures (temporal lobe or anterior cingulate) c. Cerebral infarction of the insula 2. Disorders of the limbic and paralimbic </w:t>
      </w:r>
      <w:r w:rsidRPr="00A6019F">
        <w:lastRenderedPageBreak/>
        <w:t xml:space="preserve">circuits a. Limbic encephalitis b. Autonomic seizures c. Shapiro’s syndrome (agenesis of corpus callosum, hyperhidrosis, hypothermia) 3. Disorders of the hypothalamus a. Thiamine deficiency (Wernicke-Korsakoff syndrome) b. Diencephalic syndrome c. Neuroleptic malignant syndrome d. Serotonin syndrome e. Fatal familial insomnia f. Antidiuretic hormone (ADH) syndromes (diabetes insipidus, inappropriate ADH secretion) g. Disturbances of temperature regulation (hyperthermia, hypothermia) h. Disturbances of sexual function i. Disturbances of appetite j. Disturbances of BP/HR and gastric function k. Horner’s syndrome 4. Disorders of the brainstem and cerebellum a. Posterior fossa tumors b. Syringobulbia and Arnold-Chiari malformation c. Disorders of BP control (hypertension, hypotension) d. Cardiac arrhythmias e. Central sleep apnea f. Baroreflex failure g. Horner’s syndrome h. Vertebrobasilar and lateral medullary (Wallenberg’s) syndromes i. Brainstem encephalitis II. Autonomic Disorders with Spinal Cord Involvement A. Traumatic quadriplegia B. Syringomyelia C. Subacute combined degeneration D. Multiple sclerosis and neuromyelitis optica E. Amyotrophic lateral sclerosis (mild, late) F. Tetanus G. Stiff-person syndrome H. Spinal cord tumors III. Autonomic Neuropathies A. Acute/subacute autonomic neuropathies a. Subacute autoimmune autonomic ganglionopathy (AAG) b. Subacute paraneoplastic autonomic neuropathy c. Guillain-Barré syndrome d. Botulism e. Porphyria f. Drug-induced autonomic neuropathies—stimulants, drug withdrawal, vasoconstrictor, vasodilators, beta-receptor antagonists, beta-agonists g. Toxin-induced autonomic neuropathies h. Subacute cholinergic neuropathy B. Chronic peripheral autonomic neuropathies 1. Small fiber neuropathy, including cryptogenic sensory polyneuropathy (CSPN) 2. Combined sympathetic and parasympathetic failure a. Amyloid b. Diabetic autonomic neuropathy c. AAG (paraneoplastic and idiopathic) d. Sensory neuronopathy with autonomic failure e. Fabry’s disease f. Diabetic, uremic, or nutritional deficiency g. Familial dysautonomia (Riley-Day syndrome) h. Hereditary sensory and autonomic neuropathy i. HIV-related autonomic neuropathy j. Geriatric dysautonomia (age &gt;80 years) 3. Disorders of orthostatic intolerance: OH; POTS; reflex syncope; prolonged bed rest; space flight; chronic fatigue Abbreviations: BP, blood pressure; CNS, central nervous system; HR, heart rate; OH, orthostatic hypotension; POTS, postural orthostatic tachycardia syndrome. for a peripheral autonomic neuropathy, serum free light chains and protein electrophoresis to look for paraproteinemia is important, as it may be the sign of early primary amyloidosis (Chap. 117). In probable acquired autonomic disorders, serologic tests to check for autoimmune markers are indicated, including antibodies to the ganglionic ACh nicotinic receptor (see “Autoimmune Autonomic Ganglionopathy,” below), voltage-gated potassium and calcium P/Q channel, plexin, and glutamic acid decarboxylase (GAD). If a paraneoplastic etiology is suspected, testing for anti-Hu, anti-CRMP5, anti-amphiphysin, or other autoantibodies may also be indicated (Chap. 99). If there is a history of infection, appropriate serologic tests can be requested (e.g., HIV, Epstein-Barr virus, herpes simplex virus, varicella-zoster virus, cytomegalovirus). In young patients or those with a positive family history, </w:t>
      </w:r>
      <w:r w:rsidRPr="00A6019F">
        <w:lastRenderedPageBreak/>
        <w:t xml:space="preserve">testing for porphyria (Chap. 428) and Fabry’s disease (Chap. 429) is important, as these conditions are now treatable (Table 451-2). AUTONOMIC EVALUATION TESTS The most commonly employed autonomic tests evaluate cardiovascu lar function. </w:t>
      </w:r>
      <w:r w:rsidRPr="00A6019F">
        <w:rPr>
          <w:rFonts w:ascii="Arial" w:hAnsi="Arial" w:cs="Arial"/>
        </w:rPr>
        <w:t>■</w:t>
      </w:r>
      <w:r w:rsidRPr="00A6019F">
        <w:t xml:space="preserve">HEART RATE VARIATION TO DEEP BREATHING This tests the parasympathetic cardiovascular reflexes mediated via the vagus nerve. The patient is instructed to breathe deeply at a rate of 6 breaths/min, and the acceleration and deceleration of the heart rate accompanying the inspiratory/expiratory cycle is calculated and averaged. The score is the average of the heart rate variability, or the expiratory to inspiratory ratio (Fig. 451-2). The ratio decreases gradu ally with age and is therefore age-corrected. </w:t>
      </w:r>
      <w:r w:rsidRPr="00A6019F">
        <w:rPr>
          <w:rFonts w:ascii="Arial" w:hAnsi="Arial" w:cs="Arial"/>
        </w:rPr>
        <w:t>■</w:t>
      </w:r>
      <w:r w:rsidRPr="00A6019F">
        <w:t xml:space="preserve">VALSALVA MANEUVER This test is performed in the supine position. The patient blows into a closed mouthpiece to increase the intrathoracic pressure by 3542 Heart rate (Beats/Min) 200 150 100 50 0 00:30 A PART 13 Neurologic Disorders Heart rate (Beats/Min) 200 150 100 50 0 01:00 01:30 02:00 02:30 03:00 02:10 B 02:20 02:30 02:40 02:50 03:00 Time scale (Min:Sec) FIGURE 451-2 Examples of normal (A) and reduced (B) heart rate variability to deep breathing. &gt;40 mmHg for 15 s. During blowing, there is a decrease in venous return to the heart, leading to a fall in blood pressure and an associ ated compensatory tachycardia. Reduced blood pressure induces a compensatory peripheral sympathetic vasoconstriction in the lower extremities, which stops the blood pressure fall and reverses it close to baseline. Following release of the effort, blood pressure rises due to increased cardiac filling from the venous return, along with persistent sympathetic vasoconstriction. This leads to transient hypertension (an overshoot response) that stimulates the aortic and carotid barorecep tors leading to reflex bradycardia. The Valsalva ratio is the ratio of the higher to the lower heart rate and is a measure of the parasympathetic arm of the baroreflex. The magnitude of the drop in blood pressure, and of recovery in the overshoot phase, produces an adrenergic index score that, along with the blood pressure recovery time, is a marker of the sympathetic arm of the baroreflex (Fig. 451-3). 03:10 03:20 03:30 the sensitivity of testing, at the expense of specificity (i.e., some patients with normal sympathetic function may also faint after administration of these drugs). </w:t>
      </w:r>
      <w:r w:rsidRPr="00A6019F">
        <w:rPr>
          <w:rFonts w:ascii="Arial" w:hAnsi="Arial" w:cs="Arial"/>
        </w:rPr>
        <w:t>■</w:t>
      </w:r>
      <w:r w:rsidRPr="00A6019F">
        <w:t xml:space="preserve">SUDOMOTOR FUNCTION TESTING The heart rate variation to deep breathing and the Valsalva ratio are diminished in most patients with autonomic failure, including diabetes and α-synuclein disorders and also in patients who take anticholinergic medications. </w:t>
      </w:r>
      <w:r w:rsidRPr="00A6019F">
        <w:rPr>
          <w:rFonts w:ascii="Arial" w:hAnsi="Arial" w:cs="Arial"/>
        </w:rPr>
        <w:t>■</w:t>
      </w:r>
      <w:r w:rsidRPr="00A6019F">
        <w:t xml:space="preserve">TILT TABLE TESTING This test of great value for patients with all syndromes of OI, with or without syncope. Many autonomic laboratories are equipped with spe cial devices and a finger cuff that enables the accurate reproduction of beat-to-beat arterial waveforms. The tilt test is an excellent test of sym pathetic vasomotor and cardiovascular innervation, as it detects OH in all its forms, as well as excessive orthostatic tachycardia (Fig. 451-4 ). When syncope occurs, testing allows differentiation between the vari ous types (i.e., vasovagal, vasodepressor, and cardiodepressor syncope). Tilt Table Testing for Recurrent Syncope When an initial phase of tilt at an angle of 60–70° for 30–40 min is negative, pharma cologic provocation of syncope (with intravenous, sublingual, or spray nitroglycerin, or </w:t>
      </w:r>
      <w:r w:rsidRPr="00A6019F">
        <w:lastRenderedPageBreak/>
        <w:t xml:space="preserve">intravenous isoproterenol) can be used. This increases Sweating is secondary to the release of ACh from sympathetic postgan glionic fibers. The quantitative sudomotor axon reflex test (QSART) measures regional ACh-induced sweating. The test is usually per formed at four different sites (forearm, proximal leg, distal leg, and foot) to provide information on both the extent and distribution of postganglionic sudomotor impairment (Fig. 451-5 ). A low or absent response indicates a lesion of the postganglionic sudomotor axon. If the equipment necessary to perform the test is not available, sym pathetic skin responses recorded from the foot and the hand using standard nerve conduction equipment can be used, although results obtained in this manner may be less sensitive and specific. As a gen eral rule, autonomic or small-fiber neuropathies often lead to reduced sweating in the feet. The thermoregulatory sweat test (TST) is a qualita tive measure of global sweat production in response to an elevation of body temperature under controlled conditions. An indicator powder dusted on the anterior surface of the forehead and body changes color with sweat production in a hot and humid chamber. The pattern of color change measures the integrity of both preganglionic and postgan glionic sudomotor functions. A postganglionic lesion is present if both QSART and TST show absent sweating. In a preganglionic lesion, the QSART is preserved but TST shows anhidrosis. </w:t>
      </w:r>
      <w:r w:rsidRPr="00A6019F">
        <w:rPr>
          <w:rFonts w:ascii="Arial" w:hAnsi="Arial" w:cs="Arial"/>
        </w:rPr>
        <w:t>■</w:t>
      </w:r>
      <w:r w:rsidRPr="00A6019F">
        <w:t xml:space="preserve">SKIN BIOPSY Skin biopsies are commonly performed to diagnose small-fiber neu ropathies. These consist of small punch biopsy specimens, often 2–4 mm in diameter, stained for special axonal markers. This allows the identification of epidermal nerve fiber density as well as sudomo tor innervation density. Patients often undergo biopsies from two to four sites, usually from the distal and proximal lower extremity as well Heart rate (Beats/Min) 200 200 3543 150 100 50 0 250 Blood pressure (mmHg) A 200 150 100 50 0 09:00 09:15 09:30 09:45 10:00 09:00 200 09:15 09:45 09:30 Time scale (Min:Sec) 10:00 10:15 10:15 10:30 10:30 150 100 50 0 250 200 150 100 50 0 200 Heart rate (Beats/Min) 150 150 Expiratory pressure (mmHg) Expiratory pressure (mmHg) Expiratory pressure (mmHg) 100 50 0 250 Blood pressure (mmHg) B 200 150 100 50 0 100 50 0 02:00 02:15 02:30 02:45 03:00 03:15 03:30 03:45 02:00 02:15 02:30 02:45 03:00 Time scale (Min:Sec) 03:15 03:30 03:45 250 200 150 100 50 0 Expiratory pressure (mmHg) CHAPTER 451 Disorders of the Autonomic Nervous System FIGURE 451-3 A. The tracing shows a normal Valsalva ratio and blood pressure response. B. A low Valsalva ratio and abnormal blood pressure response are illustrated. 3544 Heart rate (Beats/Min) 250 200 150 100 50 0 PART 13 Neurologic Disorders 250 200 150 Blood pressure (mmHg) A Heart rate (Beats/Min) Blood pressure (mmHg) B 100 50 0 250 200 150 100 50 0 250 200 150 100 50 0 TU 15:00 20:00 TD TU tu 15:00 Time scale (Min:Sec) 20:00 TD TU tu 10:00 15:00 20:00 25:00 td TD td TU 10:00 15:00 20:00 Time scale (Min:Sec) 25:00 TD FIGURE 451-4 Examples of abnormal tilt responses. In each panel, the first tracing represents the heart rate, while the second represents the systolic, mean, and diastolic blood pressure responses. A. Progressive orthostatic hypotension leading to syncope. B. Neurogenic orthostatic hypotension (orthostatic hypotension without an adequate increase in heart rate). Notice the </w:t>
      </w:r>
      <w:r w:rsidRPr="00A6019F">
        <w:lastRenderedPageBreak/>
        <w:t xml:space="preserve">baseline supine hypertension (systolic blood pressure of 175 mmHg) due to associated baroreflex impairment. C. Postural orthostatic tachycardia syndrome (POTS). Notice the dramatic increase of the heart rate by &gt;50 beats/min after tilt upward. TD, tilt downward; TU, tilt upward. Heart rate (Beats/Min) 250 3545 200 150 100 50 0 250 Blood pressure (mmHg) C FIGURE 451-4 (Continued) 200 150 100 50 0 Sweat rate (nL/min) Sweat rate (nL/min) A TU TU 15:00 20:00 25:00 30:00 TU TU 500 15:00 20:00 Time scale (Min:Sec) Forearm 25:00 30:00 400 300 200 100 0 00:00 500 400 300 200 100 0 00:00 t.i.m ON 05:00 t.i.m ON 10:00 Prox Leg 15:00 05:00 10:00 15:00 TD TD FIGURE 451-5 A. Examples of normal (forearm, top tracing) and reduced (proximal leg, bottom tracing) quantitative sweat responses consistent with a mild, length dependent autonomic neuropathy. B. Normal (forearm, top tracing), reduced (proximal leg, middle tracing), and quasi-absent (distal leg, bottom tracing) quantitative sweat responses consistent with a length-dependent autonomic and small-fiber neuropathy. Tim ON, time when electrical stimulation is turned on to start iontophoresis of acetylcholine and induce sweating. CHAPTER 451 Disorders of the Autonomic Nervous System 3546 Sweat rate (µL) Sweat Rate - Right Forearm 500 400 300 200 100 0 00:00 PART 13 Neurologic Disorders 500 400 300 200 Sweat rate (µL) 100 0 04:10 08:20 12:30 Time Sweat Rate - Right Proximal Leg 00:00 500 400 Sweat rate (µL) 300 200 100 04:10 08:20 12:30 Time Sweat Rate - Right Distal Leg 16:40 16:40 20:50 20:50 0 00:00 B FIGURE 451-5 (Continued) 04:10 08:20 as the forearm. The reduction in the number of nerve fibers and the pattern of reduction assist in establishing the diagnosis but also pro vide a clue to the underlying etiology, particularly when the fiber loss is not length-dependent. Skin biopsies are also useful in diagnosing autonomic dysfunction secondary to synucleinopathies, as at least one specimen may demonstrate phosphorylated α-synuclein inclusions in postganglionic sympathetic adrenergic and cholinergic nerve fibers. In these cases, a more proximal biopsy obtained near the cervical paraspi nal region can be a helpful diagnostic tool if it shows accumulation of α-synuclein (see specific disorders below). 12:30 Time 16:40 20:50 Upon standing or with tilt testing, ~500–700 mL of blood shifts to peripheral venous vessels in the lower limbs and splanchnic bed, reduc ing venous return. In a healthy person, there is slight increase in heart rate and peripheral venoconstriction and arteriolar constriction that maintains systolic blood pressure (SBP) and increases slightly diastolic blood pressure (DBP). This normal response depends on interactions between multiple homeostatic systems, including baroreceptors, auto nomic afferents, central processing centers, autonomic efferents, and peripheral vascular sympathetic receptors. If all testing remains unrevealing, it is reasonable to consider a fat aspirate biopsy to check for amyloidosis. SPECIFIC CONDITIONS OF ANS DYSFUNCTION </w:t>
      </w:r>
      <w:r w:rsidRPr="00A6019F">
        <w:rPr>
          <w:rFonts w:ascii="Arial" w:hAnsi="Arial" w:cs="Arial"/>
        </w:rPr>
        <w:t>■</w:t>
      </w:r>
      <w:r w:rsidRPr="00A6019F">
        <w:t xml:space="preserve">ORTHOSTATIC HYPOTENSION OH is a common disorder with many underlying conditions. It can be debilitating, leading to fatigue, falls, syncope, cognitive impairment, and end-organ damage. OH increases with advancing age and is com monly associated with a variety of general medical, neurologic, and primary autonomic disorders including diabetes, heart failure, kidney </w:t>
      </w:r>
      <w:r w:rsidRPr="00A6019F">
        <w:lastRenderedPageBreak/>
        <w:t xml:space="preserve">failure, and neurodegenerative and autoimmune diseases. Classical OH is defined as a sustained reduction of SBP ≥20 mmHg or DBP ≥10 mmHg within 3 min of active standing or on a head-up tilt (HUT) test ≥60°. Variants of OH include smaller but symptom atic reductions in SBP when the supine SBP is low (90–100 mmHg) but drops well below this level with standing or tilt. In patients with hypertension, OH is defined as an orthostatic drop of SBP/DBP ≥30/15 mmHg. The prevalence of OH in the general population ranges from 40 mmHg SBP and &gt;20 mmHg DBP) within 15–30 s upon stand ing due to transient mismatch between cardiac output and systemic vascular resistance. This condition occurs almost exclusively in young subjects (adolescents and young adults) but may also occur in older patients treated with antihypertensive drugs. The magnitude of the initial OH is often less with tilt than it is with active standing. In delayed OH, SBP often remains steady for the first 3–5 min and then begins to decrease. In some cases, delayed OH does not appear until after 10 min of tilt. While the primary etiology in such cases may be secondary to medications, it often denotes some type of autonomic dysfunction, such as autonomic neuropathy. Postprandial OH is a blood pressure drop after eating. OH often appears within 2 h of a larger meal, particularly if there is a high carbohydrate load or alcohol ingestion. In these conditions, the meal produces gastric and esophageal distension and an increase in the splanchnic blood volume. It is more frequent in elderly patients with underlying neurologic conditions, particularly autonomic disorders. These patients sometimes faint after getting up from the dining table. When OH is accompanied by baroreflex impairment, as seen with autonomic neuropathies or degenerative autonomic disorders, it can be associated with supine hypertension. In these patients, supine SBP during sleep may be higher than when they wake up in the morning, a pattern known as reverse dipping. Supine hypertension is a particular risk factor for end-organ damage (kidney, cardiac, or cerebrovas cular). Over time, affected individuals develop alterations in the renin-angiotensin-aldosterone axis, leading to worse daytime OH by inducing pressure diuresis and volume loss during sleep. Management Management of OH includes nonpharmacologic and pharmacologic measures. Nonpharmacologic measures are essential and may be sufficient in earlier stage I OH. However, the physician needs to ascertain whether the patient is actually asymptomatic and safe. This begins by addressing possible identifiable confounders, such as medications interfering with cardiovascular reflexes (e.g., diuretics, antihypertensives, tricyclic antidepressants, antipsychotics, dopamine agonists). Comorbidities can include iron deficiency, vitamin B12 and D deficiencies, and frailty. Increasing fluid intake up to 3 L/d and salt intake to 2 g up to 3 times a day can expand plasma and blood volume and often improve orthostatic tolerance. It is important to monitor the patient’s weight and blood pressure on this regimen. In some patients, it would be reasonable to check the 24-h urine sodium before and after initiation of the fluid and salt load. Other simple remedies include lower limb stockings applied before getting out of bed. An abdominal binder is also quite effective in reducing the amount of splanchnic blood pooling. Physical </w:t>
      </w:r>
      <w:r w:rsidRPr="00A6019F">
        <w:lastRenderedPageBreak/>
        <w:t xml:space="preserve">countermaneuvers, such as crossing the legs while standing, are also helpful. It is also prudent to recommend elevat ing the head of bed by up to 30° to prevent the recurrence of supine hypertension and decrease nocturia. Pharmacologic agents are quite effective. Fludrocortisone is a min eralocorticoid that expands the plasma volume, in addition to having a mild α-agonist effect. The dose is 0.1–0.2 mg/d (sometimes up to 0.4 mg/d) taken usually once in the morning. Because of its long duration of effect, it is important to monitor for supine hypertension. By increasing fluid retention, it can predispose to pedal edema, a low potassium level, headaches, and occasional mood changes. For older patients who require treatment for several years or longer, it is also prudent to check their bone density intermittently. CHAPTER 451 Disorders of the Autonomic Nervous System Midodrine is a direct agonist of α1-adrenoceptors. It is prudent to start at a dose of 2.5 mg 3 times daily and increase gradually up to 15 mg 3 times daily. Most patients respond to 7.5–10 mg TID. The drug’s onset of action is between 30 and 60 min, and its effect lasts up to 4 h. A usual schedule is to take it before getting out of bed, before lunch, and in mid-to-late afternoon, with the last dose usually before 6:00 p.m. to avoid nocturia and supine hypertension. Side effects include scalp tingling and goosebumps because of its stimulatory effect on pilomo tor nerve fibers and urinary urgency because of its stimulatory effect at the bladder neck. Pyridostigmine, a drug commonly used in myasthenia gravis, acts as a cholinesterase inhibitor and increases ganglionic transmission. Patients may be sensitive to the drug, so it is practical to start with 30 mg TID and increase gradually to 60 mg TID. It potentiates the effect of midodrine. It may cause abdominal cramps and diarrhea in susceptible patients. It is particularly beneficial for autonomic patients with OH and slow gastrointestinal motility. It does not promote supine hypertension, an advantage for this drug. Atomoxetine is a norepinephrine reuptake inhibitor that is useful as an adjuvant therapy. Most patients benefit from 18 mg in the morn ing. While some patients may need it midday to early afternoon, it is important to monitor for symptoms and signs of CNS stimulation such as anxiety and tremor. Droxidopa is the newest agent approved for treatment of NOH. It is a norepinephrine precursor. Treatment should start with 100 mg TID and be gradually increased to 400–600 mg TID. The medication improved orthostatic symptoms and decreased falls in PD patients. Supine hypertension remains an issue in most patients. 3548 Desmopressin increases water reabsorption and reduces urination. Low-dose oral administration or nasal spray can be useful in reducing the frequency of nocturia that often interrupts sleep. Patients should be monitored for hyponatremia. When patients with OH or NOH develop supine hypertension, it is important to revise their medications, monitor end-organ function, ensure elevation of the head of bed during sleep (30–45°), and use short-acting blood pressure–lowering drugs at bedtime. </w:t>
      </w:r>
      <w:r w:rsidRPr="00A6019F">
        <w:rPr>
          <w:rFonts w:ascii="Arial" w:hAnsi="Arial" w:cs="Arial"/>
        </w:rPr>
        <w:t>■</w:t>
      </w:r>
      <w:r w:rsidRPr="00A6019F">
        <w:t xml:space="preserve">POSTURAL ORTHOSTATIC TACHYCARDIA SYNDROME PART 13 Neurologic Disorders POTS is a common syndrome of chronic (&gt;3 months) OI without sustained OH, accompanied by an increase in HR of </w:t>
      </w:r>
      <w:r w:rsidRPr="00A6019F">
        <w:rPr>
          <w:rFonts w:ascii="Aptos" w:hAnsi="Aptos" w:cs="Aptos"/>
        </w:rPr>
        <w:t>≥</w:t>
      </w:r>
      <w:r w:rsidRPr="00A6019F">
        <w:t>30 beats/min in adults (</w:t>
      </w:r>
      <w:r w:rsidRPr="00A6019F">
        <w:rPr>
          <w:rFonts w:ascii="Aptos" w:hAnsi="Aptos" w:cs="Aptos"/>
        </w:rPr>
        <w:t>≥</w:t>
      </w:r>
      <w:r w:rsidRPr="00A6019F">
        <w:t xml:space="preserve">40 beats/min if under the age of 19 years) or an orthostatic HR &gt;120 </w:t>
      </w:r>
      <w:r w:rsidRPr="00A6019F">
        <w:lastRenderedPageBreak/>
        <w:t xml:space="preserve">beats/min within 10 min of standing that subsides on sit ting or lying down. The symptoms reflect a combination of cerebral hypoperfusion (lightheadedness, blurred vision, cognitive decline, and brain fog) and sympathetic activation (palpitations, chest pain, and tremulousness). Near-syncope is common, but complete syncope is less frequent. The condition is four to five times more common in women, and most develop the syndrome between the ages of 15 and 45 years. Symptoms may flare up around menstrual cycles. POTS is often multifactorial, as the pathophysiology is heteroge neous: distal sympathetic denervation in the feet and legs with pre served cardiovascular sympathetic function (so-called neuropathic POTS), venous pooling, reduced cardiac function due to decondition ing, hypovolemia, altered baroreceptor regulation, increased sympa thetic activity, and rarely reduced parasympathetic activity may play a role. About half the cases follow a viral illness. Most prominent among these are Epstein-Barr virus, coronavirus, and enteroviral illnesses. The condition has increased since the COVID-19 pandemic; it is the leading manifestation of long COVID. Other POTS triggers include surgery, the postpartum period, puberty, pregnancy, concussion, and chronic emotional distress. Ehlers-Danlos syndrome is a significant predisposing condition, present in up to 25% of patients. When symp toms of POTS are prominent, patients become sedentary, exacerbating their deconditioning and leading to a vicious cycle with prolongation of the syndrome. In the chronic state, cardiovascular deconditioning becomes the common pathway. POTS comorbidities include migraine and various headache dis orders, symptoms of gastrointestinal dysmotility, chronic fatigue, fibromyalgia, gastrointestinal and bladder visceral pain, and sleep disturbances. Some patients report temperature intolerance, more to heat than cold, with impaired sweating (either increased or decreased). Patients often appear anxious in the clinic and have a tendency to be hypervigilant with respect to somatic symptoms, but the incidence of significant psychiatric disorders does not differ from that in the general population. Some patients report a new onset of various allergic symp toms (flushing, hives, and environmental and food allergies) suggestive of some type of mast cell activation syndrome. While there is no standardized approach to the diagnosis, it is important to rule out primary cardiac causes, including arrhythmias (POTS is a sinus rhythm disorder), as well as endocrine conditions that lead to sympathetic activation, such as pheochromocytoma and hyperthyroidism. In addition to routine complete blood count and electrolyte panel, it is important also to measure ferritin and vitamin D levels and correct these if low, as this helps the condition respond better to other treatments. Management has some similarities to the management of OH. Typically, it encourages the expansion of fluid volume with water (8–10 cups daily) and salt (6–8 g/d). Elastic stockings, waist high with 20–30 mmHg counterpressure, reduce venous pooling and improve venous return. Pharmacotherapy with low-dose fludrocortisone can be helpful. When symptoms of sympathetic overactivity are prominent, low doses of a beta blocker, increased gradually, can be helpful. These patients can be sensitive to beta blockers, so it is important to measure their blood </w:t>
      </w:r>
      <w:r w:rsidRPr="00A6019F">
        <w:lastRenderedPageBreak/>
        <w:t xml:space="preserve">pressure while on treatment; if it decreases, they would need a higher dose of fludrocortisone or the addition of a vasoactive drug such as midodrine. The latter is particularly useful in patients with neuropathic POTS, as it counteracts the significant peripheral vasodilation that is present. In patients with gastrointestinal hypomo tility, low-dose pyridostigmine can be helpful and may improve the patient’s fatigue as well. When tachycardia proves refractory to the above measures, low-dose ivabradine can also be tried. A graduated program of exercise to improve cardiac deconditioning is essential and often needs at least 6 months before significant benefit is obtained. Because of the orthostatic nature of the condition, exercise is better tolerated in the supine or sitting position (recumbent bike, rowing, swimming) and should involve a combination of aerobic cardiovascu lar training and resistance training primarily to the leg muscles. If the patient’s symptoms and tolerance improve after 3 months, exercise in the upright position (treadmill, elliptical) can be gradually advanced. </w:t>
      </w:r>
      <w:r w:rsidRPr="00A6019F">
        <w:rPr>
          <w:rFonts w:ascii="Arial" w:hAnsi="Arial" w:cs="Arial"/>
        </w:rPr>
        <w:t>■</w:t>
      </w:r>
      <w:r w:rsidRPr="00A6019F">
        <w:t xml:space="preserve">SYNUCLEINOPATHIES This group of disorders is secondary to the accumulation of phos phorylated </w:t>
      </w:r>
      <w:r w:rsidRPr="00A6019F">
        <w:rPr>
          <w:rFonts w:ascii="Aptos" w:hAnsi="Aptos" w:cs="Aptos"/>
        </w:rPr>
        <w:t>α</w:t>
      </w:r>
      <w:r w:rsidRPr="00A6019F">
        <w:t>-synuclein in various parts of the ANS. They include mul tiple system atrophy (MSA), Parkinson</w:t>
      </w:r>
      <w:r w:rsidRPr="00A6019F">
        <w:rPr>
          <w:rFonts w:ascii="Aptos" w:hAnsi="Aptos" w:cs="Aptos"/>
        </w:rPr>
        <w:t>’</w:t>
      </w:r>
      <w:r w:rsidRPr="00A6019F">
        <w:t xml:space="preserve">s disease (PD; Chap. 446) with autonomic failure, Dementia with Lewy bodies (DLB; Chap. 445), and primary autonomic failure (PAF). Pathologically, there are aggregates of misfolded </w:t>
      </w:r>
      <w:r w:rsidRPr="00A6019F">
        <w:rPr>
          <w:rFonts w:ascii="Aptos" w:hAnsi="Aptos" w:cs="Aptos"/>
        </w:rPr>
        <w:t>α</w:t>
      </w:r>
      <w:r w:rsidRPr="00A6019F">
        <w:t xml:space="preserve">-synuclein in the CNS and PNS. Cardiovascular auto nomic denervation is more common in PD and PAF, whereas it tends to occur later in MSA and DLB. PAF is a sporadic peripheral autonomic degenerative disease that has clinical manifestations similar to those in other autonomic neu ropathies, such as diabetic autonomic neuropathy, and the autoim mune autonomic neuropathies. NOH is the prominent clinical feature and frequently associated with supine hypertension. After 5–10 years, a significant number of PAF patients develop a CNS synucleinopathy, particularly PD or DLB but also MSA. In addition to the presence of autonomic dysfunction, skin punch biopsy with immunohistochem istry staining can demonstrate small nerve fibers and intraneural α-synuclein deposition. MSA, or Shy-Drager syndrome, is a disorder that combines auto nomic failure and either parkinsonism (MSA-P) or a cerebellar syn drome (MSA-C). MSA is uncommon, with a prevalence estimated at 2–5 per 100,000 individuals. Onset is typically in the mid-fifties, men are slightly more affected than women, and most cases are sporadic. MSA generally progresses relentlessly to death 7–10 years after onset, but some patients may survive beyond 10 years. MSA-C is more com mon in Asian population, particularly in Japan, while MSA-P is the more common form in the rest of the world, including Western coun tries. A characteristic of the extrapyramidal parkinsonian phenotype is the relatively poor response to levodopa; when a response occurs, it tends to be transient. Rigidity dominates, while rest tremor is not prominent. Other distinguishing features that favor MSA-P over idio pathic PD is the early impairment of urinary control in both genders, early erectile dysfunction in men, symptomatic OH within 2 years of onset, preserved olfaction, and a lower frequency of gastrointestinal symptomatology, especially colonic hypomotility and constipation. Early autonomic dysfunction, early bladder dysfunction, </w:t>
      </w:r>
      <w:r w:rsidRPr="00A6019F">
        <w:lastRenderedPageBreak/>
        <w:t xml:space="preserve">female gen der, and rapid progression of disability imply a worse prognosis. Brain magnetic resonance imaging (MRI) can show iron deposition in the striatum in MSA-P, and cerebellar atrophy with a characteristic T2 hyperintense signal (“hot cross bun” sign) in the pons in MSA-C (Fig. 451-6). However, the typical MRI findings may be present only with advanced disease. Cardiac postganglionic adrenergic innervation, measured by the uptake of meta-iodobenzylguanidine (MIBG) on a radionuclear scan or fluorodopamine on positron emission tomogra phy, is usually intact in MSA, whereas it is low in the dysautonomias of PD, LBD, and PAF. The neuropathology of MSA shows neuronal loss and gliosis in many CNS regions, including the brainstem, cerebellum, striatum, and intermediolateral cell column of the thoracolumbar spi nal cord. The characteristic pathologic feature is the presence of glial cytoplasmic inclusions that stain positively for α-synuclein (early Lewy bodies) primarily in oligodendrocytes, in contrast to their neuronal localization in PD or LBD. Research has shown some transfer of these cytoplasmic inclusions from cell to cell, akin to that of a prion (Chap. 449). 3549 FIGURE 451-6 Multiple system atrophy, cerebellar type (MSA-C). Axial T2-weighted and FLAIR (fluid-attenuated inversion recovery) magnetic resonance images at the level of the pons demonstrate a characteristic cruciform hyperintense signal in the pons, the “hot cross bun” sign. This appearance is characteristic but not pathognomonic of MSA-C, as it can also be seen in some spinocerebellar atrophies and other neurodegenerative conditions affecting the brainstem. The images additionally demonstrate atrophy of the pons, bilateral middle cerebellar peduncles, and cerebellum. (Courtesy of Dr. Nancy Fischbein, Stanford University School of Medicine.) Management is symptomatic for NOH (see earlier section on OH), sleep disorders including laryngeal stridor, and gastrointestinal and urinary dysfunction. Gastrointestinal symptoms can be managed with frequent small meals, a soft diet, stool softeners, and bulk agents. Per sistent significant gastric and colonic hypomotility requires the admin istration of the newer motility stimulation drugs, such as prucalopride, linaclotide, plecanatide, or lubiprostone. Metoclopramide stimulates gastric emptying but should be used only as a short-term measure, if at all, because it worsens parkinsonism by blocking central dopamine the lesion. Quadriparesis predisposes to supine hypertension and OH after upward tilting. Autonomic dysreflexia is a dramatic blood pressure increase that occurs in response to irritation of the bladder, skin, or muscles. It usually follows traumatic spinal cord lesions above the T6 level, as lesions below T6 allow for compensatory splanchnic vasodila tion and a lesser likelihood of autonomic dysreflexia. The condition sometimes interferes with patient care, particularly when patients require urinary catheterization for distended bladder or rectal manage ment for constipation and fecal impaction. In addition to blood pres sure surges that may induce intracranial vasospasm or hemorrhage, other symptoms include facial flushing, headache, hypertension, pilo erection, and even cardiac arrhythmia. Sitting the patient up reduces excessive supine hypertension. Prophylactic clonidine can reduce the hypertension resulting from bladder or rectal stimulation. </w:t>
      </w:r>
      <w:r w:rsidRPr="00A6019F">
        <w:lastRenderedPageBreak/>
        <w:t xml:space="preserve">Disorders of the spinal cord are discussed in Chap. 453. CHAPTER 451 Disorders of the Autonomic Nervous System receptors. Domperidone, a peripheral dopamine (D2 and D3 ) receptor antagonist, is also effective but is not U.S. Food and Drug Adminis tration approved for use in the United States because of its potential arrhythmogenic risk. Pharmacologic management of neurogenic blad der relies usually on muscarinic blockers to reduce bladder urgency. Oxybutynin is often a first-line agent, but increasing the dose may cause other antimuscarinic side effect such as dry mouth, dry eyes, and anhidrosis. More selective blockers (tolterodine, darifenacin, or solif enacin) produced fewer systemic side effects. Mirabegron and vibegron are selective β3-adrenergic agonists that reduces detrusor overactivity and are quite effective. A potential beneficial side effect is their gentle hypertensive effect that may help with OH management but may also require adjusting doses of other OH medications to avoid significant supine hypertension. Autonomic dysfunction also occurs in DLB (Chap. 445) with the severity usually intermediate between that of MSA and PD. In multiple sclerosis (MS; Chap. 455), autonomic complications reflect the CNS location of MS lesions (more common with brainstem and spinal cord demyelination) and generally worsen with disease duration and disability but are generally less severe than with synucleinopathies. </w:t>
      </w:r>
      <w:r w:rsidRPr="00A6019F">
        <w:rPr>
          <w:rFonts w:ascii="Arial" w:hAnsi="Arial" w:cs="Arial"/>
        </w:rPr>
        <w:t>■</w:t>
      </w:r>
      <w:r w:rsidRPr="00A6019F">
        <w:t xml:space="preserve">SPINAL CORD DISORDERS Spinal cord lesions may cause focal autonomic deficits dominated by OH, bowel dysfunction, and genitourinary dysfunction, as well as temperature dysregulation secondary to anhidrosis below the level of </w:t>
      </w:r>
      <w:r w:rsidRPr="00A6019F">
        <w:rPr>
          <w:rFonts w:ascii="Arial" w:hAnsi="Arial" w:cs="Arial"/>
        </w:rPr>
        <w:t>■</w:t>
      </w:r>
      <w:r w:rsidRPr="00A6019F">
        <w:t xml:space="preserve">PERIPHERAL NERVE AND NEUROMUSCULAR TRANSMISSION DISORDERS Peripheral autonomic neuropathies are the most common cause of autonomic insufficiency. These complex disorders can impact cardio vascular, gastrointestinal, urogenital, and sudomotor systems. They affect small myelinated and unmyelinated fibers of the sympathetic and parasympathetic nerves and commonly occur in diabetes mel litus, amyloidosis, chronic alcoholism, porphyria, idiopathic small fiber polyneuropathy, and Guillain-Barré syndrome. Neuromuscular junction disorders with autonomic involvement include botulism and Lambert-Eaton myasthenic syndrome (Chaps. 457–459). Diabetes Mellitus Diabetes mellitus remains one of the leading causes of peripheral autonomic neuropathy. The presence of autonomic neuropathy increases the mortality rate of diabetes up to threefold, even after adjusting for other cardiovascular risk factors. The neuropathy risk correlates with the product of the patient’s hemoglobin A1c values and the duration of the diabetes. Early autonomic impairment is most often 3550 manifest as cardiovascular parasympathetic hypofunction. As diabetes progresses, sympathetic hypofunction follows, dominated by OH. The autonomic involvement also predicts other complications including cor onary artery disease, renal disease, stroke, and sleep apnea. It also plays a significant role in the gastrointestinal dysmotility, which may further complicate glycemic control. Improved glycemic control significantly reduces the long-term risk of autonomic cardiovascular neuropathy. Diabetes mellitus is discussed in Chaps. 415–417. PART 13 Neurologic Disorders Amyloidosis Amyloidosis, both acquired primary (AL) and hered itary transthyretin (hATTR) types, leads to </w:t>
      </w:r>
      <w:r w:rsidRPr="00A6019F">
        <w:lastRenderedPageBreak/>
        <w:t xml:space="preserve">autonomic neuropathy. Patients usually present with a distal sensorimotor polyneuropathy accompanied by autonomic insufficiency, but an autonomic neuropa thy in isolation may also occur. A history of carpal tunnel syndrome is common. Postmortem studies reveal amyloid deposition in many organs, including two sites that contribute to autonomic failure: intra neural blood vessels and autonomic ganglia. For AL amyloidosis, the diagnosis is made by blood tests showing monoclonal gammopathy and elevated free light chains (with lambda more often than kappa being the culprit). For hATTR, If genetic testing for TTR mutations is negative, confirmation usually requires histologic diagnosis (abdomi nal fat pad, rectal mucosa, nerve/muscle biopsy, or myocardial biopsy in cases with cardiomyopathy) to search for amyloid deposits. Gene based treatments (either RNA silencing or antisense oligonucleotides) are effective for hATTR amyloidosis. Treatment for AL amyloidosis usually relies on chemotherapeutic drugs. Death is usually due to cardiac or renal involvement. Amyloidosis is discussed in Chap. 117. Alcoholic Neuropathy Abnormalities in parasympathetic vagal and efferent sympathetic function are usually mild in alcoholic poly neuropathy. OH is usually due to brainstem involvement, rather than injury to the PNS. Impotence is a common symptom, but concurrent gonadal hormone abnormalities may play a role in this symptom. Clinical symptoms of autonomic failure generally appear only when the stocking-glove polyneuropathy is severe, and there may be coex isting ataxia or Wernicke’s encephalopathy (Chap. 318). Autonomic involvement may contribute to the high mortality rates associated with alcoholism. Alcohol use disorders are discussed in Chap. 464. Porphyria Autonomic dysfunction occurs only in the hepatic por phyrias. It is documented in acute intermittent porphyria, but may also occur with variegate porphyria and hereditary coproporphyria. Sym pathetic overactivity dominates the clinical presentation. Autonomic symptoms include tachycardia, sweating, urinary retention, abdomi nal pain, nausea and vomiting, insomnia, hypertension, and (less commonly) hypotension. Often, patients have psychiatric symptoms dominated by anxiety, but depression and bipolar-like presentations may occur. Abnormal autonomic function can occur both during acute attacks and during remissions. Elevated catecholamine levels during acute attacks correlate with the degree of tachycardia and hypertension that is present. Porphyria is discussed in Chap. 428. Guillain-Barré Syndrome (GBS) GBS often causes autonomic instability, more often but not exclusively in more severe cases. Car diovascular dysautonomia can be life-threatening, and gastrointestinal autonomic involvement, abnormal sweating, and pupillary dysfunction may also occur. The dysautonomia is secondary to the demyelination of the vagus and glossopharyngeal nerves and the preganglionic sympathetic white rami communicantes. In some cases, autonomic involvement outweighs other manifestations of the motor or sensory neuropathy. Acute autonomic and sensory neuropathy is a variant that spares the motor system and presents with NOH and varying degrees of sensory loss. The treatment is similar to that for GBS (IV immuno globulin or plasma exchange), but the prognosis is less favorable, with persistent </w:t>
      </w:r>
      <w:r w:rsidRPr="00A6019F">
        <w:lastRenderedPageBreak/>
        <w:t xml:space="preserve">sensory deficits and variable degrees of OH present in many patients. GBS is discussed in Chap. 458. Autoimmune Autonomic Ganglionopathy (AAG) AAG is a rare form of dysautonomia. Approximately 100 Americans are diag nosed each year. It affects people of both sexes and all ages, although it is more common in women and in adults. Other names for this condition are acute pandysautonomia, idiopathic subacute autonomic neuropathy, and autoimmune autonomic neuropathy. It is typically associated with high titers of autoantibodies against the α3 subunit of the ganglionic acetylcholine nicotinic receptor (g-AChR α3). AAG often follows a triggering event: infection, surgery, autoimmunity, or malignancy in most patients. This condition is important to recognize because it is a treatable disorder. Symptoms mimic those caused by ganglion-blocking drugs without neuromuscular block, depending upon on which ANS division predominates. Ocular involvement leads to mydriasis and cycloplegia with blurred vision. Bronchial involve ment leads to bronchodilation. Gastrointestinal involvement leads to reduced motility and secretion. Genitourinary involvement leads to urinary retention and impaired erection and ejaculation. Cardiac involvement leads to mild tachycardia. Vascular involvement reduces sympathetic tone and produces postural hypotension. Involvement of salivary and sweat glands leads to dry mouth and impaired sweat ing. Symptoms of autonomic failure occur in various combinations: syncope and OH; labile blood pressure; gastrointestinal hypomotility; bladder hypomotility; pupillary dysfunction with Adie’s tonic pupil (slow reaction to light, bitter reaction to accommodation, slow relax ation afterward); dry mouth and eyes; and anhidrosis. Optic neuritis has also been reported in smokers with positive g-AChR α3 antibodies. Some patients with higher titers of AAG have a paraneoplastic form of the disease associated with small cell lung carcinoma, thy moma, or lymphoma (Chap. 99). Therefore, it is prudent to search for malignancy in the initial workup of AAG. Although no large studies have evaluated the efficacy of various treatments in AAG, IV immu noglobulin or plasmapheresis is generally used as first-line therapy, with glucocorticoids, rituximab, or mycophenolate mofetil, alone or in combination, used for nonresponders. Symptomatic treatment is of utmost importance, with attention to OI, gastrointestinal dysmotility, and genitourinary disturbances. Nonpharmacologic treatments such as exercise, increasing salt and fluid intake, compression stockings, and good sleep habits can also help. Seronegative Autoimmune Autonomic Neuropathy (SAAN) SAAN is likely a seronegative variant of AAG, as this con dition presents with subacute autonomic disturbances similar to AAG. Pathology shows preferential involvement of small unmyelinated nerve fibers, with sparing of larger myelinated ones. The neuropathy follows a viral infection in about half of cases. Several cases have been associ ated with use of checkpoint inhibitors. About one-third of untreated patients improve over time. Management is similar to that for AAG, although some patients may respond better to glucocorticoids as first line therapy. Botulism Botulinum toxin binds presynaptically to cholinergic nerve terminals and blocks ACh release. This condition presents with motor paralysis and signs of cholinergic failure that include blurred vision, </w:t>
      </w:r>
      <w:r w:rsidRPr="00A6019F">
        <w:lastRenderedPageBreak/>
        <w:t xml:space="preserve">sluggishly reactive pupils, dry mouth, dry skin, reduced gastric and colonic motility, and urinary retention (Chap. 138). Chronic Idiopathic Anhidrosis Chronic idiopathic anhidrosis is a rare condition in which patients present with heat intolerance but preserved vasomotor function. There is no associated somatic neuropathy. Some patients may have Adie’s tonic pupils as well (Ross syndrome). Acknowledgment Richard J. Barohn and John W. Engstrom contributed to this chapter in the prior edition and material from that chapter has been retained here. </w:t>
      </w:r>
      <w:r w:rsidRPr="00A6019F">
        <w:rPr>
          <w:rFonts w:ascii="Arial" w:hAnsi="Arial" w:cs="Arial"/>
        </w:rPr>
        <w:t>■</w:t>
      </w:r>
      <w:r w:rsidRPr="00A6019F">
        <w:t>FURTHER READING Campbell WW, Baron RJ: The autonomic nervous system, in DeJong</w:t>
      </w:r>
      <w:r w:rsidRPr="00A6019F">
        <w:rPr>
          <w:rFonts w:ascii="Aptos" w:hAnsi="Aptos" w:cs="Aptos"/>
        </w:rPr>
        <w:t>’</w:t>
      </w:r>
      <w:r w:rsidRPr="00A6019F">
        <w:t xml:space="preserve">s The Neurologic Examination, 8th ed. WW Campbell, RJ Barohn (eds). Philadelphia, Wolters Kluwer, 2020. Cheshire WP: Autonomic history, examination and laboratory evalu ation. Continuum (Minneap Minn) 26:25, 2020. Donadio V et al: Phosphorylated α-synuclein in skin Schwann cells: A new biomarker for multiple system atrophy. Brain 146:1065, 2023. 3551 Fedorowski A, Sutton R: Autonomic dysfunction and postural orthostatic tachycardia syndrome in postacute Covid 19 syndrome. Nat Rev Cardiol 20:281, 2023. Gibbons C et al: Cutaneous α-synuclein alpha signatures in patients with multiple system atrophy and Parkinson disease. Neurology 100:e1529, 2023. Gibbons CH et al: Skin biopsy in evaluation of autonomic disorders. Continuum (Minneap Minn) 26:200, 2020. Jaradeh SS, Prieto TE: Evaluation of the autonomic nervous system. Phys Med Rehabil Clin N Am 14:287, 2003. Lamotte G, Sandroni P: Updates from the diagnosis and treatment of peripheral autonomic neuropathies. Curr Neurol Neurosci Rep 12:823, 2022. Vernino S: Autoimmune autonomic disorders. Continuum (Minneap Minn) 26:44, 2020. 452 Trigeminal Neuralgia, Bell’s Palsy, and Other Cranial Nerve Disorders Vanja C. Douglas, Stephen L. Hauser The cranial nerves consist of 12 paired nerves that mediate variable combinations of motor, sensory, and autonomic functions. They are considered as a group because of their close anatomic relationship to the brainstem (Fig. 452-1) and to one another, and tendency to be involved together in a variety of disease states. Nine cranial nerves connect directly with brainstem nuclei; the exceptions are cranial nerves 1 (olfactory) and 2 (optic) that are more accurately considered fiber tracts of the brain, and cranial nerve 11 (spinal accessory) whose motor neurons reside largely in the upper cervical cord. Analogous to spinal nerves (Chap. 453), motor fibers of the cranial nerves have their origin in the brainstem or upper cervical cord, while sensory nerves are pseudounipolar, with ganglia outside the central nervous system and a synapse with second-order fibers in the brainstem. Symptoms and signs of cranial nerve pathology are common in internal medicine. They may develop in the context of a widespread neurologic disturbance, and in such situations, cranial nerve involve ment may represent the initial manifestation of the illness. In other disorders, involvement is largely restricted to one or several cranial nerves; these distinctive disorders are reviewed in this chapter. Disor ders of olfaction are discussed in Chap. 35, vision and ocular move ment in Chap. 34, hearing in Chap. 36, and vestibular function in Chap. 24. FACIAL PAIN OR NUMBNESS </w:t>
      </w:r>
      <w:r w:rsidRPr="00A6019F">
        <w:rPr>
          <w:rFonts w:ascii="Arial" w:hAnsi="Arial" w:cs="Arial"/>
        </w:rPr>
        <w:t>■</w:t>
      </w:r>
      <w:r w:rsidRPr="00A6019F">
        <w:t xml:space="preserve">ANATOMIC CONSIDERATIONS The trigeminal (fifth cranial) nerve supplies sensation to the skin of the face, anterior half of the head, and </w:t>
      </w:r>
      <w:r w:rsidRPr="00A6019F">
        <w:lastRenderedPageBreak/>
        <w:t xml:space="preserve">the nasal and oral mucosa (Fig. 452-2). The motor part innervates the muscles involved in chewing (including masseter, temporalis, and pterygoids) as well as the anterior belly of the digastric, mylohyoid, tensor veli palatini, and the tensor tympani (hear ing especially for high-pitched tones). It is the largest of the cranial nerves. It exits in the lateral midpons and traverses the middle cranial fossa to the semilunar (gasserian, trigeminal) ganglion in Meckel’s cave, where the nerve splits into three divisions (ophthalmic [V1], maxillary [V2], and mandibular [V3]). V1 and V2 traverse the cavernous sinus to exit in the superior orbital fissure and foramen rotundum; V3 exits through the foramen ovale. The trigeminal nerve is predominantly Frontal lobe Olfactory bulb and peduncle Cranial nerves II III IV V VI VII VIII IX X XI XII Cerebellum Pituitary gland Mamillary bodies Temporal lobe Trigeminal ganglion Cerebello pontine angle FIGURE 452-1 Ventral view of the brain, illustrating relationships between the 12 pairs of cranial nerves and the brainstem. (Adapted from SG Waxman: Clinical Neuroanatomy, 29th ed. http://www.accessmedicine.com.) sensory, and motor innervation is exclusively carried in V3. The cor nea is primarily innervated by V1, although an inferior crescent may be V2. Upon entering the pons, pain and temperature fibers descend ipsilaterally as far as the upper cervical spinal cord as the spinal tract of V, before synapsing with the spinal nucleus of V; this accounts for the facial numbness that can occur with spinal cord lesions above C2. In the brainstem, the spinal tract of V is also located adjacent to crossed ascending fibers of the spinothalamic tract, producing a “crossed” sen sory loss for pain and temperature (ipsilateral face, contralateral arm/ trunk/leg) with lesions of the lateral lower brainstem. CN V is also ensheathed by oligodendrocyte-derived, rather than Schwann cell derived, myelin for up to 7 mm after it leaves the brainstem, unlike just a few millimeters for other cranial and spinal nerves; this may explain some instances of trigeminal neuralgia in multiple sclerosis (MS) (Chap. 455), a disorder of oligodendrocyte myelin. </w:t>
      </w:r>
      <w:r w:rsidRPr="00A6019F">
        <w:rPr>
          <w:rFonts w:ascii="Arial" w:hAnsi="Arial" w:cs="Arial"/>
        </w:rPr>
        <w:t>■</w:t>
      </w:r>
      <w:r w:rsidRPr="00A6019F">
        <w:t xml:space="preserve">TRIGEMINAL NEURALGIA (TIC DOULOUREUX) Clinical Manifestations Trigeminal neuralgia is characterized by excruciating paroxysms of pain in the lips, gums, cheek, or chin and, very rarely, in the distribution of the ophthalmic division of the fifth nerve. The pain seldom lasts more than a few seconds or a minute or two but may be so intense that the patient winces, hence the term tic. The paroxysms, experienced as single jabs or clusters, tend to recur frequently, both day and night, for several weeks at a time. They may occur spontaneously or be brought on with movements of affected areas by speaking, chewing, or smiling. Another characteristic feature is the presence of trigger zones, typically on the face, lips, or tongue, that provoke attacks; patients may report that tactile stimuli—e.g., washing the face, brushing the teeth, or exposure to a draft of air— generate excruciating pain. An essential feature of trigeminal neural gia is that objective signs of sensory loss cannot be demonstrated on examination. Trigeminal neuralgia is relatively common, with an estimated annual incidence of 4–8 per 100,000 individuals. Middle-aged and CHAPTER 452 Trigeminal Neuralgia, Bell’s Palsy, and Other Cranial Nerve Disorders 3552 KEY Ophthalmic (V1) Maxillary (V2) Mandibular (V3) PART 13 </w:t>
      </w:r>
      <w:r w:rsidRPr="00A6019F">
        <w:lastRenderedPageBreak/>
        <w:t xml:space="preserve">Supraorbital nerve Frontal branch of frontal nerve Supratrochlear nerve C2 C3 C4 Anterior ethmoidal nerve Posterior ethmoidal nerve Frontal nerve Neurologic Disorders Infratrochlear nerve Internal nasal rami Infraorbital nerve External nasal rami Nasal and labial rami of infraorbital nerve Anterior superior alveolar nerves Submandibular ganglion Submandibular and sublingual glands m i a Ophthalmic nerve Semilunar ganglion M a r x l c Mylohyoid nerve Anterior belly of digastric muscle Mental nerve Mesencephalic nucleus of V Main sensory nucleus of V Main motor nucleus of V Nucleus of spinal tract of V Mandibular nerve Anterior and posterior deep temporal nerves (to temporal muscles) a Otic ganglion Pterygopalatine ganglion Auriculotemporal nerve Lateral pterygoid muscle Chorda tympani nerve i Buccinator nerve L Medial pterygoid muscle Masseter muscle L i l n l FIGURE 452-2 The trigeminal nerve and its branches and sensory distribution on the face. The three major sensory divisions of the trigeminal nerve consist of the ophthalmic, maxillary, and mandibular nerves. (Reproduced with permission from Waxman SG: Clinical Neuroanatomy, 26th ed. New York, McGraw-Hill, 2009.) g I elderly persons are affected primarily, and ~60% of cases occur in women. Onset is typically sudden, and bouts tend to persist for weeks or months before remitting spontaneously. Remissions may be long lasting, but in most patients, the disorder ultimately recurs. n f e u a brain sagging and increased vascular thickness and tortuosity may explain the prevalence of trigeminal neuralgia in later life. a r Pathophysiology Symptoms result from ectopic generation of action potentials in pain-sensitive afferent fibers of the fifth cranial nerve root just before it enters the lateral surface of the pons. Com pression or other pathology in the nerve leads to demyelination of large myelinated fibers that do not themselves carry pain sensation but become hyperexcitable and electrically coupled with smaller unmy elinated or poorly myelinated pain fibers in close proximity; this may explain why tactile stimuli, conveyed via the large myelinated fibers, can stimulate paroxysms of pain. Compression of the trigeminal nerve root by a blood vessel, most often the superior cerebellar artery or on occasion a tortuous vein, is believed to be the source of trigeminal neu ralgia in most patients. In cases of vascular compression, age-related i o r a l r l n y Differential Diagnosis Trigeminal neuralgia must be distin guished from other causes of face and head pain (Chap. 17) and from pain arising from diseases of the jaw, teeth, or sinuses. Pain from migraine or cluster headache tends to be deep-seated and steady, unlike the superficial stabbing quality of trigeminal neuralgia; rarely, cluster headache is associated with trigeminal neuralgia, a syndrome known as cluster-tic. Other rare, paroxysmal headache disorders such as short-lasting unilateral headache attacks with conjunctival injec tion and tearing, short-lasting unilateral headache attacks with cranial autonomic symptoms, and paroxysmal hemicrania (Chap. 441) are distinguished by the frequency and duration of attacks and associated autonomic symptoms. In temporal arteritis, superficial facial pain is present but is not typically shocklike, the patient frequently complains of myalgias and other systemic symptoms, and an elevated erythrocyte e v e o l a r r n v e r v e e Trigeminal Neuralgia, Bell’s Palsy, </w:t>
      </w:r>
      <w:r w:rsidRPr="00A6019F">
        <w:lastRenderedPageBreak/>
        <w:t xml:space="preserve">and Other Cranial Nerve Disorders 3553 CHAPTER 452 TABLE 452-1 Trigeminal Nerve Disorders Nuclear (Brainstem) Lesions Multiple sclerosis Stroke Syringobulbia Glioma Lymphoma Preganglionic Lesions Acoustic neuroma Meningioma Metastasis Chronic meningitis Cavernous carotid aneurysm Semilunar Ganglion Lesions Trigeminal neuroma Herpes zoster Infection (spread from otitis media or mastoiditis) Cavernous Sinus Lesions (see Table 452-2) Peripheral Nerve Lesions Tumor (e.g., nasopharyngeal carcinoma, squamous cell carcinoma, lymphoma) Trauma Guillain-Barré syndrome Sjögren’s syndrome Collagen-vascular diseases Sarcoidosis Leprosy Drugs (stilbamidine, trichloroethylene) Idiopathic trigeminal neuropathy sedimentation rate (ESR) or C-reactive protein (CRP) is usually present (Chap. 375). When trigeminal neuralgia develops in a young adult or is bilateral, MS is a key consideration, and in such cases, the cause is often a demyelinating plaque near the root entry zone of the fifth nerve in the pons, especially when there is evidence of superimposed facial sensory loss, which can be subtle. Cases that are secondary to mass lesions—such as aneurysms, neurofibromas, acoustic schwannomas, or meningiomas—usually produce objective signs of sensory loss in the trigeminal nerve distribution (trigeminal neuropathy, see below). Laboratory Evaluation An ESR or CRP is indicated if temporal arteritis is suspected. Neuroimaging studies are often necessary to exclude secondary causes and help assess overlying vascular lesions in order to plan for decompression surgery. TREATMENT Trigeminal Neuralgia Drug therapy with carbamazepine is effective in ~50–75% of patients. Carbamazepine should be started as a single daily dose of 100 mg taken with food and increased gradually (by 100 mg daily in divided doses every 1–2 days) until substantial (&gt;50%) pain relief is achieved. Most patients require a maintenance dose of 200 mg four times daily. Doses &gt;1200 mg daily provide no additional benefit. Dizziness, imbalance, sedation, and rare cases of agranulocytosis are the most important side effects of carbamazepine. If treatment is effective, it is usually continued for 1 month and then tapered as tolerated. Oxcarbazepine (300–1200 mg bid) is an alternative to carbamazepine that has less bone marrow toxicity and probably is equally efficacious. If these agents are not well tolerated or are inef fective, phenytoin (300–400 mg daily) is another option. Lamotrigine (400 mg daily), baclofen (10–20 mg tid), or topiramate (50 mg bid) may also be tried. Gabapentin, up to 3600 mg daily in divided doses, may occasionally provide relief. If drug treatment fails, surgical therapy should be offered. The most widely used method is currently microvascular decompres sion to relieve pressure on the trigeminal nerve as it exits the pons. This procedure requires a suboccipital craniotomy. This proce dure appears to have a &gt;70% efficacy rate and a low rate of pain recurrence in responders; the response is better for classic ticlike symptoms than for nonlancinating facial pains. High-resolution magnetic resonance angiography is useful preoperatively to visual ize the relationships between the fifth cranial nerve root and nearby blood vessels. Gamma knife radiosurgery of the trigeminal nerve root is also used for treatment and results in complete pain relief, sometimes delayed in onset, in approximately one-half of patients and a low risk of </w:t>
      </w:r>
      <w:r w:rsidRPr="00A6019F">
        <w:lastRenderedPageBreak/>
        <w:t xml:space="preserve">persistent facial numbness; the response is sometimes long lasting, but recurrent pain develops over 2–3 years in one-third of patients. Compared with surgical decompression, gamma knife surgery appears to be somewhat less effective but has few serious complications. Another procedure, radiofrequency thermal rhizotomy, creates a heat lesion of the trigeminal ganglion or nerve. Short-term relief is experienced by &gt;95% of patients; long-term studies indicate that pain recurs in up to one-third of treated patients. Postoperatively, partial numbness of the face is common, masseter (jaw) weakness may occur especially following bilateral procedures, and corneal denervation with secondary keratitis can follow rhizotomy for first division trigeminal neuralgia. Percutaneous balloon compression of the trigeminal ganglion is an alternative approach performed under general anesthesia that results in similar rates of short- and long term pain relief and is also commonly complicated by ipsilateral facial numbness. </w:t>
      </w:r>
      <w:r w:rsidRPr="00A6019F">
        <w:rPr>
          <w:rFonts w:ascii="Arial" w:hAnsi="Arial" w:cs="Arial"/>
        </w:rPr>
        <w:t>■</w:t>
      </w:r>
      <w:r w:rsidRPr="00A6019F">
        <w:t xml:space="preserve">TRIGEMINAL NEUROPATHY A variety of diseases can affect the trigeminal nerve (Table 452-1). Most present with sensory loss on the face or with weakness of the jaw muscles. Deviation of the jaw on opening indicates weakness of the pterygoids on the side to which the jaw deviates. Some cases are due to Sjögren’s syndrome or a collagen-vascular disease such as systemic lupus erythematosus, scleroderma, or mixed connective tissue disease. Among infectious causes, herpes zoster (acute or postherpetic) and lep rosy should be considered. Tumors of the middle cranial fossa (menin giomas), of the trigeminal nerve (schwannomas), or of the base of the skull (metastatic tumors) may cause a combination of motor and sen sory signs. Lesions in the cavernous sinus can affect the first and sec ond divisions of the trigeminal nerve, and lesions of the superior orbital fissure can affect the first (ophthalmic) division; the accompanying corneal anesthesia increases the risk of ulceration (neurokeratitis). Isolated sensory loss over the chin (mental neuropathy) can be the only manifestation of systemic malignancy. Rarely, an idiopathic form of trigeminal neuropathy is observed. It is characterized by numb ness and paresthesias, sometimes bilaterally, with loss of sensation in the territory of the trigeminal nerve but without weakness of the jaw. Gradual recovery is the rule. Tonic spasm of the masticatory muscles, known as trismus, is symptomatic of tetanus (Chap. 157) or may occur in patients treated with phenothiazines. FACIAL WEAKNESS </w:t>
      </w:r>
      <w:r w:rsidRPr="00A6019F">
        <w:rPr>
          <w:rFonts w:ascii="Arial" w:hAnsi="Arial" w:cs="Arial"/>
        </w:rPr>
        <w:t>■</w:t>
      </w:r>
      <w:r w:rsidRPr="00A6019F">
        <w:t xml:space="preserve">ANATOMIC CONSIDERATIONS (Fig. 452-3) The seventh cranial nerve supplies all the muscles con cerned with facial expression, as well as the stapedius, stylohyoid, and posterior belly of the digastric. The sensory and parasympathetic com ponents (the nervus intermedius) convey taste sensation from the ante rior two-thirds of the tongue, cutaneous impulses from the anterior wall of the external auditory canal, and preganglionic parasympathetic signals to the pterygopalatine and submandibular ganglia, stimulat ing lacrimation, rhinorrhea, and salivation. The cell bodies of pseu dounipolar sensory neurons lie in the geniculate ganglion. The motor nucleus of the seventh nerve lies anterior and lateral to the abducens nucleus. After leaving the pons, the seventh nerve enters the internal auditory meatus with the acoustic nerve. The nerve continues its course 3554 Superior </w:t>
      </w:r>
      <w:r w:rsidRPr="00A6019F">
        <w:lastRenderedPageBreak/>
        <w:t xml:space="preserve">salivatory nucleus Motor nucleus VI n. Motor nucleus VII n. Nucleus fasciculus solitarius PART 13 VII n. Geniculate ganglion V n. C Major superficial petrosal nerve Trigeminal ganglion 1 2 3 Lacrimal gland B A Fasciculus solitarius Chorda tympani Neurologic Disorders Lingual nerve To nasal and palatine glands Pterygopalatine ganglion Sublingual gland Submandibular ganglion Submandibular gland FIGURE 452-3 The facial nerve. A, B, and C denote lesions of the facial nerve at the stylomastoid foramen, distal and proximal to the geniculate ganglion, respectively. Green lines indicate the parasympathetic fibers, red line indicates motor fibers, and purple lines indicate visceral afferent fibers (taste). (Reproduced with permission from MB Carpenter: Core Text of Neuroanatomy, 2nd ed. Williams &amp; Wilkins, 1978.) in its own bony channel, the facial canal, and exits from the skull via the stylomastoid foramen. It then passes through the parotid gland and subdivides to supply the facial muscles. A complete interruption of the facial nerve at the stylomastoid fora men paralyzes all muscles of facial expression. The corner of the mouth droops, the creases and skinfolds are effaced, the forehead is unfur rowed, and the eyelids will not close. Upon attempted closure of the lids, the eye on the paralyzed side rolls upward (Bell’s phenomenon). The lower lid sags and falls away from the conjunctiva, permitting tears to spill over the cheek. Food collects between the teeth and lips, and saliva may dribble from the corner of the mouth. The patient com plains of a heaviness or numbness in the face, but sensory loss is rarely demonstrable and taste is intact. If the lesion is in the middle-ear portion, taste is lost over the ante rior two-thirds of the tongue on the same side. If the nerve to the sta pedius is interrupted, there is hyperacusis (sensitivity to loud sounds). Lesions in the internal auditory meatus may affect the adjacent audi tory and vestibular nerves, causing deafness, tinnitus, or dizziness. Intrapontine lesions that paralyze the face usually affect the abducens nucleus as well, and often the corticospinal and sensory tracts. If the peripheral facial paralysis has existed for some time and recov ery of motor function is incomplete, a continuous diffuse contraction of facial muscles may appear. The palpebral fissure becomes narrowed, and the nasolabial fold deepens. Facial spasms, initiated by movements of the face, may develop (hemifacial spasm). Anomalous regeneration of seventh nerve fibers may result in other troublesome phenomena. If fibers originally connected with the orbicularis oculi come to innervate the orbicularis oris, closure of the lids may cause a retraction of the mouth (synkinesis), or if parasympathetic fibers originally connected with salivary glands later innervate the lacrimal gland, anomalous tear ing (“crocodile tears”) may occur with eating. Another facial synkinesia is triggered by jaw opening, causing closure of the eyelids on the side of the facial palsy (jaw-winking). </w:t>
      </w:r>
      <w:r w:rsidRPr="00A6019F">
        <w:rPr>
          <w:rFonts w:ascii="Arial" w:hAnsi="Arial" w:cs="Arial"/>
        </w:rPr>
        <w:t>■</w:t>
      </w:r>
      <w:r w:rsidRPr="00A6019F">
        <w:t>BELL</w:t>
      </w:r>
      <w:r w:rsidRPr="00A6019F">
        <w:rPr>
          <w:rFonts w:ascii="Aptos" w:hAnsi="Aptos" w:cs="Aptos"/>
        </w:rPr>
        <w:t>’</w:t>
      </w:r>
      <w:r w:rsidRPr="00A6019F">
        <w:t>S PALSY The most common form of facial paralysis is Bell</w:t>
      </w:r>
      <w:r w:rsidRPr="00A6019F">
        <w:rPr>
          <w:rFonts w:ascii="Aptos" w:hAnsi="Aptos" w:cs="Aptos"/>
        </w:rPr>
        <w:t>’</w:t>
      </w:r>
      <w:r w:rsidRPr="00A6019F">
        <w:t xml:space="preserve">s palsy. The annual incidence of this idiopathic disorder is ~25 per 100,000 annually, or about 1 in 60 persons in a lifetime. Risk factors include pregnancy and diabetes mellitus. Clinical Manifestations The onset of Bell’s palsy is fairly abrupt, with maximal weakness being attained by 48 h as a general rule. Pain behind the ear may precede the paralysis for a day or two. Taste sensa tion may be lost unilaterally, and </w:t>
      </w:r>
      <w:r w:rsidRPr="00A6019F">
        <w:lastRenderedPageBreak/>
        <w:t xml:space="preserve">hyperacusis may be present. In some cases, there is mild cerebrospinal fluid lymphocytosis. MRI may reveal swelling and uniform enhancement of the geniculate ganglion and facial nerve and, in some cases, entrapment of the swollen nerve in the temporal bone. Approximately 80% of patients recover within a few weeks or months. Electromyography may be of some prognostic value; evidence of denervation after 10 days indicates there has been axonal degeneration, that there will be a long delay (3 months as a rule) before regeneration occurs, and that it may be incomplete. The presence of incomplete paralysis in the first week is the most favorable prognostic sign. Recurrences are reported in ~7% of cases. Pathophysiology In acute Bell’s palsy, there is inflammation of the facial nerve with mononuclear cells, consistent with an infectious or immune cause. Herpes simplex virus (HSV) type 1 DNA was fre quently detected in endoneurial fluid and posterior auricular muscle, suggesting that a reactivation of this virus in the geniculate ganglion may be responsible for most cases. Reactivation of varicella-zoster virus is associated with Bell’s palsy in up to one-third of cases and may represent the second most frequent cause. A variety of other viruses including SARS-CoV-2 have also been implicated less commonly, and Bell’s palsy can be observed in the setting of human immunodeficiency virus (HIV) seroconversion. Differential Diagnosis There are many other causes of acute facial palsy that must be considered in the differential diagnosis of Bell’s palsy. Lyme disease can cause unilateral or bilateral facial palsies; in endemic areas, ≥10% of cases of facial palsy are likely due to infection with Borrelia burgdorferi (Chap. 191). Ramsay Hunt syndrome, caused by reactivation of herpes zoster in the geniculate ganglion, consists of a severe facial palsy associated with a vesicular eruption in the external auditory canal and sometimes in the pharynx and other parts of the 3555 A B FIGURE 452-4 Axial and coronal T1-weighted images after gadolinium with fat suppression demonstrate diffuse smooth linear enhancement of the left facial nerve, involving the genu, tympanic, and mastoid segments within the temporal bone (arrows), without evidence of mass lesion. Although highly suggestive of Bell’s palsy, similar findings may be seen with other etiologies such as Lyme disease, sarcoidosis, and perineural malignant spread. cranial integument; often the eighth cranial nerve is affected as well. Facial palsy that is often bilateral occurs in sarcoidosis (Chap. 379) and in Guillain-Barré syndrome (Chap. 458). Leprosy frequently involves the facial nerve, and facial neuropathy may also occur in diabetes mel litus, connective tissue diseases including Sjögren’s syndrome, and amy loidosis. The rare Melkersson-Rosenthal syndrome consists of recurrent facial paralysis; recurrent—and eventually permanent—facial (particu larly labial) edema; and, less constantly, plication of the tongue. Its cause is unknown. Acoustic neuromas frequently involve the facial nerve by local compression. Infarcts, demyelinating lesions of MS, and tumors are common pontine lesions that interrupt the facial nerve fibers; other signs of brainstem involvement are usually present. Tumors that invade the temporal bone (carotid body, cholesteatoma, dermoid) may produce a facial palsy, but the onset is insidious and the course progressive. Facial palsy after temporal bone </w:t>
      </w:r>
      <w:r w:rsidRPr="00A6019F">
        <w:lastRenderedPageBreak/>
        <w:t xml:space="preserve">fracture can present acutely or after a delay of several days; blunt head injury without temporal bone fracture may also trigger facial palsy. All these forms of nuclear or peripheral facial palsy must be dis tinguished from the supranuclear type. In the latter, the frontalis and orbicularis oculi muscles of the forehead are involved less than those of the lower part of the face, since the upper facial muscles are inner vated by corticobulbar pathways from both motor cortices, whereas the lower facial muscles are innervated only by the opposite hemisphere. In supranuclear lesions, there may be a dissociation of emotional and voluntary facial movements, and often some degree of paralysis of the arm and leg or an aphasia (in dominant-hemisphere lesions) is present. Laboratory Evaluation The diagnosis of Bell’s palsy can usually be made clinically in patients with (1) a typical presentation, (2) no risk factors or preexisting symptoms for other causes of facial paralysis, (3) absence of cutaneous lesions of herpes zoster in the external ear canal, and (4) a normal neurologic examination apart from the facial nerve. Particular attention to the eighth cranial nerve, which courses near to the facial nerve in the pontomedullary junction and in the temporal bone, and to other cranial nerves is essential. In atypical or uncertain cases, an ESR or CRP, testing for diabetes mellitus, a Lyme titer, HIV serologies, angiotensin-converting enzyme and chest imaging studies for possible sarcoidosis, a lumbar puncture for possible Guillain-Barré syndrome, or MRI scanning may be indicated. MRI often shows swelling and enhancement of the facial nerve in idiopathic Bell’s palsy (Fig. 452-4). 5 days and then tapered over the next 5 days, modestly shortens recovery and improves the functional outcome. Although large and well-controlled randomized trials found no added benefit of the antiviral agents valacyclovir (1000 mg daily for 5–7 days) or acyclovir (400 mg five times daily for 10 days) compared to gluco corticoids alone, either of these agents should be used if vesicular lesions are observed in the palate or external auditor canal. For patients with permanent paralysis from Bell’s palsy, a number of cosmetic surgical procedures have been used to restore a relatively symmetric appearance to the face. </w:t>
      </w:r>
      <w:r w:rsidRPr="00A6019F">
        <w:rPr>
          <w:rFonts w:ascii="Arial" w:hAnsi="Arial" w:cs="Arial"/>
        </w:rPr>
        <w:t>■</w:t>
      </w:r>
      <w:r w:rsidRPr="00A6019F">
        <w:t>OTHER MOTOR DISORDERS OF THE FACE Hemifacial spasm consists of painless irregular involuntary contrac tions on one side of the face. Most cases appear related to vascular compression of the exiting facial nerve in the pons. Other cases develop as a sequela to Bell’s palsy or are secondary to compression and/or demyelination of the nerve by tumor, infection, or MS. Local injec tions of botulinum toxin into affected muscles can relieve spasms for 3–4 months, and the injections can be repeated. Refractory cases due to vascular compression usually respond to surgical decompression of the facial nerve. Anecdotal reports describe success using carbamaze pine, gabapentin, or baclofen. Blepharospasm is an involuntary recur rent spasm of both eyelids that usually occurs in elderly persons as an isolated phenomenon or with varying degrees of spasm of other facial muscles. Severe, persistent cases of blepharospasm can be treated by local injection of botulinum toxin into the orbicularis oculi. Clonaz epam, baclofen, and trihexyphenidyl have also been used to treat this disorder. Facial myokymia refers to a fine rippling activity of the facial muscles; it may be caused by MS or follow Guillain-</w:t>
      </w:r>
      <w:r w:rsidRPr="00A6019F">
        <w:lastRenderedPageBreak/>
        <w:t xml:space="preserve">Barré syndrome (Chap. 458). CHAPTER 452 Trigeminal Neuralgia, Bell’s Palsy, and Other Cranial Nerve Disorders OTHER CRANIAL NERVE DISORDERS </w:t>
      </w:r>
      <w:r w:rsidRPr="00A6019F">
        <w:rPr>
          <w:rFonts w:ascii="Arial" w:hAnsi="Arial" w:cs="Arial"/>
        </w:rPr>
        <w:t>■</w:t>
      </w:r>
      <w:r w:rsidRPr="00A6019F">
        <w:t>GLOSSOPHARYNGEAL NEURALGIA TREATMENT Bell</w:t>
      </w:r>
      <w:r w:rsidRPr="00A6019F">
        <w:rPr>
          <w:rFonts w:ascii="Aptos" w:hAnsi="Aptos" w:cs="Aptos"/>
        </w:rPr>
        <w:t>’</w:t>
      </w:r>
      <w:r w:rsidRPr="00A6019F">
        <w:t xml:space="preserve">s Palsy Symptomatic measures include (1) the use of paper tape to depress the upper eyelid during sleep and prevent corneal drying, (2) arti ficial tears, and (3) massage of the weakened muscles. A course of glucocorticoids, given as prednisone 60–80 mg daily during the first The ninth cranial (glossopharyngeal) nerve (Fig. 452-5) conveys somatic sensation from the pharynx, middle ear, tympanic membrane, eustachian tube, and posterior third of the tongue to the spinal trigemi nal nucleus. It also relays taste from the posterior third of the tongue and information about blood pressure from baroreceptors in the carotid sinus to the nucleus solitarius, which also serves as the sensory nucleus for the vagus nerve. Motor function originates in the nucleus ambiguus and is limited to the stylopharyngeus muscle. Parasympa thetic fibers from the medullary inferior salivatory nucleus synapse in the otic ganglion with postganglionic fibers that innervate the parotid gland. Glossopharyngeal neuralgia resembles trigeminal neuralgia in many respects but is much less common. Sometimes it involves por tions of the tenth (vagus) nerve. The pain is intense and paroxysmal; it originates on one side of the throat, approximately in the tonsillar fossa. 3556 PART 13 Neurologic Disorders Inferior salivatory nucleus (parasympathetic) Facial nerve Geniculotympanic nerve Great petrosal nerve Nerve of the pterygoid canal Pterygopalatine ganglion Otic ganglion Parotid gland Small petrosal nerve Auditory tube (eustachian) Deep petrosal nerve (sympathetic) Internal carotid artery Tympanic nerve (of jacobson) to tympanic plexus Tympanic nerve (of jacobson) to tympanic plexus Styloglossus muscle Communication with facial nerve Stylopharyngeal muscle Sensory branches to soft palate, fauces, and tonsils Tonsils Taste and sensation to posterior third of tongue Ambiguus nucleus (motor) Nucleus of solitary tract (sensory) Superior or jugular ganglion Jugular foramen VII FO FR TP Petrous portion of temporal bone Communication with auricular branch of X Petrous ganglion Nodose ganglion X Carotid body Carotid sinus and nerve plexus Sinus nerve Common carotid artery Vagal root (motor and sensory) Pharyngeal plexus Sympathetic root (vasomotor) To muscles and mucous membrane of the pharynx and soft palate Parasympathetic nerves Sensory nerves Motor nerves Sympathetic nerves IX (Sensory) Superior cervical sympathetic ganglion FIGURE 452-5 The ninth cranial (glossopharyngeal) nerve. FO, foramen ovale; FR, foramen rotundum; TP, tympanum plexus. (Reproduced with permission from SG Waxman: Clinical Neuroanatomy, 29th ed. New York, McGraw Hill, 2020.) In some cases, the pain is localized in the ear or may radiate from the throat to the ear because of involvement of the tympanic branch of the glossopharyngeal nerve. Spasms of pain may be initiated by swallowing or coughing. There is no demonstrable motor or sensory deficit. Cardiac symptoms—bradycardia or asystole, hypotension, and fainting— have been reported. Glossopharyngeal neuralgia can result from vascu lar compression, MS, or tumors, but many cases are idiopathic. Medical therapy is similar to that for trigeminal neuralgia, and carbamazepine is generally the first choice. If drug therapy is </w:t>
      </w:r>
      <w:r w:rsidRPr="00A6019F">
        <w:lastRenderedPageBreak/>
        <w:t xml:space="preserve">unsuccessful, surgical procedures—including microvascular decompression if vascular com pression is evident—or rhizotomy of glossopharyngeal and vagal fibers in the jugular bulb is frequently successful. </w:t>
      </w:r>
      <w:r w:rsidRPr="00A6019F">
        <w:rPr>
          <w:rFonts w:ascii="Arial" w:hAnsi="Arial" w:cs="Arial"/>
        </w:rPr>
        <w:t>■</w:t>
      </w:r>
      <w:r w:rsidRPr="00A6019F">
        <w:t xml:space="preserve">DYSPHAGIA AND DYSPHONIA The tenth cranial (vagus) nerve (Fig. 452-6) carries somatic sen sation from the posterior aspect of the external auditory canal, laryngopharynx, superior larynx, and meninges of the posterior fossa to the spinal trigeminal nucleus, as well as taste from the epiglottis and pharynx and visceral sensation from chemoreceptors and barorecep tors in the aortic arch, heart, and gastrointestinal tract to the splenic flexure to the nucleus solitarius. The motor part originates in the nucleus ambiguous and innervates most muscles of the oropharynx and soft palate as well as all laryngeal muscles. Parasympathetic fibers originate in the dorsal motor nucleus of the vagus nerve and decrease the heart rate through action at the sinoatrial and atrioventricular nodes; others promote peristalsis and secretion of the alimentary tract from the esophagus to the splenic flexure. When the intracranial por tion of one vagus (tenth cranial) nerve is interrupted, the soft palate droops ipsilaterally and does not rise in phonation. There is loss of the gag reflex on the affected side, as well as of the “curtain movement” of the lateral wall of the pharynx, whereby the faucial pillars move medi ally as the palate rises in saying “ah.” The voice is hoarse and slightly Trigeminal Neuralgia, Bell’s Palsy, and Other Cranial Nerve Disorders 3557 CHAPTER 452 Meningeal branch to posterior fossa Auricular branch to posterior auricle and part of external meatus Muscles to palate and pharynx Sensation to lower pharynx Epiglottic and lingual rami Inferior pharyngeal constrictor Cricothyroid muscle Right recurrent laryngeal nerve Left recurrent laryngeal nerve Left vagus nerve Aortic arch Diaphragm Stomach Spleen Pancreas Left kidney Superior laryngeal nerve Sternocleidomastoid muscle Nucleus of solitary tract Nucleus of spinal tract of V Ambiguus nucleus Dorsal motor nucleus of vagus Spinal roots of accessory nerve Trapezius muscle Arytenoid, thyroarytenoid, and cricoarytenoid muscles Esophagus Glottis Right subclavian artery Cardiac nerves Cardiac plexus Pulmonary plexus Esophageal plexus Liver Gallbladder Right kidney Small intestine Celiac plexus C1 C5 N J IX VII X XI Sensory nerves Parasympathetic nerves Motor nerves FIGURE 452-6 The vagus nerve. J, jugular (superior) ganglion; N, nodose (inferior) ganglion. (Reproduced with permission from SG Waxman: Clinical Neuroanatomy, 29th ed. New York, McGraw Hill, 2020.) nasal, and the vocal cord lies immobile midway between abduction and adduction. Loss of sensation at the external auditory meatus and the posterior pinna may also be present. The vagus nerve may be involved at the meningeal level by neo plastic and infectious processes and within the medulla by tumors, vascular lesions (e.g., the lateral medullary syndrome), and motor neuron disease. The nerve may be involved by infection with varicella zoster virus. Injury to the vagus nerve in the carotid sheath can occur with carotid dissection or following endarterectomy. The pharyngeal branches of both vagal nerves may be affected in diphtheria; the voice has a nasal quality, and regurgitation of liquids through the nose occurs during swallowing. Polymyositis and dermatomyositis, which cause hoarseness and dysphagia by direct </w:t>
      </w:r>
      <w:r w:rsidRPr="00A6019F">
        <w:lastRenderedPageBreak/>
        <w:t xml:space="preserve">involvement of laryngeal and pha ryngeal muscles, may be confused with diseases of the vagus nerves. Dysphagia is also a symptom in some patients with myotonic dystro phy. Nonneurologic causes of dysphagia are discussed in Chap. 47. The recurrent laryngeal nerves, especially the left, are most often damaged as a result of intrathoracic disease. Aneurysm of the aortic arch, an enlarged left atrium, and tumors of the mediastinum and bronchi are much more frequent causes of an isolated vocal cord palsy than are intracranial disorders. However, a substantial number of cases of recurrent laryngeal palsy remain idiopathic. When confronted with a case of laryngeal palsy, the physician must attempt to determine the site of the lesion. If it is intramedullary, there are usually other signs, such as ipsilateral cerebellar dysfunction, loss of pain and temperature sensation over the ipsilateral face and contra lateral arm and leg, and an ipsilateral Horner’s syndrome. If the lesion is extramedullary, the glossopharyngeal and spinal accessory nerves are frequently involved (jugular foramen syndrome). If it is extracranial in the posterior laterocondylar or retroparotid space, there may be a combination of ninth, tenth, eleventh, and twelfth cranial nerve palsies and Horner’s syndrome (Table 452-2). If there is no sensory loss over 3558 MULTIPLE CRANIAL NERVE PALSIES TABLE 452-2 Cranial Nerve Syndromes SITE Orbital apex Sphenoid fissure (superior orbital) CRANIAL NERVES II, III, IV, first division V, VI USUAL CAUSE Invasive fungal infections, amyloidosis, granulomatous disease III, IV, first division V, VI Invasive tumors of sphenoid bone; aneurysms Lateral wall of cavernous sinus Retrosphenoid space PART 13 Neurologic Disorders Apex of petrous bone Internal auditory meatus Pontocerebellar angle Jugular foramen Posterior laterocondylar space Posterior retroparotid space III, IV, first division V, VI, often with proptosis II, III, IV, V, VI V, VI VII, VIII V, VI, VII, VIII, and sometimes IX IX, X, XI IX, X, XI, XII IX, X, XI, XII, and Horner’s syndrome Infection, thrombosis, aneurysm or fistula of cavernous sinus; invasive tumors from sinuses and sella turcica; benign granuloma responsive to glucocorticoids Large tumors of middle cranial fossa Petrositis; tumors of petrous bone Tumors of petrous bone (dermoids, etc.); infectious processes; acoustic neuroma Acoustic neuroma; meningioma Tumors and aneurysms Tumors of parotid gland and carotid body and metastatic tumors Tumors of parotid gland, carotid body, lymph nodes; metastatic tumor; tuberculous adenitis the palate and pharynx and no palatal weakness or dysphagia, the lesion is below the origin of the pharyngeal branches, which leave the vagus nerve high in the cervical region; the usual site of disease is then the mediastinum. </w:t>
      </w:r>
      <w:r w:rsidRPr="00A6019F">
        <w:rPr>
          <w:rFonts w:ascii="Arial" w:hAnsi="Arial" w:cs="Arial"/>
        </w:rPr>
        <w:t>■</w:t>
      </w:r>
      <w:r w:rsidRPr="00A6019F">
        <w:t>NECK WEAKNESS The eleventh cranial nerve (spinal accessory) is a pure motor nerve arising from the nucleus ambiguus and the ventral horn of the spinal cord from C1</w:t>
      </w:r>
      <w:r w:rsidRPr="00A6019F">
        <w:rPr>
          <w:rFonts w:ascii="Aptos" w:hAnsi="Aptos" w:cs="Aptos"/>
        </w:rPr>
        <w:t>–</w:t>
      </w:r>
      <w:r w:rsidRPr="00A6019F">
        <w:t xml:space="preserve">C6. The nerve travels superiorly through the fora men magnum and exits through the jugular foramen to innervate the ipsilateral sternocleidomastoid and trapezius muscles. Isolated involvement of the accessory (eleventh cranial) nerve can occur any where along its route, resulting in partial or complete paralysis of the sternocleidomastoid and trapezius muscles. Spinal accessory nerve palsy does not result in significant neck weakness because several other muscles also turn the head </w:t>
      </w:r>
      <w:r w:rsidRPr="00A6019F">
        <w:lastRenderedPageBreak/>
        <w:t xml:space="preserve">and flex the neck; therefore, detection of accessory nerve injury relies on palpating the absence of sternoclei domastoid contraction during head turning. Similarly, shoulder shrug is only slightly impacted by trapezius weakness, although the affected shoulder is lower at rest, scapular winging occurs, and the arm cannot abduct beyond 90°. Isolated spinal accessory nerve palsy is often iat rogenic due to neck surgery or jugular vein cannulation, or traumatic. An idiopathic form of accessory neuropathy, akin to Bell’s palsy, has been described, and it may be recurrent in some cases. Most but not all patients recover. </w:t>
      </w:r>
      <w:r w:rsidRPr="00A6019F">
        <w:rPr>
          <w:rFonts w:ascii="Arial" w:hAnsi="Arial" w:cs="Arial"/>
        </w:rPr>
        <w:t>■</w:t>
      </w:r>
      <w:r w:rsidRPr="00A6019F">
        <w:t xml:space="preserve">TONGUE PARALYSIS The twelfth cranial nerve (hypoglossal) supplies the ipsilateral muscles of the tongue. Nerve lesions cause the tongue to deviate toward the ipsilateral side during protrusion due to ipsilateral genioglossus weak ness, in addition to weakness of tongue movements toward the affected side to weakness of ipsilateral intrinsic tongue musculature. Atrophy and fasciculations of the tongue develop weeks to months after inter ruption of the nerve. The nucleus of the nerve or its fibers of exit may be involved by intramedullary lesions such as tumor, poliomyelitis, or most often motor neuron disease. Lesions of the basal meninges and the occipital bones (platybasia, invagination of occipital condyles, Paget’s disease) may compress the nerve in its extramedullary course or as it exits the skull in the hypoglossal canal. Isolated lesions of unknown cause can occur. When multiple cranial nerves are affected by a disease process, the clinical approach begins by determining whether the pathology lies within or outside of the brainstem. Lesions that lie on the surface of the brainstem are characterized by involvement of adjacent cranial nerves (often occurring in succession) and late and rather slight involvement of the long sensory and motor pathways and segmental structures lying within the brainstem. The opposite is true of primary lesions within the brainstem. Extramedullary lesions are more likely to cause bone erosion or enlargement of the foramens of exit of cranial nerves. By contrast, intramedullary lesions involving cranial nerves often produce a crossed sensory or motor paralysis (cranial nerve signs on one side of the body and tract signs on the opposite side). Involvement of multiple cranial nerves outside the brainstem is frequently the result of trauma, localized infections including varicella zoster virus, infectious and noninfectious (especially carcinomatous) causes of meningitis (Chaps. 143 and 144), granulomatous diseases such as granulomatosis with polyangiitis (Chap. 375), Behçet’s dis ease (Chap. 376), vascular disorders including those associated with diabetes, enlarging aneurysms, or locally infiltrating tumors. Among the tumors, nasopharyngeal cancers, lymphomas, neurofibromas, meningiomas, chordomas, cholesteatomas, carcinomas, and sarcomas have all been observed to involve a succession of lower cranial nerves. Owing to their anatomic relationships, the multiple cranial nerve palsies form a number of distinctive syndromes, listed in Table 452-2. Sarcoidosis (Chap. 379) is the cause of some cases of multiple cranial neuropathy; tuberculosis, the Chiari malformation, platybasia, and basilar invagination of the skull are additional causes. Cavernous sinus syndrome (Fig. 452-7) is a distinctive and fre quently life-threatening disorder. It often presents as orbital or facial pain; orbital </w:t>
      </w:r>
      <w:r w:rsidRPr="00A6019F">
        <w:lastRenderedPageBreak/>
        <w:t xml:space="preserve">swelling, chemosis due to occlusion of the ophthalmic veins; fever; oculomotor neuropathy affecting the third, fourth, and sixth cranial nerves; and trigeminal neuropathy affecting the ophthal mic (V1) and occasionally the maxillary (V2) divisions of the trigemi nal nerve. Cavernous sinus thrombosis, often secondary to infection from orbital cellulitis (frequently Staphylococcus aureus), a cutaneous source on the face, or sinusitis (especially with mucormycosis in diabetic patients), is the most frequent cause; other etiologies include aneurysm of the carotid artery, a carotid-cavernous fistula (orbital bruit may be present), meningioma, nasopharyngeal carcinoma, other tumors, or an idiopathic granulomatous disorder (Tolosa-Hunt syn drome, discussed below). The two cavernous sinuses directly commu nicate via intercavernous channels; thus, involvement on one side may extend to become bilateral. Early diagnosis is essential, especially when due to infection, and treatment depends on the underlying etiology. Optic chiasm Hypophysis Sphenoid sinus Ant. cerebral a. Int. carotid a. Ant. clinoid process Subarachnoid space Oculomotor (III) n. Trochlear (IV) n. Ophthalmic (V1) n. Maxillary (V2) n. Pia Arachnoid Dura Abducens (VI) n. FIGURE 452-7 Anatomy of the cavernous sinus in coronal section, illustrating the location of the cranial nerves in relation to the vascular sinus, internal carotid artery (which loops anteriorly to the section), and surrounding structures. Diseases of the Spinal Cord 3559 CHAPTER 453 In infectious cases, prompt administration of broad-spectrum antibiotics, drainage of any abscess cavities, and identification of the offending organism are essential. Anticoagulant therapy may benefit cases of primary thrombosis. Repair or occlusion of the carotid artery may be required for treatment of fistulas or aneurysms. Tolosa-Hunt syndrome is characterized by onset, over days or a few weeks, of severe orbital pain with variable ophthalmoparesis and numbness of the upper face (V1 and V2 divisions of the tri geminal nerve) and by a dramatic clinical response to glucocorticoids. Although distinctive, the presentation can be mimicked by numerous other conditions that involve the cavernous sinus and orbit, includ ing sarcoid (Chap. 379), vasculitis (Chap. 375), IgG4-related disease (Chap. 380), lymphoma, and fungal infections. MRI can suggest the presence of granulomatous inflammation, but biopsy is sometimes required for diagnosis. A dramatic improvement in pain is usually evident within a few days; oral prednisone (60 mg daily) is usually con tinued for 2 weeks and then gradually tapered over a month, or longer if pain recurs. Occasionally an immunosuppressive medication, such as azathioprine or methotrexate, needs to be added to maintain an initial response to glucocorticoids. Lesions in the superior orbital fissure and orbital apex cause more prominent vision loss than those in the cavernous sinus due to com pression of the optic nerve; the second branch of the trigeminal nerve is usually spared. The cause is often an invasive fungal infection, frequently due to osseous erosion through the wall of the maxillary, sphenoid, or ethmoid sinuses. Infiltrative processes such as amyloi dosis, granulomatosis with polyarteritis, an idiopathic granulomatous inflammation similar to Tolosa-Hunt, and IgG4-related disease are additional causes. Biopsy is often necessary for diagnosis. As noted above, Guillain-Barré syndrome </w:t>
      </w:r>
      <w:r w:rsidRPr="00A6019F">
        <w:lastRenderedPageBreak/>
        <w:t xml:space="preserve">commonly affects the facial nerves bilaterally. In the Fisher variant of Guillain-Barré syn drome, oculomotor paresis occurs with ataxia and areflexia in the limbs (Chap. 458). Wernicke’s encephalopathy can cause a severe ophthalmoplegia combined with other brainstem signs (Chap. 318). Progressive bulbar palsy is a slowly progressive purely motor disor der affecting multiple cranial nerve nuclei. Weakness of the face, jaw, pharynx, neck, and tongue is usually present accompanied by atrophy and fasciculations. It is a form of motor neuron disease (Chap. 448). Pure motor syndromes without atrophy raise the question of myas thenia gravis (Chap. 459), and when rapidly evolving, Guillain-Barré syndrome, diphtheria, and poliomyelitis are additional considerations. Glossopharyngeal neuropathy in conjunction with vagus and acces sory nerve palsies may occur with herpes zoster infection or with a tumor or aneurysm in the posterior fossa or in the jugular foramen, through which all three nerves exit the skull. Hoarseness due to vocal cord paralysis, some difficulty in swallowing, deviation of the soft pal ate to the intact side, anesthesia of the posterior wall of the pharynx, and weakness of the upper part of the trapezius and sternocleidomas toid muscles make up jugular foramen syndrome. Paralysis of the vagus and hypoglossal nerves (Tapia syndrome) can rarely follow endotracheal intubation and has been reported during the COVID-19 pandemic; symptoms consist of dysphonia and tongue deviation and usually resolve within a few months. An idiopathic form of multiple cranial nerve involvement on one or both sides of the face is occasionally seen. The syndrome consists of a subacute onset of boring facial pain, followed by paralysis of motor cranial nerves. The clinical features overlap those of Tolosa-Hunt syndrome and appear to be due to idiopathic inflammation of the dura mater, which may be visualized by MRI. The syndrome is usually responsive to glucocorticoids. </w:t>
      </w:r>
      <w:r w:rsidRPr="00A6019F">
        <w:rPr>
          <w:rFonts w:ascii="Arial" w:hAnsi="Arial" w:cs="Arial"/>
        </w:rPr>
        <w:t>■</w:t>
      </w:r>
      <w:r w:rsidRPr="00A6019F">
        <w:t xml:space="preserve">FURTHER READING Abad S et al: IgG4-related disease in patients with idiopathic orbital inflammation syndrome: Data from the French SIOI prospective cohort. Acta Ophthalmol 97:e648, 2019. Bendsten L et al: European Academy of Neurology guideline on tri geminal neuralgia. Eur J Neurol 26:831, 2019. Gagyor I et al: Antiviral treatment of Bell’s palsy (idiopathic facial paralysis). Cochrane Database Syst Rev 9:CD001869, 2019. Gutierrez S et al: Lower cranial nerve syndromes: A review. Neuro surg Rev 44:1345, 2020. Madhok VB et al: Corticosteroids for Bell’s palsy (idiopathic facial paralysis). Cochrane Database Syst Rev 7:CD001942, 2016. Mullen E et al: Reappraising the Tolosa-Hunt syndrome diagnostic criteria: A case series. Headache 60:259, 2020. Rafati A et al: Association of SARS-CoV-2 vaccination or infection with Bell palsy: A systematic review and meta-analysis. JAMA Otolaryngol Head Neck Surg 149:493, 2023. Diseases of the Spinal Cord Stephen L. Hauser 453 Diseases of the spinal cord are frequently devastating. They produce quadriplegia, paraplegia, and sensory deficits far beyond the damage they would inflict elsewhere in the nervous system because the spinal cord contains, in a small cross-sectional area, almost the entire motor output and sensory input of the trunk and limbs. Many spinal cord diseases are reversible if recognized and treated at an early stage (Table 453-1); thus, they are among the most critical of neurologic </w:t>
      </w:r>
      <w:r w:rsidRPr="00A6019F">
        <w:lastRenderedPageBreak/>
        <w:t xml:space="preserve">emergencies. Proper management requires the efficient use of diag nostic procedures, guided by knowledge of the anatomy and clinical features of spinal cord diseases. APPROACH TO THE PATIENT Spinal Cord Disease SPINAL CORD ANATOMY RELEVANT TO CLINICAL SIGNS The spinal cord is a thin, tubular extension of the central nervous system contained within the bony spinal canal. It originates at the medulla and continues caudally to the conus medullaris at the lumbar level; its fibrous extension, the filum terminale, terminates at the coccyx. The adult spinal cord is ~46 cm (18 in.) long, oval in shape, and enlarged in the cervical and lumbar regions, where neu rons that innervate the upper and lower extremities, respectively, are located. The white matter tracts containing ascending sensory and descending motor pathways are located peripherally, whereas nerve cell bodies are clustered in an inner region of gray matter shaped like a four-leaf clover that surrounds the central canal (ana tomically an extension of the fourth ventricle). The membranes that cover the spinal cord—the pia, arachnoid, and dura—are continu ous with those of the brain, and the cerebrospinal fluid is contained within the subarachnoid space between the pia and arachnoid. The spinal cord has 31 segments, each defined by an exit ing ventral motor root and entering dorsal sensory root. During embryologic development, growth of the cord lags behind that of the vertebral column, and the mature spinal cord ends at approxi mately the first lumbar vertebral body. The lower spinal nerves take an increasingly downward course to exit via intervertebral foramina. The first seven pairs of cervical spinal nerves exit above the same-numbered vertebral bodies, whereas all the subsequent nerves exit below the same-numbered vertebral bodies; this is because there are eight cervical spinal cord segments but only seven cervical vertebrae. The relationship between spinal cord segments and the corresponding vertebral bodies is shown in Table 453-2. These relationships assume particular importance for localization of lesions that cause spinal cord compression. Sensory loss below 3560 PART 13 Neurologic Disorders TABLE 453-1 Treatable Spinal Cord Disorders Compressive Epidural, intradural, or intramedullary neoplasm Epidural abscess Epidural hemorrhage Cervical spondylosis Herniated disk Posttraumatic compression by fractured or displaced vertebra or hemorrhage Vascular Arteriovenous malformation and dural fistula Antiphospholipid syndrome and other hypercoagulable states Inflammatory Multiple sclerosis Neuromyelitis optica Sarcoidosis Systemic immune-mediated disorders: SLE, Sjögren’s, Behcet’s disease, APL antibody syndrome, others vasculitis Other CNS disorders: anti-MOG, anti-GFAP, paraneoplastic,a CLIPPERS, Erdheim-Chester Infectious Viral: VZV, HSV-1 and -2, CMV, HIV, HTLV-1, others Bacterial and mycobacterial: Borrelia, Listeria, syphilis, others Mycoplasma pneumoniae Parasitic: schistosomiasis, toxoplasmosis, cysticercosis Developmental Syringomyelia Meningomyelocele Tethered cord syndrome Metabolic Vitamin B12 deficiency (subacute combined degeneration) Folate deficiency Copper deficiency aIncluding anti-amphiphysin, CRMP-5, Hu. Abbreviations: CLIPPERS, chronic lymphocytic inflammation with pontine perivascular enhancement responsive to steroids; CMV, cytomegalovirus; CNS, central nervous system; CRMP5, collapsin </w:t>
      </w:r>
      <w:r w:rsidRPr="00A6019F">
        <w:lastRenderedPageBreak/>
        <w:t xml:space="preserve">response mediator 5-IgG; GFAP, glial fibrillary acidic protein; HSV, herpes simplex virus; HTLV, human T-cell lymphotropic virus; MOG, myelin oligodendrocyte glycoprotein; SLE, systemic lupus erythematosus; VZV, varicella-zoster virus. TABLE 453-2 Spinal Cord Levels Relative to the Vertebral Bodies SPINAL CORD LEVEL CORRESPONDING VERTEBRAL BODY Upper cervical Same as cord level Lower cervical 1 level higher Upper thoracic 2 levels higher Lower thoracic 2–3 levels higher Lumbar T10–T12 Sacral T12–L1 the level of the umbilicus, for example, corresponds to pathology at the T10 cord segment, which is located adjacent to the seventh or eighth thoracic vertebral body (see Figs. 27-2 and 27-3). In addition, at every level, the main ascending and descending tracts are somatotopically organized with a laminated distribution that reflects the origin or destination of nerve fibers. Determining the Level of the Lesion The presence of a horizon tally defined level below which sensory, motor, and autonomic function is impaired is the hallmark of a spinal cord lesion. This sensory level is sought by asking the patient to identify a pinprick or cold stimulus applied to the proximal legs and lower trunk and successively moved up toward the neck on each side. Sensory loss below this level is the result of damage to the spinothalamic tract on the opposite side, one to two segments higher in the case of a unilateral spinal cord lesion, and at the level of a bilateral lesion. The discrepancy in the level of a unilateral lesion is the result of the course of the second-order sensory fibers, which originate in the dorsal horn and ascend for one or two levels as they cross ante rior to the central canal to join the opposite spinothalamic tract. Lesions that transect the descending corticospinal and other motor tracts cause paraplegia or quadriplegia with heightened deep ten don reflexes, Babinski signs, and eventual spasticity (upper motor neuron syndrome). Transverse damage to the cord also produces autonomic disturbances consisting of absent sweating below the implicated cord level and bladder, bowel, and sexual dysfunction. The uppermost level of a spinal cord lesion can also be local ized by attention to the segmental signs corresponding to disturbed motor or sensory innervation by an individual cord segment. A band of altered sensation (hyperalgesia or hyperpathia) at the upper end of the sensory disturbance, fasciculations or atrophy in muscles innervated by one or several segments, or a muted or absent deep tendon reflex may be noted at this level. These signs also can occur with focal root or peripheral nerve disorders; thus, they are most useful when they occur together with signs of long-tract damage. With severe and acute transverse lesions, the limbs initially may be flaccid rather than spastic. This state of “spinal shock” lasts for several days, rarely for weeks, and may be mistaken for extensive damage to the anterior horn cells over many segments of the cord or for an acute polyneuropathy. The main features of transverse damage at each level of the spinal cord are summarized below. Cervical Cord Upper cervical cord lesions produce quadriplegia and weakness of the diaphragm. The uppermost level of weakness and reflex loss with lesions at C5–C6 is in the biceps; at C7, in finger and wrist extensors and triceps; and at C8, finger and wrist flexion. Horner’s syndrome (miosis, ptosis, and facial hypohidrosis) may accompany a cervical </w:t>
      </w:r>
      <w:r w:rsidRPr="00A6019F">
        <w:lastRenderedPageBreak/>
        <w:t xml:space="preserve">cord lesion at any level. Thoracic Cord Lesions here are localized by the sensory level on the trunk and, if present, by the site of midline back pain. Useful markers of the sensory level on the trunk are the nipples (T4) and umbilicus (T10). Leg weakness and disturbances of bladder and bowel function accompany the paralysis. Lesions at T9–T10 para lyze the lower—but not the upper—abdominal muscles, resulting in upward movement of the umbilicus when the abdominal wall contracts (Beevor’s sign). Lumbar Cord Lesions at the L2–L4 spinal cord levels paralyze flexion and adduction of the thigh, weaken leg extension at the knee, and abolish the patellar reflex. Lesions at L5–S1 paralyze only movements of the foot and ankle, flexion at the knee, and extension of the thigh, and abolish the ankle jerks (S1). Sacral Cord/Conus Medullaris The conus medullaris is the tapered caudal termination of the spinal cord, comprising the sacral and single coccygeal segments. The distinctive conus syndrome consists of bilateral saddle anesthesia (S3–S5), prominent bladder and bowel dysfunction (urinary retention and incontinence with lax anal tone), and impotence. The bulbocavernosus (S2–S4) and anal (S4–S5) reflexes are absent (Chap. 433). Muscle strength is largely preserved. By contrast, lesions of the cauda equina, the nerve roots derived from the lower cord, are characterized by low back and radicular pain, asymmetric leg weakness and sensory loss, variable areflexia in the lower extremities, and relative sparing of bowel and bladder function. Mass lesions in the lower spinal canal often produce a mixed clinical picture with elements of both cauda equina and conus medullaris syndromes. Special Patterns of Spinal Cord Disease The location of the major ascending and descending pathways of the spinal cord are shown in Fig. 453-1. Most fiber tracts—including the posterior col umns and the spinocerebellar and pyramidal tracts—are situated on the side of the body they innervate. However, afferent fibers medi ating pain and temperature sensation ascend in the spinothalamic Diseases of the Spinal Cord 3561 CHAPTER 453 Anterior horn (motor neurons) Lateral corticospinal (pyramidal) tract Dorsal root Dorsal spinocerebellar tract Ventral spinocerebellar tract Lateral spinothalamic tract Ventral spinothalamic tract Pressure, touch (minor role) Ventral (uncrossed) corticospinal tract Tectospinal tract SL T C C T L S Fasciculus cuneatus Rubrospinal tract Lateral reticulospinal tract Vestibulospinal tract Ventral root Axial and proximal limb movements (Joint Position, Vibration, Pressure) Posterior Columns Distal limb movements (minor role) Pain, temperature Ventral reticulospinal tract Fasciculus gracilis S LTC Distal limb movements L / S L /S P E D F FIGURE 453-1 Transverse section through the spinal cord, composite representation, illustrating the principal ascending (left) and descending (right) pathways. The lateral and ventral spinothalamic tracts ascend contralateral to the side of the body that is innervated. In humans, the lateral corticospinal (pyramidal) tract is thought to lack strict somatotopic organization in the spinal cord. C, cervical; D, distal; E, extensors; F, flexors; L, lumbar; P, proximal; S, sacral; T, thoracic. tract contralateral to the side they supply. The anatomic configura tions of these tracts produce characteristic syndromes that provide clues to the underlying disease process. Brown-Sequard Hemicord Syndrome This consists of ipsi </w:t>
      </w:r>
      <w:r w:rsidRPr="00A6019F">
        <w:lastRenderedPageBreak/>
        <w:t xml:space="preserve">lateral weakness (corticospinal tract) and loss of joint position and vibratory sense (posterior column), with contralateral loss of pain and temperature sense (spinothalamic tract) one or two levels below the lesion. Segmental signs, such as radicular pain, muscle atrophy, or loss of a deep tendon reflex, are unilateral. Partial forms are more common than the fully developed syndrome. Central Cord Syndrome This syndrome results from selective damage to the gray matter nerve cells and crossing spinothalamic tracts surrounding the central canal. In the cervical cord, the central cord syndrome produces arm weakness out of proportion to leg weakness and a “dissociated” sensory loss, meaning loss of pain and temperature sensations over the shoulders, lower neck, and upper trunk (cape distribution), in contrast to preservation of light touch, joint position, and vibration sense in these regions. Spinal trauma, syringomyelia, and intrinsic cord tumors are the main causes. Anterior Cord Syndrome Infarction of the cord is generally the result of occlusion or diminished flow in the anterior spinal artery. The result is bilateral tissue destruction at several contiguous levels that spares the posterior columns. All spinal cord functions—motor, sensory, and autonomic—are lost below the level of the lesion, with the striking exception of retained vibration and position sensation. Foramen Magnum Syndrome Lesions in this area interrupt decussating pyramidal tract fibers destined for the legs, which cross caudal to those of the arms, resulting in weakness of the legs (cru ral paresis). Compressive lesions near the foramen magnum may produce weakness of the ipsilateral shoulder and arm followed by weakness of the ipsilateral leg, then the contralateral leg, and finally the contralateral arm, an “around-the-clock” pattern that may begin in any of the four limbs. There is typically suboccipital pain spread ing to the neck and shoulders. Intramedullary and Extramedullary Syndromes It is useful to differentiate intramedullary processes, arising within the sub stance of the cord, from extramedullary ones that lie outside the cord and compress the spinal cord or its vascular supply. The differ entiating features are only relative and serve as clinical guides. With extramedullary lesions, radicular pain is often prominent, and there is early sacral sensory loss and spastic weakness in the legs with incontinence due to injury to the corresponding sensory and motor fibers in the spinothalamic and corticospinal tracts (Fig. 453-1). Intramedullary lesions tend to produce poorly localized burn ing pain rather than radicular pain and to spare sensation in the perineal and sacral areas (“sacral sparing”), reflecting the laminated configuration of the spinothalamic tract with sacral fibers outer most; corticospinal tract signs appear later. Regarding extramedul lary lesions, a further distinction is made between extradural and intradural masses, as the former are generally malignant and the latter benign (neurofibroma being a common cause). Consequently, a long duration of symptoms favors an intradural origin. ACUTE AND SUBACUTE SPINAL CORD DISEASES Symptoms of the cord diseases that evolve over days or weeks typically present as focal neck or back pain, followed by various combinations of paresthesias, sensory loss, motor weakness, and sphincter disturbance. There may be mild sensory symptoms only or a devastating functional </w:t>
      </w:r>
      <w:r w:rsidRPr="00A6019F">
        <w:lastRenderedPageBreak/>
        <w:t xml:space="preserve">transection of the cord. When paresthesias begin in the feet and then ascend, a polyneuropathy is often considered, and in such cases, the presence of bladder disturbances and a sharply demarcated spinal cord level provide important clues to the spinal cord origin of the disease. In severe and abrupt cases, areflexia reflecting spinal shock may be present, but hyperreflexia supervenes over days or weeks; persistent 3562 areflexic paralysis with a sensory level usually indicates necrosis over multiple segments of the spinal cord. APPROACH TO THE PATIENT Compressive and Noncompressive Myelopathy DISTINGUISHING COMPRESSIVE FROM NONCOMPRESSIVE MYELOPATHY PART 13 Neurologic Disorders The first priority is to exclude treatable compression of the cord by a mass lesion. The common causes are tumor, epidural abscess or hematoma, herniated disk, and spondylitic vertebral pathology. Epi dural compression due to malignancy or abscess often causes warn ing signs of neck or back pain, bladder disturbances, and sensory symptoms that precede the development of paralysis. Spinal sublux ation, hemorrhage, and noncompressive etiologies such as infarc tion are more likely to produce myelopathy without antecedent symptoms. Magnetic resonance imaging (MRI) with gadolinium, centered on the clinically suspected level, is the initial diagnostic procedure if it is available; it is often appropriate to image the entire spine (cervical through sacral regions) to search for additional clini cally silent lesions. Once compressive lesions have been excluded, noncompressive causes of acute myelopathy that are intrinsic to the cord are considered, primarily vascular, inflammatory, and infec tious etiologies. </w:t>
      </w:r>
      <w:r w:rsidRPr="00A6019F">
        <w:rPr>
          <w:rFonts w:ascii="Arial" w:hAnsi="Arial" w:cs="Arial"/>
        </w:rPr>
        <w:t>■</w:t>
      </w:r>
      <w:r w:rsidRPr="00A6019F">
        <w:t xml:space="preserve">COMPRESSIVE MYELOPATHIES Neoplastic Spinal Cord Compression In adults, most neo plasms are epidural in origin, resulting from metastases to the adjacent vertebral column. The propensity of solid tumors to metastasize to the vertebral column probably reflects the high proportion of bone marrow located in the axial skeleton. Almost any malignant tumor can metasta size to the spinal column, with breast, lung, prostate, kidney, lymphoma, and myeloma being particularly frequent. The thoracic spinal column is most commonly involved; exceptions are metastases from prostate and ovarian cancer, which occur disproportionately in the sacral and lumbar vertebrae, probably from spread through Batson’s plexus, a network of veins along the anterior epidural space. Retroperitoneal neoplasms (especially lymphomas or sarcomas) enter the spinal canal laterally through the intervertebral foramina and produce radicular pain with signs of weakness that corresponds to the level of involved nerve roots. Pain is usually the initial symptom of spinal metastasis; it may be aching and localized or sharp and radiating in quality and typically worsens with movement, coughing, or sneezing and characteristi cally awakens patients at night. A recent onset of persistent back pain, particularly if in the thoracic spine (which is uncommonly involved by spondylosis), should prompt consideration of vertebral metasta sis. Rarely, pain is mild or absent. Plain radiographs of the spine and radionuclide bone scans have a limited role in diagnosis because they do not identify 15–20% of metastatic vertebral lesions and fail to detect paravertebral masses that reach the epidural space through the inter vertebral </w:t>
      </w:r>
      <w:r w:rsidRPr="00A6019F">
        <w:lastRenderedPageBreak/>
        <w:t xml:space="preserve">foramina. MRI provides excellent anatomic resolution of the extent of spinal tumors (Fig. 453-2) and is able to distinguish between malignant lesions and other masses—epidural abscess, tuberculoma, lipoma, or epidural hemorrhage, among others—that present in a simi lar fashion. Vertebral metastases are usually hypointense relative to a normal bone marrow signal on T1-weighted MRI; after the administra tion of gadolinium, contrast enhancement may deceptively “normalize” the appearance of the tumor by increasing its intensity to that of nor mal bone marrow. Infections of the spinal column (osteomyelitis and related disorders) are distinctive in that, unlike tumor, they often cross the disk space to involve the adjacent vertebral body. If spinal cord compression is suspected, imaging should be obtained promptly. If there are radicular symptoms but no evidence of myelopa thy, it may be safe to defer imaging for 24–48 h. Up to 40% of patients who present with cord compression at one level are found to have asymptomatic epidural metastases elsewhere; thus, imaging of the entire length of the spine is important to define the extent of disease. A B FIGURE 453-2 Epidural spinal cord compression due to breast carcinoma. Sagittal T1-weighted (A) and T2-weighted (B) magnetic resonance imaging scans through the cervicothoracic junction reveal an infiltrated and collapsed second thoracic vertebral body with posterior displacement and compression of the upper thoracic spinal cord. The low-intensity bone marrow signal in A signifies replacement by tumor. TREATMENT Neoplastic Spinal Cord Compression Proper management is based on multiple considerations, includ ing radiosensitivity of the primary tumor, extent of compression, prior therapy to the site, and stability of the spine. Treatment includes glucocorticoids to reduce cord edema, surgery and/or local radiotherapy (initiated as early as possible) to the symptomatic lesion, and specific therapy for the underlying tumor type. Gluco corticoids (typically dexamethasone, 10 mg intravenously) can be administered before an imaging study if there is clinical suspicion of cord compression and continued at a lower dose (4 mg every 6 h orally) until definitive treatment with radiotherapy and/or surgi cal decompression is completed. In one trial, initial management with surgery followed by radiotherapy was more effective than radiotherapy alone for patients with a single area of spinal cord compression by extradural tumor; however, patients with recur rent cord compression, brain metastases, radiosensitive tumors, or severe motor symptoms of &gt;48 h in duration were excluded from this study. Stereotactic body radiotherapy, which delivers high doses of focused radiation, is preferred for radioresistant tumor types and for patients requiring re-irradiation. Biopsy of the epidural mass is unnecessary in patients with known primary cancer, but it is indicated if a history of underly ing cancer is lacking. Surgical treatment, either decompression by laminectomy or a spinal fixation procedure, is also indicated when signs of cord compression worsen despite radiotherapy; the maximum-tolerated dose of radiotherapy has been delivered previ ously to the site; a vertebral compression fracture or spinal instabil ity contributes to cord compression; or in cases of high-grade spinal cord compression from a radioresistant tumor. A good response to therapy can be expected in individuals who are </w:t>
      </w:r>
      <w:r w:rsidRPr="00A6019F">
        <w:lastRenderedPageBreak/>
        <w:t xml:space="preserve">ambulatory at presentation. Treatment usually prevents new weakness, and some recovery of motor function occurs in up to one-third of patients. Motor deficits (paraplegia or quadriplegia), once established for &gt;12 h, do not usually improve, and beyond 48 h, the prognosis for substantial motor recovery is poor. Although most patients do not experience recurrences in the months fol lowing radiotherapy, with survival beyond 2 years, recurrence becomes increasingly likely and can be managed with additional radiotherapy. 3563 FIGURE 453-3 Magnetic resonance imaging of a thoracic meningioma. Coronal T1-weighted postcontrast image through the thoracic spinal cord demonstrates intense and uniform enhancement of a well-circumscribed extramedullary mass (arrows) that displaces the spinal cord to the left. In contrast to tumors of the epidural space, most intradural mass lesions are slow-growing and benign. Meningiomas and neurofibromas account for most of these, with occasional cases caused by chordoma, lipoma, dermoid, or sarcoma. Meningiomas (Fig. 453-3) are often located posterior to the thoracic cord or near the foramen magnum, although they can arise from the meninges anywhere along the spinal canal. Neurofibromas are benign tumors of the nerve sheath that typi cally arise from the posterior root; when multiple, neurofibromatosis is the likely etiology. Symptoms usually begin with radicular sensory symptoms followed by an asymmetric, progressive spinal cord syn drome. Therapy is surgical resection. Primary intramedullary tumors of the spinal cord are uncommon. They present as central cord or hemicord syndromes, often in the cervical region. There may be poorly localized burning pain in the extremities and sparing of sacral sensation. In adults, these lesions are ependymomas, hemangioblastomas, or low-grade astrocytomas (Fig. 453-4). Complete resection of an intramedullary ependymoma is often possible with microsurgical techniques. Debulking of an intra medullary astrocytoma can also be helpful, as these are often slowly growing lesions; the value of adjunctive radiotherapy and chemother apy is uncertain. Secondary (metastatic) intramedullary tumors also occur, especially in patients with advanced metastatic disease (Chap. 95), although these are not nearly as frequent as brain metastases. Spinal Epidural Abscess Spinal epidural abscess presents with midline back or neck pain, fever, and progressive limb weakness. Prompt recognition of this distinctive process may prevent permanent sequelae. Aching pain is almost always present, either over the spine or in a radicular pattern. The duration of pain prior to presentation is generally ≤2 weeks but may on occasion be several months or longer. Fever is typically but not invariably present, accompanied by elevated white blood cell count, sedimentation rate, and C-reactive protein. As the abscess expands, further spinal cord damage results from venous congestion and thrombosis. Once weakness and other signs of myelopathy appear, progression may be rapid and irreversible. A more chronic sterile granulomatous form of abscess is also known, usually after treatment of an acute epidural infection. Risk factors include an impaired immune status (HIV, diabetes mel litus, renal failure, alcoholism, malignancy), intravenous drug abuse, FIGURE 453-4 Magnetic resonance imaging of an intramedullary astrocytoma. </w:t>
      </w:r>
      <w:r w:rsidRPr="00A6019F">
        <w:lastRenderedPageBreak/>
        <w:t xml:space="preserve">Sagittal T1-weighted postcontrast image through the cervical spine demonstrates expansion of the upper cervical spine by a mass lesion emanating from within the spinal cord at the cervicomedullary junction. Irregular peripheral enhancement occurs within the mass (arrows). and infections of the skin or other tissues. Two-thirds of epidural infections result from hematogenous spread of bacteria from the skin (furunculosis), soft tissue (pharyngeal or dental abscesses; sinusitis), or deep viscera (bacterial endocarditis). The remainder arises from direct extension of a local infection to the subdural space; examples of local predisposing conditions are vertebral osteomyelitis, decubitus ulcers, lumbar puncture, epidural anesthesia, or spinal surgery. Most cases are due to Staphylococcus aureus; gram-negative bacilli, Streptococcus, anaerobes, and fungi can also cause epidural abscesses. Methicillin resistant Staphylococcus aureus (MRSA) is an important consideration, and therapy should be tailored to this possibility. Tuberculosis from an adjacent vertebral source (Pott’s disease) remains an important cause in the developing world. CHAPTER 453 Diseases of the Spinal Cord MRI (Fig. 453-5) localizes the abscess and excludes other causes of myelopathy. Blood cultures are positive in more than half of cases, but direct aspiration of the abscess at surgery is often required for a A B FIGURE 453-5 Magnetic resonance (MR) imaging of a spinal epidural abscess due to tuberculosis. A. Sagittal T2-weighted free spin-echo MR sequence. A hypointense mass replaces the posterior elements of C3 and extends epidurally to compress the spinal cord (arrows). B. Sagittal T1-weighted image after contrast administration reveals a diffuse enhancement of the epidural process (arrows) with extension into the epidural space. 3564 microbiologic diagnosis. Lumbar puncture is only required if encepha lopathy or other clinical signs raise the question of associated menin gitis, a feature that is found in 90 mmHg, or lumbar drainage of spinal fluid, was reportedly helpful in a few published cases of cord infarction, but neither of these approaches has been studied system atically. Prognosis following spinal cord infarction is influenced by the severity of the deficits at presentation; patients with severe motor weakness and those with persistent areflexia usually do poorly, but in one large series, some improvement over time occurred in many patients, with more than half ultimately regaining some ambulation. Inflammatory and Immune Myelopathies (Myelitis) This broad category includes MS, NMO, and postinfectious myelitis, as well as sarcoidosis, systemic autoimmune disease, and infections. In approximately one-quarter of cases of myelitis, no underlying cause can be identified. Some will later manifest additional symptoms of an immune-mediated disease. Transverse myelitis refers to a pattern of extensive spinal cord injury due to inflammation, clinically manifest as bilateral sensory symptoms, unilateral or bilateral weakness, and bladder and/or bowel disturbance. In most of the developed world, MS is the most common inflammatory cause of an acute myelitis, but involvement is usually partial and not transverse. Recurrent episodes of myelitis are usually due to one of the immune-mediated diseases or to infection with herpes simplex virus (HSV) type 2 (below). MULTIPLE SCLEROSIS MS may present with acute myelitis, particu larly in individuals of </w:t>
      </w:r>
      <w:r w:rsidRPr="00A6019F">
        <w:lastRenderedPageBreak/>
        <w:t xml:space="preserve">Asian or African ancestry. In whites, MS attacks rarely cause a transverse myelopathy (i.e., attacks of bilateral sensory disturbances, unilateral or bilateral weakness, and bladder or bowel symptoms), but MS is among the most common causes of a partial cord syndrome. MRI findings in MS-associated myelitis typically consist of mild swelling of the cord and diffuse or multifocal “shoddy” areas of abnormal signal on T2-weighted sequences. Contrast enhance ment, indicating disruption in the blood-brain barrier associated with inflammation, is present in many acute cases. In one study 68% of patients presenting with partial myelitis developed MS after a mean follow-up of 4 years; risk factors for conversion to MS included age $76 billion. Due to advances in medical care and other factors, more people are surviving TBI than ever before. Brain injury accounts for more lost productivity at work among Americans than any other form of injury. An estimated 5.3 million Americans are living with significant disabili ties resulting from TBI that complicate their return to a full and pro ductive life. Increased media attention to military and sports-related TBI has highlighted the growing concern that injuries that were previ ously dismissed can have lifelong consequences for some individuals. Head injuries are so common that almost all physicians will be called upon to provide some aspect of immediate care or to see patients who are suffering from various sequelae. Patients and their families initially need education regarding the natural history of TBI along with treatment of acute symptoms such as headache. Continued follow-up is important to ensure that the sequelae experienced by some patients— such as the persistent postconcussion symptoms (PPCS) of headache, disturbances in balance, depression, and sleep disorder—are identified and treated appropriately. Effective management of TBI and its conse quences often requires a coordinated multidisciplinary care team. </w:t>
      </w:r>
      <w:r w:rsidRPr="00A6019F">
        <w:rPr>
          <w:rFonts w:ascii="Arial" w:hAnsi="Arial" w:cs="Arial"/>
        </w:rPr>
        <w:t>■</w:t>
      </w:r>
      <w:r w:rsidRPr="00A6019F">
        <w:t>DEFINITION AND CLASSIFICATION TABLE 454-1 Glasgow Coma Scale VERBAL RESPONSE (V)</w:t>
      </w:r>
      <w:r w:rsidRPr="00A6019F">
        <w:rPr>
          <w:rFonts w:ascii="Aptos" w:hAnsi="Aptos" w:cs="Aptos"/>
        </w:rPr>
        <w:t> </w:t>
      </w:r>
      <w:r w:rsidRPr="00A6019F">
        <w:t xml:space="preserve"> 3571 TBI is commonly defined as an alteration in brain function, or other evidence of brain pathology, caused by an external force, and character ized by the following: (1) any period of loss or decreased level of con sciousness (LOC), (2) any loss of memory for events immediately before (retrograde) or after (posttraumatic) the injury, (3) any neurologic deficits, and/or (4) any alteration in mental state at the time of injury. Evidence of TBI can include visual, neuroradiologic, or laboratory confirmation of damage to the brain, but TBI is more often diagnosed on the basis of acute clinical criteria. In addition to standard com puted tomography (CT) imaging and conventional clinical magnetic resonance imaging (MRI), advanced MRI imaging (functional MRI, cerebral blood flow, diffusion MRI) techniques show increasing sen sitivity, and it is likely that sensitive blood-based biomarkers will play an increasingly important role in the diagnosis and treatment of these patients (described below). Mechanisms of TBI Common mechanisms of TBI include the head being struck by an object, the head striking an object, the brain undergoing an acceleration/deceleration movement, a foreign body penetrating the brain, or forces generated from events such as a blast or explosion. Unintentional falls and motor vehicle crashes have his torically been cited as the most common cause of TBI. All </w:t>
      </w:r>
      <w:r w:rsidRPr="00A6019F">
        <w:lastRenderedPageBreak/>
        <w:t xml:space="preserve">forms of transportation, however, are common causes of TBI, including motor cycle crashes, bicycle accidents, skateboarding, and pedestrian injuries. The other leading causes of TBI are falls, assaults, and sports, with var ied frequency across the lifespan. Certainly, there has been an increased focus on the high frequency of mild TBI (mTBI), often referred to as concussion, encountered by athletes participating in contact and colli sion sports at all competitive levels, as well as the potential short-term effects and long-term risks associated with sport-related concussion. Classification of TBI Severity Numerous systems have been developed over the years to define and classify TBI severity along a con tinuum from mild to moderate to severe. These systems are usually most applicable to closed head injuries. In nearly all classification systems, TBI severity is graded based on acute injury characteristics rather than post acute injury status, as other factors can intervene to influence functional outcome. This can be problematic, as some patients with severe TBI will have a full recovery and some with mild TBI will be left with lifetime disability. Historically, the presence and duration of unconsciousness and amnesia have been the main points of distinction along the gra dient of TBI severity. Efforts to develop more advanced classification systems that incorporate patho-anatomical features reflecting biological response to injury, such as blood-based biomarkers, as well as socioen vironmental factors that may influence ultimate prognosis are currently underway. A recent working group convened by the National Institutes of Health has proposed a new framework for TBI characterization that includes clinical features, blood-based biomarkers, and imaging features, along with modifiers. As this more precise nomenclature is validated, it is anticipated that it will replace the current approach of characterizing patients based solely on their clinical exam and symptoms. The Glasgow Coma Scale (GCS) is the most recognized and widely used method for grading TBI severity. The GCS provides a practical indicator of gross neurologic status by assessing motor function, verbal responses, and the patient’s ability to open his or her eyes voluntarily or in response to external commands and stimuli. The grading is applied to the best response that can be elicited from the patient at the time of assessment, preferably before any paralyzing or sedating medication is administered or the patient is intubated, as these interventions con found interpretation of the score. The GCS assessment produces scores ranging from 3 to 15 (Table 454-1). Upon the 40th anniversary of the GCS in 2014, the wording for responses was revised, and recommendations were made to improve its utility. Importantly, individual patients are best described by the three components of the coma scale (eye, verbal, motor, e.g., E3V4M6); the derived total coma score (e.g., 13) is less informative and should only be used to characterize groups of patients. Several injury-classification systems have been developed to go beyond GCS score or acute injury characteristics and incorporate chief EYE OPENING (E)  Spontaneous To speech To pressure None Best Motor Response (M) Obeying commands Localizing Normal flexion Abnormal flexion Extension None 4 3 2 1 6   5   4   3   2   1   Oriented Confused Words Sounds None 5 4 3 2 1 Note: Revised GCS (2014). Source: Reproduced with permission from G Teasdale et </w:t>
      </w:r>
      <w:r w:rsidRPr="00A6019F">
        <w:lastRenderedPageBreak/>
        <w:t xml:space="preserve">al: The Glasgow Coma Scale at 40 years: Standing the test of time. Lancet Neurol 13:844, 2014. signs and symptoms in defining mTBI. The use of multiple severity indicators is intended to improve sensitivity in the detection of mTBI (GCS 13–15), while also taking into consideration traditional acute injury characteristics that have been presumed to predict outcome fol lowing mild and moderate brain injury. LOC and posttraumatic amne sia (PTA) remain the most common injury characteristics referenced in these classification systems. In the case of moderate (GCS 9–12) and severe (GCS 3–8) TBI, GCS score and the duration of LOC and PTA can be robust predictors of long-term outcome and morbidity. In cases of mTBI, however, while PTA and LOC are important indicators of acute injury, they are less predictive of eventual recovery time and outcome, particularly within sport-related concussion. </w:t>
      </w:r>
      <w:r w:rsidRPr="00A6019F">
        <w:rPr>
          <w:rFonts w:ascii="Arial" w:hAnsi="Arial" w:cs="Arial"/>
        </w:rPr>
        <w:t>■</w:t>
      </w:r>
      <w:r w:rsidRPr="00A6019F">
        <w:t>TBI TYPES AND PATHOLOGIES Mild TBI (Concussion) It is estimated that 70</w:t>
      </w:r>
      <w:r w:rsidRPr="00A6019F">
        <w:rPr>
          <w:rFonts w:ascii="Aptos" w:hAnsi="Aptos" w:cs="Aptos"/>
        </w:rPr>
        <w:t>–</w:t>
      </w:r>
      <w:r w:rsidRPr="00A6019F">
        <w:t xml:space="preserve">90% of all treated TBIs are mild in severity based on traditional case definitions and acute injury characteristics, with most reported estimates in the order of 85%. The published figures likely underrepresent the true incidence of mTBI because of variable case definitions and heterogeneous methods. Moreover, because a subgroup of individuals with milder brain injuries does not seek medical attention, epidemiologic studies that depend on hospital-based data also underestimate the true incidence. In fact, it has been estimated that current data collection sources and methods may only capture one of every nine mTBI/concussions in the United States. The term concussion, while popular, is vague and is not based on widely accepted objective criteria, resulting in multiple definitions from various groups. There has been debate as to whether concussion is part of the TBI spectrum or a separate entity. The Concussion in Sports Group has concluded that “concussion is a traumatic brain injury” as part of the consensus statement definition of the injury. By firmly plac ing concussion in the spectrum of TBI, the underlying pathophysiologic processes common to all TBI presentations can now be considered together. CT imaging is often normal in this population. However, emerg ing evidence indicates that 3-tesla (3T) MRI scans with greater image resolution can identify pathology consistent with acute brain injury such as contusion and microhemorrhage. When patients with mTBI have CT and/or MRI abnormalities, they are often referred to as having complicated mTBI and are more likely to have an unfavorable outcome. SKULL FRACTURE, EXTRA-AXIAL HEMATOMA, CONTUSION, AND AXONAL INJURY </w:t>
      </w:r>
      <w:r w:rsidRPr="00A6019F">
        <w:rPr>
          <w:rFonts w:ascii="Arial" w:hAnsi="Arial" w:cs="Arial"/>
        </w:rPr>
        <w:t>■</w:t>
      </w:r>
      <w:r w:rsidRPr="00A6019F">
        <w:t xml:space="preserve">SKULL FRACTURE A blow to the skull that exceeds the elastic tolerance of the bone causes a fracture. Intracranial lesions accompany roughly two-thirds of skull fractures, and the presence of a fracture increases many-fold CHAPTER 454 Concussion and Other Traumatic Brain Injuries 3572 the chances of an underlying subdural or epidural hematoma. Con sequently, fractures are primarily markers of the site and severity of injury. If the underlying arachnoid membrane has been torn, fractures also provide potential pathways for entry of bacteria to the cerebrospi nal fluid (CSF) with a risk of meningitis and for leakage of CSF outward through the dura. If there is leakage of CSF, severe orthostatic headache results from lowered pressure in the spinal fluid </w:t>
      </w:r>
      <w:r w:rsidRPr="00A6019F">
        <w:lastRenderedPageBreak/>
        <w:t xml:space="preserve">compartment. PART 13 Neurologic Disorders Most fractures are linear and extend from the point of impact toward the base of the skull. Basilar skull fractures are often exten sions of adjacent linear fractures over the convexity of the skull but may occur independently owing to stresses on the floor of the middle cranial fossa or occiput. Basilar fractures are usually parallel to the petrous bone or along the sphenoid bone and directed toward the sella turcica and ethmoidal groove. Although most basilar fractures are uncomplicated, they can cause CSF leakage, pneumocephalus, and delayed cavernous-carotid fistulas. Hemotympanum (blood behind the tympanic membrane), ecchymosis over the mastoid process (Battle sign), and periorbital ecchymosis (“raccoon sign”) are clinical signs associated with basilar fractures. </w:t>
      </w:r>
      <w:r w:rsidRPr="00A6019F">
        <w:rPr>
          <w:rFonts w:ascii="Arial" w:hAnsi="Arial" w:cs="Arial"/>
        </w:rPr>
        <w:t>■</w:t>
      </w:r>
      <w:r w:rsidRPr="00A6019F">
        <w:t xml:space="preserve">EPIDURAL AND SUBDURAL HEMATOMAS Hemorrhages between the dura and skull (epidural) or beneath the dura (subdural) have characteristic clinical and imaging features. They are sometimes associated with underlying brain contusions and other injuries, often making it difficult to determine the relative contribution of each component to the clinical state. The mass effect of raised intra cranial pressure (ICP) caused by these hematomas can be life threaten ing, making it imperative to identify them rapidly by CT or MRI scan and to surgically remove them when appropriate. Epidural Hematoma (Fig. 454-1) These highly dangerous lesions usually arise from an injury to a meningeal arterial vessel and evolve rapidly. They are often accompanied by a “lucid interval” of several minutes to hours prior to neurologic deterioration. They occur in up to 10% of cases of severe head injury but are less often associated with underlying cortical damage compared to subdural hematomas. Rapid surgical evacuation and ligation or cautery of the damaged ves sel, usually the middle meningeal artery that has been lacerated by an overlying skull fracture, is indicated. If recognized and treated rapidly, patients often have a favorable outcome. Acute Subdural Hematoma (Fig. 454-2) Direct cranial trauma may be minor and is not always required for acute subdural hemor rhage to occur, especially in the elderly and those taking anticoagulant medications. Acceleration forces alone, as from whiplash, are some times sufficient to produce subdural hematoma. Up to one-third of patients have a lucid interval lasting minutes to hours before coma FIGURE 454-1 Acute epidural hematoma. The tightly attached dura is stripped from the inner table of the skull, producing a characteristic lenticular-shaped hemorrhage on noncontrast computed tomography scan. Epidural hematomas are usually caused by tearing of the middle meningeal artery following fracture of the temporal bone. FIGURE 454-2 Acute subdural hematoma. Noncontrast computed tomography scan reveals a hyperdense clot that has an irregular border with the brain and causes more horizontal displacement (mass effect) than might be expected from its thickness. The disproportionate mass effect is the result of the large rostral-caudal extent of these hematomas. Compare to Fig. 454-1. supervenes, but most are drowsy or comatose from the moment of injury. A unilateral headache and slightly enlarged pupil on the side of the hematoma are frequently, but not invariably, present. Small subdu ral hematomas may be asymptomatic and usually do not require </w:t>
      </w:r>
      <w:r w:rsidRPr="00A6019F">
        <w:lastRenderedPageBreak/>
        <w:t xml:space="preserve">surgi cal evacuation if they do not enlarge. Stupor or coma, hemiparesis, and unilateral pupillary enlargement are signs of larger hematomas. The bleeding that causes larger subdural hematomas is primarily venous in origin, although arterial bleeding sites are sometimes found at opera tion, and a few large hematomas have a purely arterial origin. In an acutely deteriorating patient, an emergency craniotomy is required. In contrast to epidural hematomas, there is significant morbidity and mortality associated with acute subdural hematomas that require surgery. Chronic Subdural Hematoma A subacutely evolving syndrome due to subdural hematoma occurs days or weeks after injury with drowsiness, headache, confusion, or mild hemiparesis, usually in the elderly with age-related atrophy and often after only minor or unno ticed trauma. On imaging studies, chronic subdural hematomas appear as crescentic clots over the convexity of one or both hemispheres, most commonly in the frontotemporal region (Fig. 454-3). A history of trauma may or may not be elicited in relation to chronic subdural hematoma; the injury may have been trivial and forgotten, particularly in the elderly and those with clotting disorders. Headache is common FIGURE 454-3 Computed tomography scan of chronic bilateral subdural hematomas of different ages. The collections began as acute hematomas and have become hypodense in comparison to the adjacent brain after a period during which they were isodense and difficult to appreciate. Some areas of resolving blood are contained on the more recently formed collection on the left (arrows). 3573 but not invariable. Additional features that may appear weeks later include slowed thinking, vague change in personality, seizure, or a mild hemiparesis. The headache typically fluctuates in severity, some times with changes in head position. Drowsiness, inattentiveness, and incoherence of thought are generally more prominent than focal signs such as hemiparesis. Rarely, chronic hematomas cause brief episodes of hemiparesis or aphasia that are indistinguishable from transient ischemic attacks. CT without contrast initially shows a low-density mass over the convexity of the hemisphere. Between 2 and 6 weeks after the initial bleeding, the clot becomes isodense compared to adjacent brain and may be inapparent. Many subdural hematomas that are several weeks in age contain areas of blood and intermixed serous fluid. Infusion of contrast material demonstrates enhancement of the vascular fibrous capsule surrounding the collection. MRI reliably identifies both sub acute and chronic hematomas. Clinical observation coupled with serial imaging is a reasonable approach to patients with few symptoms and small chronic subdural collections that do not cause mass effect. Treatment with surgical evacuation through burr holes is usually successful, if a cranial drain is used postoperatively. The fibrous membranes that grow from the dura and encapsulate the collection may require removal with a craniotomy to prevent recurrent fluid accumulation. </w:t>
      </w:r>
      <w:r w:rsidRPr="00A6019F">
        <w:rPr>
          <w:rFonts w:ascii="Arial" w:hAnsi="Arial" w:cs="Arial"/>
        </w:rPr>
        <w:t>■</w:t>
      </w:r>
      <w:r w:rsidRPr="00A6019F">
        <w:t xml:space="preserve">TRAUMATIC SUBARACHNOID HEMORRHAGE Subarachnoid hemorrhage (SAH) is common in TBI. Rupture of small cortical arteries or veins can cause bleeding into the subarachnoid space. Traumatic SAH is often seen in the sulci and is frequently the only radiographic finding on CT following mild TBI. SAH occurs dif fusely after severe TBI and confers an increase in mortality. In mild TBI, SAH </w:t>
      </w:r>
      <w:r w:rsidRPr="00A6019F">
        <w:lastRenderedPageBreak/>
        <w:t xml:space="preserve">provides an objective imaging biomarker for TBI and, in some patients, is associated with unfavorable outcomes. </w:t>
      </w:r>
      <w:r w:rsidRPr="00A6019F">
        <w:rPr>
          <w:rFonts w:ascii="Arial" w:hAnsi="Arial" w:cs="Arial"/>
        </w:rPr>
        <w:t>■</w:t>
      </w:r>
      <w:r w:rsidRPr="00A6019F">
        <w:t xml:space="preserve">CONTUSION (FIG. 454-4) A surface bruise of the brain, or contusion, consists of varying degrees of petechial hemorrhage, edema, and tissue destruction. Contusions and deeper hemorrhages result from mechanical forces that displace and compress the hemispheres forcefully and by deceleration of the brain against the inner skull, either under a point of impact (coup lesion) or, as the brain swings back, in the antipolar area (contrecoup lesion). Trauma sufficient to cause prolonged unconsciousness usu ally produces some degree of contusion. Blunt deceleration impact, as occurs against an automobile dashboard or from falling forward onto a hard surface, causes contusions on the orbital surfaces of the frontal lobes and the anterior and basal portions of the temporal lobes. With lateral forces, as from impact on an automobile door frame, contusions are situated on the lateral convexity of the hemisphere. The clinical signs of contusion are determined by the location and size of the lesion; FIGURE 454-4 Traumatic cerebral contusion. Noncontrast computed tomography scan demonstrating a hyperdense hemorrhagic region in the anterior temporal lobe. often, there are no focal abnormalities with a routine neurologic exam, but these injured regions are later the sites of gliotic scars that may produce seizures. A hemiparesis or gaze preference is fairly typical of moderately sized contusions. Large bilateral contusions produce stupor with extensor posturing, while those limited to the frontal lobes cause a taciturn state. Contusions in the temporal lobe may cause delirium or an aggressive, combative syndrome. Torsional or shearing forces within the brain can cause hemorrhages of the basal ganglia and other deep regions. Large contusions and hemorrhages after minor trauma should raise concerns for coagulopathy due to an underlying disease or more commonly anticoagulant therapy. Acute contusions are easily visible on CT and MRI scans, appearing as inhomogeneous hyperdensities on CT and as hyperintensities on T2 and fluid-attenuated inversion recovery (FLAIR) MRI sequences; there is usually surrounding localized brain edema and some subarachnoid bleeding. Blood in the CSF due to trauma may provoke a mild inflam matory reaction. Over a few days, contusions acquire a surrounding contrast enhancement and edema that may be mistaken for tumor or abscess. </w:t>
      </w:r>
      <w:r w:rsidRPr="00A6019F">
        <w:rPr>
          <w:rFonts w:ascii="Arial" w:hAnsi="Arial" w:cs="Arial"/>
        </w:rPr>
        <w:t>■</w:t>
      </w:r>
      <w:r w:rsidRPr="00A6019F">
        <w:t xml:space="preserve">AXONAL INJURY (FIG. 454-5) Traumatic axonal injury (TAI) is one of the most common injuries after TBI. There is disruption, or shearing, of axons at the time of impact, and this is associated with microhemorrhages. It occurs follow ing high-speed deceleration injuries, such as motor vehicle collisions (see Johnson et al, 2013, in Further Readings). The presence of four or more areas of TAI is called diffuse axonal injury (DAI) and, when widespread, has been proposed to explain persistent coma and the veg etative state after TBI (Chap. 30). Only severe TAI lesions that contain substantial blood are visualized by CT, usually in the corpus callosum and centrum semiovale. More commonly, the CT will be negative for TAI, but subsequent MRI, particularly gradient-echo or susceptibility weighted imaging, will show hemosiderin deposits reflective of micro hemorrhages in addition to the axonal damage on diffusion sequences. Traditionally, TAI and DAI have been </w:t>
      </w:r>
      <w:r w:rsidRPr="00A6019F">
        <w:lastRenderedPageBreak/>
        <w:t xml:space="preserve">considered as sequelae much more likely to result from moderate and severe injuries. Accumulating evidence has demonstrated that diffuse white matter abnormalities purportedly reflective of axonal injury, such as changes in microstruc ture and neurite density, are quite common in mild TBI as well. The degree of these changes correlates with metrics of injury severity (e.g., symptom burden) and recovery duration. CHAPTER 454 Concussion and Other Traumatic Brain Injuries </w:t>
      </w:r>
      <w:r w:rsidRPr="00A6019F">
        <w:rPr>
          <w:rFonts w:ascii="Arial" w:hAnsi="Arial" w:cs="Arial"/>
        </w:rPr>
        <w:t>■</w:t>
      </w:r>
      <w:r w:rsidRPr="00A6019F">
        <w:t xml:space="preserve">CRANIAL NERVE INJURIES The cranial nerves most often injured with TBI are the olfactory, optic, oculomotor, and trochlear nerves; the first and second branches of the trigeminal nerve; and the facial and auditory nerves. Anosmia and an apparent loss of taste (actually a loss of perception of aromatic flavors, FIGURE 454-5 Multiple small areas of hemorrhage and tissue disruption in the white matter of the frontal lobes on noncontrast computed tomography scan. These appear to reflect an extreme type of the diffuse axonal shearing lesions that occur with closed head injury. 3574 intoxication are sensitive (but not specific) indicators of intracranial hemorrhage that justify CT scanning. Though not incorporated into conventional clinical practice guide lines, growing evidence suggests that MRI improves sensitivity for detection of small intracranial hemorrhages and other lesions in mild TBI patients, particular among those with negative findings on CT. Specifically, intracranial abnormalities are fairly common on MRI (27%) in CT-negative patients. Further, acute MRI findings have prog nostic utility in predicting recovery and outcome after mTBI/concus sion (e.g., risk of functional impairment, time to return to activity). PART 13 Neurologic Disorders with retained elementary taste perception) occur in ~10% of persons with serious head injuries, particularly from falls on the back of the head. This is the result of displacement of the brain and shearing of the fine olfactory nerve filaments that course through the cribriform bone. At least partial recovery of olfactory and gustatory function is expected, but if bilateral anosmia persists for several months, the prognosis is poor. Partial optic nerve injuries from closed trauma result in blurring of vision, central or paracentral scotomas, or sector defects. Direct orbital injury may cause short-lived blurred vision for close objects due to reversible iridoplegia. Diplopia limited to downward gaze and cor rected when the head is tilted away from the side of the affected eye indi cates trochlear (fourth nerve) nerve damage. It occurs frequently as an isolated problem after minor head injury or may develop for unknown reasons after a delay of several days. Facial nerve injury caused by a basilar fracture is present immediately in up to 3% of severe injuries; it may also be delayed for 5–7 days. Fractures through the petrous bone, particularly the less common transverse type, are liable to produce facial palsy. Delayed facial palsy occurring up to a week after injury, the mechanism of which is unknown, has a good prognosis. Injury to the eighth cranial nerve from a fracture of the petrous bone causes loss of hearing, vertigo, and nystagmus immediately after injury. Deafness from eighth nerve injury is rare and must be distinguished from blood in the middle ear or disruption of the middle ear ossicles. Dizziness, tinnitus, and high-tone hearing loss occur from cochlear concussion. </w:t>
      </w:r>
      <w:r w:rsidRPr="00A6019F">
        <w:rPr>
          <w:rFonts w:ascii="Arial" w:hAnsi="Arial" w:cs="Arial"/>
        </w:rPr>
        <w:t>■</w:t>
      </w:r>
      <w:r w:rsidRPr="00A6019F">
        <w:t xml:space="preserve">SEIZURES Convulsions are surprisingly uncommon immediately </w:t>
      </w:r>
      <w:r w:rsidRPr="00A6019F">
        <w:lastRenderedPageBreak/>
        <w:t xml:space="preserve">after TBI, but a brief period of tonic extensor posturing or a few clonic movements of the limbs just after the moment of impact can occur. However, the corti cal scars that evolve from contusions are highly epileptogenic and may later manifest as seizures, even after many months or years (Chap. 436). The severity of injury roughly determines the risk of future seizures. It has been estimated that 17% of individuals with brain contusion, sub dural hematoma, or prolonged LOC will develop a seizure disorder and that this risk extends for an indefinite period of time, whereas the risk is ≤2% after mild injury. The majority of convulsions in the latter group occur within 5 years of injury but may be delayed for decades. Penetrat ing injuries have a much higher rate of subsequent epilepsy. CLINICAL SYNDROMES AND TREATMENT OF HEAD INJURY </w:t>
      </w:r>
      <w:r w:rsidRPr="00A6019F">
        <w:rPr>
          <w:rFonts w:ascii="Arial" w:hAnsi="Arial" w:cs="Arial"/>
        </w:rPr>
        <w:t>■</w:t>
      </w:r>
      <w:r w:rsidRPr="00A6019F">
        <w:t xml:space="preserve">CONCUSSION/MILD TBI The patient who has briefly lost consciousness or been stunned after a minor head injury usually becomes fully alert and attentive within minutes but may complain of headache, dizziness, faintness, nausea, a single episode of emesis, difficulty with concentration, a brief amnestic period, or slight blurring of vision. This typical concussion syndrome has a good prognosis with little risk of subsequent deterioration. Chil dren are particularly prone to drowsiness, vomiting, and irritability, symptoms that are sometimes delayed for several hours after apparently minor injuries. Vasovagal syncope that follows injury may cause undue concern. Generalized or frontal headache is common in the following days. It may be migrainous (throbbing and hemicranial) in nature or aching and bilateral. After several hours of observation, patients with minor injury may be accompanied home and observed for a day by a family member or friend, with written instructions to return if symp toms worsen. Persistent severe headache and repeated vomiting in the context of normal alertness and no focal neurologic signs is usually benign, but CT should be obtained and a longer period of observation is appro priate. The decision to perform imaging tests also depends on clinical signs that indicate that the impact was severe (e.g., persistent confu sion, repeated vomiting, palpable skull fracture); the presence of other serious bodily injuries, an underlying coagulopathy, or age &gt;65 years; and on the degree of surveillance that can be anticipated after dis charge. Guidelines have also indicated that older age (&gt;65 years), two or more episodes of vomiting, &gt;30 min of retrograde or persis tent anterograde amnesia, seizure, and concurrent drug or alcohol Blood-based (serum and plasma) biomarkers of astrocyte damage/ astrogliosis (glial fibrillary acidic protein [GFAP]) and neuronal injury (ubiquitin carboxy-terminal hydrolase L1 [UCHL1]) also hold promise in improving detection and outcome prediction across the full spec trum of TBI. With development and regulatory approval of new rapid assay systems, these biomarkers can now be used for real-time point of-care assessment; GFAP in particular has high discriminant ability to detect intracranial abnormalities, as well as potential to differentiate CT+, CT–/MRI+, and CT–/MRI– patients. Similar to MRI, emerging biomarkers appear to have not only diagnostic but also prognostic util ity in predicting the trajectory of recovery and functional impairments weeks and months after TBI. </w:t>
      </w:r>
      <w:r w:rsidRPr="00A6019F">
        <w:rPr>
          <w:rFonts w:ascii="Arial" w:hAnsi="Arial" w:cs="Arial"/>
        </w:rPr>
        <w:t>■</w:t>
      </w:r>
      <w:r w:rsidRPr="00A6019F">
        <w:t xml:space="preserve">SPORT-RELATED CONCUSSION Concussion is a frequent injury in contact </w:t>
      </w:r>
      <w:r w:rsidRPr="00A6019F">
        <w:lastRenderedPageBreak/>
        <w:t xml:space="preserve">and collision sports (e.g., football, hockey, wrestling) at all levels of participation, including youth sports. Head injury associated with sport and recreational activ ity accounts for 45% of TBI-related emergency department visits in children age 17 years and under. Over the last decade, data from the Centers for Disease Control and Prevention indicate a 27% decrease in emergency department visits for sport- and recreation-related TBI in the United States between 2012 and 2018, with a specific decline in contact sport–related visits by 32%. Given that national and state surveillance systems continue to report increased sport-related concus sion rates over the same time period, it could be inferred that diagnosis and management of sport-related concussion outside of the emergency department have increased. The natural history of clinical recovery following sport-related con cussion has been a subject of substantial ongoing research. Recent large prospective studies have reinforced earlier indications that the acute recovery is favorable. For example, a longitudinal study of over 34,000 collegiate athletes (1751 who experienced concussion) from 22 institu tions found that median time to symptom resolution was 6.4 days and median time for return to sport was 12.8 days. By 1 month after injury, 92% of athletes had experienced resolution of symptoms and 85% had been cleared to return to sport. Across several studies, postinjury symptom burden is the most robust predictor of recovery and risk of prolonged symptoms. Other injury/postinjury factors associated with longer return to sport time were continued play following injury and access to health care providers. Several other prospective studies have replicated that the overwhelming majority of athletes across ages (pediatric to adult) achieve a complete recovery in symptoms, cognitive functioning, postural stability, and other functional impairments over a period of 1–4 weeks following concussion. There continues to be a growing focus toward a more rapid return to activity and early rehabilitation following injury. Specifically, while experts agree that initial rest after injury is beneficial for recovery, extended inactivity beyond 5 days can be detrimental and increase risk for protracted recovery. Rather, active rehabilitation involv ing supervised subthreshold exercise has been shown to decrease the duration of symptoms and reduce risk of a protracted recovery. Cervicovestibular rehabilitation has been recently recommended for those who experience neck pain, dizziness, or headaches for &gt;10 days after injury. Preliminary evidence suggests that earlier return to learn/school is associated with faster injury recovery, and there has been an increased focus on facilitating a faster and optimal return to learn/school through accommodations. This could include, but is not limited to, a shortened schedule or built-in breaks for fatigue, opportunity for a quiet work 3575 environment to prevent headaches or attentional difficulties, and setting expectations for course work to reduce anxiety, among other accommodations. Most patients (&gt;90%) experience a full return to learn without accommodations by 10 days. There are a small, select percentage of athletes who remain symp tomatic or impaired on functional testing well beyond the window of recovery commonly reported in group studies. The greatest challenge arguably still facing sport medicine clinicians and public health </w:t>
      </w:r>
      <w:r w:rsidRPr="00A6019F">
        <w:lastRenderedPageBreak/>
        <w:t xml:space="preserve">experts is how to most effectively manage and reduce risk in this subset of athletes who do not follow the “typical” course of recovery. The precise likelihood that an athlete will not follow the typical course of rapid, spontaneous recovery and instead exhibit prolonged postconcussive symptoms or other functional impairments after concussion remains unclear. In addition to the injury-related or postinjury factors identi fied above, a preinjury mental health disorder, migraine, and prior concussion have been consistently associated with the potential for prolonged recovery. Following acute concussion, multimodal advanced neuroimaging has demonstrated a variety of changes, including decreased cerebral blood flow, increased global and local functional connectivity, and alterations in white matter microstructure reflecting axonal organiza tion. In general, these metrics correlate with measures of injury severity, and resolution of these changes tends to parallel clinical recovery. How ever, a number of studies have shown that slight changes on advanced multimodal imaging can persist even after symptoms have fully resolved, supporting the concept that the “tail” of neurobiologic recov ery may extend beyond the time course of apparent clinical recovery. In the current absence of adequate data, a commonsense approach to athletic concussion has been to remove the individual from play immediately and avoid contact sports for at least several days after a mild injury, and for a longer period if there are more severe injuries or if there are protracted neurologic symptoms such as headache and difficulty concentrating. No individual should return to play unless all concussion-related symptoms have resolved and an assessment has been made by a health care professional who has experience with treatment of concussion. Validated symptom inventories, such as the Rivermead Post-Concussion Symptom Questionnaire (Table 454-2), have been developed to aid clinicians with recording and quantifying the diverse range of physical, cogni tive, and behavioral symptoms that can occur following concussion. In addition to characterizing the constellation of acute symptoms and their severity, symptom inventories can be beneficial to track the course and resolution of symptoms through recovery. Differ entiating concussion-related symptoms from factors that may be also influencing endorsement (e.g., preinjury mood disorders) is an important component of managing recovery from sport-related concussion. Once cleared, the individual can then begin a gradu ated program of increasing activity. These guidelines are designed TABLE 454-2 Review of Concussion Symptoms PHYSICAL Headaches Dizziness Nausea and/or vomiting Noise sensitivity  Sleep disturbance   Fatigue   Blurred vision   Light sensitivity   Double vision   COGNITIVE Forgetfulness or poor memory Poor concentration Taking longer to think BEHAVIORAL Being irritable, easily angered Feeling depressed or tearful Feeling frustrated or impatient Restlessness Note: Items were adapted from the Rivermead Post-Concussion Symptom Questionnaire. Each item is rated on a 5-point Likert scale (0–4), as follows: 0 = Not experienced at all; 1 = No more of a problem now than preinjury; 2 = A mild problem; 3 = A moderate problem; 4 = A severe problem. Total scores can range from 0–64. in part to avoid a perpetuation of symptoms but also to prevent the rare </w:t>
      </w:r>
      <w:r w:rsidRPr="00A6019F">
        <w:lastRenderedPageBreak/>
        <w:t xml:space="preserve">second-impact syndrome, in which diffuse and fatal cerebral swelling follows a second minor head injury. </w:t>
      </w:r>
      <w:r w:rsidRPr="00A6019F">
        <w:rPr>
          <w:rFonts w:ascii="Arial" w:hAnsi="Arial" w:cs="Arial"/>
        </w:rPr>
        <w:t>■</w:t>
      </w:r>
      <w:r w:rsidRPr="00A6019F">
        <w:t xml:space="preserve">POSTCONCUSSIVE STATES There has been a recent paradigm shift from the term postconcussion syndrome (PCS) to persistent postconcussion symptoms (PPCS) in an effort to avoid classifying prolonged sequelae under a nonspecific diagnostic label and a shifting focus toward identifying and targeting treatment toward direct areas of persistent difficulty. PPCS following mild TBI could include symptoms of fatigue, dizziness, headache, and/ or difficulty in concentration. Management is difficult and generally requires identification and management of the specific problem or problems that are most troubling to the individual. A clear explanation and education around the symptoms that may follow concussion have been shown to reduce subsequent complaints. Care is taken to avoid prolonged use of drugs that produce dependence. Headache may ini tially be treated with acetaminophen and small doses of amitriptyline. Vestibular exercises (Chap. 24) and small doses of vestibular suppres sants such as promethazine (Phenergan) may be helpful when dizziness is the main problem. After mild or moderate injury, patients who have difficulty with memory or with complex cognitive tasks at work may be reassured to know that these problems usually improve over several months, and a reduced workload or other accommodations may be prescribed in the interim. For select cases, speech and language therapy intervention may be appropriate. For the vast majority of individuals with mTBI, symptoms of PPCS subside and resolve within a few weeks of injury. For a subset of indi viduals with mTBI, however, complaints of postconcussion symptoms persist beyond the expectation derived from TBI severity markers. Subtypes of PPCS have been proposed to improve characterization of specific symptoms or types of sequelae following mTBI. These include neurologic, cognitive, behavioral, or somatic complaints that continue beyond the acute and subacute periods, becoming chronic and often operationalized as persisting beyond 3 months. Although the overall risk of experiencing PPCS following mTBI is low, the frequency of mTBI patients who present in a clinical setting is believed to be higher. mTBI patients with PPCS frequently present to the outpatient clinics of primary care physicians, physiatrists, or neurologists seeking relief for lingering related symptoms. While some patients will have already received an initial medical workup to rule out a more serious brain injury during the acute phase, many patients will have had no prior contact with health care specialists. A medical workup ordered in the outpatient setting for PPCS-related complaints is typically unremark able for any identifiable neurologic cause to account for the persist ing symptoms reported by the patient. The development of uniform decision trees or “standard of care” treatment regimens for PPCS has been limited by the diversity of symptoms that patients experience, even within mTBI subgroups that have sustained very similar injury patterns. While some patients experience somatic symptoms, others complain of subjective cognitive or behavioral changes. Symptom inventories (Table 454-2) can be helpful in documenting the broad range of these symptoms and serve as a metric for improvement fol lowing symptom-based treatment. Active rehabilitation for the </w:t>
      </w:r>
      <w:r w:rsidRPr="00A6019F">
        <w:lastRenderedPageBreak/>
        <w:t xml:space="preserve">treatment of PPCS involving subthresh old exercise has increased in popularity over recent years and has gained empirical support for its effectiveness as a useful intervention for protracted recovery. PPCS are often influenced by diverse cognitive, emotional, medical, psychosocial, and motivational factors. Because of this complexity, treatments targeting persistent and refractory symptoms should be tailored to the needs and expectations of the individual patient, with referrals to specialists as needed for assistance with management of headache, neck and back pain, dizziness and vertigo, and other persist ing symptoms. A comprehensive review of concussion and persisting symptoms, presented in Table 454-2, allows for development of an individualized approach that leverages currently available treatment for those sequelae that are most bothersome to the patient (e.g., vestibu lar or cervicovestibular rehabilitation therapy for vertigo, melatonin CHAPTER 454 Concussion and Other Traumatic Brain Injuries 3576 for sleep disturbance). Patients are frequently referred to behavioral health providers such as neuropsychologists, rehabilitation psycholo gists, health psychologists, and/or psychiatrists for a variety of reasons, but particularly when they are experiencing persistent cognitive, emotional, or behavioral changes. Patients with mood disorders (e.g., depression), anxiety disorders (e.g., posttraumatic stress disorder), or adjustment reactions may benefit from psychiatric consultation for appropriate medication trials or from time-limited psychotherapy such as cognitive behavioral therapy. PART 13 Neurologic Disorders Due to the complexity of presentation and varying diagnostic cri teria, there are limited studies regarding overall prognosis of PPCS. However, treatment targeted to the individual’s specific persisting difficulties can improve functional outcomes and patient-rated quality of life. Further, collaborative care has been shown to improve out comes among patients experiencing PPCS. These improved outcomes are likely due to a multidisciplinary team’s ability to simultaneously address the diverse set of difficulties that can occur with PPCS. </w:t>
      </w:r>
      <w:r w:rsidRPr="00A6019F">
        <w:rPr>
          <w:rFonts w:ascii="Arial" w:hAnsi="Arial" w:cs="Arial"/>
        </w:rPr>
        <w:t>■</w:t>
      </w:r>
      <w:r w:rsidRPr="00A6019F">
        <w:t xml:space="preserve">INJURY OF INTERMEDIATE SEVERITY Patients who are not fully alert or have persistent confusion, behav ioral changes, extreme dizziness, or focal neurologic signs such as hemiparesis should be admitted to the hospital and undergo a cere bral imaging study. A cerebral contusion or hematoma will usually be found. Common syndromes include (1) delirium with a disinclina tion to be examined or moved, expletive speech, and resistance if dis turbed (anterior temporal lobe contusions); (2) a quiet, disinterested, slowed mental state (abulia) alternating with irascibility (inferior frontal and frontopolar contusions); (3) a focal deficit such as aphasia or mild hemiparesis (due to subdural hematoma or convexity contu sion or, less often, carotid artery dissection); (4) confusion and inat tention, poor performance on simple mental tasks, and fluctuating orientation (associated with several types of injuries, including those described above, and with medial frontal contusions and interhemi spheric subdural hematoma); (5) repetitive vomiting, nystagmus, drowsiness, and unsteadiness (labyrinthine concussion, but occasion ally due to a posterior fossa subdural hematoma or vertebral artery dissection); and (6) diabetes insipidus (damage to the median emi nence or pituitary </w:t>
      </w:r>
      <w:r w:rsidRPr="00A6019F">
        <w:lastRenderedPageBreak/>
        <w:t xml:space="preserve">stalk). Injuries of this degree can be complicated by drug or alcohol intoxication, and clinically inapparent cervical spine injury may be present. Blast injuries are often accompanied by rupture of the tympanic membranes. After surgical removal of hematomas, patients in this category improve over weeks to months. During the first week, the state of alertness, memory, and other cognitive functions often fluctuate, and agitation and somnolence are common. Behavioral changes tend to be worse at night, as with many other encephalopathies, and may be treated with small doses of antipsychotic medications. Subtle abnor malities of attention, intellect, spontaneity, and memory return toward normal weeks or months after the injury, sometimes abruptly. How ever, the full extent of recovery may not be realized for several years. Persistent cognitive problems are discussed below. </w:t>
      </w:r>
      <w:r w:rsidRPr="00A6019F">
        <w:rPr>
          <w:rFonts w:ascii="Arial" w:hAnsi="Arial" w:cs="Arial"/>
        </w:rPr>
        <w:t>■</w:t>
      </w:r>
      <w:r w:rsidRPr="00A6019F">
        <w:t xml:space="preserve">SEVERE INJURY Patients who are comatose from the moment of injury require imme diate neurologic attention and resuscitation. After intubation, with care taken to immobilize the cervical spine, the depth of coma, pupil lary size and reactivity, limb movements, and Babinski responses are assessed. As soon as vital functions permit and cervical spine x-rays and a CT scan have been obtained, the patient should be transported to a critical care unit. Hypoxia should be reversed, and normal saline used as the resuscitation fluid in preference to albumin. The finding of an epidural or subdural hematoma or large intracerebral hemorrhage is usually an indication for prompt surgery and intracranial decom pression in an otherwise salvageable patient. Measurement of ICP with a ventricular catheter or fiberoptic device in order to guide treat ment has been favored by many units but has not improved outcome. Similarly, induced hypothermia has shown no benefit. Hyperosmolar intravenous solutions are used in various regimens to limit intracranial pressure. Prophylactic antiepileptic medications are recommended for 7 days and should be discontinued unless there are multiple seizures after injury. Management of raised ICP, a frequent feature of severe head injury, is discussed in Chap. 318. Despite the improvement in mortality for severe TBI over the past few decades, a great deal of therapeutic nihilism persists in TBI. The common use of a 6-month outcome for TBI clinical studies reinforces this misconception. The recovery from severe TBI can take years. Fur thermore, the ability to predict long-term outcome is limited and fre quently incorrect. Best-practice guidelines recommend, in the absence of brain death, that aggressive therapy be instituted for at least 72 h in the acute injury period. </w:t>
      </w:r>
      <w:r w:rsidRPr="00A6019F">
        <w:rPr>
          <w:rFonts w:ascii="Arial" w:hAnsi="Arial" w:cs="Arial"/>
        </w:rPr>
        <w:t>■</w:t>
      </w:r>
      <w:r w:rsidRPr="00A6019F">
        <w:t xml:space="preserve">LONG-TERM OUTCOMES IN TBI Continued follow-up of prospective studies has increased awareness of TBI as a chronic condition with evolving changes and needs over sev eral years after injury. While the majority of individuals remain broadly stable, clinically meaningful improvement and decline across multiple domains (psychiatric, cognitive, and functional outcomes) have been observed from 2 to 7 years after injury, regardless of initial TBI severity. The direction of the changes beyond 1 year after injury can be variable (may decline and improve later, or vice versa). Collectively, this indicates that functional status remains dynamic beyond 1 year after injury, a conventionally considered plateau of recovery. Future investigation is required to better understand </w:t>
      </w:r>
      <w:r w:rsidRPr="00A6019F">
        <w:lastRenderedPageBreak/>
        <w:t xml:space="preserve">which factors are associated with improvement and decline beyond 1 year after injury. Regardless, there is growing awareness that TBI is an evolving condition that requires ongoing monitoring, rehabilitation, and support to address individual patient needs. Chronic difficulties associated with TBI (characterized above), as opposed to level of risk for Alzheimer’s disease and related demen tias (ADRD), is an important distinction in determining long-term outcomes of TBI. TBI (aggregated mild to severe) is associated with a 63–96% increased risk of all-cause dementia. The degree of risk for dementia ranges along the gradient of TBI severity (i.e., greatest risk among severe injuries). There is some evidence that repeated mTBI or sport-related concussions may be associated with elevated risk as well. To date, however, investigations have less reliably established mTBI as a robust risk factor for dementia, likely due to methodologic heterogene ity (e.g., use of different diagnostic criteria, exposure misclassification, self-report vs physician diagnoses of TBI or dementia). Though an identified risk factor for all-cause dementia, pathophysi ologic and epidemiologic factors that underlie the association between TBI and risk of specific neurodegenerative pathologies and dementia subtypes are not well understood. As a result, associations between TBI and clinical syndromes (e.g., Alzheimer’s disease, Parkinson’s dis ease, amyotrophic lateral sclerosis) or distinct neuropathologies (e.g., beta-amyloid, Lewy bodies, transactive response DNA-binding protein 43) have been inconsistently reported in the literature. In a large study involving clinical and neuropathologic data from three pooled prospec tive studies of community-based cohorts, a significant relationship was found between TBI with LOC &gt;1 h and subsequent Parkinson’s disease diagnosis, progression rate of parkinsonism, and Lewy body accumu lation at postmortem examination. Positron emission tomography (PET) studies have allowed for in vivo investigation of neuropathologic deposition and have failed to consistently observe associations between remote TBI (mild through severe) and amyloid or tau deposition. Among former contact and collision sport athletes, exposure to repetitive head impacts (RHI) involving external blows that do not produce signs and symptoms of mTBI/concussion is common. The brains of these patients with substantial RHI exposure may display a characteristic deposition of tau protein in neurons located in the super ficial cortical layers and perivascular regions and particularly in the depths of sulci. This pattern has been defined as the pathognomonic lesion of chronic traumatic encephalopathy (CTE). The degree to which this neuropathologic finding is present in nonathlete populations with potential RHI exposure (e.g., former military service members and veterans, victims of intimate partner violence) is uncertain, although the prevalence was found to be low in a large autopsy study of military service members. 3577 A variety of neurodegenerative pathologies are commonly found in the presence of CTE, adding to the complexity of diagnosis. Further more, the dynamic interplay between RHI and mTBI history is not well understood. While staging criteria for this neuropathologic entity have yet to be established, a consensus meeting to define the neuro pathologic criteria for CTE proposed an algorithm assessing CTE as “low” or “high” in severity. Overall, its </w:t>
      </w:r>
      <w:r w:rsidRPr="00A6019F">
        <w:lastRenderedPageBreak/>
        <w:t xml:space="preserve">contribution, if any, to late-life dementia and parkinsonism in former athletes, soldiers, or others who have sustained repeated concussive injuries is unknown. Research criteria for the clinical diagnosis of CTE have been pro posed. The criteria generally require substantial exposure to RHI, cog nitive impairment (primarily in the domains of episodic memory and executive function) and/or neurobehavioral dysregulation, progressive course, and the absence of an alternative explanation for symptoms. Multiple studies have suggested that these proposed criteria lack speci ficity (i.e., they are frequent in other conditions and non-CTE cases). As such, CTE remains a postmortem diagnosis. Investigations have not observed robust or consistent in vivo brain-related changes associated with years of contact sport/football exposure (a commonly used proxy measure for RHI) using advanced MRI, PET imaging, or blood-based biomarkers. For example, associa tions between years of participation and amyloid deposition or white matter hyperintensity volume have not been observed. Studies of brain morphometry (volumetric and structural changes) and tau deposition have been more variable, though evidence suggests that convention ally employed PET tracers and blood biomarkers may be limited in their specificity for CTE p-tau. Impairment of neuropsychological and neuropsychiatric function is most commonly observed in those with polypathology, particularly amyloid. Taken together, further study is required to better refine the clinical and postmortem diagnostic criteria of CTE, enhance clinicopathologic correlation, and ultimately improve patient care and management. CTE is also discussed in Chap. 435. </w:t>
      </w:r>
      <w:r w:rsidRPr="00A6019F">
        <w:rPr>
          <w:rFonts w:ascii="Arial" w:hAnsi="Arial" w:cs="Arial"/>
        </w:rPr>
        <w:t>■</w:t>
      </w:r>
      <w:r w:rsidRPr="00A6019F">
        <w:t xml:space="preserve">FURTHER READING Brett BL et al: Long-term multidomain patterns of change after trau matic brain injury: A TRACK-TBI LONG Study. Neurol 101:7, 2023. Johnson VE et al: Axonal pathology in traumatic brain injury. Exp Neurol 246:35, 2013. Kowalski R et al: Recovery of consciousness and functional outcome in moderate and severe traumatic brain injury. JAMA Neurol 78:548, 2021. McCrory P et al: Consensus statement on concussion in sport—the 5th international conference on concussion in sport held in Berlin, October 2016. Br J Sports Med 51:838, 2017. Mez J et al: Clinicopathological evaluation of chronic traumatic encephalopathy in players of American football. JAMA 318:360, 2017. Nelson L et al: Recovery after mild traumatic brain injury in patients presenting to US level I trauma centers: A Transforming Research and Clinical Knowledge in Traumatic Brain Injury (TRACK-TBI) study. JAMA Neurol 76:1049, 2019. Taylor CA et al: Traumatic brain injury-related emergency depart ment visits, hospitalizations, and deaths—United States, 2007 and 2013. MMWR Surveill Summ 66:1, 2017. 455 Multiple Sclerosis Bruce A. C. Cree, Stephen L. Hauser Multiple sclerosis (MS) is an autoimmune disease of the central ner vous system (CNS) characterized by chronic inflammation, demyelin ation, gliosis (plaques or scarring), and neuronal loss; the course can be relapsing or progressive. MS plaques typically develop at different times and in different CNS locations (i.e., MS is said to be disseminated in time and space). One million individuals in the United States, and millions worldwide, are affected. The clinical course is extremely vari able, ranging from a relatively benign condition to a rapidly evolving and </w:t>
      </w:r>
      <w:r w:rsidRPr="00A6019F">
        <w:lastRenderedPageBreak/>
        <w:t xml:space="preserve">incapacitating disease requiring profound lifestyle adjustments. The past decade has seen tremendous progress in understanding basic disease mechanisms underlying MS and in developing highly effec tive therapies especially for the relapsing form of the disease. These advances have dramatically improved the long-term outcome for patients. </w:t>
      </w:r>
      <w:r w:rsidRPr="00A6019F">
        <w:rPr>
          <w:rFonts w:ascii="Arial" w:hAnsi="Arial" w:cs="Arial"/>
        </w:rPr>
        <w:t>■</w:t>
      </w:r>
      <w:r w:rsidRPr="00A6019F">
        <w:t xml:space="preserve">CLINICAL MANIFESTATIONS Onset is typically between 20 and 40 years (slightly later in men than in women), but the disease can present across the lifespan. Women are affected approximately three times more often than men. Early symptoms may be severe or seem so trivial that a patient may not seek medical attention for months or years. On occasion, MS lesions are located exclusively in noneloquent regions of the nervous system, and in such instances, clinical manifestations can be largely or entirely absent. Autopsy series identified MS in some individuals (~0.1% of cases) who were seemingly asymptomatic during life, and magnetic resonance imaging (MRI) scans obtained for unrelated reasons also showed evidence of asymptomatic MS, an incidental finding termed a radiologically isolated syndrome (RIS; see below). Specific symptoms of MS are varied and reflect the location and severity of lesions within the CNS (Table 455-1). Moreover, neuro logic examination often reveals unexpected findings in addition to the anticipated ones. For example, a patient may present with symptoms in one leg but signs in both. Sensory symptoms include both paresthesias (e.g., tingling, prickling sensations, “pins and needles,” formications, or painful burning) and hypesthesia (e.g., reduced sensation, numbness, or a “dead” feeling). Unpleasant sensations (e.g., feelings that body parts are swollen, wet, raw, or tightly wrapped) are also common. Sensory impairment of the trunk and legs below a horizontal line on the torso (a sensory level) indicates that the spinal cord is the site of the disturbance. It is often accompanied by a bandlike sensation of tightness around the torso. Pain is a common symptom of MS, experienced by &gt;50% of patients. Pain can occur anywhere on the body and can change locations over time. Optic neuritis (ON) presents as diminished visual acuity, dimness, or CHAPTER 455 Multiple Sclerosis decreased color perception (desaturation) in the central field of vision. These symptoms can be mild or may progress to severe visual loss. Rarely, there is complete loss of light perception. Visual symptoms are generally monocular but may be bilateral. Periorbital pain (aggravated by eye movement) typically precedes or accompanies the visual loss. An afferent pupillary defect (Chap. 34) is usually present. Fundoscopic examination may be normal or reveal optic disc swelling (papillitis). Pallor of the optic disc (optic atrophy) commonly follows ON. Uveitis is uncommon and should raise the possibility of alternative diagnoses such as sarcoidosis or lymphoma. TABLE 455-1 Initial Symptoms of Multiple Sclerosis (MS) SYMPTOM Sensory loss Optic neuritis Weakness Paresthesias Diplopia Ataxia Vertigo Paroxysmal attacks PERCENTAGE OF CASES 37 36 35 24 15 11 SYMPTOM Lhermitte Pain Dementia Visual loss Facial palsy PERCENTAGE OF CASES 3 3 2 Impotence 6 4 Bladder 4 Myokymia Epilepsy Falling 2 1 1 1 1 1 Source: Data from RJ Swingler, DA Compston: The morbidity of multiple sclerosis. Q J Med 83:325, 1992. 3578 Weakness of the limbs can manifest as loss of strength, </w:t>
      </w:r>
      <w:r w:rsidRPr="00A6019F">
        <w:lastRenderedPageBreak/>
        <w:t xml:space="preserve">speed, or dexterity; as fatigue; or as a disturbance of gait. Exercise-induced weakness is a characteristic symptom of MS. The weakness is of the upper motor neuron type (Chap. 26) and is usually accompanied by other pyramidal signs such as spasticity, hyperreflexia, and extensor plantar responses. Occasionally, a tendon reflex may be lost (simulating a peripheral nerve lesion) if an MS lesion disrupts the afferent reflex fibers in the spinal cord (see Fig. 26-2). Facial weakness due to a lesion in the pons may resemble idiopathic Bell’s palsy (Chap. 452). Unlike Bell’s palsy, facial weakness in MS is usually not associated with ipsilateral loss of taste sensation or retro auricular pain. PART 13 Neurologic Disorders Spasticity (Chap. 26) is commonly associated with spontaneous and movement-induced muscle spasms, especially in the legs. This can be accompanied by painful spasms interfering with ambulation, work, or self-care. Occasionally, spasticity provides support for the body weight during ambulation, and in these cases, treatment of spasticity may actually do more harm than good. Visual blurring in MS may result from ON or diplopia (double vision); if the symptom resolves when either eye is covered, the cause is diplopia. Diplopia may be caused by internuclear ophthalmoplegia (INO) or palsy of the sixth cranial nerve (rarely the third or fourth). An INO consists of impaired adduction of one eye due to a lesion in the ipsilateral medial longitudinal fasciculus (Chaps. 34 and V3). Prominent nystagmus is often observed in the abducting eye, along with a small skew deviation. A bilateral INO is particularly suggestive of MS. Other common gaze disturbances in MS include (1) a horizon tal gaze palsy, (2) a “one and a half” syndrome (horizontal gaze palsy plus an INO), and (3) acquired pendular nystagmus. Ataxia usually manifests as cerebellar tremors (Chap. 450). Ataxia may also involve the head and trunk or the voice, producing a charac teristic cerebellar dysarthria (scanning speech). Vertigo may appear suddenly from a brainstem lesion, superficially resembling acute labyrinthitis (Chap. 24). Hearing loss (Chap. 36) may also occur in MS but is uncommon. </w:t>
      </w:r>
      <w:r w:rsidRPr="00A6019F">
        <w:rPr>
          <w:rFonts w:ascii="Arial" w:hAnsi="Arial" w:cs="Arial"/>
        </w:rPr>
        <w:t>■</w:t>
      </w:r>
      <w:r w:rsidRPr="00A6019F">
        <w:t>ANCILLARY SYMPTOMS Paroxysmal symptoms are distinguished by their brief duration (10 s to 2 min), high frequency (5</w:t>
      </w:r>
      <w:r w:rsidRPr="00A6019F">
        <w:rPr>
          <w:rFonts w:ascii="Aptos" w:hAnsi="Aptos" w:cs="Aptos"/>
        </w:rPr>
        <w:t>–</w:t>
      </w:r>
      <w:r w:rsidRPr="00A6019F">
        <w:t xml:space="preserve">40 episodes per day), lack of any altera tion of consciousness or change in background electroencephalogram during episodes, and a self-limited course (generally lasting weeks to months). They may be precipitated by hyperventilation or movement. Manifestations can include Lhermitte’s symptom; tonic contractions of a limb, face, or trunk (tonic seizures); paroxysmal dysarthria and ataxia; paroxysmal sensory disturbances; and several other less well characterized syndromes. Paroxysmal symptoms probably result from spontaneous discharges arising at the edges of demyelinated plaques and spreading to adjacent white matter tracts. Lhermitte’s symptom is an electric shock–like sensation (typically induced by flexion or other movements of the neck) that radiates down the back into the legs. Rarely, it radiates into the arms. It is generally self limited but may persist for years. Lhermitte’s symptom can also occur with other disorders of the cervical spinal cord (e.g., cervical spondylosis). Trigeminal neuralgia, hemifacial spasm, and glossopharyngeal neural gia (Chap. 452) can occur when the demyelinating lesion involves the root entry (or exit) zone of the </w:t>
      </w:r>
      <w:r w:rsidRPr="00A6019F">
        <w:lastRenderedPageBreak/>
        <w:t xml:space="preserve">fifth, seventh, and ninth cranial nerve, respectively. Trigeminal neuralgia (tic douloureux) is a very brief lanci nating facial pain often triggered by an afferent input from the face or teeth. Most cases of trigeminal neuralgia are not MS related; however, atypical features such as onset before age 50 years, bilateral symptoms, objective sensory loss, or nonparoxysmal pain should raise the pos sibility that MS could be responsible. Facial myokymia consists of either persistent rapid flickering con tractions of the facial musculature (especially the lower portion of the orbicularis oculus) or a contraction that slowly spreads across the face. It results from lesions of the corticobulbar tracts or brainstem course of the facial nerve. Heat sensitivity refers to neurologic symptoms produced by an elevation of the body’s core temperature. For example, unilateral visual blurring may occur during a hot shower or with physical exercise (Uhthoff’s symptom). It is also common for MS symptoms to worsen transiently, sometimes dramatically, during febrile illnesses. Such heat related symptoms probably result from transient conduction block. Bladder dysfunction is ultimately present in most MS patients. During normal reflex voiding, relaxation of the bladder sphincter (α-adrenergic innervation) is coordinated with contraction of the detrusor muscle in the bladder wall (muscarinic cholinergic innerva tion). Detrusor hyperreflexia, due to impairment of suprasegmental inhibition, causes urinary frequency, urgency, nocturia, and uncon trolled bladder emptying. Detrusor sphincter dyssynergia, due to loss of synchronization between detrusor and sphincter muscles, causes difficulty in initiating and/or stopping the urinary stream, producing hesitancy, urinary retention, overflow incontinence, and recurrent infection. Constipation occurs in some patients, especially with advanced disease. Fecal urgency or bowel incontinence is less common than urinary symptoms but can be socially debilitating. Sexual dysfunction may manifest as decreased libido, impaired geni tal sensation, impotence in men, and diminished vaginal lubrication or adductor spasms in women. Cognitive dysfunction is often mild when present, but can include memory loss; impaired attention; difficulties in executive functioning, memory, and problem solving; slowed information processing; and problems shifting between cognitive tasks. Euphoria (elevated mood) or emotional lability (pseudobulbar palsy) was once thought to be characteristic of MS but is actually relatively uncommon. Cognitive dysfunction sufficient to impair activities of daily living is rare. Depression, experienced by approximately half of patients, can be reactive, endogenous, or part of the illness itself and can contribute to fatigue. Fatigue (Chap. 25) is experienced by most MS patients and is the most common reason for work-related disability in MS. Fatigue can be exacerbated by elevated temperatures, depression, expending exceptional effort to accomplish basic activities of daily living, or sleep disturbances (e.g., from frequent nocturnal awakenings to urinate). DISEASE COURSE In the traditional model of MS, the disease was considered to have three principal clinical forms, designated relapsing-remitting, second ary progressive, and primary progressive. Relapses were thought to be caused by inflammation, while progression was the consequence of neurodegeneration. More recently, these categories were </w:t>
      </w:r>
      <w:r w:rsidRPr="00A6019F">
        <w:lastRenderedPageBreak/>
        <w:t xml:space="preserve">supplanted by a unitary view of the disease, in which inflammation and neurode generation are present in most patients throughout the disease course. The concept that all MS is a single disease is also supported by findings from genetics, epidemiology, immunology, and pathology. Nonethe less, from a clinical perspective, it is still often useful to apply the clas sical subtype scheme to assessment and management of patients. 1. Relapsing-remitting or bout onset MS (RRMS) accounts for 90% of MS cases and is characterized by discrete attacks of neurologic dys function that generally evolve over days to weeks (rarely over hours). In early MS, there is often substantial or complete recovery over the ensuing weeks to months. However, as attacks continue, recovery may be less evident. Between attacks, patients were earlier thought to be neurologically stable; however, it is now clear that most if not all patients with RRMS experience subtle “silent” progression even when relapse-free (Fig. 455-1). The category relapsing MS (RMS) is used to identify all relapsing patients, both RRMS as well as second ary progressive patients who continue to experience attacks. 2. Secondary progressive MS (SPMS) always begins as RRMS. At some point, however, the clinical course changes so that the patient expe riences progressive deterioration in function unassociated with acute attacks. SPMS produces a greater amount of fixed neurologic disability than RRMS. A practical definition for SPMS is a patient who has developed some level of permanent walking disability not due exclusively to relapses. The Extended Disability Status Score (EDSS) is a widely used measure of neurologic impairment in MS PREMONITORY PHASE RELAPSING PHASE PROGRESSIVE PHASE 3579 Neuroinflammation Neurodegeneration NATURAL HISTORY/TRADITIONAL VIEW 8 6 EDSS 4 2 RIS CIS Relapsing MS Progressive MS Relapses MRI Activity Relapses MRI Activity Time (years) A–5–2 Onset 2 5 10 PREMONITORY PHASE 15 MS DISEASE CONTINUUM 30 Neuroinflammation Neurodegeneration CURRENT TREATMENT ERA/MODERN VIEW 6 8 EDSS 4 2 START HIGH-EFFICACY TREATMENT EXPECTED COURSE Time (years) B–5–2 Onset 2 5 10 15 OBSERVED COURSE “Silent Progression” 30 CHAPTER 455 Multiple Sclerosis NATURAL HISTORY Progression Independent of Relapse Activity (PIRA) FIGURE 455-1 The clinical course of multiple sclerosis (MS) in the current treatment era. The top half of the figure illustrates the traditional view of the natural history of relapse-onset MS in the pretreatment era. During the relapsing phase, disability accumulation was thought to result from incomplete recovery from relapses, until relapse independent disability, designated SPMS, supervened. In the bottom half of the figure, the “new” natural history of MS in the current treatment era is shown. With use of highly effective therapies, attacks are abolished in most patients, but insidious progression independent of relapse activity, termed “silent progression,” is now evident during the relapsing phase. CIS, clinically isolated syndrome; EDSS, Extended Disability Status Score; MRI, magnetic resonance imaging; RIS, radiologically isolated syndrome; SPMS, secondary progressive multiple sclerosis. (Table 455-2); an EDSS of 4 or greater, plus a Functional Status Scale (FSS) motor system score of 2 or greater, can support a diagnosis of SPMS. For a patient with RRMS, in the pretreatment era, the risk of </w:t>
      </w:r>
      <w:r w:rsidRPr="00A6019F">
        <w:lastRenderedPageBreak/>
        <w:t xml:space="preserve">developing SPMS was ~3% each year, meaning that the great major ity of RRMS would ultimately evolve into SPMS. However, more recent case series have indicated a much lower rate of evolution to SPMS, estimated at 2 limbs 5 = Loss (essentially) of sensation in 1 or 2 limbs or moderate decrease in touch or pain and/or loss of proprioception for most of the body below the head 6 = Sensation essentially lost below the head E. Bowel and bladder functions 0 = Normal 1 = Mild urinary hesitancy, urgency, or retention 2 = Moderate hesitancy, urgency, retention of bowel or bladder, or rare urinary incontinence 3 = Frequent urinary incontinence 4 = In need of almost constant catheterization 5 = Loss of bladder function 6 = Loss of bowel and bladder function F. Visual (or optic) functions 0 = Normal 1 = Scotoma with visual acuity (corrected) better than 20/30 2 = Worse eye with scotoma with maximal visual acuity (corrected) of 20/30 to 20/59 3 = Worse eye with large scotoma, or moderate decrease in fields, but with maximal visual acuity (corrected) of 20/60 to 20/99 4 = Worse eye with marked decrease of fields and maximal acuity (corrected) of 20/100 to 20/200; grade 3 plus maximal acuity of better eye of 20/60 or less 5 = Worse eye with maximal visual acuity (corrected) 230 other MS susceptibility variants, each of which individually has only a very small effect on MS risk. Many of these MS-associated genes have known roles in the adaptive and innate immune system, for example, the genes for the interleukin (IL) 7 receptor (CD127), IL-2 receptor (CD25), and T-cell costimulatory molecule LFA-3 (CD58); some variants also influence susceptibility to other autoimmune dis eases in addition to MS. The variants identified so far all lack specificity TABLE 455-3 Risk of Developing Multiple Sclerosis (MS) 1 in 3 1 in 15 1 in 25 1 in 50 1 in 100 1 in 1000 1 in 1000 If an identical twin has MS If a fraternal twin has MS If a sibling has MS If a parent or half-sibling has MS If a first cousin has MS If a spouse has MS If no one in the family has MS and sensitivity for MS; thus, at present, they are not useful for diagnosis and have no meaningful effect on the clinical course of MS once it begins. For many years, identification of genes that influence disease expression was elusive, but recently, the first loci for MS severity were identified; unlike risk genes, these variants appear to operate in the nervous system rather than immune system, and one signal reaching genome-wide significance, located in the region of dysferlin and a zinc finger gene (ZNF638), confers a 7-year acceleration of progression to wheelchair-dependent status. PATHOGENESIS </w:t>
      </w:r>
      <w:r w:rsidRPr="00A6019F">
        <w:rPr>
          <w:rFonts w:ascii="Arial" w:hAnsi="Arial" w:cs="Arial"/>
        </w:rPr>
        <w:t>■</w:t>
      </w:r>
      <w:r w:rsidRPr="00A6019F">
        <w:t xml:space="preserve">PATHOLOGY Demyelination New MS lesions begin with perivenular cuffing by inflammatory mononuclear cells, predominantly T cells and macro phages, which also infiltrate the surrounding white matter. At sites of inflammation, the blood-brain barrier (BBB) is disrupted, but unlike vasculitis, the vessel wall is preserved. At the leading edge of lesions, cytotoxic CD8 cells are found. Involvement of the humoral immune system is also evident; B lymphocytes infiltrate the nervous system, myelin-specific autoantibodies are present on degenerating myelin sheaths, and complement is activated. Sharply demarcated areas of demyelination are the pathologic hallmark of MS lesions, and evidence of myelin degeneration is found at the earliest time points of tissue injury. Although relative sparing of axons is typical, partial or total axonal </w:t>
      </w:r>
      <w:r w:rsidRPr="00A6019F">
        <w:lastRenderedPageBreak/>
        <w:t xml:space="preserve">destruction can also occur, especially within highly inflammatory lesions. In some lesions, sur viving oligodendrocytes or those that differentiate from precursor cells partially remyelinate the surviving axons, producing so-called shadow plaques. However, in many lesions, oligodendrocyte precursor cells are present but fail to differentiate into mature myelin-producing cells. Therefore, promoting remyelination to protect axons remains an important therapeutic goal. As lesions evolve, there is prominent astro cytic proliferation (gliosis), and the term sclerosis refers to these gliotic plaques that have a rubbery or hardened texture at autopsy. CHAPTER 455 Multiple Sclerosis Neurodegeneration Cumulative axonal and neuronal loss is the most important contributor to irreversible neurologic disability and progressive symptoms. With paraplegia due to MS, as many as 70% of axons are ultimately lost from the lateral corticospinal (e.g., motor) tracts. Demyelination can reduce trophic support for axons, redistrib ute ion channels, and destabilize action potential membrane potentials. Axons can adapt initially to these injuries, but over time, distal and retrograde degeneration (“dying-back” axonopathy) occurs. Multiple pathologies appear to contribute to progressive symptoms. Chronic active plaques are preexisting white matter lesions that show evidence of persistent inflammation, progressive axonal loss, and gradual concentric expansion, with large numbers of microglial cells at the leading edge of enlarging lesions without BBB disruption. Also important is a primary injury to the cerebral cortex. Cortical plaques are frequent in MS but are generally not well visualized by MRI; these can extend upward from adjacent white matter lesions or may be located entirely within the cortex or underneath the pia. Ectopic lymphoid follicles are aggregates of B, T, and plasma cells located in the superficial meninges, especially overlying deep cortical sulci; similar clusters are also present in perivascular spaces. Ectopic lymphoid fol licles are associated with underlying demyelination and neuronal loss in the cerebral cortex, and diffusible factors from these lymphoid cells appear to mediate subpial cortical demyelination and neurodegenera tion. Cux2-positive neurons in layer 2 and 3 of the neocortex appear to be particularly vulnerable. Neuronal and axonal death may result from glutamate-mediated excitotoxicity, oxidative injury, iron accumulation, and/or mitochondrial failure. In relapsing MS, inflammation is characterized by focal perivenular infiltration of lymphocytes and monocytes, BBB disruption, and active demyelination. By contrast, inflammation in progressive MS is more diffuse, with widespread microglial proliferation across large areas of white matter, accompanied by infiltration of CD8 T cells and plasma blasts/plasma cells. Reduced myelin staining and axonal injury (“dirty 3582 white matter”) are associated with these chronic pathologies. Astro gliosis has long been known to be a prominent feature of MS pathol ogy, and activated astrocytes likely contribute directly to neuronal and myelin injury (Chap. 435). Ongoing inflammation occurs behind an intact BBB in many patients with progressive MS, possibly accounting for the failure of immunotherapies not capable of crossing the BBB to benefit patients with progressive MS. </w:t>
      </w:r>
      <w:r w:rsidRPr="00A6019F">
        <w:rPr>
          <w:rFonts w:ascii="Arial" w:hAnsi="Arial" w:cs="Arial"/>
        </w:rPr>
        <w:t>■</w:t>
      </w:r>
      <w:r w:rsidRPr="00A6019F">
        <w:t xml:space="preserve">IMMUNOLOGY An autoimmune response directed against components of CNS </w:t>
      </w:r>
      <w:r w:rsidRPr="00A6019F">
        <w:lastRenderedPageBreak/>
        <w:t xml:space="preserve">myelin, and perhaps other neural elements as well, remains the cornerstone of current concepts of MS pathogenesis. However, specific antigenic targets in MS have never been conclusively identified. B Lymphocytes and Antibodies B cells are centrally involved in PART 13 Neurologic Disorders the development of demyelinating lesions, as evidenced by the efficacy of B cell–based treatments in all forms of MS (see “Treatment” below). Clonally restricted populations of activated, antigen-experienced, mem ory B cells and plasma cells are present in MS lesions, in meningeal lymphoid follicle-like structures overlying the cerebral cortex, and in cerebrospinal fluid (CSF). They produce the oligoclonal immunoglobu lins and increased antibody synthesis rates in the CSF long useful in the diagnosis of MS. Myelin-specific autoantibodies, some directed against an extracellular myelin protein, myelin oligodendrocyte glyco protein (MOG), have been detected bound to degenerating myelin in MS plaques. However, many more antibodies derived from these B cells appear to be directed against a diverse array of ubiquitous intracellular proteins seemingly unrelated to MS pathogenesis. Furthermore, the specific targets are different in each patient. Therefore, although these highly restricted CNS antibodies are characteristic of MS, their role in disease remains uncertain. More likely, the antigen-presenting cell (APC) function of B cells explains their role in MS pathogenesis. Fragments of self-peptides derived from HLA-DR2 proteins themselves were found to bind intact DRB1*1501 molecules on B cells and serve as antigens for presenta tion to T cells. Memory CD4+ T cells derived from CSF responded to these self-peptides bound to DR2 molecules, and in some cases, these self-peptides were cross-reactive with several myelin antigens, as well as proteins derived from EBV, Akkermansia muciniphila (a com mensal gut bacterium associated with dysbiosis in MS patients), and RAS guanyl-releasing protein 2 (RASGRP2), previously found to be a possible T-cell autoantigen in MS. Thus, MS-associated HLA proteins contain fragments that might trigger autoimmunity through molecular mimicry with viral, bacterial, or normal host antigens. Autoreactive T Lymphocytes Autoreactive T cells may be trig gered and sustained via B-cell antigen presentation. Myelin basic protein (MBP), an intracellular protein involved in myelin compaction, is an important T-cell antigen in experimental allergic encephalomyelitis (EAE), a laboratory model for MS. Activated MBP-reactive T cells have been identified in the blood, in CSF, and within MS lesions. The MS-associated HLA-DRB1*1501 protein binds with high affinity to a fragment of MBP (spanning amino acids 89–96), potentially stimulat ing T-cell responses to this self-protein. Several different populations of proinflammatory T cells are likely to mediate autoimmunity in MS. T-helper type 1 (TH 1) cells producing interferon γ (IFN-γ) are one key effector population; TH 1 cytokines, including IL-2, tumor necrosis fac tor (TNF)-α, and IFN-γ, play key roles in activating and maintaining autoimmune responses, and TNF-α and IFN-γ may directly injure oligo dendrocytes or the myelin membrane. B cells from MS patients are also known to be high producers of TNF-α. As noted above, CD8 cytotoxic T cells are present at the active edges of expanding MS lesions, and acti vated CD8 cells also appear to be enriched for reactivity </w:t>
      </w:r>
      <w:r w:rsidRPr="00A6019F">
        <w:lastRenderedPageBreak/>
        <w:t xml:space="preserve">against myelin antigens in MS patients. Microglial Activation Widespread microglial activation is a hall mark of progressive MS pathology. Activated microglia are found in cortical plaques in the absence of macrophage and leukocyte infiltrates. Some cortical plaques are found adjacent to sites of meningeal inflam mation in which tertiary lymphoid follicles are found. As discussed above, these meningeal lymphoid structures are a hallmark of MS pathology. Microglial activation in MS is thought to be triggered by proinflammatory B and T lymphocytes or in response to tissue injury signals via toll-like receptor signaling. Although once thought to exist in either proinflammatory or anti-inflammatory states, microglia are now understood to have varied and context-dependent transcriptional states. </w:t>
      </w:r>
      <w:r w:rsidRPr="00A6019F">
        <w:rPr>
          <w:rFonts w:ascii="Arial" w:hAnsi="Arial" w:cs="Arial"/>
        </w:rPr>
        <w:t>■</w:t>
      </w:r>
      <w:r w:rsidRPr="00A6019F">
        <w:t xml:space="preserve">PHYSIOLOGY Nerve conduction in myelinated axons occurs in a saltatory manner, with the nerve impulse jumping from one node of Ranvier to the next without depolarization of the axonal membrane underlying the myelin sheath between nodes (Fig. 455-2A). This produces faster conduction velocities (~70 m/s) than the slow velocities (~1 m/s) produced by continuous propagation in unmyelinated nerves. Conduction block occurs when the nerve impulse is unable to traverse the demyelinated segment. This can happen when the resting axon membrane becomes hyperpolarized due to exposure of voltage-dependent potassium chan nels that are normally buried underneath the myelin sheath. A tem porary conduction block often follows a demyelinating event before sodium channels (originally concentrated at the nodes) redistribute along the naked axon (Fig. 455-2B). This redistribution ultimately allows continuous propagation of nerve action potentials through the demyelinated segment. Conduction block may be incomplete, affecting high- but not low-frequency volleys of impulses. Variable conduction block can also occur with raised body temperature or metabolic altera tions. These factors may explain clinical fluctuations that vary from hour to hour or appear with fever or exercise. Conduction slowing occurs when the demyelinated segments of the axonal membrane are reorganized to support continuous (slow) nerve impulse propagation. DIAGNOSIS There is no single diagnostic test for MS. Diagnostic criteria for clini cally definite MS require two or more episodes of symptoms and two or more signs that reflect pathology in anatomically noncontiguous white matter tracts of the CNS (Table 455-4). Symptoms must last for &gt;24 h and occur as distinct episodes separated by a month or more. In patients who have only one of the two required signs on neurologic examination, the second may be documented by abnormal tests such as MRI or evoked potentials (EPs). Similarly, in the most recent diagnos tic scheme, the second clinical event (in time) may be supported solely by MRI findings, consisting of either the development of new focal white matter lesions on MRI or the simultaneous presence of both an enhancing lesion and a nonenhancing lesion in an asymptomatic loca tion. In patients whose course is progressive from onset for ≥6 months Saltatory nerve impulse Myelin sheath Axon Na+ channels A Continuous nerve impulse Myelin sheath Axon Node of Ranvier Myelin sheath Na+ channels B FIGURE 455-2 Nerve conduction in myelinated and demyelinated axons. A. Saltatory nerve conduction in myelinated axons occurs with the nerve impulse jumping from one node </w:t>
      </w:r>
      <w:r w:rsidRPr="00A6019F">
        <w:lastRenderedPageBreak/>
        <w:t xml:space="preserve">of Ranvier to the next. Sodium channels (shown as breaks in the solid black line) are concentrated at the nodes where axonal depolarization occurs. B. Following demyelination, additional sodium channels are redistributed along the axon itself, thereby allowing continuous propagation of the nerve action potential despite the absence of myelin. Multiple Sclerosis 3583 CHAPTER 455 without superimposed relapses, documentation of intrathecal IgG synthesis may be used to support a diagnosis of PPMS. DIAGNOSTIC TESTS </w:t>
      </w:r>
      <w:r w:rsidRPr="00A6019F">
        <w:rPr>
          <w:rFonts w:ascii="Arial" w:hAnsi="Arial" w:cs="Arial"/>
        </w:rPr>
        <w:t>■</w:t>
      </w:r>
      <w:r w:rsidRPr="00A6019F">
        <w:t xml:space="preserve">MAGNETIC RESONANCE IMAGING MRI has revolutionized the diagnosis and management of MS (Fig. 455-3); characteristic abnormalities are found in &gt;95% of patients, although the majority of lesions visualized by MRI are asymptomatic. An increase in vascular permeability from a breakdown of the BBB is detected by leakage of intravenous gadolinium (Gd) into the parenchyma. Such leakage occurs early in the development of an MS lesion and serves as a marker of inflammation. Gd enhancement typically persists for 6 mm located in the corpus callosum, periventricular white matter, brainstem, cerebel lum, or spinal cord are particularly helpful diagnostically. Also useful diagnostically is a central vein sign within plaques visualized with susceptibility-weighted (such as T2*) sequences (Chap. 434). Criteria for the use of MRI in diagnosis of MS are shown in Table 455-4. Serial MRI studies in RRMS reveal that bursts of focal inflamma tory disease activity occur far more frequently than would have been predicted by the frequency of relapses. Thus, early in MS, most disease activity is clinically silent. The total volume of T2-weighted signal abnormality (the “burden of disease”) shows a significant (albeit weak) correlation with clinical disability. Quantitative measures of brain and especially spinal cord atrophy provide evidence of diffuse tissue injury and correlate more strongly with measures of disability or progressive MS. Serial MRI studies also indicate that progressive brain atrophy occurs even in very early MS and continues throughout the disease course. Approximately one-third of T2-weighted lesions appear as hypointense lesions (black holes) on T1-weighted imaging. Black holes are markers of irreversible demyelination and axonal loss, although even this measure depends on the timing of the image acquisition (e.g., most acute Gd-enhancing T2 lesions are T1 dark, and in chronic lesions, there is progressive T1 darkening over time). </w:t>
      </w:r>
      <w:r w:rsidRPr="00A6019F">
        <w:rPr>
          <w:rFonts w:ascii="Arial" w:hAnsi="Arial" w:cs="Arial"/>
        </w:rPr>
        <w:t>■</w:t>
      </w:r>
      <w:r w:rsidRPr="00A6019F">
        <w:t xml:space="preserve">CEREBROSPINAL FLUID CSF changes in MS include a mononuclear cell pleocytosis and an increased level of intrathecally synthesized IgG. The total CSF protein is usually normal or only mildly elevated. Various formulas distinguish intrathecally synthesized IgG from IgG that entered the CNS passively from the serum. The CSF IgG index expresses the ratio of IgG to albumin in the CSF divided by the same ratio in the serum. The IgG synthesis rate uses serum and CSF IgG and albumin measurements to calculate the rate of CNS IgG synthesis. The measurement of oligoclo nal bands (OCBs) by agarose gel electrophoresis of the CSF assesses intrathecal production of specific IgG clones separated by differences in charge. Two or more discrete OCBs, not present in a paired serum sample, are found in &gt;90% of patients with MS. OCBs may be absent at the onset of MS, and in individual patients, the number of bands may increase over time. A mild </w:t>
      </w:r>
      <w:r w:rsidRPr="00A6019F">
        <w:lastRenderedPageBreak/>
        <w:t xml:space="preserve">CSF pleocytosis (&gt;5 cells/μL) is present in ~25% of cases, usually in young patients with RMS. A pleocytosis of &gt;75 cells/μL, the presence of polymorphonuclear leukocytes, or a protein concentration &gt;1 g/L (&gt;100 mg/dL) in CSF should raise concern that the patient may not have MS. Because of its utility to rule in and also rule out MS, CSF examination is highly recommended as part of the routine MS workup, and especially when the diagnosis is uncertain. </w:t>
      </w:r>
      <w:r w:rsidRPr="00A6019F">
        <w:rPr>
          <w:rFonts w:ascii="Arial" w:hAnsi="Arial" w:cs="Arial"/>
        </w:rPr>
        <w:t>■</w:t>
      </w:r>
      <w:r w:rsidRPr="00A6019F">
        <w:t xml:space="preserve">EVOKED POTENTIALS EP testing assesses function in afferent (visual, auditory, and somato sensory) or efferent (motor) CNS pathways. EPs use computer averag ing to measure CNS electric potentials evoked by repetitive stimulation of selected peripheral nerves or of the brain. These tests provide the most information when the pathways studied are clinically uninvolved. For example, in a patient with a relapsing spinal cord syndrome with sensory deficits in the legs, an abnormal somatosensory EP following posterior tibial nerve stimulation provides little new information. By contrast, an abnormal visual EP in this circumstance would permit a diagnosis of clinically definite MS (Table 455-4). Abnormalities on one or more EP modalities occur in 80–90% of MS patients. EP abnormali ties are not specific to MS, although a marked delay in the latency of a TABLE 455-4 Diagnostic Criteria for Multiple Sclerosis (MS) CLINICAL PRESENTATION ADDITIONAL DATA NEEDED FOR MS DIAGNOSIS 2 or more attacks; objective clinical evidence of 2 or more lesions or objective clinical evidence of 1 lesion with reasonable historical evidence of a prior attack None 2 or more attacks; objective clinical evidence of 1 lesion Dissemination in space, demonstrated by ≥1 T2 lesion on MRI in at least 2 out of 4 MS-typical regions of the CNS (periventricular, juxtacortical, infratentorial, or spinal cord) OR • Await a further clinical attack implicating a different CNS site 1 attack; objective clinical evidence of 2 or more lesions Dissemination in time, demonstrated by • Simultaneous presence of asymptomatic gadolinium-enhancing and nonenhancing lesions at any time OR • A new T2 and/or gadolinium-enhancing lesion(s) on follow-up MRI, irrespective of its timing with reference to a baseline scan OR • Await a second clinical attack 1 attack; objective clinical evidence of 1 lesion (clinically isolated syndrome) Dissemination in space and time, demonstrated by: For dissemination in space • ≥1 T2 lesion in at least 2 out of 4 MS-typical regions of the CNS (periventricular, juxtacortical, infratentorial, or spinal cord) OR • Await a second clinical attack implicating a different CNS site AND • For dissemination in time • Simultaneous presence of asymptomatic gadolinium-enhancing and nonenhancing lesions at any time OR • A new T2 and/or gadolinium-enhancing lesion(s) on follow-up MRI, irrespective of its timing with reference to a baseline scan OR • Await a second clinical attack Insidious neurologic progression suggestive of MS (PPMS) 1 year of disease progression (retrospectively or prospectively determined) PLUS 2 out of the 3 following criteria: • Evidence for dissemination in space in the brain based on ≥1 T2+ lesions in the MS-characteristic periventricular, juxtacortical, or infratentorial regions • Evidence for dissemination in space in the spinal cord based on ≥2 T2+ lesions in the cord • Positive CSF (isoelectric focusing evidence of oligoclonal bands and/or elevated IgG index) Abbreviations: CNS, central </w:t>
      </w:r>
      <w:r w:rsidRPr="00A6019F">
        <w:lastRenderedPageBreak/>
        <w:t xml:space="preserve">nervous system; CSF, cerebrospinal fluid; MRI, magnetic resonance imaging; PPMS, primary progressive multiple sclerosis. Source: Reproduced with permission from AJ Thompson et al: Diagnosis of multiple sclerosis: 2017 revisions of the McDonald criteria. Lancet Neurol 17:162, 2018. 3584 PART 13 Neurologic Disorders A B C D FIGURE 455-3 Magnetic resonance imaging findings in multiple sclerosis (MS). A. Axial first-echo image from T2-weighted sequence demonstrates multiple bright signal abnormalities in white matter, typical for MS. B. Sagittal T2-weighted fluid-attenuated inversion recovery (FLAIR) image in which the high signal of cerebrospinal fluid (CSF) has been suppressed. CSF appears dark, whereas areas of brain edema or demyelination appear high in signal, as shown here in the corpus callosum (arrows). Lesions in the anterior corpus callosum are frequent in MS and rare in vascular disease. C. Sagittal T2-weighted fast spin echo image of the thoracic spine demonstrates a fusiform high-signal-intensity lesion in the midthoracic spinal cord. D. Sagittal T1-weighted image obtained after the intravenous administration of gadolinium diethylene triamine pentaacetic acid (DTPA) reveals focal areas of blood-brain barrier disruption, identified as high-signal-intensity regions (arrows). specific EP component (as opposed to a reduced amplitude or distorted wave shape) suggests demyelination. DIFFERENTIAL DIAGNOSIS The possibility of an alternative diagnosis should always be considered (Table 455-5), particularly when (1) symptoms are localized exclu sively to the posterior fossa, craniocervical junction, or spinal cord; (2) the patient is 60 years of age; (3) the clinical course is pro gressive from onset; (4) the patient has never experienced visual, sen sory, or bladder symptoms; or (5) laboratory findings (e.g., MRI, CSF, or EPs) are atypical. Similarly, symptoms that are uncommon or rare in MS (e.g., aphasia, parkinsonism, chorea, isolated dementia, severe muscular atrophy, peripheral neuropathy, episodic loss of conscious ness, fever, headache, seizures, or coma) favor an alternative diagnosis. Diagnosis can be particularly difficult in patients with a rapid or explo sive (stroke-like) onset or those with mild symptoms and a normal neurologic examination. Rarely, intense inflammation and swelling may produce a mass lesion that mimics a primary or metastatic tumor. Disorders possibly mistaken for MS include neuromyelitis optica (NMO) and the more recently identified myelin oligodendrocyte protein-associated disease (MOGAD) and glial fibrillary acid pro tein (GFAP) disorders (Chap. 456); these should be considered in patients who present with bilateral and/or severe optic neuritis or severe transverse myelitis. With hyperacute or postinfectious presenta tions, another consideration is acute disseminated encephalomyelitis (ADEM; Chap. 456). Other possibilities include Sjögren’s syndrome, sarcoidosis, vascular disorders (antiphospholipid syndrome and vas culitis), rarely CNS lymphoma, and still more rarely infections such as syphilis or Lyme disease. The specific tests required to exclude alternative diagnoses will vary with each clinical situation; however, an erythrocyte sedimentation rate, serum B12 level, antinuclear antibodies, and treponemal antibody should probably be obtained in all patients with suspected MS. TREATMENT Therapy for MS can be divided into several categories: (1) treatment of </w:t>
      </w:r>
      <w:r w:rsidRPr="00A6019F">
        <w:lastRenderedPageBreak/>
        <w:t xml:space="preserve">acute attacks, (2) treatment with disease-modifying agents that reduce the biologic activity of MS, and (3) symptomatic therapy. Treatments that promote remyelination or neural repair do not currently exist, but several promising approaches are being actively investigated. TABLE 455-5 Disorders That Can Mimic Multiple Sclerosis (MS) 3585 Acute disseminated encephalomyelitis (ADEM) Antiphospholipid antibody syndrome Behçet’s disease Cerebral autosomal-dominant arteriopathy, subcortical infarcts, and leukoencephalopathy (CADASIL) Congenital leukodystrophies (e.g., adrenoleukodystrophy, metachromatic leukodystrophy) Glial Fibrillary Acidic Protein (GFAP) Autoimmunity Human immunodeficiency virus (HIV) infection Ischemic optic neuropathy (arteritic and nonarteritic) Lyme disease Mitochondrial encephalopathy with lactic acidosis and stroke (MELAS) Myelin oligodendrocyte glycoprotein-associated disease (MOGAD) Neoplasms (e.g., lymphoma, glioma, meningioma) Neuromyelitis optica Sarcoidosis Sjögren’s syndrome Stroke and ischemic cerebrovascular disease Syphilis Systemic lupus erythematosus and related collagen vascular disorders Tropical spastic paraparesis (HTLV-1/2 infection) Vascular malformations (especially spinal dural AV fistulas) Vasculitis (primary CNS or other) Vitamin B12 deficiency Abbreviations: AV, arteriovenous; CNS, central nervous system; HTLV, human T-cell lymphotropic virus. As noted above, the EDSS is a widely used measure of neurologic impairment in MS (Table 455-2). Most patients with EDSS scores 4.0 have progressive MS (SPMS or PPMS), are gait impaired, and often are occupationally disabled. </w:t>
      </w:r>
      <w:r w:rsidRPr="00A6019F">
        <w:rPr>
          <w:rFonts w:ascii="Arial" w:hAnsi="Arial" w:cs="Arial"/>
        </w:rPr>
        <w:t>■</w:t>
      </w:r>
      <w:r w:rsidRPr="00A6019F">
        <w:t xml:space="preserve">ACUTE ATTACKS OR INITIAL DEMYELINATING EPISODES When patients experience acute deterioration, it is important to consider whether this change reflects new disease activity or a </w:t>
      </w:r>
      <w:r w:rsidRPr="00A6019F">
        <w:rPr>
          <w:rFonts w:ascii="Aptos" w:hAnsi="Aptos" w:cs="Aptos"/>
        </w:rPr>
        <w:t>“</w:t>
      </w:r>
      <w:r w:rsidRPr="00A6019F">
        <w:t>pseu doexacerbation</w:t>
      </w:r>
      <w:r w:rsidRPr="00A6019F">
        <w:rPr>
          <w:rFonts w:ascii="Aptos" w:hAnsi="Aptos" w:cs="Aptos"/>
        </w:rPr>
        <w:t>”</w:t>
      </w:r>
      <w:r w:rsidRPr="00A6019F">
        <w:t xml:space="preserve"> resulting from an increase in ambient temperature, fever, or an infection. When the clinical change is thought to reflect a pseudoexacerbation, glucocorticoid treatment is inappropriate. Gluco corticoids are used to manage first attacks and exacerbations that are moderate to severe in severity. They provide short-term clinical benefit by reducing the degree and duration of attacks. Whether treatment provides any long-term benefit on the course of the illness is less clear. Therefore, mild attacks are often not treated. Physical and occupational therapy can help with mobility and manual dexterity. Glucocorticoid treatment is usually administered as intravenous methylprednisolone, 500–1000 mg/d for 3–5 days, either without a taper or followed by a course of oral prednisone beginning at a dose of 60–80 mg/d and gradually tapered over 2 weeks. Orally administered methylprednisolone, prednisone, or dexamethasone (in equivalent dosages) can be substituted for the intravenous portion of the therapy. Outpatient treatment is almost always possible. Side effects of short-term glucocorticoid therapy include fluid retention, potassium loss, weight gain, gastric disturbances, acne, and emotional lability. Concurrent use of a low-salt, potassium-rich diet and avoidance of potassium-wasting diuretics are advisable. Lithium carbonate (300 mg orally bid) may help manage emotional lability and insomnia associated with glucocorticoid therapy. Patients with a history of peptic ulcer disease may require cimetidine (400 mg bid) or ranitidine (150 mg bid). Proton pump inhibitors </w:t>
      </w:r>
      <w:r w:rsidRPr="00A6019F">
        <w:lastRenderedPageBreak/>
        <w:t xml:space="preserve">such as pantoprazole (40 mg orally bid) may reduce the likelihood of gastritis, especially when large doses are administered orally. Plasma exchange (five to seven exchanges: 40–60 mL/kg per exchange, every other day for 14 days) may benefit patients with fulminant attacks of demyelination that are unresponsive to glucocorticoids. </w:t>
      </w:r>
      <w:r w:rsidRPr="00A6019F">
        <w:rPr>
          <w:rFonts w:ascii="Arial" w:hAnsi="Arial" w:cs="Arial"/>
        </w:rPr>
        <w:t>■</w:t>
      </w:r>
      <w:r w:rsidRPr="00A6019F">
        <w:t xml:space="preserve">DISEASE-MODIFYING THERAPIES FOR MS RMS More than a dozen immunomodulatory and immunosuppres sive agents are in use for treatment of RMS (Table 455-6). In phase 3 clinical trials, each was shown to reduce the frequency of clinical relapses and evolution of new brain MRI lesions. Each can also be used in SPMS patients who continue to experience attacks, both because SPMS can be difficult to distinguish from RRMS and because the available clinical trials, although not all definitive, suggest that such patients may sometimes derive therapeutic benefit. Moreover, regula tors now consider patients with recent relapses to be a “relapsing form of MS” (i.e., RMS), regardless of whether these patients previously had progressive disability independent from relapses. It is important to note that the relative efficacy of the different agents has not been directly tested in head-to-head studies and that cross-trial comparisons are inaccurate. However, given the increasingly complex landscape of therapeutics for MS, for convenience, the presentation of these agents was divided by an estimate of their relative (high, moderate, or modest) perceived level of efficacy. These are meant to serve as a general guide, with the caveat that considerable variance exists in practice patterns, as well as availability of these agents, in different parts of the world. Therapy should be initiated in all patients diagnosed with RMS and those presenting with a first demyelinating event who are at high risk for MS (sometimes termed as a clinically isolated syndrome [CIS]). We favor use of the most highly effective disease-modifying therapies as first-line options for most patients. This recommendation is based on evidence from long-term prospective trials and real-world data indicating that initial treatment with highly effective agents provides outstanding control against relapsing disease, maximum protection against relapse-independent progression, and long-term outcomes, and is safe. We typically begin with an anti-CD20 B-cell-targeting drug (ocrelizumab, ofatumumab, or ublituximab) or, if these approved treat ments are unavailable, with rituximab or a biosimilar. In JCV-negative patients, we begin with the cell-trafficking inhibitor natalizumab. Anti CD20 agents are particularly attractive given their high level of efficacy, relative ease of use, favorable safety profile, and absence of rebound fol lowing discontinuation. For patients who prefer oral treatment, either an S1P modulator or a fumarate is also reasonable for first-line therapy. First-line treatment with high-efficacy therapy has supplanted the alternative approach in which a treatment of modest or moderate effectiveness was first used and therapy advanced to a more effec tive agent when breakthrough disease (evident clinically or by MRI) occurred. Older first-generation therapies, such as IFN-βor glatiramer acetate, are often continued in patients who are doing well on these agents but are less commonly used today for patients with new-onset MS. Irrespective of the agent used, a change in therapy may be required in patients with suboptimal responses, </w:t>
      </w:r>
      <w:r w:rsidRPr="00A6019F">
        <w:lastRenderedPageBreak/>
        <w:t xml:space="preserve">such as those experiencing relapses and/or active MRI scans while on treatment, or for adverse events that may be drug-related. Pregnancy-related management is discussed later in this chapter. CHAPTER 455 Multiple Sclerosis Some patients, especially those with a mild initial RRMS course— e.g., a normal examination or minimal impairment (EDSS ≤2.5) and low disease activity by MRI—may initially decline therapy with a potent immunosuppressive drug. In these situations, either an oral (fumarates, S1P modulators, or teriflunomide) or injectable (IFN-β or glatiramer acetate) agent can be considered. The injectable agents (IFN-β and glatiramer acetate) have a superb long-term track record for safety but have a high nuisance factor due to the need for frequent injections, as well as bothersome side effects that reduce adherence. As noted above, multiple lines of evidence indicate that institution of effective therapy can improve the long-term outcome of MS, includ ing a prolongation of the time to reach disability outcomes (e.g., SPMS and requiring assistance to ambulate) and reduction in MS-related mortality. These benefits seem most conspicuous when treatment is begun early in the relapsing stage of the illness. It may be reasonable to delay initiating treatment in some patients with (1) normal neurologic 3586 PART 13 Neurologic Disorders TABLE 455-6 Disease-Modifying Therapies for Multiple Sclerosis CATEGORY AND MECHANISM OF ACTION GENERIC NAME (TRADE NAME) DOSE AND INTERVAL CHARACTERISTICS COMMENTS (USE, ADVERSE EFFECTS, ETC.) Highly Effective Anti-CD20 B cell MAbs: Depletes B lymphocytes, especially motile B cells in peripheral blood; B cells in lymphoid organs variably protected; plasma cells preserved Ocrelizumab (Ocrevus) 600-mg infusion q6 months (first dose given as two 300-mg infusions 14 days apart) Humanized ADCC &gt; complement Infusion reactions usually mild; outstanding efficacy and safety in long term RMS extension trials; also approved for PPMS Ofatumumab (Kesimpta) 20-mg subcutaneous injections monthly (after 3 weekly 20-mg loading doses) Fully human Complement &gt; ADCC Advantage of home-based treatment; only very minor injection- related reactions Ublituximab (Briumvi) 450-mg infusion q6 months (first dose given as 150-mg, followed 14 days later by 450-mg, infusions) Chimeric ADCC &gt; Complement   Rituximab (Rituxan and biosimilars) 1000-mg infusion q6 months (dose used in phase 2 trial in RMS); some clinicians use 500 mg IV q6 months Chimeric Complement &gt; ADCC Formally tested only in preliminary (phase 2) study Anti-α4 subunit of α4β1 integrin (adhesion molecule) MAb: Prevents lymphocytes from binding to endothelial cells and entering the CNS Natalizumab (Tysabri) 300-mg monthly infusion Humanized Hypersensitivity Rxns (7 years of wheelchair-independent function is gained on aver age. Ocrelizumab is the only agent convincingly shown to modify the course of PPMS. </w:t>
      </w:r>
      <w:r w:rsidRPr="00A6019F">
        <w:rPr>
          <w:rFonts w:ascii="Arial" w:hAnsi="Arial" w:cs="Arial"/>
        </w:rPr>
        <w:t>■</w:t>
      </w:r>
      <w:r w:rsidRPr="00A6019F">
        <w:t xml:space="preserve">OTHER OFF-LABEL TREATMENT OPTIONS Autologous hematopoietic stem cell transplantation appears to be highly effective in reducing relapses and may improve disability in relapsing MS. It appears to be largely ineffective for patients with progressive MS. Stem cell transplantation also carries significant risk, however, includ ing toxicities from chemotherapy-conditioning regimens. Ongoing clinical trials should help to better position this procedure with </w:t>
      </w:r>
      <w:r w:rsidRPr="00A6019F">
        <w:lastRenderedPageBreak/>
        <w:t xml:space="preserve">respect to available pharmacologic interventions. Intravenous immunoglobulin (IVIg), administered in monthly pulses (up to 1 g/kg) for up to 2 years, appears to reduce annual exacerbation rates. However, its use is limited because of its high cost, questions about optimal dose, and uncertainty about any impact on long-term disability. It can be considered when the risks of immunosuppression preclude use of other MS agents. Numerous clinical trials of promising experimental therapies are currently underway. These include studies testing higher doses of ocrelizumab; Bruton’s tyrosine kinase (BTK) inhibitors to selec tively deplete B cells, plasma cells, and microglia; CD19-targeted chimeric antigen receptor (CAR) T cells; and molecules to promote remyelination. THERAPIES TO AVOID Many purported treatments for MS have never been subjected to sci entific scrutiny. These include dietary therapies (e.g., the Swank diet, the Paleo diet, the Wahls diet), megadose vitamins, calcium orotate, bee stings, cow colostrum, hyperbaric oxygen, procarin (a combination of histamine and caffeine), chelation, acupuncture, acupressure, various Chinese herbal remedies, and removal of mercury-amalgam tooth fill ings, among others. Although infections with EBV, human herpesvirus (HHV) 6, or other agents are plausibly involved in MS, treatment with antiviral agents or antibiotics is not recommended. A chronic cere brospinal insufficiency (CCSVI) was proposed as a cause of MS, and surgical intervention with vascular repair was recommended; however, multiple studies failed to confirm the initial claims. A double-blind trial of high-dose biotin to improve disability in progressive forms of MS also found no benefit. Patients should avoid costly or potentially hazardous unproven treatments, many of which also lack biologic plausibility. SYMPTOMATIC THERAPIES For all patients, it is important to encourage attention to a healthy life style, including maintaining an optimistic outlook, a healthy diet, and regular exercise as tolerated (swimming is often well-tolerated because of the cooling effect of cold water). It is reasonable also to correct vitamin D deficiency with oral vitamin D and consider dietary supple mentation with long-chain fatty acids (such as omega-3 oil tablets) due to their mild immunomodulatory effects. TABLE 455-6 Disease-Modifying Therapies for Multiple Sclerosis CATEGORY AND MECHANISM OF ACTION GENERIC NAME (TRADE NAME) DOSE AND INTERVAL CHARACTERISTICS COMMENTS (USE, ADVERSE EFFECTS, ETC.) Modestly Effective Glatiramer acetate: Immunomodulator; reduces proinflammatory and increases regulatory cytokines; induces antigen-specific suppressor T cells; binds MHC molecules Glatiramer acetate (Copaxone) Subcutaneous injection 20 mg daily, or alternatively, 40 mg three times weekly Synthetic random polypeptide of four amino acids (l-glutamic acid, l-lysine, l-alanine, l-tyrosine) Well tolerated; injection site reactions; ~15% of patients experience one (or less often more than one) episode of flushing, chest tightness, dyspnea, palpitations, anxiety Interferon (IFN)-β: Immunomodulator; reduces proinflammatory and increases regulatory cytokines; interferes with antigen presentation, T-cell proliferation, lymphocyte trafficking Interferon-β-1a (Avonex) Intramuscular injections 30 mg once weekly Neutralizing antibodies in 2–10% (can decrease over time with all </w:t>
      </w:r>
      <w:r w:rsidRPr="00A6019F">
        <w:lastRenderedPageBreak/>
        <w:t xml:space="preserve">IFN preparations) With all IFN preparations: flu-like symptoms (fever, chills, myalgias) common; managed with NSAIDs; mild lab abnormalities (LFTs, lymphopenia); rare cases of severe hepatotoxicity Interferon-β-1a (Rebif) Subcutaneous injections 44 mg three times per week Neutralizing antibodies in 15–25% Interferon-β-1b (Betaseron or Extavia) Subcutaneous injections 250 mg every other day Neutralizing antibodies in 30–40% Pegylated interferon-β-1a (Plegridy) Subcutaneous injections 125 mg every 14 days Pegylation increases half-life; neutralizing antibodies in 200 mL are predisposed to infec tions. Prevention by urine acidification (with cranberry juice or vitamin C) inhibits some bacteria. Prophylactic administration of anti biotics is sometimes necessary but may lead to colonization by resistant organisms. Intermittent catheterization may help to prevent recurrent infections and reduce overflow incontinence. Treatment of constipation includes high-fiber diets and fluids. Natu ral or other laxatives may help. Fecal incontinence may respond to a reduction in dietary fiber. Spasticity and spasms may improve with physical therapy, regular exercise, and stretching. Avoidance of triggers (e.g., infections, fecal impactions, bed sores) is extremely important. Effective medications include baclofen (20–120 mg/d), diazepam (2–40 mg/d), tizanidine (8–32 mg/d), dantrolene (25–400 mg/d), and cyclobenzaprine hydro chloride (10–60 mg/d). For severe spasticity, a baclofen pump (deliver ing medication directly into the CSF) can provide substantial relief. Weakness can sometimes be improved with the use of potassium channel blockers such as 4-aminopyridine (20 mg/d) and 3,4-di aminopyridine (40–80 mg/d), particularly in the setting where lower extremity weakness interferes with the patient’s ability to ambulate. Extended-release 4-aminopyridine (10 mg twice daily) can be obtained either as dalfampridine (Ampyra) or through a compounding phar macy. The principal concern with the use of these agents is the possibil ity of inducing seizures at high doses. Ataxia/tremor is often intractable. Clonazepam (0.5–2 mg/d), primi done (50–250 mg/d), propranolol (40–200 mg/d), or ondansetron (8–16 mg/d) may help. Wrist weights occasionally reduce tremor in the arm or hand. Thalamotomy and deep-brain stimulation have been tried with mixed success. Pain is treated with anticonvulsants (gabapentin [300–3600 mg/d]; pregabalin [50–300 mg/d]; carbamazepine [100–1000 mg/d]; phenytoin [300–600 mg/d]); tricyclic antidepressants (amitrip tyline [25–100 mg/d], nortriptyline [25–100 mg/d], desipramine [100–300 mg/d]); serotonin-norepinephrine reuptake inhibitors (duloxetine [20–120 mg/d] or venlafaxine [75–225 mg/d]); or anti arrhythmics (mexiletine, 300–900 mg/d). If these approaches fail, patients should be referred to a comprehensive pain-management program. Depression should be actively treated. Useful drugs include the selective serotonin reuptake inhibitors (escitalopram [10–20 mg/d], fluoxetine [20–80 mg/d], or sertraline [50–200 mg/d]), tricyclic antide pressants (amitriptyline [25–150 mg/d], nortriptyline [25–150 mg/d], or desipramine [100–300 mg/d]) and mixed norepinephrine/sero tonin reuptake inhibitors (duloxetine [20–120 mg/d] or venlafaxine [75–225 mg/d]). Fatigue may improve with assistive devices, help in the home, or suc cessful management of spasticity. Careful attention to medications that could </w:t>
      </w:r>
      <w:r w:rsidRPr="00A6019F">
        <w:lastRenderedPageBreak/>
        <w:t xml:space="preserve">contribute to fatigue is often helpful. For example, patients who require anticholinergic medication for nocturia may benefit from dos ing at bedtime only. Excessive daytime somnolence caused by MS may respond to methylphenidate (5–25 mg/d), modafinil (100–400 mg/d), or armodafinil (150–250 mg/d). Cognitive problems may respond marginally to lisdexamfetamine (40 mg/d). Paroxysmal symptoms respond dramatically to low-dose anticonvul sants (acetazolamide [200–600 mg/d], carbamazepine [50–400 mg/d], phenytoin [50–300 mg/d], or gabapentin [600–1800 mg/d]). Heat sensitivity may respond to heat avoidance, air-conditioning, or cooling garments. Sexual dysfunction may be helped by lubricants to aid in genital stimulation and sexual arousal. Management of pain, spasticity, fatigue, and bladder/bowel dysfunction may also help. Sildenafil (50–100 mg), tadalafil (5–20 mg), or vardenafil (5–20 mg), taken 1–2 h before sex, are standard treatments for erectile dysfunction. PROGNOSIS Historically, most patients with MS ultimately experienced progres sive neurologic disability. In older studies conducted before disease modifying therapies for MS were available, 15 years after onset, only 20% of patients had no functional limitation, and between one-third and one-half of RMS patients progressed to SPMS and required assis tance with ambulation; furthermore, 25 years after onset, ~80% of MS patients reached this level of disability. Long-term studies from the early treatment era indicated clearly that prognosis had improved substantially, with a two- to threefold slowing of transition from RMS to SPMS. And currently with high-efficacy therapy widely available, the prognosis continues to improve; relapses are largely eliminated and relapse-independent progression has been further slowed. For example, the ocrelizumab extension trials revealed that after 10 years of continuous treatment, nearly 80% of patients with RMS experienced no disease worsening and more patients had improved than worsened, and in PPMS, more than one-third had experienced no worsening and more than 80% were still ambulatory. As noted above, the long-term course may improve further as highly efficacious agents are increas ingly employed early in the disease course. However, many patients with progressive MS still continue to worsen despite best available ther apy, and for these patients, more effective therapies are sorely needed. Natural history studies from the pretreatment era indicated that certain clinical features suggest a more favorable prognosis. These include ON or sensory symptoms at onset; fewer than two relapses in the first year of illness; and minimal impairment after 5 years. Predic tors of an early aggressive course of the illness include an older age at symptom onset, male gender, greater disability, and the appearance of motor signs during the first year of the illness. Importantly, some MS patients, estimated at 1/2 optic nerve length or involving optic chiasm 2. Acute myelitis: requires associated intramedullary MRI lesion extending ≥3 contiguous segments (LETM) OR ≥3 contiguous segments of focal spinal cord atrophy in patients with history compatible with acute myelitis 3. Area postrema syndrome requires associated dorsal medulla/area postrema lesions 4. Acute brainstem syndrome requires periependymal brainstem lesions Abbreviations: AQP4, aquaporin-4; LETM, longitudinally extensive transverse myelitis; MRI, magnetic </w:t>
      </w:r>
      <w:r w:rsidRPr="00A6019F">
        <w:lastRenderedPageBreak/>
        <w:t xml:space="preserve">resonance imaging. Source: Reproduced with permission from DM Wingerchuk et al: International consensus diagnostic criteria for neuromyelitis optica spectrum disorders. Neurology 85:177, 2015. be normal in NMO, but it is now recognized that in many cases brain lesions are present, including areas of nonspecific signal change as well as lesions associated with specific syndromes such as the area postrema in the lower medulla presenting as intractable hiccoughs or vomiting; the hypothalamus causing a sleep disorder or endocrinopathy; or the cerebral hemispheres producing focal symptoms, encephalopathy, or seizures. Large MRI lesions in the cerebral hemispheres can be asymp tomatic, sometimes have a “cloud-like” appearance, and unlike MS lesions, are often not destructive and can resolve completely. Spinal cord MRI lesions typically consist of focal enhancing areas of swelling and tissue destruction, extending over three or more spinal cord seg ments, and on axial sequences, these are centered on the gray matter of the cord. Cerebrospinal fluid (CSF) findings include pleocytosis greater than that observed in MS, with neutrophils and eosinophils present in many acute cases; oligoclonal bands (OCBs) are uncom mon, occurring in 4 per 100,000. Although NMO can occur in people of any ethnic background, individuals of Asian and African origin are disproportionately affected, with the highest reported preva lence in Martinique. Among white populations, MS (Chap. 455) is far more common than NMO. 3591 CHAPTER 456 Neuromyelitis Optica A B D C E F FIGURE 456-1 Imaging findings in neuromyelitis optica: longitudinally extensive transverse myelitis, optic neuritis, and brainstem involvement. A. Sagittal fluid-attenuated inversion recovery (FLAIR) cervical spine MRI showing an area of increased signal change on T2-weighted imaging spanning more than three vertebral segments in length. B. Sagittal T1-weighted cervical spine MRI following gadolinium-diethylene triamine pentaacetic acid (DPTA) infusion showing enhancement. C and D. Axial and coronal brain MRI following gadolinium DPTA infusion shows enhancement of the right optic nerve. E. Axial brain MRI shows an area of hyperintense signal on T2-weighted imaging within the area postrema (arrow). F. Axial T1-weighted brain MRI following gadolinium-DPTA infusion shows punctate enhancement of the area postrema (arrow). ASSOCIATED CONDITIONS Up to 40% of NMO patients have a systemic autoimmune disorder, such as systemic lupus erythematosus, Sjögren’s syndrome, perinuclear antineutrophil cytoplasmic antibody (p-ANCA)–associated vasculitis, myasthenia gravis, Hashimoto’s thyroiditis, or mixed connective tissue disease. This is another feature distinct from MS; MS patients rarely Interestingly, when MS affects individuals of African or Asian ances try, there is a propensity for demyelinating lesions in some individu als to involve predominantly the optic nerve and spinal cord, an MS subtype termed opticospinal MS. Some patients with opticospinal MS are seropositive for AQP4 antibodies, indicating that they represent NMOSD. 3592 have other comorbid autoimmune diseases other than hypothyroid ism. In some NMO cases, onset may be associated with acute infection with varicella-zoster virus, Epstein-Barr virus, HIV, or tuberculosis. Rare cases appear to be paraneoplastic and associated with breast, lung, or other cancers. </w:t>
      </w:r>
      <w:r w:rsidRPr="00A6019F">
        <w:lastRenderedPageBreak/>
        <w:t xml:space="preserve">TREATMENT Neuromyelitis Optica ACUTE ATTACKS PART 13 Neurologic Disorders Acute attacks are usually treated with high-dose glucocorticoids (e.g., methylprednisolone 1 g/d for 5–10 days followed by a predni sone taper). Plasma exchange (typically 5–7 exchanges of 1.5 plasma volumes/exchange) is used empirically for acute episodes that do not respond to glucocorticoids. PROPHYLAXIS AGAINST RELAPSES Given the unfavorable natural history of untreated NMO, pro phylaxis against relapses is recommended for nearly all patients. Four monoclonal antibody medications are approved for attack prevention in NMO: an anti-CD19 B-cell depleter (inebilizumab), an IL-6 receptor blocker (satralizumab), and two terminal comple ment inhibitors (eculizumab and ravulizumab) (Table 456-2). It is our general practice to begin therapy with either inebilizumab or satralizumab and to use complement inhibitors as second-line treat ment for nonresponders. None of the U.S. Food and Drug Admin istration–approved medications are approved for AQP4-negative patients, and in practice, obtaining these medications for sero negative patients is challenging from a payer perspective. In AQP4 seronegative patients, the risk of a relapse is lower (approximately half of patients have only a single attack), and in these patients, our practice is to begin treatment with empiric therapies such as ritux imab or mycophenolate mofetil. Because AQP4-seronegative patients require involvement of both optic neuritis and longitudinally exten sive myelitis to meet criteria for seronegative NMOSD, the majority of AQP4-seronegative patients will have had more than one attack. Inebilizumab (Uplizna) Inebilizumab is a humanized affinity optimized, afucosylated monoclonal antibody that binds to the B-cell surface antigen CD19 and depletes a wide range of B cells including pre-B cells and some plasmablasts. Expression of CD19 starts at an earlier stage of B-cell development than CD20, and in contrast to CD20, which is absent from plasmablasts and mature plasma cells, CD19 is expressed on plasmablasts, as well as a pro portion of plasma cells in secondary lymphoid organs and bone marrow. In the pivotal clinical trial that included individuals both positive and negative for AQP4, inebilizumab reduced the time to the first attack by 77% compared to placebo (hazard ratio, 0.23; p 50% of length of optic nerve involvement, perineural optic nerve sheath enhancement, disc edema Myelitis – longitudinally extensive, central cord involvement or “H sign,” conus involvement Brain/brainstem/cerebellar – ill-defined lesions, deep gray matter involvement, cortical lesions with or without overlying meningeal enhancement 3. Exclusion of better diagnoses including MS Abbreviations: ADEM, acute disseminated encephalomyelitis; AQP4, aquaporin 4; CSF, cerebrospinal fluid; MOG, myelin oligodendrocyte glycoprotein; MS, multiple sclerosis. Source: Adapted from B Banwell et al: Lancet Neurol 22:268, 2023. white or gray matter structures, similar to NMO. MRI lesions that are typical for MS, including finger-like lesions oriented perpendicular to the ventricular surface (Dawson fingers) and T1 hypointense lesions, are uncommon. Spinal cord lesions can be longitudinally extensive or short and sometimes involve the conus medullaris. Demyelination associated with MOGAD is sometimes monophasic, as in ADEM, but can also be recurrent. The CSF may show a </w:t>
      </w:r>
      <w:r w:rsidRPr="00A6019F">
        <w:lastRenderedPageBreak/>
        <w:t xml:space="preserve">pleocytosis with occa sional neutrophils. Elevated intrathecal synthesis of gamma globulins is atypical: oligoclonal bands are present in only ~6–13% of cases. A small percentage of patients who present with syndromes suggestive of MOGAD but test negative (or only weakly positive) for serum anti MOG antibodies have detectable antibodies restricted to the CSF; thus, in these seronegative cases, CSF anti-MOG antibody testing should be pursued. The mechanism of central nervous system (CNS) injury in MOGAD is not established and could involve MOG-reactive cytotoxic T cells in addition to anti-MOG antibodies. Studies in MOG-induced experimental autoimmune encephalomyelitis, an animal model, sug gest that anti-MOG antibodies may opsonize traces of MOG protein in secondary lymphoid tissues, triggering a peripheral immune response against MOG. Acute episodes are managed with high-dose glucocorticoids fol lowed by a prednisone taper and sometimes by plasmapheresis, as with NMO. Brain lesions associated with MOGAD often respond rapidly to treatment with glucocorticoids and may resolve entirely. Some patients experience disease recurrence following discontinuation of prednisone and can become glucocorticoid dependent. Clinical trials in MOGAD are underway with satralizumab (the IL-6 receptor blocker indi cated for AQP4-seropositive NMO) and rozanolixizumab (Rystiggo; a humanized monoclonal antibody that binds the neonatal Fc receptor). There are limited data on use of other immune-suppressing medica tions typically used in NMO. Off-label empiric treatments include daily prednisone, IV immunoglobulin, rituximab, and mycophenolate mofetil. Anti-MOG antibody titers appear to decline either spontane ously or in the setting of treatment. CHAPTER 456 Neuromyelitis Optica GLIAL FIBRILLARY ACIDIC PROTEIN (GFAP) AUTOIMMUNITY Autoimmunity against the astrocyte protein GFAP presents with a range of symptoms referable to meningismus, encephalitis, myelitis, and optic neuritis. Some cases follow a viral prodrome, and fever and headache are commonly present. The clinical syndrome can also include a move ment disorder reflecting involvement of deep gray matter structures. MRI shows characteristic patterns of gadolinium enhancement local ized to GFAP-enriched CNS regions including venous structures in a periventricular radial orientation, the leptomeninges, the periepen dymal spinal cord, and a striking serpiginous pattern involving brain parenchyma. Longitudinally extensive spinal cord involvement can also be present. These patterns share similarities with those observed in neurosarcoidosis, and their presence should prompt consideration for either condition. A lymphocytic pleocytosis is commonly present in the CSF. Antibodies against GFAP can be measured in the serum or CSF. GFAP autoimmunity is found as a paraneoplastic syndrome in ~25% of cases, most commonly associated with ovarian teratoma, and can coex ist with anti-N-methyl-d-aspartate receptor (NMDAR) encephalitis or NMO. T cells are implicated in pathophysiology based on histopathol ogy and association with checkpoint inhibitor treatment for cancer or in the setting of HIV. GFAP autoimmunity is generally glucocorticoid responsive. Early recognition with prompt intervention is associated with more favorable outcomes. Relapses occur in ~20% of patients and require use of </w:t>
      </w:r>
      <w:r w:rsidRPr="00A6019F">
        <w:lastRenderedPageBreak/>
        <w:t xml:space="preserve">immune suppression therapy. ACUTE DISSEMINATED ENCEPHALOMYELITIS ADEM has a monophasic course and is often associated with an antecedent infection (postinfectious encephalomyelitis); historically, a small number of ADEM cases have followed immunization (post vaccinal encephalomyelitis). ADEM is far more common in children than adults, and many adult cases initially thought to represent ADEM subsequently experience late relapses qualifying as either MS or 3594 another chronic inflammatory disorder such as vasculitis, sarcoidosis, or lymphoma. Many cases previously thought to represent ADEM are now recognized as MOGAD. The hallmark of ADEM is the presence of widely scattered foci of perivenular inflammation and demyelin ation that can involve both white matter and gray matter structures, in contrast to larger confluent white matter lesions typical of MS. In the most explosive form of ADEM, acute hemorrhagic leukoencephalitis, the lesions are vasculitic and hemorrhagic, and the clinical course is devastating. PART 13 Neurologic Disorders Postinfectious encephalomyelitis is most frequently associated with the viral exanthems of childhood. Infection with measles virus is the most common antecedent (1 in 1000 cases). Worldwide, measles encephalomyelitis is still common, although use of the live measles vaccine has dramatically reduced its incidence. In developed countries, ADEM is now most frequently associated with varicella (chickenpox) infections (1 in 4000–10,000 cases). It may also follow infection with rubella, mumps, influenza, parainfluenza, Epstein-Barr virus, human herpesvirus-6, HIV, dengue, Zika, other viruses, and Mycoplasma pneumoniae. Cases have also been described in association with SARS CoV-2 infection. Some patients may have a nonspecific upper respira tory infection or no known antecedent illness. Modern vaccines appear to pose no meaningful risk for ADEM; one large study (Vaccine Safety Datalink) of 24 different vaccines in &gt;9 million individuals (64 million doses in total) revealed no excess risk for ADEM, with the possible exception of Tdap (tetanus, diphtheria, acellular pertussis) vaccine estimated at less than one case per million doses. All forms of ADEM presumably result from a cross-reactive immune response to the infectious agent that then triggers an inflam matory demyelinating response. Autoantibodies to MBP and other myelin antigens have been detected in the CSF from some patients with ADEM, and as noted above, ADEM cases with serum or CSF antibod ies against MOG are now considered to be MOGAD. </w:t>
      </w:r>
      <w:r w:rsidRPr="00A6019F">
        <w:rPr>
          <w:rFonts w:ascii="Arial" w:hAnsi="Arial" w:cs="Arial"/>
        </w:rPr>
        <w:t>■</w:t>
      </w:r>
      <w:r w:rsidRPr="00A6019F">
        <w:t xml:space="preserve">CLINICAL MANIFESTATIONS In severe cases, onset is abrupt and progression rapid (hours to days). In postinfectious ADEM, the neurologic syndrome generally begins late in the course of the viral illness as the exanthem is fading. Fever reappears, and headache, meningismus, and lethargy progressing to coma may develop. Seizures are common. Signs of disseminated neu rologic disease are consistently present (e.g., hemiparesis or quadripa resis, extensor plantar responses, lost or hyperactive tendon reflexes, sensory loss, and brainstem involvement). In ADEM due to chicken pox, cerebellar involvement is often conspicuous. CSF protein is mod estly elevated (0.5–1.5 g/L [50–150 mg/dL]). Lymphocytic pleocytosis, generally ≥200 cells/μL, occurs in 80% of patients. </w:t>
      </w:r>
      <w:r w:rsidRPr="00A6019F">
        <w:lastRenderedPageBreak/>
        <w:t xml:space="preserve">Occasional patients have higher counts or a mixed polymorphonuclear-lymphocytic pat tern during the initial days of the illness. Transient CSF oligoclonal banding was reported in a minority of cases. MRI usually reveals extensive changes in the brain and spinal cord, consisting of white matter hyperintensities on T2 and fluid-attenuated inversion recovery (FLAIR) sequences with gadolinium enhancement on T1-weighted sequences. </w:t>
      </w:r>
      <w:r w:rsidRPr="00A6019F">
        <w:rPr>
          <w:rFonts w:ascii="Arial" w:hAnsi="Arial" w:cs="Arial"/>
        </w:rPr>
        <w:t>■</w:t>
      </w:r>
      <w:r w:rsidRPr="00A6019F">
        <w:t xml:space="preserve">DIAGNOSIS The diagnosis is most reliably established when there is a history of a recent infectious illness. In severe cases with predominantly cerebral involvement, acute encephalitis due to infection with herpes simplex or other viruses including HIV may be difficult to exclude; other consid erations include hypercoagulable states including the antiphospholipid antibody syndrome, autoimmune (paraneoplastic) limbic encephalitis, vasculitis, sarcoidosis, primary CNS lymphoma, or metastatic cancer. An explosive presentation of MS can mimic ADEM, and especially in adults, it may not be possible to distinguish these conditions acutely. The simultaneous onset of disseminated symptoms and signs is com mon in ADEM and rare in MS. Similarly, meningismus, encephalopa thy (drowsiness, stupor or coma), and seizures suggest ADEM rather than MS. Unlike MS, in ADEM, optic nerve involvement is generally bilateral and transverse myelopathy complete. MRI findings that favor ADEM include extensive and relatively symmetric white matter abnormalities, basal ganglia or cortical gray matter lesions, and gado linium enhancement of all abnormal areas. In contrast, OCBs in the CSF are more common in MS. In one study of adult patients initially thought to have ADEM, 30% experienced additional relapses over a follow-up period of 3 years, and they were reclassified as having MS. Other patients initially classified as ADEM are subsequently found to have NMO, MOGAD, or GFAP autoimmunity. Occasional patients with “recurrent ADEM” have also been reported, especially children; however, it is not possible to distinguish this entity from atypical MS. Because of the clinical overlap at presentation between ADEM and MS, it is important that routine surveillance imaging be performed follow ing recovery from ADEM so that subclinical disease activity due to MS can be recognized and treatment for MS initiated. </w:t>
      </w:r>
      <w:r w:rsidRPr="00A6019F">
        <w:rPr>
          <w:rFonts w:ascii="Arial" w:hAnsi="Arial" w:cs="Arial"/>
        </w:rPr>
        <w:t>■</w:t>
      </w:r>
      <w:r w:rsidRPr="00A6019F">
        <w:t xml:space="preserve">TREATMENT Initial therapy is with high-dose glucocorticoids; depending on the response, treatment may need to be continued for 8 weeks. Patients who fail to respond within a few days may benefit from a course of plasma exchange or IV immunoglobulin. The prognosis reflects the severity of the underlying acute illness. In modern case series of pre sumptive ADEM in adults, mortality rates of 5–20% are reported, and many survivors have permanent neurologic sequelae. </w:t>
      </w:r>
      <w:r w:rsidRPr="00A6019F">
        <w:rPr>
          <w:rFonts w:ascii="Arial" w:hAnsi="Arial" w:cs="Arial"/>
        </w:rPr>
        <w:t>■</w:t>
      </w:r>
      <w:r w:rsidRPr="00A6019F">
        <w:t xml:space="preserve">FURTHER READING Banwell B et al: Diagnosis of myelin oligodendrocyte glycoprotein antibody-associated disease: International MOGAD Panel proposed criteria. Lancet Neurol 22:268, 2023. Baxter R et al: Acute demyelinating events following vaccines: A case centered analysis. Clin Infect Dis 63:1456, 2016. Cacciaguerra L et al: Updates in NMOSD and MOGAD diagnosis and treatment: A tale of two central nervous system autoimmune inflammatory disorders. Neurol Clin 42:77, 2024. Cree BAC et al: Inebilizumab for the treatment of neuromyelitis optica spectrum disorder (N-MOmentum): A double-blind, randomised placebo-controlled phase 2/3 </w:t>
      </w:r>
      <w:r w:rsidRPr="00A6019F">
        <w:lastRenderedPageBreak/>
        <w:t xml:space="preserve">trial. Lancet 394:1352, 2019. Hagbohm C et al: Clinical and neuroimaging phenotypes of autoim mune glial fibrillary acidic protein astrocytopathy: A systematic review and meta-analysis. Eur J Neurol 20:e16284, 2024. Pittock SJ et al: Eculizumab in aquaporin-4-positive neuromyelitis optica spectrum disorder. N Engl J Med 381:614, 2019. Qin C et al: Single-cell analysis of anti-BCMA CAR T cell therapy in patients with central nervous system autoimmunity. Sci Immunol 9:eadj9730, 2024. Traboulsee A, et al. Safety and efficacy of satralizumab monotherapy in neuromyelitis optica spectrum disorder: A randomised, double blind, multicentre, placebo-controlled phase 3 trial. Lancet Neurol 19:402, 2020. Wingerchuk DM et al: International consensus diagnostic criteria for neuromyelitis optica spectrum disorders. Neurology 85:177, 2015. Section 3 Nerve and Muscle Disorders 457 Peripheral Neuropathy Anthony A. Amato, Richard J. Barohn Peripheral nerves are composed of sensory, motor, and autonomic elements. Diseases can affect the cell body of a neuron or its periph eral processes, namely the axons or the encasing myelin sheaths. Most peripheral nerves are mixed and contain sensory and motor as well as autonomic fibers. Nerves can be subdivided into three major 3595 classes: large myelinated, small myelinated, and small unmyelin ated. Motor axons are usually large myelinated fibers that conduct rapidly (~50 m/s). Sensory fibers may be any of the three types. Large-diameter sensory fibers conduct proprioception and vibra tory sensation to the brain, while the smaller-diameter myelinated and unmyelinated fibers transmit pain and temperature sensation. Autonomic nerves are also small in diameter. Thus, peripheral neu ropathies can impair sensory, motor, or autonomic function, either singly or in combination. Peripheral neuropathies are further classi fied into those that primarily affect the cell body (e.g., neuronopathy or ganglionopathy), myelin (myelinopathy), and the axon (axonopa thy). These different classes of peripheral neuropathies have distinct clinical and electrophysiologic features. This chapter discusses the clinical approach to a patient suspected of having a peripheral neuropathy, as well as specific neuropathies, including hereditary and acquired neuropathies. The inflammatory neuropathies are discussed in Chap. 458. GENERAL APPROACH In approaching a patient with a neuropathy, the clinician has three main goals: (1) identify where the lesion is, (2) identify the cause, and (3) determine the proper treatment. The first goal is accomplished by obtaining a thorough history, neurologic examination, and electrodiag nostic and other laboratory studies (Fig. 457-1). While gathering this information, seven key questions are asked (Table 457-1), the answers to which help identify the pattern of involvement and the cause of the neuropathy (Table 457-2). Despite an extensive evaluation, in approximately half of patients, no etiology is ever found; these patients typically have a predominately sensory polyneuropathy and have been labeled as having idiopathic or cryptogenic sensory and sensorimotor polyneuropathy (CSPN). </w:t>
      </w:r>
      <w:r w:rsidRPr="00A6019F">
        <w:rPr>
          <w:rFonts w:ascii="Arial" w:hAnsi="Arial" w:cs="Arial"/>
        </w:rPr>
        <w:t>■</w:t>
      </w:r>
      <w:r w:rsidRPr="00A6019F">
        <w:t>INFORMATION FROM THE HISTORY AND PHYSICAL EXAMINATION: SEVEN KEY QUESTIONS (TABLE 457-1) 1. What Systems Are Involved? It is important to determine if the patient</w:t>
      </w:r>
      <w:r w:rsidRPr="00A6019F">
        <w:rPr>
          <w:rFonts w:ascii="Aptos" w:hAnsi="Aptos" w:cs="Aptos"/>
        </w:rPr>
        <w:t>’</w:t>
      </w:r>
      <w:r w:rsidRPr="00A6019F">
        <w:t xml:space="preserve">s symptoms and signs are motor, sensory, autonomic, or a combination of these. If the patient has only </w:t>
      </w:r>
      <w:r w:rsidRPr="00A6019F">
        <w:lastRenderedPageBreak/>
        <w:t xml:space="preserve">weakness without any evidence of sensory or autonomic dysfunction, a motor neuropathy, neuromuscular junction abnormality, or myopathy should be con sidered. Some peripheral neuropathies are associated with significant autonomic nervous system dysfunction. Symptoms of autonomic involvement include fainting spells or orthostatic lightheadedness; heat intolerance; or any bowel, bladder, or sexual dysfunction (Chap. 451). There will typically be an orthostatic fall in blood pressure without an appropriate increase in heart rate. Autonomic dysfunction in the absence of diabetes should alert the clinician to the possibility of amy loid polyneuropathy. Rarely, a pandysautonomic syndrome can be the only manifestation of a peripheral neuropathy without other motor or sensory findings. The majority of neuropathies are predominantly sensory in nature. 2. What Is the Distribution of Weakness? Delineating the pattern of weakness, if present, is essential for diagnosis, and in this regard, two additional questions should be answered: (1) Does the weakness only involve the distal extremity, or is it both proximal and distal? and (2) Is the weakness focal and asymmetric, or is it sym metric? Symmetric proximal and distal weakness is the hallmark of acquired immune demyelinating polyneuropathies, both the acute form (Guillain-Barré syndrome [GBS]) and the chronic form (chronic inflammatory demyelinating polyneuropathy [CIDP]) (Chap. 458). The importance of finding symmetric proximal and distal weakness in a patient who presents with both motor and sensory symptoms cannot CHAPTER 457 Peripheral Neuropathy Patient Complaint: ? Neuropathy History and examination compatible with neuropathy? Yes Mononeuropathy Mononeuropathy multiplex EDx Is the lesion axonal or demyelinating? Is entrapment or compression present? Is a contributing systemic disorder present? Decision on need for surgery (nerve repair, transposition, or release procedure) EDx Axonal Consider vasculitis or other multifocal process Possible nerve biopsy Demyelinating  with focal  conduction block Consider multifocal form of CIDP Polyneuropathy EDx Axonal Subacute course (months) Chronic course (years) No Evaluation of other disorder or reassurance and follow-up Demyelinating Uniform slowing,  chronic Review history for toxins; test for associated systemic disease or intoxication Test for paraprotein, if negative Nonuniform slowing, conduction block If chronic or subacute: CIDP Test for paraprotein, HIV, Lyme disease Treatment appropriate for specific diagnosis If tests are negative, consider treatment for CIDP Treatment appropriate  for specific diagnosis Review family history; examine family members; genetic testing Treatment for CIDP; see Ch. 458 If acute: GBS IVIg or plasmapheresis; supportive care including respiratory assistance Genetic counseling if appropriate FIGURE 457-1 Approach to the evaluation of peripheral neuropathies. CIDP, chronic inflammatory demyelinating polyradiculoneuropathy; EDx, electrodiagnostic; GBS, Guillain-Barré syndrome; IVIg, intravenous immunoglobulin. 3596 PART 13 Neurologic Disorders TABLE 457-1 Approach to Neuropathic Disorders: Seven Key Questions 1. What systems are involved? • Motor, sensory, autonomic, or combinations 2. What is the distribution of weakness? • Only distal versus proximal and distal • </w:t>
      </w:r>
      <w:r w:rsidRPr="00A6019F">
        <w:lastRenderedPageBreak/>
        <w:t xml:space="preserve">Focal/asymmetric versus symmetric 3. What is the nature of the sensory involvement? • Temperature loss or burning or stabbing pain (e.g., small fiber) • Vibratory or proprioceptive loss (e.g., large fiber) 4. Is there evidence of upper motor neuron involvement? • Without sensory loss • With sensory loss 5. What is the temporal evolution? • Acute (days to 4 weeks) • Subacute (4–8 weeks) • Chronic (&gt;8 weeks) • Monophasic, progressive, or relapsing-remitting 6. Is there evidence for a hereditary neuropathy? • Family history of neuropathy • Lack of sensory symptoms despite sensory signs 7. Are there any associated medical conditions? • Cancer, diabetes mellitus, connective tissue disease or other autoimmune diseases, infection (e.g., HIV, Lyme disease, leprosy) • Medications including over-the-counter drugs that may cause a toxic neuropathy • Preceding events, drugs, toxins TABLE 457-2 Patterns of Neuropathic Disorders Pattern 1: Symmetric proximal and distal weakness with sensory loss Consider: inflammatory demyelinating polyneuropathy (GBS and CIDP) Pattern 2: Symmetric distal sensory loss with or without distal weakness Consider: cryptogenic or idiopathic sensory polyneuropathy (CSPN), diabetes mellitus and other metabolic disorders, drugs, toxins, familial (HSAN), CMT, amyloidosis, CANVAS, SORD neuropathy, and others Pattern 3: Asymmetric distal weakness with sensory loss With involvement of multiple nerves Consider: multifocal CIDP, vasculitis, cryoglobulinemia, amyloidosis, sarcoid, infectious (leprosy, Lyme, hepatitis B, C, or E, HIV, CMV), HNPP, tumor infiltration With involvement of single nerves/regions Consider: may be any of the above but also could be compressive mononeuropathy, plexopathy, or radiculopathy Pattern 4: Asymmetric proximal and distal weakness with sensory loss Consider: polyradiculopathy or plexopathy due to diabetes mellitus, meningeal carcinomatosis or lymphomatosis, sarcoid, amyloid, hereditary plexopathy (HNPP, HNA), idiopathic Pattern 5: Asymmetric distal weakness without sensory loss With upper motor neuron findings Consider: motor neuron disease Without upper motor neuron findings Consider: progressive muscular atrophy, juvenile monomelic amyotrophy (Hirayama’s disease), multifocal motor neuropathy, multifocal acquired motor axonopathy Pattern 6: Symmetric sensory loss and distal areflexia with upper motor neuron findings Consider: vitamin B12 , vitamin E, and copper deficiency with combined system degeneration with peripheral neuropathy, chronic liver disease, hereditary leukodystrophies (e.g., adrenomyeloneuropathy), HSP-plus Pattern 7: Symmetric weakness without sensory loss With proximal and distal weakness Consider: SMA With distal weakness Consider: hereditary motor neuropathy (“distal” SMA) or atypical CMT Pattern 8: Focal midline proximal symmetric weakness Neck extensor weakness Consider: ALS Bulbar weakness Consider: ALS/PLS, isolated bulbar ALS (IBALS), Kennedy’s syndrome (X-linked, bulbospinal SMA), bulbar presentation GBS Diaphragm weakness (SOB) Consider: ALS Pattern 9: Asymmetric proprioceptive sensory loss without weakness Consider causes of a sensory neuronopathy (ganglionopathy): Cancer (paraneoplastic) CANVAS Sjögren’s syndrome Idiopathic sensory neuronopathy (possible GBS variant) Cisplatin and other chemotherapeutic agents Vitamin B6 toxicity </w:t>
      </w:r>
      <w:r w:rsidRPr="00A6019F">
        <w:lastRenderedPageBreak/>
        <w:t xml:space="preserve">HIV-related sensory neuronopathy Pattern 10: Autonomic symptoms and signs Consider neuropathies associated with prominent autonomic dysfunction: Hereditary sensory and autonomic neuropathy Amyloidosis (familial and acquired) Diabetes mellitus GBS Idiopathic pandysautonomia (may be a variant of GBS) Porphyria HIV-related autonomic neuropathy Vincristine and other chemotherapeutic agents Abbreviations: ALS, amyotrophic lateral sclerosis; CIDP, chronic inflammatory demyelinating polyneuropathy; CANVAS, cerebellar ataxia, neuropathy, and vestibular areflexia syndrome; CMT, Charcot-Marie-Tooth disease; CMV, cytomegalovirus; GBS, Guillain-Barré syndrome; HIV, human immunodeficiency virus; HNA, hereditary neuralgic amyotrophy; HNPP, hereditary neuropathy with liability to pressure palsies; HSAN, hereditary sensory and autonomic neuropathy; HSP-plus, hereditary spastic paraplegia plus neuropathy; PLS, primary lateral sclerosis; SMA, spinal muscular atrophy; SOB, shortness of breath; SORD, sorbitol dehydrogenase deficiency. be overemphasized because this identifies the important subset of patients who may have a treatable acquired demyelinating neuropathic disorder (i.e., GBS or CIDP). Findings of an asymmetric or multifocal pattern of weakness narrow the differential diagnosis. Some neuropathic disorders may present with unilateral extremity weakness. In the absence of sensory symp toms and signs, such weakness evolving over weeks or months would be worrisome for motor neuron disease (e.g., amyotrophic lateral scle rosis [ALS]), but it would be important to exclude multifocal motor neuropathy that may be treatable (Chap. 458). In a patient presenting with asymmetric subacute or acute sensory and motor symptoms and signs, radiculopathies, plexopathies, compressive mononeuropathies, or multiple mononeuropathies (e.g., mononeuropathy multiplex) must be considered. ALS (Chap. 448) can produce prominent neck extensor weakness (head drop), tongue and pharyngeal weakness (dysarthria and dyspha gia), or shortness of breath. These focal symmetric weakness patterns can also be seen in neuromuscular junction disorders (myasthenia gravis, Lambert-Eaton myasthenic syndrome [LEMS] [Chap. 459]) and some myopathies, particularly isolated neck extensor myopathy (Chap. 460). 3. What Is the Nature of the Sensory Involvement? The patient may have loss of sensation (numbness), altered sensation to touch (hyperpathia or allodynia), or uncomfortable spontaneous sen sations (tingling, burning, or aching) (Chap. 27). Neuropathic pain can be burning, dull, and poorly localized (protopathic pain), presumably transmitted by polymodal C nociceptor fibers, or sharp and lancinating (epicritic pain), relayed by A-delta fibers. If pain and temperature per ception are lost, while vibratory and position sense are preserved along with muscle strength, deep tendon reflexes, and normal nerve conduc tion studies (NCS), a small-fiber neuropathy is likely. The most likely causes of small-fiber neuropathies, when one is identified, are diabetes mellitus (DM) or glucose intolerance. Amyloid neuropathy should be considered as well in such cases, but most of these small-fiber neuropa thies remain idiopathic despite extensive evaluation. Severe proprioceptive loss also narrows the differential diagnosis. Affected patients will note imbalance, especially in the 3597 dark. </w:t>
      </w:r>
      <w:r w:rsidRPr="00A6019F">
        <w:lastRenderedPageBreak/>
        <w:t xml:space="preserve">A neurologic examination revealing a dramatic loss of pro prioception with vibration loss and normal strength should alert the clinician to consider a sensory neuronopathy/ganglionopathy (Pattern 9, Table 457-2). In particular, if this loss is asymmetric or affects the arms more than the legs, this pattern suggests a non-length-dependent process as seen in sensory neuronopathies. 4. Is There Evidence of Upper Motor Neuron Involvement? If the patient presents with symmetric distal sensory symptoms and signs suggestive of a distal sensory neuropathy, but there is additional evidence of symmetric upper motor neuron involvement (Chap. 26), the physician should consider a combined system degeneration with neuropathy. The most common cause for this pattern is vitamin B12 deficiency, but other etiologies should also be considered (e.g., copper deficiency, human immunodeficiency virus [HIV] infection, severe hepatic disease, adrenomyeloneuropathy [AMN]), and hereditary spastic paraplegia plus a neuropathy. 5. What Is the Temporal Evolution? It is important to deter mine the onset, duration, and evolution of symptoms and signs. Does the disease have an acute (days to 4 weeks), subacute (4–8 weeks), or chronic (&gt;8 weeks) course? Is the course monophasic, progressive, or relapsing? Most neuropathies are insidious and slowly progressive in nature. Neuropathies with acute and subacute presentations include GBS, vasculitis, and radiculopathies related to diabetes or Lyme dis ease. A relapsing course can be present in CIDP and porphyria. 6. Is There Evidence for a Hereditary Neuropathy? In patients with slowly progressive distal weakness over many years with few sensory symptoms yet significant sensory deficits on clinical exam ination, the clinician should consider a hereditary neuropathy (e.g., Charcot-Marie-Tooth disease [CMT]). On examination, the feet may show high or flat arches or hammer toes, and scoliosis may be present. In suspected cases, it may be necessary to perform neurologic and elec trophysiologic studies on family members in addition to the patient. 7. Does the Patient Have Any Other Medical Conditions? It is important to inquire about associated medical conditions (e.g., DM, systemic lupus erythematosus [SLE]); preceding or concurrent infec tions (e.g. diarrheal illness preceding GBS); surgeries (e.g., gastric bypass and nutritional neuropathies); medications (toxic neuropathy), including over-the-counter vitamin preparations (B6 ); alcohol; dietary habits; and use of dentures (e.g., fixatives contain zinc that can lead to copper deficiency). </w:t>
      </w:r>
      <w:r w:rsidRPr="00A6019F">
        <w:rPr>
          <w:rFonts w:ascii="Arial" w:hAnsi="Arial" w:cs="Arial"/>
        </w:rPr>
        <w:t>■</w:t>
      </w:r>
      <w:r w:rsidRPr="00A6019F">
        <w:t xml:space="preserve">PATTERN RECOGNITION APPROACH TO NEUROPATHIC DISORDERS Based on the answers to the seven key questions, neuropathic disor ders can be classified into several patterns based on the distribution or pattern of sensory, motor, and autonomic involvement (Table 457-2). Each pattern has a limited differential diagnosis, and information from laboratory studies usually permits a final diagnosis to be established. </w:t>
      </w:r>
      <w:r w:rsidRPr="00A6019F">
        <w:rPr>
          <w:rFonts w:ascii="Arial" w:hAnsi="Arial" w:cs="Arial"/>
        </w:rPr>
        <w:t>■</w:t>
      </w:r>
      <w:r w:rsidRPr="00A6019F">
        <w:t xml:space="preserve">ELECTRODIAGNOSTIC STUDIES The electrodiagnostic (EDx) evaluation of patients with a suspected peripheral neuropathy consists of NCS and needle electromyography (EMG). In addition, studies of autonomic function can be valuable. The electrophysiologic data can confirm whether the neuropathic disorder is a mononeuropathy, multiple mononeuropathy (mononeu ropathy multiplex), </w:t>
      </w:r>
      <w:r w:rsidRPr="00A6019F">
        <w:lastRenderedPageBreak/>
        <w:t xml:space="preserve">radiculopathy, plexopathy, or generalized poly neuropathy. Similarly, EDx evaluation can ascertain whether the process involves only sensory fibers, motor fibers, autonomic fibers, or a combination of these. Finally, the electrophysiologic data can help distinguish axonopathies from myelinopathies as well as axonal degeneration secondary to ganglionopathies from the more common length-dependent axonopathies. NCS are most helpful in classifying a neuropathy as due to axonal degeneration or segmental demyelination (Table 457-3). In general, low-amplitude potentials with relatively preserved distal latencies, conduction velocities, and late potentials, along with fibrillations on needle EMG, suggest an axonal neuropathy. On the other hand, slow TABLE 457-3 Electrophysiologic Features: Axonal Degeneration versus Segmental Demyelination AXONAL DEGENERATION Motor Nerve Conduction Studies CMAP amplitude Distal latency Conduction velocity Conduction block Temporal dispersion F wave H reflex Decreased Normal Normal Absent Absent Normal or absent Normal or absent Sensory Nerve Conduction Studies SNAP amplitude Distal latency Conduction velocity Needle EMG Decreased Normal SEGMENTAL DEMYELINATION Normal (except with CB or distal dispersion) Prolonged Slow Present Present Prolonged or absent Prolonged or absent Normal or decreased Prolonged Normal Spontaneous activity Fibrillations Fasciculations Motor unit potentials Recruitment Morphology Present Present Decreased Long duration, large amplitude, polyphasic (if there is reinnervation) Slow Absent Absent Decreased Normal Abbreviations: CB, conduction block; CMAP, compound motor action potential; EMG, electromyography; SNAP, sensory nerve action potential. conduction velocities, prolonged distal latencies and late potentials, relatively preserved amplitudes, and the absence of fibrillations on needle EMG imply a primary demyelinating neuropathy. The presence of nonuniform slowing of conduction velocity, conduction block, or temporal dispersion further suggests an acquired demyelinating neu ropathy (e.g., GBS or CIDP) as opposed to a hereditary demyelinating neuropathy (e.g., CMT type 1). Autonomic studies are used to assess small myelinated (A-delta) or unmyelinated (C) nerve fiber involvement. Such testing includes heart rate response to deep breathing, heart rate and blood pressure response to both the Valsalva maneuver and tilt-table testing, and quantitative sudomotor axon reflex testing (Chap. 451). These studies are par ticularly useful in patients who have pure small-fiber neuropathy or autonomic neuropathy in which routine NCS are normal. </w:t>
      </w:r>
      <w:r w:rsidRPr="00A6019F">
        <w:rPr>
          <w:rFonts w:ascii="Arial" w:hAnsi="Arial" w:cs="Arial"/>
        </w:rPr>
        <w:t>■</w:t>
      </w:r>
      <w:r w:rsidRPr="00A6019F">
        <w:t xml:space="preserve">OTHER IMPORTANT LABORATORY INFORMATION In patients with generalized symmetric peripheral neuropathy, a stan dard laboratory evaluation should include a complete blood count, basic chemistries including serum electrolytes and tests of renal and hepatic function, fasting blood glucose (FBS), hemoglobin (Hb) A1c , thyroid function tests, B12 , folate, erythrocyte sedimentation rate (ESR), rheumatoid factor, antinuclear antibodies (ANA), serum protein electrophoresis (SPEP) and immunoelectrophoresis or immunofixa tion, and free light chains in serum and urine. Quantification of the concentration of serum-free light chains and the kappa/lambda ratio is more sensitive than SPEP, immunoelectrophoresis, or </w:t>
      </w:r>
      <w:r w:rsidRPr="00A6019F">
        <w:lastRenderedPageBreak/>
        <w:t xml:space="preserve">immunofixation to detect a monoclonal gammopathy and therefore should be done if amyloidosis is suspected. A skeletal survey should be performed in patients with acquired demyelinating neuropathies and M-spikes to look for osteosclerotic or lytic lesions. Patients with monoclonal gam mopathy should also be referred to a hematologist for consideration of a bone marrow biopsy. An oral glucose tolerance test is indicated in patients with painful sensory neuropathies even if FBS and HbA1c are normal, as the test is abnormal in about one-third of such patients. In addition to the above tests, patients with a mononeuropathy multiplex CHAPTER 457 Peripheral Neuropathy 3598 pattern of involvement should have a vasculitis workup, including antineutrophil cytoplasmic antibodies (ANCAs), cryoglobulins, hepa titis serology, Western blot for Lyme disease, HIV, and occasionally a cytomegalovirus (CMV) titer. PART 13 Neurologic Disorders There are many autoantibody panels (various antiganglioside anti bodies) marketed for screening routine neuropathy patients for a treat able condition. These autoantibodies have no proven clinical utility or added benefit beyond the information obtained from a complete clinical examination and detailed EDx. A heavy metal screen is also not necessary as a screening procedure, unless there is a history of possible exposure or suggestive features on examination (e.g., severe painful sensorimotor and autonomic neuropathy and alopecia— thallium; severe painful sensorimotor neuropathy with or without gastrointestinal [GI] disturbance and Mee’s lines—arsenic; wrist or finger extensor weakness and anemia with basophilic stippling of red blood cells—lead). In patients with suspected GBS or CIDP, a lumbar puncture is indicated to look for an elevated cerebrospinal fluid (CSF) protein. In idiopathic cases of GBS and CIDP, CSF pleocytosis is usually absent. If cells are present, one should consider HIV infection, Lyme disease, sarcoidosis, or lymphomatous or leukemic infiltration of nerve roots. Recently, serum IgG4 antibodies to neurofascin and contactin-2 have been discovered in CIDP with severe sensory ataxia, tremor, and distal weakness (Chap. 458). These cases are difficult to treat with standard immunotherapies but may respond to rituximab. Some patients with GBS and CIDP have abnormal liver function tests. In these cases, it is important to also check for hepatitis B and C, HIV, CMV, and Epstein Barr virus (EBV) infection. In patients with an axonal GBS (by EMG/ NCS) or those with a suspicious coinciding history (e.g., unexplained abdominal pain, psychiatric illness, significant autonomic dysfunc tion), it is reasonable to screen for porphyria. In patients with a severe sensory ataxia, a sensory ganglionopathy or neuronopathy should be considered. The most common causes of sensory ganglionopathies are Sjögren’s syndrome (Chap. 373) and a paraneoplastic neuropathy (Chap. 99). Neuropathy can be the initial manifestation of Sjögren’s syndrome. Thus, one should always inquire about dry eyes and mouth in patients with sensory signs and symptoms. Further, some patients can manifest sicca complex without other manifestations of Sjögren’s syndrome. Thus, patients with sen sory ataxia should be tested for antibodies to SS-A/Ro and SS-B/La, in addition to the routine ANA. To evaluate a possible paraneoplastic sensory ganglionopathy, antineuronal nuclear </w:t>
      </w:r>
      <w:r w:rsidRPr="00A6019F">
        <w:lastRenderedPageBreak/>
        <w:t xml:space="preserve">antibodies (e.g., anti-Hu antibodies) should be obtained. These antibodies are most commonly seen in patients with small-cell carcinoma of the lung but are also present with breast, ovarian, lymphoma, and other cancers. Impor tantly, the paraneoplastic neuropathy can precede the detection of the cancer, and detection of these autoantibodies should lead to a search for malignancy. </w:t>
      </w:r>
      <w:r w:rsidRPr="00A6019F">
        <w:rPr>
          <w:rFonts w:ascii="Arial" w:hAnsi="Arial" w:cs="Arial"/>
        </w:rPr>
        <w:t>■</w:t>
      </w:r>
      <w:r w:rsidRPr="00A6019F">
        <w:t xml:space="preserve">NERVE BIOPSIES Nerve biopsies are now rarely performed in the evaluation of neuropa thies. The primary indication for nerve biopsy is suspicion for amyloid neuropathy or vasculitis. In most instances, the abnormalities present on biopsies do not help distinguish one form of peripheral neuropathy from another (beyond what is already apparent by clinical examination and the NCS). Nerve biopsies should only be performed when the NCS are abnormal. The sural nerve is most commonly biopsied because it is a pure sensory nerve and biopsy will not result in loss of motor func tion. In suspected vasculitis, a combination biopsy of a superficial pero neal nerve (pure sensory) and the underlying peroneus brevis muscle obtained from a single small incision increases the diagnostic yield. Tissue can be analyzed to assess for evidence of inflammation, vasculi tis, or amyloid deposition. Semithin plastic sections, teased fiber prepa rations, and electron microscopy are used to assess the morphology of the nerve fibers and to distinguish axonopathies from myelinopathies. </w:t>
      </w:r>
      <w:r w:rsidRPr="00A6019F">
        <w:rPr>
          <w:rFonts w:ascii="Arial" w:hAnsi="Arial" w:cs="Arial"/>
        </w:rPr>
        <w:t>■</w:t>
      </w:r>
      <w:r w:rsidRPr="00A6019F">
        <w:t xml:space="preserve">SKIN BIOPSIES Skin biopsies are sometimes used to diagnose a small-fiber neuropathy. Following a punch biopsy of the skin in the distal lower extremity, immunologic staining can be used to measure the density of small unmyelinated fibers. The density of these nerve fibers is reduced in patients with small-fiber neuropathies in whom NCS and routine nerve biopsies are often normal. This technique may allow for an objective measurement in patients with mainly subjective symptoms. However, it often adds little to what one already knows from the clinical examina tion and EDx. SPECIFIC DISORDERS </w:t>
      </w:r>
      <w:r w:rsidRPr="00A6019F">
        <w:rPr>
          <w:rFonts w:ascii="Arial" w:hAnsi="Arial" w:cs="Arial"/>
        </w:rPr>
        <w:t>■</w:t>
      </w:r>
      <w:r w:rsidRPr="00A6019F">
        <w:t xml:space="preserve">HEREDITARY NEUROPATHIES CMT disease is the most common type of hereditary neuropathy (Pattern 2, Table 457-2). Rather than one disease, CMT is a syndrome of many genetically distinct disorders (Table 457-4). The various sub types of CMT are classified according to the nerve conduction veloci ties (NCVs) and predominant pathology (e.g., demyelination or axonal degeneration), inheritance pattern (autosomal dominant, autosomal recessive, or X-linked), and the specific mutated genes. Type 1 CMT (or CMT1) refers to inherited demyelinating sensorimotor neuropa thies, whereas the axonal sensory neuropathies are classified as CMT2. By definition, motor conduction velocities in the arms are slowed to 38 m/s in CMT2. However, most cases of CMT1 actually have motor NCVs between 20 and 25 m/s. CMT1 and CMT2 usually begin in childhood or early adult life; however, onset later in life can occur, particularly in CMT2. Both are inherited in an autosomal dominant fashion, with a few exceptions. There are no medical therapies for any of the CMTs, but physical and occupational therapy can be beneficial, as can bracing (e.g., ankle-foot orthotics for foot drop) and other orthotic devices. </w:t>
      </w:r>
      <w:r w:rsidRPr="00A6019F">
        <w:rPr>
          <w:rFonts w:ascii="Arial" w:hAnsi="Arial" w:cs="Arial"/>
        </w:rPr>
        <w:t>■</w:t>
      </w:r>
      <w:r w:rsidRPr="00A6019F">
        <w:t xml:space="preserve">CMT1 CMT1 is the most common form of hereditary neuropathy. Affected individuals usually present in the first to third decade of life with distal leg weakness (e.g., foot drop), </w:t>
      </w:r>
      <w:r w:rsidRPr="00A6019F">
        <w:lastRenderedPageBreak/>
        <w:t xml:space="preserve">although patients may remain asymp tomatic even late in life. People with CMT generally do not complain of numbness or tingling, which can be helpful in distinguishing CMT from acquired forms of neuropathy in which sensory symptoms usu ally predominate. Although usually asymptomatic, reduced sensation to all modalities is apparent on examination. Muscle stretch reflexes are unobtainable or reduced throughout. There is often atrophy of the muscles below the knee (particularly the anterior compartment), lead ing to so-called inverted champagne bottle legs. Motor NCVs are generally in the 20–25 m/s range. Nerve biopsies usually are not performed on patients suspected of having CMT1, because the diagnosis usually can be made by less invasive testing (e.g., NCS and genetic studies). However, when done, the biopsies reveal reduced numbers of myelinated nerve fibers with a predilection for loss of large-diameter fibers and Schwann cell proliferation around thinly or demyelinated fibers, forming so-called onion bulbs. CMT1A is the most common subtype of CMT1, representing 70% of cases, and is caused by a 1.5-megabase (Mb) duplication within chromo some 17p11.2-12 encoding the gene for peripheral myelin protein-22 (PMP-22). This results in patients having three copies of the PMP-22 gene rather than two. This protein accounts for 2–5% of myelin protein and is expressed in compact regions of the peripheral myelin sheath. Approximately 20% of patients with CMT1 have CMT1B, caused by mutations in the myelin protein zero (MPZ). CMT1B is for the most part clinically, electrophysiologically, and histologically indistinguish able from CMT1A. MPZ is an integral myelin protein and accounts for more than half of the myelin protein in peripheral nerves. Other forms of CMT1 are much less common and also indistinguishable from one another clinically and electrophysiologically (Table 457-4). </w:t>
      </w:r>
      <w:r w:rsidRPr="00A6019F">
        <w:rPr>
          <w:rFonts w:ascii="Arial" w:hAnsi="Arial" w:cs="Arial"/>
        </w:rPr>
        <w:t>■</w:t>
      </w:r>
      <w:r w:rsidRPr="00A6019F">
        <w:t xml:space="preserve">CMT2 CMT2 occurs approximately half as frequently as CMT1, and CMT2 tends to present later in life. Affected individuals usually become symp tomatic in the second decade; some cases present earlier in childhood, whereas others remain asymptomatic into late adult life. Clinically, CMT2 is for the most part indistinguishable from CMT1. NCS are helpful in this regard; in contrast to CMT1, the velocities are normal or Peripheral Neuropathy 3599 CHAPTER 457 TABLE 457-4 Classification of Charcot-Marie-Tooth Disease and Related Neuropathies NAME INHERITANCE GENE LOCATION GENE CMT1 CMT1A AD 17p11.2 PMP22 (usually duplication of gene) CMT1B AD 1q21-23 MPZ CMT1C AD 16p13.1-p12.3 LITAF CMT1D AD 10q21.1-22.1 ERG2 CMT1E (with deafness) AD 17p11.2 PMP22 gene (usually point mutations) CMT1F AD 8p13-21 NEFL CMT1G AD 8q21 PMP22 HNPP AD 17p11.2 PMP22 (deletion of gene) 1q21-23 MPZ CMT dominant-intermediate (CMTDI) CMT-DIA AD 10q24.1-25.1 ? CMT-DIB AD 19.p12-13.2 DNM2 CMT-DIC AD 1p35 YARS CMT-DID CMT-DIE CMT-DIF CMT-DIG AD AD AD AD 1q22 14q32.33 3q26 8p31 MPZ IFN-2 GNB4 NEFL CMT recessive-intermediate (CMT-RI) CMT-RIA CMT-RIB CMT-RIC CMT-RI D AR AR AR AR 8q21.1 6q23 1p36 12q24 GDAP1 KARS5 PLEKHG5 COX6A1 CMT2 CMT2A2 (allelic to HMSN VI with optic atrophy) AD 1p36.2 MFN2 CMT2B AD 3q13-q22 RAB7 CMT2B1 (allelic to LGMD 1B) AR 1q21.2 LMNA CMT2B2 AR 19q13 PNKP CMT2C (allelic to scapuloperoneal neuropathy) AD 12q23-24 </w:t>
      </w:r>
      <w:r w:rsidRPr="00A6019F">
        <w:lastRenderedPageBreak/>
        <w:t xml:space="preserve">TRPV4 CMT2D (allelic to distal SMA5) CMT2DD AD AD 7p14 1p13 GARS1 ATP1A1 CMT2E (allelic to CMT1F) CMT2EE AD AD 8p21 2p23 NEFL MPV17 CMT2F AD 7q11-q21 HSPB1 CMT2G (allelic to CMT2P) AD 9q31.3-34.2 LRSAM1 CMT2I (allelic to CMT1B) AD 1q22 MPZ CMT2J AD 1q22 MPZ CMT2H, CMT2K (allelic to CMT4A) AD 8q13-q21 GDAP1 CMT2L (allelic to distal hereditary motor neuropathy type 2) AD 12q24 HSPB8 CMT2M AD 16q22 DNM2 CMT2N AD 16q22.1 AARS CMT2O AD 14q32.31 DYNC1H1 CMT2P AD and AR 9q31.3-34.2 LRSAM1 CMT2P-Okinawa (allelic to HSMN2P) AD 3q13-q14 TFG CMT2Q CMT2RCMT2S CMT2T CMT2U CMT2V CMT2W CMT2X CMT2Y CMT2Z AD AD AD ADAD AD AD AD AD AD 10p14 4q 11q13.3 3q25.2 12q13 17q11 5q31 15q21.1 9p13 22q12 DHTKD1 TRIM2 IGHMBP2 MME MARS1 NAGLU HARS1 SPB11 VCP MORC2 (Continued) 3600 PART 13 Neurologic Disorders TABLE 457-4 Classification of Charcot-Marie-Tooth Disease and Related Neuropathies NAME INHERITANCE GENE LOCATION GENE CMT3 AD 17p11.2 PMP22 (Dejerine-Sottas disease, congenital hypomyelinating neuropathy) AD 1q21-23 MPZ AR 10q21.1-22.1 ERG2 AR 19q13 PRX CMT4 CMT4A AR 8q13-21.1 GDAP1 CMT4B1 AR 11q23 MTMR2 CMT4B2 CMT4B3 AR AR 11p15 22q13.33 SBF2 SBF1 CMT4C AR 5q23-33 SH3TC2 CMT4D (HMSN-Lom) AR 8q24 NDRG1 CMT4E (congenital hypomyelinating neuropathy) AR 10q21.3 ERG2 CMT4F AR 19q13.1-13.3 PRX CMT4G AR 10q23.2 HK1 CMT4H AR 12p11.21 FGD4 CMT4J CMT4K AR AR 6q21 9q34 FIG4 SURF1 CMTX (X-linked) CMTX1 CMTX4 CMTX5 CMTX6 X-linked dominant X-linked recessive X-linked recessive X-linked dominant Xq13 Xq26.1 Xq22.3 Xp22.11 GJB1 AIFM1 PRPS1 PDK3 HSAN1A AD 9q22 SPTLC1 HSAN1C AD 14q24.3 SPTLC2 HSAN1D AD 14q21.3 ATL1 HSAN1E AD 19p13.2 DNMT1 HSAN1F AD 11q13.1 ATL3 HSAN2A AR 12p13.33 WNK1 HSAN2B AR 5p15.1 RETREG1 (FAM134B) HSAN2C AR 12q13.13 KIF1A HSAN2D AR 2q24.3 SCN9A HSAN3A (Riley-Day syndrome; hereditary dysautonomia) AR 9q21 ELP1 (IKBKAP) HSAN4 AR 3q NTRK1 HSAN5 AR 1p13.2 NGF HSAN6 AR 6p12.1 DST HSAN7 HSAN8 HSAN9 AD AR AR 3p22.2 9q34.12 14q32.31 SCN11A PRDM12 TECPR2 Others HNA SORD neuropathy (allelic to distal HMN8) Hereditary neuropathy with neuromyotonia CANVAS AD AR AR AR 17q24 15q21.1 5q23.3 4p14 SEPT9 SORD HINT1 RFC1 Abbreviations: AARS, alanyl-tRNA synthetase; AD, autosomal dominant; AR, autosomal recessive; ATL, atlastin; CANVAS, cerebellar ataxia, neuropathy, and vestibular areflexia syndrome; CMT, Charcot-Marie-Tooth; DNMT1, DNA methyltransferase 1; DYS, dystonin; DYNC1HI, cytoplasmic dynein 1 heavy chain 1; ELP1, elongator complex protein 1; ERG2, early growth response-2 protein; FAM134B, family with sequence similarity 134, member B; FIG4, FDG1-related F actin-binding protein; GDAP1, ganglioside induced differentiation-associated protein-1; HK1, hexokinase 1; HMSN-P, hereditary motor and sensory neuropathy proximal; HNA, hereditary neuralgic amyotrophy; HNPP, hereditary neuropathy with liability to pressure palsies; HSAN, hereditary sensory and autonomic neuropathy; IFN2, inverted formin-2; IKBKAP, k B kinase complex associated protein; LGMD, limb girdle muscular dystrophy; LITAF, lipopolysaccharide-induced tumor necrosis factor α factor; LRSAM1, E3 ubiquitin-protein ligase; MED25, mediator 25; MFN2, mitochondrial fusion protein </w:t>
      </w:r>
      <w:r w:rsidRPr="00A6019F">
        <w:lastRenderedPageBreak/>
        <w:t xml:space="preserve">mitofusin 2 gene; MPZ, myelin protein zero protein; MTMR2, myotubularin-related protein-2; NDRG1, N-myc downstream regulated 1; NGF, Beta-nerve growth factor; NTRK, 1trkA/NGF receptor; PMP-22, peripheral myelin protein-22; PRKWNK1, protein kinase, lysine deficient 1; PRPS1, phosphoribosylpyrophosphate synthetase 1; RAB7, Ras-related protein 7; RFC1, replication factor C subunit 1; SEPT9, septin 9; SH3TC2, SH3 domain and tetratricopeptide repeats 2; SMA, spinal muscular atrophy; SORD, sorbitol dehydrogenase; SPTLC, serine palmitoyltransferase long-chain base; TFG, TRK-fused gene; TrkA/NGF, tyrosine kinase A/nerve growth factor; tRNA, transfer ribonucleic acid; TRPV4, transient receptor potential cation channel, subfamily V, member 4; WNK1, WNK lysine deficient; YARS, tyrosyl-tRNA synthetase. Source: Modified from AA Amato, J Russell: Neuromuscular Disorders, 2nd ed. New York, McGraw-Hill, 2016, Table 11-1, pp. 265–266. (Continued) Hereditary Neuralgic Amyotrophy (HNA) HNA is an auto 3601 only slightly slowed. The most common cause of CMT2 is a mutation in the gene for mitofusin 2 (MFN2), which accounts for ~20–30% of CMT2 cases overall. MFN2 localizes to the outer mitochondrial mem brane, where it regulates the mitochondrial network architecture by participating in mitochondrial fusion. The other genes associated with CMT2 are much less common (Table 457-4). </w:t>
      </w:r>
      <w:r w:rsidRPr="00A6019F">
        <w:rPr>
          <w:rFonts w:ascii="Arial" w:hAnsi="Arial" w:cs="Arial"/>
        </w:rPr>
        <w:t>■</w:t>
      </w:r>
      <w:r w:rsidRPr="00A6019F">
        <w:t xml:space="preserve">CMT DOMINANT AND RECESSIVE INTERMEDIATE In CMT dominant-intermediate (CMT-DI) and CMT recessive intermediate (CMT-RI), the NCVs are faster than usually seen in CMT1 (e.g., &gt;38 m/s) but slower than in CMT2 (Table 457-4). </w:t>
      </w:r>
      <w:r w:rsidRPr="00A6019F">
        <w:rPr>
          <w:rFonts w:ascii="Arial" w:hAnsi="Arial" w:cs="Arial"/>
        </w:rPr>
        <w:t>■</w:t>
      </w:r>
      <w:r w:rsidRPr="00A6019F">
        <w:t xml:space="preserve">CMT3 CMT3 was originally described by Dejerine and Sottas as a hereditary demyelinating sensorimotor polyneuropathy presenting in infancy or early childhood. Affected children are severely weak. Motor NCVs are markedly slowed, typically </w:t>
      </w:r>
      <w:r w:rsidRPr="00A6019F">
        <w:rPr>
          <w:rFonts w:ascii="Aptos" w:hAnsi="Aptos" w:cs="Aptos"/>
        </w:rPr>
        <w:t>≤</w:t>
      </w:r>
      <w:r w:rsidRPr="00A6019F">
        <w:t>5</w:t>
      </w:r>
      <w:r w:rsidRPr="00A6019F">
        <w:rPr>
          <w:rFonts w:ascii="Aptos" w:hAnsi="Aptos" w:cs="Aptos"/>
        </w:rPr>
        <w:t>–</w:t>
      </w:r>
      <w:r w:rsidRPr="00A6019F">
        <w:t xml:space="preserve">10 m/s. Most cases of CMT3 are caused by point mutations in the genes for PMP-22, MPZ, or ERG-2, which are also the genes responsible for CMT1. The term CMT3 is no longer recommended, but rather, the neuropathy is classified as CMT1 if autosomal dominant or as CMT4 in cases of autosomal recessive inheritance. </w:t>
      </w:r>
      <w:r w:rsidRPr="00A6019F">
        <w:rPr>
          <w:rFonts w:ascii="Arial" w:hAnsi="Arial" w:cs="Arial"/>
        </w:rPr>
        <w:t>■</w:t>
      </w:r>
      <w:r w:rsidRPr="00A6019F">
        <w:t xml:space="preserve">CMT4 CMT4 is extremely rare and is characterized by a severe, childhood onset sensorimotor polyneuropathy that is usually inherited in an autosomal recessive fashion. Electrophysiologic and histologic evalua tions can show demyelinating or axonal features. CMT4 is genetically heterogeneous (Table 457-4). </w:t>
      </w:r>
      <w:r w:rsidRPr="00A6019F">
        <w:rPr>
          <w:rFonts w:ascii="Arial" w:hAnsi="Arial" w:cs="Arial"/>
        </w:rPr>
        <w:t>■</w:t>
      </w:r>
      <w:r w:rsidRPr="00A6019F">
        <w:t>CMTX There are several forms of X-linked CMT, the most common type is CMTX1 (Table 457-4). This shares clinical features similar to CMT1 and CMT2, except that the neuropathy is much more severe in males than in females. CMT1X accounts for ~10</w:t>
      </w:r>
      <w:r w:rsidRPr="00A6019F">
        <w:rPr>
          <w:rFonts w:ascii="Aptos" w:hAnsi="Aptos" w:cs="Aptos"/>
        </w:rPr>
        <w:t>–</w:t>
      </w:r>
      <w:r w:rsidRPr="00A6019F">
        <w:t xml:space="preserve">15% of CMT overall. Males usually present in the first two decades of life with atrophy and weak ness of the distal arms and legs, areflexia, pes cavus, and hammer toes. Obligate female carriers are frequently asymptomatic but can develop signs and symptoms of CMT. Onset in females is usually after the sec ond decade of life, and the neuropathy is milder in severity. NCS reveal features of both demyelination and axonal degeneration. In males, motor NCVs in the arms and legs are moderately slowed (in the low to mid 30-m/s range). About 50% of males with CMTX1 have motor NCVs between 15 and 35 m/s with ~80% of these falling between 25 and 35 m/s (intermediate slowing). </w:t>
      </w:r>
      <w:r w:rsidRPr="00A6019F">
        <w:lastRenderedPageBreak/>
        <w:t xml:space="preserve">In contrast, ~80% of females with CMTX1 have NCVs in the normal range and 20% have NCVs in the intermediate range. CMT1X is caused by mutations in GJB1, which encodes for gap junction protein-beta or connexin-32. Connexins are gap junction structural proteins that are important in cell-to-cell communication. Hereditary Neuropathy with Liability to Pressure Palsies (HNPP) HNPP is an autosomal dominant disorder related to CMT1A. While CMT1A is usually associated with a 1.5-Mb duplica tion in chromosome 17p11.2 that results in an extra copy of the PMP 22 gene, HNPP is caused by inheritance of the chromosome with the corresponding 1.5-Mb deletion of this segment, and thus, affected individuals have only one copy of the PMP-22 gene. Patients usually manifest in the second or third decade of life with painless numbness and weakness in the distribution of single peripheral nerves, although multiple mononeuropathies can occur (Pattern 3, Table 457-2). Symp tomatic mononeuropathy or multiple mononeuropathies are often precipitated by trivial compression of nerve(s) as can occur with wear ing a backpack, leaning on the elbows, or crossing one’s legs for even a short period of time. These pressure-related mononeuropathies may take weeks or months to resolve. In addition, some affected individuals manifest with a progressive or relapsing, generalized and symmetric, sensorimotor peripheral neuropathy that resembles CMT. somal dominant disorder characterized by recurrent attacks of pain, weakness, and sensory loss in the distribution of the brachial plexus often beginning in childhood (Pattern 4, Table 457-2). These attacks are similar to those seen with idiopathic brachial plexitis (see below). Attacks may occur in the postpartum period, following surgery, or at other times of stress. Most patients recover over several weeks or months. Slightly dysmorphic features, including hypotelorism, epican thal folds, cleft palate, syndactyly, micrognathia, and facial asymmetry, are evident in some individuals. EDx demonstrate an axonal process. HNA is genetically heterogeneous but can be caused by mutations in septin 9 (SEPT9). Septins may be important in formation of the neu ronal cytoskeleton and have a role in cell division, but it is not known how mutations in SEPT9 lead to HNA. Hereditary Sensory and Autonomic Neuropathy (HSAN) The HSANs are a very rare group of hereditary neu ropathies in which sensory and autonomic dysfunction predominates over muscle weakness, unlike CMT, in which motor findings are most prominent (Pattern 2, Table 457-2; Table 457-4). Nevertheless, affected individuals can develop motor weakness, and there can be overlap with CMT. There are no medical therapies available to treat these neuropathies, other than prevention and treatment of mutilating skin and bone lesions. Of the HSANs, only HSAN1 typically presents in adults. HSAN1 is the most common of the HSANs and is inherited in an autosomal dominant fashion. Affected individuals usually manifest in the second through fourth decades of life. HSAN1 is associated with the degen eration of small myelinated and unmyelinated nerve fibers leading to severe loss of pain and temperature sensation, deep dermal ulcerations, recurrent osteomyelitis, Charcot joints, bone loss, gross foot and hand deformities, and amputated digits. Although most people with HSAN1 do not complain of numbness, they often describe burning, aching, or lancinating pains. Autonomic </w:t>
      </w:r>
      <w:r w:rsidRPr="00A6019F">
        <w:lastRenderedPageBreak/>
        <w:t xml:space="preserve">neuropathy is not a prominent feature, but bladder dysfunction and reduced sweating in the feet may occur. HSAN1A, which is most common, is caused by mutations in the serine palmitoyltransferase long-chain base 1 (SPTLC1) gene. CHAPTER 457 Peripheral Neuropathy OTHER HEREDITARY NEUROPATHIES (TABLE 457-5) </w:t>
      </w:r>
      <w:r w:rsidRPr="00A6019F">
        <w:rPr>
          <w:rFonts w:ascii="Arial" w:hAnsi="Arial" w:cs="Arial"/>
        </w:rPr>
        <w:t>■</w:t>
      </w:r>
      <w:r w:rsidRPr="00A6019F">
        <w:t xml:space="preserve">SORBITAL DEHYDROGENASE DEFICIENCY WITH PERIPHERAL NEUROPATHY Sorbitol dehydrogenase deficiency with peripheral neuropathy (SORD) is a newly reported entity that is very important as it appears to be the most common autosomal recessive inherited form of neuropathy. It presents as a slowly progressive, length-dependent, axonal motor greater than sensory polyneuropathy or pure motor neuropathy. Age of onset is usually in the late teens. It is caused by pathogenic mutations in the SORD gene. SORD is the second enzyme of the two-step polyol pathway whereby glucose is metabolized into sorbitol, and then SORD oxidizes sorbitol into fructose. Sorbitol is a relatively nonmetabolizable sugar, and levels are markedly increased. </w:t>
      </w:r>
      <w:r w:rsidRPr="00A6019F">
        <w:rPr>
          <w:rFonts w:ascii="Arial" w:hAnsi="Arial" w:cs="Arial"/>
        </w:rPr>
        <w:t>■</w:t>
      </w:r>
      <w:r w:rsidRPr="00A6019F">
        <w:t>FABRY</w:t>
      </w:r>
      <w:r w:rsidRPr="00A6019F">
        <w:rPr>
          <w:rFonts w:ascii="Aptos" w:hAnsi="Aptos" w:cs="Aptos"/>
        </w:rPr>
        <w:t>’</w:t>
      </w:r>
      <w:r w:rsidRPr="00A6019F">
        <w:t>S DISEASE Fabry</w:t>
      </w:r>
      <w:r w:rsidRPr="00A6019F">
        <w:rPr>
          <w:rFonts w:ascii="Aptos" w:hAnsi="Aptos" w:cs="Aptos"/>
        </w:rPr>
        <w:t>’</w:t>
      </w:r>
      <w:r w:rsidRPr="00A6019F">
        <w:t xml:space="preserve">s disease (angiokeratoma corporis diffusum) is an X-linked dominant disorder. Although men are more commonly and severely affected, women can also manifest symptoms and signs of the disease. Angiokeratomas are reddish-purple maculopapular lesions that are usually found around the umbilicus, scrotum, inguinal region, and perineum. Burning or lancinating pain in the hands and feet often develops in males in late childhood or early adult life (Pattern 2, Table 457-2). However, the neuropathy is usually overshadowed by com plications arising from an associated premature atherosclerosis (e.g., hypertension, renal failure, cardiac disease, and stroke) that often lead to death by the fifth decade of life. Some patients also manifest primar ily with a dilated cardiomyopathy. Fabry’s disease is caused by mutations in the α-galactosidase gene that lead to the accumulation of ceramide trihexoside in nerves and 3602 TABLE 457-5 Rare Hereditary Neuropathies Hereditary Disorders of Lipid Metabolism Metachromatic leukodystrophy Krabbe’s disease (globoid cell leukodystrophy) Fabry’s disease Adrenoleukodystrophy/adrenomyeloneuropathy Refsum’s disease Tangier disease Cerebrotendinous xanthomatosis Hereditary Ataxias with Neuropathy PART 13 Neurologic Disorders CANVAS (cerebellar ataxia, neuropathy, and vestibular areflexia syndrome) Friedreich’s ataxia Vitamin E deficiency Spinocerebellar ataxia Abetalipoproteinemia (Bassen-Kornzweig disease) Disorders of Defective DNA Repair CANVAS Ataxia-telangiectasia Cockayne’s syndrome Giant Axonal Neuropathy Porphyria Acute intermittent porphyria (AIP) Hereditary coproporphyria (HCP) Variegate porphyria (VP) Familial Amyloid Polyneuropathy (FAP) Transthyretin-related Gelsolin-related Apolipoprotein A1-related Source: Modified from AA Amato, J Russell: Neuromuscular Disorders, 2nd ed. New York, McGraw-Hill, 2016, Table 12-1, p. 299. blood vessels. A decrease in α-galactosidase activity is evident in leukocytes and cultured fibroblasts. Glycolipid granules may be appre ciated in ganglion cells of the peripheral and sympathetic nervous sys tems and in perineurial cells. Enzyme replacement therapy (ERT) may improve the neuropathy if patients are treated early, before irreversible nerve fiber loss develops. Current U.S. Food and Drug </w:t>
      </w:r>
      <w:r w:rsidRPr="00A6019F">
        <w:lastRenderedPageBreak/>
        <w:t xml:space="preserve">Administra tion (FDA)-approved recombinant ERTs are agalsidase-α (Replagal; 0.2 mg/kg body weight) and agalsidase-β (Fabrazyme; 1 mg/kg body weight) and pegunigalsidase (Elfabrio), which are each given intrave nously every 2 weeks. In addition, migalastat is an oral pharmacologic chaperone that increases the enzyme activity of “amenable” mutations (defined as those mutations in the catalytic domain of the enzyme that lead to misfolding of the enzyme but otherwise would not signifi cantly impair its function). Such mutations occur in ~50% of patients. Migalastat had been shown to reduce left ventricular mass and stabi lize kidney function, but studies have not assessed if the neuropathy improves or stabilizes. </w:t>
      </w:r>
      <w:r w:rsidRPr="00A6019F">
        <w:rPr>
          <w:rFonts w:ascii="Arial" w:hAnsi="Arial" w:cs="Arial"/>
        </w:rPr>
        <w:t>■</w:t>
      </w:r>
      <w:r w:rsidRPr="00A6019F">
        <w:t xml:space="preserve">ADRENOLEUKODYSTROPHY/ ADRENOMYELONEUROPATHY Adrenoleukodystrophy (ALD) and AMN are allelic X-linked dominant disorders caused by mutations in the peroxisomal transmembrane ade nosine triphosphate-binding cassette (ABC) transporter gene. Patients with ALD manifest with central nervous system (CNS) abnormalities. However, ~30% of patients with mutations in this gene present with the AMN phenotype that typically manifests in the third to fifth decade of life as mild to moderate peripheral neuropathy combined with pro gressive spastic paraplegia (Pattern 6, Table 457-2) (Chap. 453). Rare patients present with an adult-onset spinocerebellar ataxia or only with adrenal insufficiency. EDx is suggestive of a primary axonopathy with secondary demy elination. Nerve biopsies demonstrate a loss of myelinated and unmyelinated nerve fibers with lamellar inclusions in the cytoplasm of Schwann cells. Very-long-chain fatty acid (VLCFA) levels (C24, C25, and C26) are increased in the urine. Laboratory evidence of adrenal insufficiency is evident in approximately two-thirds of patients. The diagnosis can be confirmed by genetic testing. Adrenal insufficiency is managed by replacement therapy; however, there is no proven effective therapy for the neurologic manifestations of ALD/AMN. Diets low in VLCFAs and supplemented with Lorenzo’s oil (erucic and oleic acids) reduce the levels of VLCFAs and increase the levels of C22 in serum, fibroblasts, and liver; however, several large, open-label trials of Lorenzo’s oil failed to demonstrate efficacy. Although allogeneic bone marrow transplantation and gene therapy have been successful in slowing progression of cognitive decline in some patients with ALD treated early in their disease, these approaches are ineffective for the myelopathy or neuropathy. </w:t>
      </w:r>
      <w:r w:rsidRPr="00A6019F">
        <w:rPr>
          <w:rFonts w:ascii="Arial" w:hAnsi="Arial" w:cs="Arial"/>
        </w:rPr>
        <w:t>■</w:t>
      </w:r>
      <w:r w:rsidRPr="00A6019F">
        <w:t>REFSUM</w:t>
      </w:r>
      <w:r w:rsidRPr="00A6019F">
        <w:rPr>
          <w:rFonts w:ascii="Aptos" w:hAnsi="Aptos" w:cs="Aptos"/>
        </w:rPr>
        <w:t>’</w:t>
      </w:r>
      <w:r w:rsidRPr="00A6019F">
        <w:t>S DISEASE Refsum</w:t>
      </w:r>
      <w:r w:rsidRPr="00A6019F">
        <w:rPr>
          <w:rFonts w:ascii="Aptos" w:hAnsi="Aptos" w:cs="Aptos"/>
        </w:rPr>
        <w:t>’</w:t>
      </w:r>
      <w:r w:rsidRPr="00A6019F">
        <w:t xml:space="preserve">s disease can manifest in infancy to early adulthood with the classic tetrad of (1) peripheral neuropathy, (2) retinitis pigmentosa, (3) cerebellar ataxia, and (4) elevated CSF protein concentration. Most affected individuals develop progressive distal sensory loss and weak ness in the legs leading to foot drop by their twenties (Pattern 2, Table 457-2). Subsequently, the proximal leg and arm muscles may become weak. Patients may also develop sensorineural hearing loss, cardiac conduction abnormalities, ichthyosis, and anosmia. Serum phytanic acid levels are elevated. Sensory and motor NCS reveal reduced amplitudes, prolonged latencies, and slowed conduc tion velocities. Nerve biopsy demonstrates a loss of myelinated nerve fibers, with remaining axons often thinly myelinated and associated with onion bulb formation. Refsum’s disease is genetically heterogeneous but autosomal reces </w:t>
      </w:r>
      <w:r w:rsidRPr="00A6019F">
        <w:lastRenderedPageBreak/>
        <w:t xml:space="preserve">sive in nature. Classical Refsum’s disease with childhood or early adult onset is caused by mutations in the gene that encodes for phytanoyl CoA α-hydroxylase (PAHX). Less commonly, mutations in the gene encoding peroxin 7 receptor protein (PRX7) are responsible. These mutations lead to the accumulation of phytanic acid in the central and peripheral nervous systems. Treatment is removal of phytanic precur sors (phytols: fish oils, dairy products, and ruminant fats) from the diet. </w:t>
      </w:r>
      <w:r w:rsidRPr="00A6019F">
        <w:rPr>
          <w:rFonts w:ascii="Arial" w:hAnsi="Arial" w:cs="Arial"/>
        </w:rPr>
        <w:t>■</w:t>
      </w:r>
      <w:r w:rsidRPr="00A6019F">
        <w:t xml:space="preserve">TANGIER DISEASE Tangier disease is a rare autosomal recessive disorder that can present as (1) asymmetric multiple mononeuropathies, (2) a slowly progres sive symmetric polyneuropathy predominantly in the legs, or (3) a pseudo-syringomyelia pattern with dissociated sensory loss (i.e., abnormal pain/temperature perception but preserved position/vibra tion in the arms [Chap. 453]). The tonsils may appear swollen and yellowish-orange in color, and there may also be splenomegaly and lymphadenopathy. Tangier disease is caused by mutations in the ATP-binding cassette transporter 1 (ABC1) gene, which leads to markedly reduced levels of high-density lipoprotein (HDL) cholesterol levels, whereas triacylg lycerol levels are increased. Nerve biopsies reveal axonal degeneration with demyelination and remyelination. Electron microscopy demon strates abnormal accumulation of lipid in Schwann cells, particularly those encompassing unmyelinated and small myelinated nerves. There is no specific treatment. </w:t>
      </w:r>
      <w:r w:rsidRPr="00A6019F">
        <w:rPr>
          <w:rFonts w:ascii="Arial" w:hAnsi="Arial" w:cs="Arial"/>
        </w:rPr>
        <w:t>■</w:t>
      </w:r>
      <w:r w:rsidRPr="00A6019F">
        <w:t xml:space="preserve">PORPHYRIA Porphyria is a group of inherited disorders caused by defects in heme biosynthesis (Chap. 428). Three forms of porphyria are associated with peripheral neuropathy: acute intermittent porphyria (AIP), hereditary coproporphyria (HCP), and variegate porphyria (VP). The acute neurologic manifestations are similar in each, with the exception that a photosensitive rash is seen with HCP and VP but not in AIP. Attacks of porphyria can be precipitated by certain drugs (usually those metabolized by the P450 system), hormonal changes (e.g., pregnancy, menstrual cycle), and dietary restrictions. An acute attack of porphyria may begin with sharp abdominal pain. Subsequently, patients may develop agitation, hallucinations, or 3603 seizures. Several days later, back and extremity pain followed by weak ness ensues, mimicking GBS (Pattern 1, Table 457-2). Weakness can involve the arms or the legs and can be asymmetric, proximal, or distal in distribution, as well as affecting the face and bulbar musculature. Dysautonomia and signs of sympathetic overactivity are common (e.g., pupillary dilation, tachycardia, and hypertension). Constipation, urinary retention, and incontinence can also be seen. The CSF protein is typically normal or mildly elevated. Liver function tests and hematologic parameters are usually normal. Some patients are hyponatremic due to inappropriate secretion of antidi uretic hormone (Chap. 390). The urine may appear brownish in color secondary to the high concentration of porphyrin metabolites. Accu mulation of intermediary precursors of heme (i.e., d-aminolevulinic acid, porphobilinogen, uroporphobilinogen, coproporphyrinogen, and protoporphyrinogen) is found in urine. Specific enzyme activities can also be measured in erythrocytes and leukocytes. The primary abnor malities on EDx are marked reductions in compound motor action potential (CMAP) amplitudes and signs of active axonal degeneration on needle EMG. </w:t>
      </w:r>
      <w:r w:rsidRPr="00A6019F">
        <w:lastRenderedPageBreak/>
        <w:t xml:space="preserve">The porphyrias are inherited in an autosomal dominant fashion. AIP is associated with porphobilinogen deaminase deficiency, HCP is caused by defects in coproporphyrin oxidase, and VP is associated with protoporphyrinogen oxidase deficiency. The pathogenesis of the neuropathy is not completely understood. Treatment with glucose and hematin may reduce the accumulation of heme precursors. Intrave nous glucose is started at a rate of 10–20 g/h. If there is no improve ment within 24 h, intravenous hematin 2–5 mg/kg per day for 3–14 days should be administered. Givosiran is a small interfering RNA (siRNA) that neutralizes excess aminolevulinic acid (ALA) mRNA in hepatocytes for patients with recurrent attacks of acute intermittent porphyria. In clinical trials, givosiran 2.5 mg/kg subcutaneously per month led to reduced attack frequency, better daily pain scores for pain, improved quality of life, lower levels of urinary ALA and porpho bilinogen, and fewer days of hematin compared with placebo. </w:t>
      </w:r>
      <w:r w:rsidRPr="00A6019F">
        <w:rPr>
          <w:rFonts w:ascii="Arial" w:hAnsi="Arial" w:cs="Arial"/>
        </w:rPr>
        <w:t>■</w:t>
      </w:r>
      <w:r w:rsidRPr="00A6019F">
        <w:t xml:space="preserve">CEREBELLAR ATAXIA, NEUROPATHY, AND VESTIBULAR AREFLEXIA SYNDROME (CANVAS) Cerebellar ataxia, neuropathy, and vestibular areflexia syndrome (CANVAS) appears to be the most common cause of autosomal reces sive ataxia. It usually manifests in middle adult life with a sensory neuropathy/neuronopathy that progresses over the course of 10–15 years to cerebellar and vestibular dysfunction, as well as a dry cough. Examination reveals loss of large-fiber sensory modalities with a sen sory ataxia as well as cerebellar ataxia. The clinical spectrum is quite broad, however, and some patients manifest with upper and low motor neuron involvement (spasticity, brisk reflexes, muscle atrophy, and fas ciculations) similar to amyotrophic lateral sclerosis. CANVAS can also present with dysautonomia and features of parkinsonism. NCS reveal low-amplitude or absent sensory responses that are in a non-length dependent pattern, and EMG can show signs of active denervation and chronic reinnervation. Brain magnetic resonance imaging (MRI) scans can reveal cerebellar atrophy. Sural nerve biopsies have shown loss of large myelinated axons, and autopsy studies demonstrate degenera tion of the dorsal root ganglia and posterior columns. In most cases, CANVAS is associated with biallelic (AAGGG)n repeat expansions in the second intron of the replication factor complex subunit 1 (RFC1). The is a DNA polymerase accessory protein required for the coordi nated synthesis of both DNA strands during replication and after DNA damage. </w:t>
      </w:r>
      <w:r w:rsidRPr="00A6019F">
        <w:rPr>
          <w:rFonts w:ascii="Arial" w:hAnsi="Arial" w:cs="Arial"/>
        </w:rPr>
        <w:t>■</w:t>
      </w:r>
      <w:r w:rsidRPr="00A6019F">
        <w:t xml:space="preserve">FAMILIAL AMYLOID POLYNEUROPATHY Familial amyloid polyneuropathy (FAP) is phenotypically and geneti cally heterogeneous and is caused by mutations in the genes for transthyretin (TTR), apolipoprotein A1, or gelsolin (Chap. 117). The majority of patients with FAP have mutations in the TTR gene. Amy loid deposition may be evident in abdominal fat pad, rectal, or nerve biopsies. The clinical features, histopathology, and EDx reveal abnor malities consistent with a generalized or multifocal, predominantly axonal but occasionally demyelinating, polyneuropathy. Patients with TTR-related FAP usually develop insidious onset of numbness and painful paresthesias in the distal lower limbs in the third to fourth decade of life, although some patients develop the disorder later in life (Pattern 2, Table 457-2). Carpal tunnel syndrome (CTS) is common. Autonomic involvement can be severe, leading to postural </w:t>
      </w:r>
      <w:r w:rsidRPr="00A6019F">
        <w:lastRenderedPageBreak/>
        <w:t xml:space="preserve">hypotension, constipation or persistent diarrhea, erectile dysfunction, and impaired sweating (Pattern 10, Table 457-2). Amyloid deposition also occurs in the heart, kidneys, liver, and corneas. Patients usually die 10–15 years after the onset of symptoms from cardiac failure or complications from malnutrition. Because the liver produces much of the body’s TTR, liver transplantation has been used to treat FAP related to TTR mutations. Serum TTR levels decrease after transplantation, and improvement in clinical and EDx features has been reported. Both tafamidis meglumine (20 mg daily) and diflunisal (250 mg twice daily), which prevent misfolding and deposition of mutated TTR, appear to slow the rate of deterioration in patients with TTR-related FAP. Several forms of gene therapy are also now available. Random ized, placebo-controlled trials of antisense oligonucleotides, patisiran 0.3 mg/kg intravenous every 3 weeks, vutrisiran 25 mg subcutaneous every 3 months, and eplontersen 45 mg subcutaneous every 4 weeks, as well as the siRNA inotersen 300 mg subcutaneous weekly, have been shown to be effective in FAP related to TTR mutations. These drugs block expression of both mutant and wild-type TTR, reducing amyloid precursor protein synthesis. Patients with apolipoprotein A1–related FAP (Van Allen type) usu ally present in the fourth decade with numbness and painful dyses thesias in the distal limbs. Gradually, the symptoms progress, leading to proximal and distal weakness and atrophy. Although autonomic neuropathy is not severe, some patients develop diarrhea, constipa tion, or gastroparesis. Most patients die from systemic complications of amyloidosis (e.g., renal failure) 12–15 years after the onset of the neuropathy. Gelsolin-related amyloidosis (Finnish type) is characterized by the combination of lattice corneal dystrophy and multiple cranial neu ropathies that usually begin in the third decade of life. Over time, a mild generalized sensorimotor polyneuropathy develops. Autonomic dysfunction does not occur. CHAPTER 457 Peripheral Neuropathy ACQUIRED NEUROPATHIES </w:t>
      </w:r>
      <w:r w:rsidRPr="00A6019F">
        <w:rPr>
          <w:rFonts w:ascii="Arial" w:hAnsi="Arial" w:cs="Arial"/>
        </w:rPr>
        <w:t>■</w:t>
      </w:r>
      <w:r w:rsidRPr="00A6019F">
        <w:t xml:space="preserve">PRIMARY OR AL AMYLOIDOSIS (SEE CHAP. 117) Besides FAP, amyloidosis can also be acquired. In primary or AL amyloidosis, the abnormal protein deposition is composed of immuno globulin light chains. AL amyloidosis occurs in the setting of multiple myeloma (MM), Waldenström’s macroglobulinemia, lymphoma, other plasmacytomas, or lymphoproliferative disorders, or without any other identifiable disease. Approximately 30% of patients with AL primary amyloidosis pres ent with a polyneuropathy, most typically painful dysesthesias and burning sensations in the feet (Pattern 2, Table 457-2). However, the trunk can be involved, and some patients manifest with a mononeu ropathy multiplex pattern. CTS occurs in 25% of patients and may be the initial manifestation. The neuropathy is slowly progressive, and eventually, weakness develops along with large-fiber sensory loss. Most patients develop autonomic involvement with postural hypertension, syncope, bowel and bladder incontinence, constipation, impotence, and impaired sweating (Pattern 10, Table 457-2). Patients generally die from their systemic illness (renal failure, cardiac disease). The monoclonal protein may be composed of IgG, IgA, IgM, or only free light chain. Lambda (λ) is more common than κ light chain (&gt;2:1) in AL amyloidosis. The CSF protein is often increased </w:t>
      </w:r>
      <w:r w:rsidRPr="00A6019F">
        <w:lastRenderedPageBreak/>
        <w:t xml:space="preserve">(with normal cell count), and thus, the neuropathy may be mistaken for CIDP (Chap. 458). Nerve biopsies reveal axonal degeneration and amyloid deposition in either a globular or diffuse pattern infiltrating the perineurial, epineurial, and endoneurial connected tissue and in blood vessel walls. The median survival of patients with primary amyloidosis is small myelinated and unmyelinated fibers; axonal degeneration with small clusters of regenerating fibers; secondary segmental demyelination Low-amplitude or unobtainable SNAPs with normal CMAPs and EMG; abnormal QST, particularly vibratory perception Taxanes (paclitaxel, docetaxel) Promotes axonal microtubule assembly; interferes with axonal transport Symmetric, predominantly sensory PN; large-fiber modalities affected more than small-fiber Loss of large &gt; small myelinated and unmyelinated fibers; axonal degeneration with small clusters of regenerating fibers; secondary segmental demyelination Axonal sensorimotor PN; distal denervation on EMG; abnormal QST, particularly vibratory perception Suramin Axonal PN Unknown;? inhibition of neurotrophic growth factor binding;? neuronal lysosomal storage Symmetric, length-dependent, sensory-predominant PN None described Abnormalities consistent with an axonal S-M PN Demyelinating PN Unknown;? immunomodulating effects Subacute, S-M PN with diffuse proximal and distal weakness; areflexia; increased CSF protein Loss of large and small myelinated fibers with primary demyelination and secondary axonal degeneration; occasional epi- and endoneurial inflammatory cell infiltrates Features suggestive of an acquired demyelinating sensorimotor PN (e.g., slow CVs, prolonged distal latencies and F-wave latencies, conduction block, temporal dispersion) Cytarabine (ARA-C) Unknown;? selective Schwann cell toxicity;? immunomodulating effects GBS-like syndrome; pure sensory neuropathy; brachial plexopathy Loss of myelinated nerve fibers; axonal degeneration; segmental demyelination; no inflammation Axonal, demyelinating, or mixed S-M PN; denervation on EMG Etoposide (VP-16) Unknown;? selective dorsal root ganglia toxicity Length-dependent, sensory predominant PN; autonomic neuropathy None described Abnormalities consistent with an axonal S-M PN Bortezomib (Velcade) Unknown Length-dependent, sensory, predominantly small-fiber PN Not reported Abnormalities consistent with an axonal sensory neuropathy with early small-fiber involvement (abnormal autonomic studies) Abbreviations: CMAP, compound motor action potential; CSF, cerebrospinal fluid; CVs, conduction velocities; EMG, electromyography; GBS, Guillain-Barré syndrome; NCS, nerve conduction studies; PN, polyneuropathy; QST, quantitative sensory testing; S-M, sensorimotor; SNAP, sensory nerve action potential. Source: Reproduced with permission from AA Amato, J Russell: Neuromuscular Disorders, 2nd ed. New York: McGraw-Hill; 2016. Peripheral Neuropathy 3609 CHAPTER 457 TABLE 457-8 Toxic Neuropathies DRUG MECHANISM OF NEUROTOXICITY CLINICAL FEATURES NERVE HISTOPATHOLOGY EMG/NCS Misonidazole Unknown Painful paresthesias and loss of large- and small-fiber sensory modalities and sometimes distal weakness in length-dependent pattern Axonal degeneration of large, myelinated fibers; axonal swellings; segmental demyelination </w:t>
      </w:r>
      <w:r w:rsidRPr="00A6019F">
        <w:lastRenderedPageBreak/>
        <w:t xml:space="preserve">Low-amplitude or unobtainable SNAPs with normal or only slightly reduced CMAP amplitudes Metronidazole Unknown Painful paresthesias and loss of large- and small-fiber sensory modalities and sometimes distal weakness in length-dependent pattern Axonal degeneration Low-amplitude or unobtainable SNAPs with normal CMAPs Chloroquine and hydroxychloroquine Amphiphilic properties may lead to drug-lipid complexes that are indigestible and result in accumulation of autophagic vacuoles Loss of large- and small-fiber sensory modalities and distal weakness in length-dependent pattern; superimposed myopathy may lead to proximal weakness Axonal degeneration with autophagic vacuoles in nerves as well as muscle fibers Low-amplitude or unobtainable SNAPs with normal or reduced CMAP amplitudes; distal denervation on EMG; irritability and myopathic-appearing MUAPs proximally in patients with superimposed toxic myopathy Amiodarone Amphiphilic properties may lead to drug-lipid complexes that are indigestible and result in accumulation of autophagic vacuoles Paresthesias and pain with loss of large- and small-fiber sensory modalities and distal weakness in length-dependent pattern; superimposed myopathy may lead to proximal weakness Axonal degeneration and segmental demyelination with myeloid inclusions in nerves and muscle fibers Low-amplitude or unobtainable SNAPs with normal or reduced CMAP amplitudes; can also have prominent slowing of CVs; distal denervation on EMG; irritability and myopathic-appearing MUAPs proximally in patients with superimposed toxic myopathy Colchicine Inhibits polymerization of tubulin in microtubules and impairs axoplasmic flow Numbness and paresthesias with loss of large-fiber modalities in a length dependent fashion; superimposed myopathy may lead to proximal in addition to distal weakness Nerve biopsy demonstrates axonal degeneration; muscle biopsy reveals fibers with vacuoles Low-amplitude or unobtainable SNAPs with normal or reduced CMAP amplitudes; irritability and myopathic-appearing MUAPs proximally in patients with superimposed toxic myopathy Podophyllin Binds to microtubules and impairs axoplasmic flow Sensory loss, tingling, muscle weakness, and diminished muscle stretch reflexes in length-dependent pattern; autonomic neuropathy Axonal degeneration Low-amplitude or unobtainable SNAPs with normal or reduced CMAP amplitudes Thalidomide Unknown Numbness, tingling, and burning pain and weakness in a length-dependent pattern Axonal degeneration; autopsy studies reveal degeneration of dorsal root ganglia Low-amplitude or unobtainable SNAPs with normal or reduced CMAP amplitudes Disulfiram Accumulation of neurofilaments and impaired axoplasmic flow Numbness, tingling, and burning pain in a length-dependent pattern Axonal degeneration with accumulation of neurofilaments in the axons Low-amplitude or unobtainable SNAPs with normal or reduced CMAP amplitudes Dapsone Unknown Distal weakness that may progress to proximal muscles; sensory loss Axonal degeneration and segmental demyelination Low-amplitude or unobtainable CMAPs with normal or reduced SNAP amplitudes Leflunomide Unknown Paresthesias and numbness in a length-dependent pattern Unknown Low-amplitude or unobtainable SNAPs with normal or reduced CMAP </w:t>
      </w:r>
      <w:r w:rsidRPr="00A6019F">
        <w:lastRenderedPageBreak/>
        <w:t xml:space="preserve">amplitudes Nitrofurantoin Unknown Numbness, painful paresthesias, and severe weakness that may resemble GBS Axonal degeneration; autopsy studies reveal degeneration of dorsal root ganglia and anterior horn cells Low-amplitude or unobtainable SNAPs with normal or reduced CMAP amplitudes Pyridoxine (vitamin B6 ) Unknown Dysesthesias and sensory ataxia; impaired large-fiber sensory modalities on examination Marked loss of sensory axons and cell bodies in dorsal root ganglia Reduced amplitudes or absent SNAPs Isoniazid Inhibits pyridoxal phosphokinase leading to pyridoxine deficiency Dysesthesias and sensory ataxia; impaired large-fiber sensory modalities on examination Marked loss of sensory axons and cell bodies in dorsal root ganglia and degeneration of the dorsal columns Reduced amplitudes or absent SNAPs and, to a lesser extent, CMAPs Ethambutol Unknown Numbness with loss of large-fiber modalities on examination Axonal degeneration Reduced amplitudes or absent SNAPs Antinucleosides Unknown Dysesthesia and sensory ataxia; impaired large-fiber sensory modalities on examination Axonal degeneration Reduced amplitudes or absent SNAPs Phenytoin Unknown Numbness with loss of large-fiber modalities on examination Axonal degeneration and segmental demyelination Low-amplitude or unobtainable SNAPs with normal or reduced CMAP amplitudes Lithium Unknown Numbness with loss of large-fiber modalities on examination Axonal degeneration Low-amplitude or unobtainable SNAPs with normal or reduced CMAP amplitudes (Continued) 3610 PART 13 Neurologic Disorders TABLE 457-8 Toxic Neuropathies DRUG MECHANISM OF NEUROTOXICITY CLINICAL FEATURES NERVE HISTOPATHOLOGY EMG/NCS Acrylamide Unknown; may be caused by impaired axonal transport Numbness with loss of large-fiber modalities on examination; sensory ataxia; mild distal weakness Degeneration of sensory axons in peripheral nerves and posterior columns, spinocerebellar tracts, mammillary bodies, optic tracts, and corticospinal tracts in the CNS Low-amplitude or unobtainable SNAPs with normal or reduced CMAP amplitudes Carbon disulfide Unknown Length-dependent numbness and tingling with mild distal weakness Axonal swellings with accumulation of neurofilaments Low-amplitude or unobtainable SNAPs with normal or reduced CMAP amplitudes Ethylene oxide Unknown; may act as alkylating agent and bind DNA Length-dependent numbness and tingling; may have mild distal weakness Axonal degeneration Low-amplitude or unobtainable SNAPs with normal or reduced CMAP amplitudes Organophosphates Bind and inhibit neuropathy target esterase Early features are those of neuromuscular blockade with generalized weakness; later axonal sensorimotor PN ensues Axonal degeneration along with degeneration of gracile fasciculus and corticospinal tracts Early: repetitive firing of CMAPs and decrement with repetitive nerve stimulation; late: axonal sensorimotor PN Hexacarbons Unknown; may lead to covalent cross-linking between neurofilaments Acute, severe sensorimotor PN that may resemble GBS Axonal degeneration and giant axons swollen with neurofilaments Features of a mixed axonal and/ or demyelinating sensorimotor axonal PN—reduced amplitudes, prolonged distal latencies, conduction block, and slowing of CVs Lead </w:t>
      </w:r>
      <w:r w:rsidRPr="00A6019F">
        <w:lastRenderedPageBreak/>
        <w:t xml:space="preserve">Unknown; may interfere with mitochondria Encephalopathy; motor neuropathy (often resembles radial neuropathy with wrist and finger drop); autonomic neuropathy; bluish-black discoloration of gums Axonal degeneration of motor axons Reduction of CMAP amplitudes with active denervation on EMG Mercury Unknown; may combine with sulfhydryl groups Abdominal pain and nephrotic syndrome; encephalopathy; ataxia; paresthesias Axonal degeneration; degeneration of dorsal root ganglia, calcarine, and cerebellar cortex Low-amplitude or unobtainable SNAPs with normal or reduced CMAP amplitudes Thallium Unknown Encephalopathy; painful sensory symptoms; mild loss of vibration; distal or generalized weakness may also develop; autonomic neuropathy; alopecia Axonal degeneration Low-amplitude or unobtainable SNAPs with normal or reduced CMAP amplitudes Arsenic Unknown; may combine with sulfhydryl groups Abdominal discomfort, burning pain, and paresthesias; generalized weakness; autonomic insufficiency; can resemble GBS Axonal degeneration Low-amplitude or unobtainable SNAPs with normal or reduced CMAP amplitudes; may have demyelinating features: prolonged distal latencies and slowing of CVs Gold Unknown Distal paresthesias and reduction of all sensory modalities Axonal degeneration Low-amplitude or unobtainable SNAPs Abbreviations: CMAP, compound motor action potential; CVs, conduction velocities; EMG, electromyography; GBS, Guillain-Barré syndrome; MUAP, muscle action potential; NCS, nerve conduction studies; PN, polyneuropathy; S-M, sensorimotor; SNAP, sensory nerve action potential. Source: Reproduced with permission from AA Amato, J Russell: Neuromuscular Disorders, 2nd ed. New York: McGraw-Hill; 2016. of the neuropathy is not known but may be related to the amphiphilic properties of the drug. These agents contain both hydrophobic and hydrophilic regions that allow them to interact with the anionic phos pholipids of cell membranes and organelles. The drug-lipid complexes may be resistant to digestion by lysosomal enzymes, leading to the formation of autophagic vacuoles filled with myeloid debris that may in turn cause degeneration of nerves and muscle fibers. The signs and symptoms of the neuropathy and myopathy are usually reversible fol lowing discontinuation of medication. </w:t>
      </w:r>
      <w:r w:rsidRPr="00A6019F">
        <w:rPr>
          <w:rFonts w:ascii="Arial" w:hAnsi="Arial" w:cs="Arial"/>
        </w:rPr>
        <w:t>■</w:t>
      </w:r>
      <w:r w:rsidRPr="00A6019F">
        <w:t>AMIODARONE Amiodarone can cause a neuromyopathy similar to chloroquine and hydroxychloroquine. The neuromyopathy typically appears after patients have taken the medication for 2</w:t>
      </w:r>
      <w:r w:rsidRPr="00A6019F">
        <w:rPr>
          <w:rFonts w:ascii="Aptos" w:hAnsi="Aptos" w:cs="Aptos"/>
        </w:rPr>
        <w:t>–</w:t>
      </w:r>
      <w:r w:rsidRPr="00A6019F">
        <w:t xml:space="preserve">3 years. Nerve biopsy dem onstrates a combination of segmental demyelination and axonal loss. Electron microscopy reveals lamellar or dense inclusions in Schwann cells, pericytes, and endothelial cells. The inclusions in muscle and nerve biopsies have persisted as long as 2 years following discontinua tion of the medication. </w:t>
      </w:r>
      <w:r w:rsidRPr="00A6019F">
        <w:rPr>
          <w:rFonts w:ascii="Arial" w:hAnsi="Arial" w:cs="Arial"/>
        </w:rPr>
        <w:t>■</w:t>
      </w:r>
      <w:r w:rsidRPr="00A6019F">
        <w:t xml:space="preserve">COLCHICINE Colchicine can also cause a neuromyopathy. Patients usually pres ent with proximal weakness and numbness and tingling in the distal extremities. EDx reveals features of an axonal polyneuropathy. Muscle biopsy reveals a vacuolar myopathy, whereas sensory nerves demon strate axonal degeneration. Colchicine inhibits the polymerization of tubulin into microtubules. The disruption of the microtubules prob ably leads to defective intracellular movement of important proteins, nutrients, and waste products in muscle </w:t>
      </w:r>
      <w:r w:rsidRPr="00A6019F">
        <w:lastRenderedPageBreak/>
        <w:t xml:space="preserve">and nerves. </w:t>
      </w:r>
      <w:r w:rsidRPr="00A6019F">
        <w:rPr>
          <w:rFonts w:ascii="Arial" w:hAnsi="Arial" w:cs="Arial"/>
        </w:rPr>
        <w:t>■</w:t>
      </w:r>
      <w:r w:rsidRPr="00A6019F">
        <w:t xml:space="preserve">THALIDOMIDE Thalidomide is an immunomodulating agent used to treat MM, GVHD, leprosy, and other autoimmune disorders. Thalidomide is associated with severe teratogenic effects as well as peripheral neu ropathy that can be dose-limiting. Patients develop numbness, painful tingling, and burning discomfort in the feet and hands and less com monly muscle weakness and atrophy. Even after stopping the drug for 4–6 years, as many as 50% patients continue to have significant symp toms. NCS demonstrate reduced amplitudes or complete absence of SNAPs, with preserved conduction velocities when obtainable. Motor (Continued) 3611 NCS are usually normal. Nerve biopsy reveals a loss of large-diameter myelinated fibers and axonal degeneration. Degeneration of dorsal root ganglion cells has been reported at autopsy. PYRIDOXINE (VITAMIN B6 ) TOXICITY Pyridoxine is an essential vitamin that serves as a coenzyme for trans amination and decarboxylation. However, at high doses (116 mg/d), patients can develop a severe sensory neuropathy with dysesthesias and sensory ataxia. NCS reveal absent or markedly reduced SNAP ampli tudes with relatively preserved CMAPs. Nerve biopsy reveals axonal loss of fiber at all diameters. Loss of dorsal root ganglion cells with subsequent degeneration of both the peripheral and central sensory tracts have been reported in animal models. </w:t>
      </w:r>
      <w:r w:rsidRPr="00A6019F">
        <w:rPr>
          <w:rFonts w:ascii="Arial" w:hAnsi="Arial" w:cs="Arial"/>
        </w:rPr>
        <w:t>■</w:t>
      </w:r>
      <w:r w:rsidRPr="00A6019F">
        <w:t>ISONIAZID One of the most common side effects of isoniazid (INH) is peripheral neuropathy. Standard doses of INH (3</w:t>
      </w:r>
      <w:r w:rsidRPr="00A6019F">
        <w:rPr>
          <w:rFonts w:ascii="Aptos" w:hAnsi="Aptos" w:cs="Aptos"/>
        </w:rPr>
        <w:t>–</w:t>
      </w:r>
      <w:r w:rsidRPr="00A6019F">
        <w:t xml:space="preserve">5 mg/kg per day) are associated with a 2% incidence of neuropathy, whereas neuropathy develops in at least 17% of patients taking in excess of 6 mg/kg per d. The elderly, malnourished, and </w:t>
      </w:r>
      <w:r w:rsidRPr="00A6019F">
        <w:rPr>
          <w:rFonts w:ascii="Aptos" w:hAnsi="Aptos" w:cs="Aptos"/>
        </w:rPr>
        <w:t>“</w:t>
      </w:r>
      <w:r w:rsidRPr="00A6019F">
        <w:t>slow acetylators</w:t>
      </w:r>
      <w:r w:rsidRPr="00A6019F">
        <w:rPr>
          <w:rFonts w:ascii="Aptos" w:hAnsi="Aptos" w:cs="Aptos"/>
        </w:rPr>
        <w:t>”</w:t>
      </w:r>
      <w:r w:rsidRPr="00A6019F">
        <w:t xml:space="preserve"> are at increased risk for develop ing the neuropathy. INH inhibits pyridoxal phosphokinase, resulting in pyridoxine deficiency and the neuropathy. Prophylactic administration of pyridoxine 100 mg/d can prevent the neuropathy from developing. </w:t>
      </w:r>
      <w:r w:rsidRPr="00A6019F">
        <w:rPr>
          <w:rFonts w:ascii="Arial" w:hAnsi="Arial" w:cs="Arial"/>
        </w:rPr>
        <w:t>■</w:t>
      </w:r>
      <w:r w:rsidRPr="00A6019F">
        <w:t xml:space="preserve">ANTIRETROVIRAL AGENTS The nucleoside analogues zalcitabine (dideoxycytidine or ddC), didano sine (dideoxyinosine or ddI), stavudine (d4T), lamivudine (3TC), and antiretroviral nucleoside reverse transcriptase inhibitor (NRTI) are used to treat HIV infection. One of the major dose-limiting side effects of these medications is a predominantly sensory, length-dependent, symmetrically painful neuropathy (Pattern 2; Table 457-2). Zalcitabine (ddC) is the most extensively studied of the nucleoside analogues, and at doses &gt;0.18 mg/kg per d, it is associated with a subacute onset of severe burning and lancinating pains in the feet and hands. NCS reveal decreased amplitudes of the SNAPs with normal motor studies. The nucleoside analogues inhibit mitochondrial DNA polymerase, which is the suspected pathogenic basis for the neuropathy. Because of a “coasting effect,” patients can continue to worsen even 2–3 weeks after stopping the medication. Following dose reduction, improvement in the neuropa thy is seen in most patients after several months (mean time ~10 weeks). </w:t>
      </w:r>
      <w:r w:rsidRPr="00A6019F">
        <w:rPr>
          <w:rFonts w:ascii="Arial" w:hAnsi="Arial" w:cs="Arial"/>
        </w:rPr>
        <w:t>■</w:t>
      </w:r>
      <w:r w:rsidRPr="00A6019F">
        <w:t>HEXACARBONS (n-HEXANE, METHYL n-BUTYL KETONE)/GLUE SNIFFER</w:t>
      </w:r>
      <w:r w:rsidRPr="00A6019F">
        <w:rPr>
          <w:rFonts w:ascii="Aptos" w:hAnsi="Aptos" w:cs="Aptos"/>
        </w:rPr>
        <w:t>’</w:t>
      </w:r>
      <w:r w:rsidRPr="00A6019F">
        <w:t xml:space="preserve">S NEUROPATHY n-Hexane and methyl n-butyl ketone are water-insoluble industrial organic solvents that are also present in some glues. Exposure through inhalation, accidentally or intentionally (glue sniffing), or through skin absorption can lead to a profound subacute sensory and motor polyneuropathy (Pattern </w:t>
      </w:r>
      <w:r w:rsidRPr="00A6019F">
        <w:lastRenderedPageBreak/>
        <w:t xml:space="preserve">2; Table 457-2). NCS demonstrate decreased amplitudes of the SNAPs and CMAPs with slightly slow conduction velocities. Nerve biopsy reveals a loss of myelinated fibers and giant axons that are filled with 10-nm neurofilaments. Hexacarbon exposure leads to covalent cross-linking between axonal neurofilaments that results in their aggregation, impaired axonal transport, swelling of the axons, and eventual axonal degeneration. </w:t>
      </w:r>
      <w:r w:rsidRPr="00A6019F">
        <w:rPr>
          <w:rFonts w:ascii="Arial" w:hAnsi="Arial" w:cs="Arial"/>
        </w:rPr>
        <w:t>■</w:t>
      </w:r>
      <w:r w:rsidRPr="00A6019F">
        <w:t xml:space="preserve">LEAD Lead neuropathy is uncommon, but it can be seen in children who accidentally ingest lead-based paints in older buildings and in indus trial workers exposed to lead-containing products. The most common presentation of lead poisoning is an encephalopathy; however, symp toms and signs of a primarily motor neuropathy can also occur. The neuropathy is characterized by an insidious and progressive onset of weakness usually beginning in the arms, in particular involving the wrist and finger extensors, resembling a radial neuropathy. Sensation is generally preserved; however, the autonomic nervous system can be affected (Patterns 2, 3, and 10; Table 457-2). Laboratory investigation can reveal a microcytic hypochromic anemia with basophilic stip pling of erythrocytes, an elevated serum lead level, and an elevated serum coproporphyrin level. A 24-h urine collection demonstrates elevated levels of lead excretion. The NCS may reveal reduced CMAP amplitudes, while the SNAPs are typically normal. The pathogenic basis may be related to abnormal porphyrin metabolism. The most impor tant principle of management is to remove the source of the exposure. Chelation therapy with calcium disodium ethylene-diaminetetraacetic acid (EDTA), British anti-Lewisite (BAL), and penicillamine also dem onstrates variable efficacy. </w:t>
      </w:r>
      <w:r w:rsidRPr="00A6019F">
        <w:rPr>
          <w:rFonts w:ascii="Arial" w:hAnsi="Arial" w:cs="Arial"/>
        </w:rPr>
        <w:t>■</w:t>
      </w:r>
      <w:r w:rsidRPr="00A6019F">
        <w:t xml:space="preserve">MERCURY Mercury toxicity may occur as a result of exposure to either organic or inorganic mercurials. Mercury poisoning presents with paresthesias in hands and feet that progress proximally and may involve the face and tongue. Motor weakness can also develop. CNS symptoms often overshadow the neuropathy. EDx shows features of a primarily axonal sensorimotor polyneuropathy. The primary site of neuromuscular pathology appears to be the dorsal root ganglia. The mainstay of treat ment is removing the source of exposure. </w:t>
      </w:r>
      <w:r w:rsidRPr="00A6019F">
        <w:rPr>
          <w:rFonts w:ascii="Arial" w:hAnsi="Arial" w:cs="Arial"/>
        </w:rPr>
        <w:t>■</w:t>
      </w:r>
      <w:r w:rsidRPr="00A6019F">
        <w:t xml:space="preserve">THALLIUM Thallium can exist in a monovalent or trivalent form and is primarily used as a rodenticide. The toxic neuropathy usually manifests as burn ing paresthesias of the feet, abdominal pain, and vomiting. Increased thirst, sleep disturbances, and psychotic behavior may be noted. Within the first week, patients develop pigmentation of the hair, an acne-like rash in the malar area of the face, and hyperreflexia. By the second and third weeks, autonomic instability with labile heart rate and blood pres sure may be seen. Hyporeflexia and alopecia also occur but may not be evident until the third or fourth week following exposure. With severe intoxication, proximal weakness and involvement of the cranial nerves can occur. Some patients require mechanical ventilation due to respira tory muscle involvement. The lethal dose of thallium is variable, ranging from 8 to 15 mg/kg body weight. Death can result in 90% of patients with MFS (Table 458-2; Fig. 458-2), and titers of IgG are highest early in I g G Acute inflammatory demyelinating polyneuropathy Facial variant: Facial diplegia and paresthesia Acute motor axonal neuropathy More and less extensive forms Acute </w:t>
      </w:r>
      <w:r w:rsidRPr="00A6019F">
        <w:lastRenderedPageBreak/>
        <w:t xml:space="preserve">motor-sensory axonal neuropathy Acute motor-conduction-block neuropathy Pharyngeal-cervical-brachial weakness Miller Fisher syndrome a u t o a n t i b o d i e s t None None GM1, GD1a GM1, GD1a GM1, GD1a GT1a&gt;GQ1b&gt;&gt;GD1a GQ1b, GT1a Incomplete forms Acute ophthalmoparesis (without ataxia) Acute ataxic neuropathy (without ophthalmoplegia) CNS variant: Bickerstaff’s brainstem encephalitis KEY Cer Glucose N-Acetylgalactosamine N-Acetylneuraminic acid Ceramide GM1 Galactose GD1a GQ1b, GT1a GQ1b, GT1a GQ1b, GT1a Cer GT1a Cer GQ1b o Cer Cer FIGURE 458-1 Spectrum of disorders in Guillain-Barré syndrome and associated antiganglioside antibodies. IgG autoantibodies against GM1 or GD1a are strongly associated with acute motor axonal neuropathy (AMAN), as well as the more extensive acute motor-sensory axonal neuropathy (AMSAN), and the less extensive acute motor-conduction-block neuropathy. IgG anti-GQ1b antibodies, which cross-react with GT1a, are strongly associated with Miller Fisher syndrome, its incomplete forms (acute ophthalmoparesis [without ataxia] and acute ataxic neuropathy [without ophthalmoplegia]), and its more extensive form, Bickerstaff’s brainstem encephalitis. Pharyngeal-cervical-brachial weakness is categorized as a localized form of acute motor axonal neuropathy or an extensive form of Miller Fisher syndrome. Half of patients with pharyngeal-cervical-brachial weakness have IgG anti-GT1a antibodies, which often cross-react with GQ1b. IgG anti-GD1a antibodies have also been detected in a small percentage of patients. The anti-GQ1b antibody syndrome includes Miller Fisher syndrome, acute ophthalmoparesis, acute ataxic neuropathy, Bickerstaff’s brainstem encephalitis, and pharyngeal-cervical-brachial weakness. The presence of clinical overlap also indicates that Miller Fisher syndrome is part of a continuous spectrum with these conditions. Patients who have had Guillain-Barré syndrome overlapped with Miller Fisher syndrome or with its related conditions have IgG antibodies against GM1 or GD1a as well as against GQ1b or GT1a, supporting a link between AMAN and anti-GQ1b syndrome. (From N Yuki, H-P Hartung: Guillain-Barré syndrome. N Engl J Med 366:2294, 2012. Copyright © 2012 Massachusetts Medical Society. Reprinted with permission from Massachusetts Medical Society.) 3619 TABLE 458-2 Principal Antiglycolipid Antibodies Implicated in Immune Neuropathies CLINICAL PRESENTATION ANTIBODY TARGET USUAL ISOTYPE Acute Immune Neuropathies (Guillain-Barré Syndrome) Acute inflammatory demyelinating polyneuropathy (AIDP) Acute motor axonal neuropathy (AMAN) Miller Fisher syndrome (MFS) Acute pharyngeal cervicobrachial neuropathy (APCBN) No clear patterns GM1 most common GD1a, GM1, GM1b, GalNAc–GD1a (90%) GT1a (? most) Chronic Immune Neuropathies Chronic inflammatory demyelinating polyneuropathy (CIDP) (75%) IgG (polyclonal) IgG (polyclonal) IgG (polyclonal) IgG (polyclonal) Rarely to P0, myelin P2 protein, or PMP22 CIDP-M (MGUS associated) (25%) Anti-MAG neuropathy Nodal/paranodal neuropathies Multifocal motor neuropathy (MMN) Chronic sensory ataxic neuropathy Neural binding sites SGPG, SGLPG (on MAG) (50%) Uncertain (50%) Approximately 10% to CNTN1 or NF155, less often to NF140/186 and Caspr1 GM1, GalNAc–GD1a, others (25–50%) GD1b, </w:t>
      </w:r>
      <w:r w:rsidRPr="00A6019F">
        <w:lastRenderedPageBreak/>
        <w:t xml:space="preserve">GQ1b, and other b-series gangliosides IgG, IgA IgG, IgA (monoclonal) IgM (monoclonal) IgM (monoclonal) IgG4 with CNTN1, NF155, NF140/186, Caspr1 Rare IgM with NF155 IgM (polyclonal, monoclonal) IgM (monoclonal) Abbreviations: CIDP-M, CIDP with a monoclonal gammopathy; Caspr1, contactin associated protein-1; CNTN1, contactin-1; MAG, myelin-associated glycoprotein; MGUS, monoclonal gammopathy of undetermined significance; NF140/186, neurofascin 140/186; NF155, neurofascin 155; SGPG, sulfoglucuronyl paragloboside; SGLPG, sulfoglucuronyl lactosaminyl paragloboside. Source: Modified with permission from HJ Willison, N Yuki: Peripheral neuropathies and anti-glycolipid antibodies. Brain 125:2591, 2002. the course. Anti-GQ1b antibodies are not found in other forms of GBS unless there is extraocular motor nerve involvement. A pos sible explanation for this association is that extraocular motor nerves are enriched in GQ1b gangliosides in comparison to limb nerves. In addition, a monoclonal anti-GQ1b antibody raised against C. jejuni isolated from a patient with MFS blocked neuromuscular transmission experimentally. Taken together, these observations provide strong but still incon clusive evidence that autoantibodies play an important pathogenic role in GBS. Although antiganglioside antibodies have been studied most intensively, other antigenic targets may also be important. Proof that these antibodies are pathogenic requires that they be capable of mediating disease following direct passive transfer to naïve hosts; this has not yet been demonstrated, although one case of possible maternal fetal transplacental transfer of GBS has been described. In AIDP, an early step in the induction of tissue damage appears to be complement deposition along the outer surface of the Schwann cell. Activation of complement initiates a characteristic vesicular disinte gration of the myelin sheath and also leads to recruitment of activated macrophages, which participate in damage to myelin and axons. In AMAN, the pattern is different in that complement is deposited along with IgG at the nodes of Ranvier along large motor axons. Interest ingly, in cases of AMAN, antibodies against GD1a appear to have a fine specificity that favors binding to motor rather than sensory nerve roots, even though this ganglioside is expressed on both fiber types. Pathophysiology In the demyelinating forms of GBS (AIDP), the basis for flaccid paralysis and sensory disturbance is conduction block. This finding, demonstrable electrophysiologically, implies that the axonal connections remain intact. Hence, recovery can take place rapidly as remyelination occurs. In severe cases of demyelinating GBS, secondary axonal degeneration usually occurs; its extent can be estimated electrophysiologically. More secondary axonal degeneration correlates with a slower rate of recovery and a greater degree of residual disability. With AMAN and AMSAN, a primary axonal pattern is encountered electrophysiologically (low-amplitude compound muscle action potentials). The implication has been that axons have degener ated and become disconnected from their targets, specifically the neu romuscular junctions, and must therefore regenerate for recovery to take place. However, the rapid recovery in many cases suggests the low amplitudes are often from reversible conduction block due to binding of antibodies to ion channel proteins in the </w:t>
      </w:r>
      <w:r w:rsidRPr="00A6019F">
        <w:lastRenderedPageBreak/>
        <w:t xml:space="preserve">nodes and paranodes. In severe cases, axonal degeneration can occur, and it is in these cases that recovery is much slower. Laboratory Features CSF findings are distinctive, consisting of an elevated CSF protein level (1–10 g/L [100–1000 mg/dL]) without accompanying pleocytosis. The CSF is often normal when symptoms have been present for ≤48 h; by the end of the first week, the level of protein is usually elevated. A transient increase in the CSF white cell count (10–100/μL) occurs on occasion in otherwise typical GBS; however, a sustained CSF pleocytosis suggests an alternative diagnosis (viral myelitis) or a concurrent diagnosis such as unrecognized HIV infection, leukemia or lymphoma with infiltration of nerves, or neuro sarcoidosis. EDx features are mild or absent in the early stages of GBS and lag behind the clinical evolution. In AIDP, the earliest features are prolonged F-wave latencies, prolonged distal latencies, and reduced amplitudes of compound muscle action potentials (CMAPs), probably owing to the predilection for involvement of nerve roots and distal motor nerve terminals early in the course. Later, slowing of conduction velocity, conduction block, and temporal dispersion may be appre ciated (Table 458-1). Occasionally, sensory nerve action potentials (SNAPs) may be normal in the feet (e.g., sural nerve) when abnormal in the arms. This is also a sign that the patient does not have one of the more typical “length-dependent” polyneuropathies. As mentioned, in AMAN and AMSAN, the principal EDx finding is reduced amplitude of CMAPs (and also SNAPs with AMSAN) without conduction slow ing or prolongation of distal latencies, which early on is caused by conduction block but later can be due to axonal degeneration. Diagnosis GBS is a descriptive entity. The diagnosis of AIDP is made by recognizing the pattern of rapidly evolving paralysis with are flexia, absence of fever or other systemic symptoms, and characteristic antecedent events. In 2011, the Brighton Collaboration developed a new set of case definitions for GBS in response to needs of epidemio logic studies of vaccination and assessing risks of GBS (Table 458-3). These criteria have subsequently been validated. Other disorders that may enter into the differential diagnosis include acute myelopathies (especially with prolonged back pain and sphincter disturbances); diphtheria (early oropharyngeal disturbances); Lyme polyradiculitis and other tick-borne paralyses; porphyria (abdominal pain, seizures, psychosis); vasculitic neuropathy (check erythrocyte sedimentation rate, described below); poliomyelitis and acute flaccid myelitis (wild type poliovirus, West Nile virus, enterovirus D68, enterovirus A71, Japanese encephalitis virus, and the wild-type poliovirus); CMV polyradiculitis (in immunocompromised patients); critical illness neuropathy or myopathy; neuromuscular junction disorders such as myasthenia gravis and botulism (pupillary reactivity lost early); poi sonings with organophosphates, thallium, or arsenic; paralytic shellfish poisoning; or severe hypophosphatemia (rare). Cases of acute flaccid myelitis may pose particular challenges in distinguishing these from GBS because sphincter disturbances may be absent. CHAPTER 458 Guillain-Barré Syndrome and Other Immune-Mediated Neuropathies Laboratory tests are helpful primarily to exclude mimics of GBS. CSF pleocytosis is seen with poliomyelitis, acute flaccid myelitis, and </w:t>
      </w:r>
      <w:r w:rsidRPr="00A6019F">
        <w:lastRenderedPageBreak/>
        <w:t xml:space="preserve">Lyme and CMV polyradiculitis. EDx features may be minimal early in GBS, and the CSF protein level may not rise until the end of the first 3620 A Motor neuron PART 13 Neurologic Disorders B KEY Myelin Axon Juxtaparanode Unidentified antigen Axon Myelin Antibody binding Axon Myelin Complement activation Macrophage MAC Myelin Macrophage Nerve injury Macrophage scavenging Axon Macrophage MAC GM1, GD1a Schwann-cell microvilli Paranode Kv Caspr Nav Node Cytoskeleton Axon KEY IgG anti-GM1 or anti-GD1a antibodies C3 Macrophage MAC Axon FIGURE 458-2 Possible immune mechanisms in Guillain-Barré syndrome (GBS). Panel A shows the immunopathogenesis of AIDP. Although autoantigens have yet to be unequivocally identified, autoantibodies may bind to myelin antigens and activate complement. This is followed by the formation of membrane-attack complex (MAC) on the outer surface of Schwann cells and the initiation of vesicular degeneration. Macrophages subsequently invade myelin and act as scavengers to remove myelin debris. Panel B shows the immunopathogenesis of acute axonal forms of GBS (acute motor axonal neuropathy [AMAN] and acute motor-sensory axonal neuropathy [AMSAN]). Myelinated axons are divided into four functional regions: the nodes of Ranvier, paranodes, juxtaparanodes, and internodes. Gangliosides GM1 and GD1a are strongly expressed at the nodes of Ranvier, where the voltage-gated sodium (Nav) channels are localized. Contactin-associated protein (Caspr) and voltage-gated potassium (Kv) channels are respectively present at the paranodes and juxtaparanodes. IgG anti-GM1 or anti-GD1a autoantibodies bind to the nodal axolemma, leading to MAC formation. This results in the disappearance of Nav clusters and the detachment of paranodal myelin, which can lead to nerve-conduction failure and muscle weakness. Axonal degeneration may follow at a later stage. Macrophages subsequently invade from the nodes into the periaxonal space, scavenging the injured axons. (From N Yuki, H-P Hartung: Guillain-Barré syndrome. N Engl J Med 366:2294, 2012. Copyright © 2012 Massachusetts Medical Society. Reprinted with permission from Massachusetts Medical Society.) week. If the diagnosis is strongly suspected, treatment should be initi ated without waiting for evolution of the characteristic EDx and CSF findings to occur. GBS patients with risk factors for HIV or with CSF pleocytosis should have a serologic test for HIV. TREATMENT Guillain-Barré Syndrome In the vast majority of patients with GBS, treatment should be initiated as soon after diagnosis as possible. Each day counts; ~2 weeks after the first motor symptoms, it is not known whether immunotherapy is still effective. If the patient has already reached the plateau stage, then treatment probably is no longer indicated, unless the patient has severe motor weakness and one cannot exclude the possibility that an immunologic attack is still ongoing. Either high-dose intravenous immune globulin (IVIg) or plasma pheresis (PLEX) can be initiated, as they are equally effective for typical GBS. A combination of the two therapies is not significantly better than either alone. IVIg is often the initial therapy chosen because of its ease of administration and good safety record. IVIg is usually administered as five daily infusions for a total dose of 2 g/kg body weight. There is some evidence that GBS </w:t>
      </w:r>
      <w:r w:rsidRPr="00A6019F">
        <w:lastRenderedPageBreak/>
        <w:t xml:space="preserve">autoantibod ies are neutralized by anti-idiotypic antibodies present in IVIg Guillain-Barré Syndrome and Other Immune-Mediated Neuropathies 3621 CHAPTER 458 TABLE 458-3 Brighton Criteria for Diagnosis of Guillain-Barré Syndrome (GBS) and Miller Fisher Syndrome Clinical case definitions for diagnosis of GBS Level 1 of diagnostic certainty Bilateral AND flaccid weakness of the limbs AND Decreased or absent deep tendon reflexes in weak limbs AND Monophasic illness pattern and interval between onset and nadir of weakness between 12 h and 28 days and subsequent clinical plateau AND Electrophysiologic findings consistent with GBS AND Cytoalbuminologic dissociation (i.e., elevation of CSF protein level above laboratory normal value AND CSF total white cell count 9 weeks after onset or relapses at least three times. Symptoms are both motor and sen sory in most cases. Weakness of the limbs is usually symmetric but can be strikingly asymmetric in multifocal acquired demyelinating sensory and motor (MADSAM) neuropathy variant (Lewis-Sumner syndrome) in which discrete peripheral nerves are involved. There is considerable variability from case to case. Some patients experience a chronic progressive course, whereas others, usually younger patients, have a relapsing and remitting course. A small proportion have cra nial nerve findings, including external ophthalmoplegia. Some have only motor findings, and a small proportion present with a relatively pure syndrome of sensory ataxia. The latter can be seen in the chronic inflammatory sensory polyradiculopathy (CISP) variant of CIDP in which demyelination predominantly occurs at the sensory roots or with the distal acquired demyelinating symmetric (DADS) variant. Some patients with CISP have mild motor involvement, and these cases are termed CISP-plus. New European Academy of Neurology/Periph eral Nerve Society (EAN/PNS) criteria for CIDP considers CISP as a separate entity, but we and others still feel it belongs as a subcategory of CIDP as the histopathology and response to treatment are similar. CIDP tends to ameliorate over time with treatment; the result is that many years after onset, nearly 75% of patients have reasonable func tional status. Death from CIDP is uncommon. Diagnosis The diagnosis rests on characteristic clinical, CSF, and electrophysiologic findings. The CSF is usually acellular with an elevated protein level, sometimes several times normal. As with GBS, a CSF pleocytosis should lead to the consideration of HIV infection, leukemia or lymphoma, and neurosarcoidosis. EDx findings reveal variable degrees of conduction slowing, prolonged distal latencies, distal and temporal dispersion of CMAPs, and conduction block as the principal features. In particular, the presence of conduction block is a certain sign of an acquired demyelinating process. Evidence of axonal loss, presumably secondary to demyelination, is present in &gt;50% of patients. Serum protein electrophoresis with immunofixation is indi cated to search for monoclonal gammopathy and associated condi tions (see “Monoclonal Gammopathy of Undetermined Significance,” below). Magnetic resonance imaging (MRI) can demonstrate enlarged nerves, clumping of cauda equina, and enhancement. Ultrasound is cheaper and often more readily available and can likewise show enlargement of nerves at the roots or more distally. Studies have shown that imaging </w:t>
      </w:r>
      <w:r w:rsidRPr="00A6019F">
        <w:lastRenderedPageBreak/>
        <w:t xml:space="preserve">complements EDx findings and increases sensitivity. In all patients with presumptive CIDP, it is also reasonable to exclude vasculitis, collagen vascular disease (especially SLE), chronic hepatitis, HIV infection, amyloidosis, and diabetes mellitus. Other associated conditions include inflammatory bowel disease and lymphoma. Pathogenesis Biopsy in typical CIDP reveals little inflammation and onion-bulb changes (imbricated layers of attenuated Schwann cell processes surrounding an axon) that result from recurrent demy elination and remyelination (Fig. 458-1). The response to therapy suggests that CIDP is immune-mediated; CIDP responds to gluco corticoids, whereas GBS does not. Passive transfer of demyelination into experimental animals has been accomplished using IgG purified from the serum of some patients with CIDP, lending support for a humoral autoimmune pathogenesis. A minority of patients have serum antibodies against P0, myelin P2 protein, or PMP22 (proteins whose genes are mutated in certain forms of hereditary Charcot-Marie-Tooth neuropathy). As many as 25% of patients with clinical features of CIDP also have a monoclonal gammopathy of undetermined significance (MGUS), discussed below. Cases associated with monoclonal IgA or IgG kappa usually respond to treatment as favorably as cases without a mono clonal gammopathy. Patients with IgM-kappa monoclonal gammopa thy and antibodies directed against myelin-associated glycoprotein (MAG) have a distinct demyelinating polyneuropathy with more sen sory findings, usually only distal weakness, and a poor response to immunotherapy. TREATMENT Chronic Inflammatory Demyelinating Polyneuropathy Most authorities initiate treatment for CIDP when progression is rapid or walking is compromised. If the disorder is mild, manage ment can be expectant, awaiting spontaneous remission. Controlled studies have shown that high-dose IVIg, subcutaneous Ig (scIg), PLEX, and glucocorticoids are all more effective than placebo. Initial therapy is usually with IVIg, administered as 2.0 g/kg body weight given in divided doses over 2–5 days; three monthly courses are generally recommended before concluding a patient has failed treatment. If the patient responds, the infusion intervals can be gradually increased or the dosage decreased (e.g., starting at 1 g/kg every 3–4 weeks). Patients who require more frequent IVIg, experi ence side effects with IVIg (headaches), have poor venous access, or find it more convenient are treated with scIg (2–3 times a week such that the total dosage per month is the same or slightly higher than the monthly dosage of IVIg). PLEX, which appears to be as effective as IVIg, is initiated at 2–3 treatments per week for 6 weeks; periodic retreatment may also be required. Treatment with glucocorticoids is another option (60–80 mg prednisone PO daily for 1–2 months, followed by a gradual dose reduction of 10 mg per month as tolerated), but long-term adverse effects including bone demin eralization, gastrointestinal bleeding, and cushingoid changes are problematic. As many as one-third of patients with CIDP fail to respond adequately to the initial therapy chosen; a different treat ment should then be tried. Patients who fail therapy with IVIg, scIg, PLEX, and glucocorticoids may benefit from treatment with immunosuppressive agents such as azathioprine, methotrexate, cyclosporine, and cyclophosphamide, either alone or as </w:t>
      </w:r>
      <w:r w:rsidRPr="00A6019F">
        <w:lastRenderedPageBreak/>
        <w:t xml:space="preserve">adjunctive therapy. Use of these therapies requires periodic reassessment of their risks and benefits. A trial of efgartigimod alfa, a human neonatal Fc antibody fragment approved for myasthenia gravis (Chap. 457), demonstrated effectiveness in preventing relapses in CIDP; however, the medication will need to be compared with other more established options to determine its place in the CIDP treatment algorithm. In patients with a CIDP-like neuropathy who fail to respond to treatment, it is important to evaluate for a nodopathy, paranodopathy, or POEMS syndrome (polyneuropa thy, organomegaly, endocrinopathy, monoclonal gammopathy, skin changes; see below). NODOPATHIES AND PARANODOPATHIES 3623 Approximately 10% of patients previously considered to have CIDP have autoantibodies targeting antigens residing in nodal and paranodal regions that are responsible for the positioning and anchoring of ion channels and myelin folds in strategic locations along the axolemma. The EAN/PNS criteria now consider these separate from CIDP, and they are called nodopathies and paranodopathies. These neuropathies are associated with IgG4 isotype antibodies directed against nodal or paranodal antibodies including contactin-1 (CNTN1) or neurofas cin 155 (NF155) and, less commonly, IgM anti-NF140/186. Patients typically manifest with progressive symmetric, distally predominant weakness, sensory ataxia, and postural and intention tremor. Renal failure and nephrotic syndrome from membranous glomerulone phritis are associated with CNTN1 neuropathy. Of note, the CNTN1 protein is also present on podocytes on kidneys, and antibodies that deposit along the glomerular basement membrane are visible on renal biopsy. Other antibodies have less clinical specificity. Anti-contactin associated protein-1 (Caspr1) antibodies are associated with severe neuropathic pain. Passive transfer of IgG4 CNTN1 antibodies produces paranodal damage and ataxia in rodents. Electrophysiology is indistin guishable from typical CIDP. Importantly, as these nodopathies and paranodopathies are usually associated with IgG4 antibodies, they are less responsive to IVIg. How ever, they can respond to rituximab. MULTIFOCAL MOTOR NEUROPATHY Multifocal motor neuropathy (MMN) is a distinctive but uncommon neuropathy that presents with slowly progressive motor weakness and atrophy evolving over years in the distribution of selected nerve trunks, associated with sites of persistent focal motor conduction block in the same nerve trunks. Sensory fibers are relatively spared. The arms are affected more frequently than the legs, and &gt;75% of all patients are male. Some cases have been confused with lower motor neuron forms of amyotrophic lateral sclerosis (Chap. 448). Less than 50% of patients present with high titers of polyclonal IgM antibody to the ganglioside GM1. It is uncertain how this finding relates to the discrete foci of persistent motor conduction block, but high concentrations of GM1 gangliosides are normal constituents of nodes of Ranvier in peripheral nerve fibers. Pathology reveals demyelination and mild inflammatory changes at the sites of conduction block. Most patients with MMN respond to high-dose IVIg or scIg (dos ages as for CIDP, above); periodic retreatment is required (usually at least monthly) to maintain the benefit. Some refractory patients have responded to rituximab or cyclophosphamide. Glucocorticoids </w:t>
      </w:r>
      <w:r w:rsidRPr="00A6019F">
        <w:lastRenderedPageBreak/>
        <w:t xml:space="preserve">and PE are not effective. NEUROPATHIES WITH MONOCLONAL GAMMOPATHY </w:t>
      </w:r>
      <w:r w:rsidRPr="00A6019F">
        <w:rPr>
          <w:rFonts w:ascii="Arial" w:hAnsi="Arial" w:cs="Arial"/>
        </w:rPr>
        <w:t>■</w:t>
      </w:r>
      <w:r w:rsidRPr="00A6019F">
        <w:t xml:space="preserve">MULTIPLE MYELOMA Clinically overt polyneuropathy occurs in ~5% of patients with the commonly encountered type of multiple myeloma, which exhibits either lytic or diffuse osteoporotic bone lesions. These neuropathies are sensorimotor, are usually mild and slowly progressive but may be severe, and generally do not reverse with successful suppression of the myeloma. In most cases, EDx and pathologic features are consistent with a process of axonal degeneration. In contrast, myeloma with osteosclerotic features, although repre senting only 3% of all myelomas, is associated with polyneuropathy in one-half of cases. These neuropathies, which may also occur with solitary plasmacytoma, are distinct because they (1) are demyelinat ing or mixed axonal and demyelinating by EDx, have elevated CSF protein, and clinically resemble CIDP; (2) often respond to radiation therapy or removal of the primary lesion; (3) are associated with dif ferent monoclonal proteins and light chains (almost always lambda as opposed to primarily kappa in the lytic type of multiple myeloma); (4) are typically refractory to standard treatments of CIDP; and (5) may occur in association with other systemic findings including thicken ing of the skin, hyperpigmentation, hypertrichosis, organomegaly, endocrinopathy, anasarca, and clubbing of fingers. These are features of POEMS syndrome. Levels of vascular endothelial growth factor (VEGF) are increased in the serum, and this factor is thought to some how play a pathogenic role in this syndrome. Treatment of the neu ropathy is best directed at the osteosclerotic myeloma using surgery, radiotherapy, chemotherapy, or autologous peripheral blood stem cell transplantation. Neuropathies are also encountered in other systemic conditions with gammopathy, including Waldenström macroglobulinemia, pri mary systemic amyloidosis, and cryoglobulinemic states (mixed essen tial cryoglobulinemia, some cases of hepatitis C). </w:t>
      </w:r>
      <w:r w:rsidRPr="00A6019F">
        <w:rPr>
          <w:rFonts w:ascii="Arial" w:hAnsi="Arial" w:cs="Arial"/>
        </w:rPr>
        <w:t>■</w:t>
      </w:r>
      <w:r w:rsidRPr="00A6019F">
        <w:t xml:space="preserve">MONOCLONAL GAMMOPATHY OF UNDETERMINED SIGNIFICANCE Chronic polyneuropathies occurring in association with MGUS are usually associated with the immunoglobulin isotypes IgG, IgA, and IgM. Most patients present with isolated sensory symptoms in their distal extremities and have EDx features of an axonal sensory or senso rimotor polyneuropathy. These patients otherwise resemble idiopathic sensory polyneuropathy, and the MGUS might just be coincidental. They usually do not respond to immunotherapies designed to reduce the concentration of the monoclonal protein. Some patients, however, present with generalized weakness and sensory loss and EDx stud ies indistinguishable from CIDP without monoclonal gammopathy (see “Chronic Inflammatory Demyelinating Polyneuropathy,” above), and their response to immunosuppressive agents is also similar. An exception is the syndrome of IgM-kappa monoclonal gammopathy associated with an indolent, long-standing, sometimes static sensory neuropathy, frequently with tremor and sensory ataxia. Most patients are men and aged &gt;50 years. In the majority, the monoclonal IgM immunoglobulin binds to a normal peripheral nerve constituent, MAG, found in the paranodal regions of Schwann cells. Binding appears to be specific for a polysaccharide epitope that is also found in other normal peripheral </w:t>
      </w:r>
      <w:r w:rsidRPr="00A6019F">
        <w:lastRenderedPageBreak/>
        <w:t xml:space="preserve">nerve myelin glycoproteins, P0 and PMP22, and also in other normal nerve-related glycosphingolipids (Fig. 458 1). In the MAG-positive cases, IgM paraprotein is incorporated into the myelin sheaths of affected patients and widens the spacing of the myelin lamellae, thus producing a distinctive ultrastructural pattern. Demyelination and remyelination are the hallmarks of the lesions, but axonal loss develops over time. These anti-MAG polyneuropathies are typical refractory to immunotherapy. In a small proportion of patients (30% at 10 years), MGUS will in time evolve into frankly malignant conditions such as multiple myeloma or lymphoma. VASCULITIC NEUROPATHY Peripheral nerve involvement is common in polyarteritis nodosa (PAN), appearing in half of all cases clinically and in 100% of cases at postmortem studies (Chap. 375). The most common pattern is multifocal (asymmetric) motor-sensory neuropathy (mononeuropathy multiplex) due to ischemic lesions of nerve trunks and roots; however, some cases of vasculitic neuropathy present as a distal, symmetric sensorimotor polyneuropathy. Symptoms of neuropathy are a common presenting complaint in patients with PAN. The EDx findings are those of an axonal process. Small- to medium-sized arteries of the vasa ner vorum, particularly the epineural vessels, are affected in PAN, resulting in a widespread ischemic neuropathy. A high frequency of neuropathy occurs in eosinophilic granulomatosis with polyangiitis (Churg-Strauss syndrome [CSS]). CHAPTER 458 Guillain-Barré Syndrome and Other Immune-Mediated Neuropathies Systemic vasculitis should always be considered when a subacute or chronically evolving mononeuropathy multiplex occurs in conjunc tion with constitutional symptoms (fever, anorexia, weight loss, loss of energy, malaise, and nonspecific pains). Diagnosis of suspected vascu litic neuropathy is made by a combined nerve and muscle biopsy, with serial section or skip-serial techniques. Approximately one-third of biopsy-proven cases of vasculitic neu ropathy are “nonsystemic” in that the vasculitis appears to affect only peripheral nerves. Constitutional symptoms are absent, and the course is more indolent than that of PAN. The erythrocyte sedimentation rate may be elevated, but other tests for systemic disease are negative. 3624 Nevertheless, clinically silent involvement of other organs is likely, and vasculitis is frequently found in muscle biopsied at the same time as nerve. Vasculitic neuropathy may also be seen as part of the vasculitis syndrome occurring in the course of other connective tissue disorders. The most frequent is rheumatoid arthritis, but ischemic neuropathy due to involvement of vasa nervorum may also occur in mixed cryo globulinemia, Sjögren’s syndrome, granulomatosis with polyangiitis (formerly known as Wegener’s), hypersensitivity angiitis, SLE, and progressive systemic sclerosis. PART 13 Neurologic Disorders Some vasculitides are associated with antineutrophil cytoplasmic antibodies (ANCAs), which in turn are subclassified as cytoplasmic (cANCA) or perinuclear (pANCA). cANCAs are directed against proteinase 3 (PR3), whereas pANCAs target myeloperoxidase (MPO). PR3/cANCAs are associated with eosinophilic granulomatosis with polyangiitis, whereas MPO/pANCAs are typically associated with microscopic polyangiitis, CSS, and less commonly PAN. Of note, </w:t>
      </w:r>
      <w:r w:rsidRPr="00A6019F">
        <w:lastRenderedPageBreak/>
        <w:t xml:space="preserve">MPO/pANCA has also been seen in minocycline-induced vasculitis. Management of these neuropathies, including the “nonsystemic” vasculitic neuropathy, consists of treatment of the underlying condi tion as well as the aggressive use of glucocorticoids and cyclophospha mide. Use of these immunosuppressive agents has resulted in dramatic improvements in outcome, with 5-year survival rates now &gt;80%. Clini cal trials found that the combination of rituximab and glucocorticoids is not inferior to cyclophosphamide and glucocorticoids. Thus, com bination therapy with glucocorticoids and rituximab is recommended as the standard initial treatment, particularly for ANCA-associated vasculitis. Mepolizumab, an anti–interleukin 5 monoclonal antibody, when added to standard care, is also effective for treatment of eosino philic granulomatosis with polyangiitis. ANTI-Hu PARANEOPLASTIC NEUROPATHY (Chap. 99) This uncommon immune-mediated disorder manifests as a sensory neuronopathy (i.e., selective damage to sensory nerve bodies in dorsal root ganglia). The onset is often asymmetric with dysesthesias and sensory loss in the limbs that soon progress to affect all limbs, the torso, and the face. Marked sensory ataxia, pseudoatheto sis, and inability to walk, stand, or even sit unsupported are frequent features and are secondary to the extensive deafferentation. Subacute sensory neuronopathy may be idiopathic, but more than half of cases are paraneoplastic, primarily related to lung cancer, and most of those are small-cell lung cancer (SCLC). Diagnosis of the underlying SCLC requires awareness of the association, testing for the paraneoplastic antibody, and often positron emission tomography (PET) scanning for the tumor. The target antigens are a family of RNA-binding proteins (HuD, HuC, and Hel-N1) that in normal tissues are only expressed by neurons. The same proteins are usually expressed by SCLC, triggering in some patients an immune response characterized by antibodies and cytotoxic T cells that cross-react with the Hu proteins of the dor sal root ganglion neurons, resulting in immune-mediated neuronal destruction. An encephalomyelitis may accompany the sensory neu ronopathy and presumably has the same pathogenesis. Neurologic symptoms usually precede, by ≤6 months, the identification of SCLC. The sensory neuronopathy runs its course in a few weeks or months and stabilizes, leaving the patient disabled. Most cases are unrespon sive to treatment with glucocorticoids, IVIg, PE, or immunosuppres sant drugs. </w:t>
      </w:r>
      <w:r w:rsidRPr="00A6019F">
        <w:rPr>
          <w:rFonts w:ascii="Arial" w:hAnsi="Arial" w:cs="Arial"/>
        </w:rPr>
        <w:t>■</w:t>
      </w:r>
      <w:r w:rsidRPr="00A6019F">
        <w:t xml:space="preserve">FURTHER READING Amato AA, Ropper AH: Sensory ganglionopathy. N Engl J Med 383:1657, 2020. Cortese A et al: Antibodies to neurofascin, contactin-1, and contactin associated protein 1 in CIDP: Clinical relevance of IgG isotype. Neurol Neuroimmunol Neuroinflamm 7:E639, 2020. Gwathmey KG et al: Peripheral nerve vasculitis: Classification and disease associations. Neurol Clin 37:303, 2019. Keh RYS et al: COVID-19 vaccination and Guillain-Barré syn drome: Analyses using the National Immunoglobulin Database. Brain 146:739, 2023. Koike H et al: ANCA-associated vasculitic neuropathies: A review. Neurol Ther 11:21, 2022. Puwanant A et al: Clinical spectrum of neuromuscular complications after immune checkpoint inhibition. Neuromuscul Disord 29:127, 2019. Súkeníková L et al: Autoreactive T cells target </w:t>
      </w:r>
      <w:r w:rsidRPr="00A6019F">
        <w:lastRenderedPageBreak/>
        <w:t xml:space="preserve">peripheral nerves in Guillain-Barré syndrome. Nature 626:160, 2024. Van den Bergh PYK et al: European Academy of Neurology/Peripheral Nerve Society guideline on diagnosis and treatment of chronic inflammatory demyelinating polyradiculoneuropathy: Report of a joint Task Force—Second revision. Eur J Neurol 28:3556, 2021. van Doorn PA et al: European Academy of Neurology/Peripheral Nerve Society Guideline on diagnosis and treatment of Guillain-Barré syndrome. Eur J Neurol 30:3646, 2023. Willison AG et al: SARS-CoV-2 vaccination and neuroimmunologi cal disease: A review. JAMA Neurol 81:179, 2024. 459 Myasthenia Gravis and Other Diseases of the Neuromuscular Junction Anthony A. Amato, Amanda C. Guidon Myasthenia gravis (MG) is a neuromuscular junction (NMJ) disorder characterized by weakness and fatigability of skeletal muscles. The under lying defect is a decrease in the number of available acetylcholine recep tors (AChRs) at NMJs due to an antibody-mediated autoimmune attack. Available treatments for MG are highly effective, although side effects can limit their use and a cure has remained elusive. </w:t>
      </w:r>
      <w:r w:rsidRPr="00A6019F">
        <w:rPr>
          <w:rFonts w:ascii="Arial" w:hAnsi="Arial" w:cs="Arial"/>
        </w:rPr>
        <w:t>■</w:t>
      </w:r>
      <w:r w:rsidRPr="00A6019F">
        <w:t xml:space="preserve">PATHOPHYSIOLOGY At the NMJ (Fig. 459-1, Video 459-1), acetylcholine (ACh) is syn thesized in the motor nerve terminal and stored in vesicles (quanta). When an action potential travels down a motor nerve and reaches the nerve terminal, ACh from 150 to 200 vesicles is released and com bines with AChRs that are densely packed at the crests of postsynaptic folds on skeletal muscle. The AChR consists of five subunits (2α, 1β, 1δ, 1γ, or ε) arranged around a central pore. When ACh combines with the binding sites on α subunits of the AChR, the channel in the AChR opens, permitting the rapid entry of cations, chiefly sodium, which produces depolarization at the end-plate region of the muscle fiber. If the depolarization is sufficiently large, it initiates an action potential that is propagated along the muscle fiber, triggering muscle contraction. This process is rapidly terminated by hydrolysis of ACh by acetylcholinesterase, which is present within the synaptic cleft, and by diffusion of ACh away from the receptor. Muscle-specific tyrosine kinase (MuSK) is a postsynaptic trans membrane protein that helps stabilize postsynaptic clustering of AChRs. Agrin is released from the presynaptic motor nerve terminal and binds low-density lipoprotein receptor-related protein 4 (LRP4). This agrin-LRP4 complex activates MuSK. This facilitates recruitment of cytoplasmic proteins, including downstream of tyrosine kinase 7 (DOK7) and rapsyn, to assist in clustering AChR. These various pro teins are important in the pathogenesis of not only MG but also some of the hereditary congenital myasthenic syndromes. In MG, the fundamental defect is a decrease in the number of available AChRs at the postsynaptic muscle membrane. In addition, the postsynaptic folds are flattened, or “simplified.” These changes result in decreased efficiency of neuromuscular transmission. There fore, although ACh is released normally, it produces small end-plate 3625 potentials that may fail to trigger muscle action potentials. Failure of transmission results in muscle weakness. The amount of ACh released per impulse normally declines on repeated activity (termed presynaptic rundown). In myasthenic patients, reduced efficiency of neuromuscular transmission, combined with this normal rundown, results in activation of fewer and fewer muscle </w:t>
      </w:r>
      <w:r w:rsidRPr="00A6019F">
        <w:lastRenderedPageBreak/>
        <w:t xml:space="preserve">fibers by successive nerve impulses, and hence increasing weakness, or myasthenic fatigue. This mechanism also accounts for the decremental response to repetitive nerve stimulation seen on electro diagnostic testing. MG is an autoimmune disorder most commonly caused by anti AChR antibodies. The anti-AChR antibodies reduce the number of available AChRs at NMJs by three distinct mechanisms: (1) accelerated turnover of AChRs by a mechanism involving cross-linking and rapid endocytosis of the receptors; (2) damage to the postsynaptic muscle membrane through antibody-mediated complement activation; and (3) blockade of the active site of the AChR (i.e., the site that normally binds ACh). An immune response to MuSK, a protein involved in AChR clustering at the NMJ (as noted above), also results in MG, with reduction of AChRs demonstrated experimentally. Anti-MuSK anti body occurs in ~10% of patients (~40% of AChR antibody–negative patients with generalized MG), whereas 1–3% have antibodies to Myelin sheath another protein at the NMJ—LRP4—that, as mentioned, is also important for clustering of AChRs. These pathogenic antibodies are IgG and are T-cell dependent. Thus, immunotherapeutic strategies directed against either the antibody-producing B cells or helper T cells, directly reducing the pathogenic antibodies, or blocking complement mediated destruction of the AChRs are all effective in anti-AChR positive MG. MuSK antibodies exert their pathogenic effect by directly inhibiting binding between MuSK and LRP4, leading to loss of AChRs and other functions of MuSK. Of note, MuSK antibodies are of the IgG4 subtype and, as such, do not activate complement. As a result, anti-MuSK-positive MG does not respond to complement inhibition. LRP4 antibodies are of the IgG1 subclass and also cause complement mediated destruction, similar to AChR antibodies, and possibly inter rupt agrin-induced MuSK activation. Although MG is caused by autoantibodies, a significant contribution exists from T cells, including T regulatory (Treg) cells. These Tregs are critical in suppressing activation of other immune cells that have escaped negative selection in the thymus. Because these other cells have not been deleted by negative selection or suppressed in the periphery, they attack “self” antigens. Deficiency or dysfunction of Tregs contrib utes to the pathogenesis not only of MG but of many other autoim mune diseases. The primary source of Treg cells is the thymus, which SNARE proteins Syntaxin-1 SNAP 25 Synaptotagmin Synaptobrevin ChAT Choline acetyltransferase Acetylcholine receptor Acetate Choline Axon ChAT Ca+ ions Voltage-gated K+ channel Agrin Active zone Voltage-gated Ca+ channel CHAPTER 459 Myasthenia Gravis and Other Diseases of the Neuromuscular Junction AChE Voltage-gated Na+ channels A Myofibril FIGURE 459-1 Illustrations of (A) a normal presynaptic neuromuscular junction, (B) a normal postsynaptic terminal, and (C) a myasthenic neuromuscular junction. AChE, acetylcholinesterase. See text for description of normal neuromuscular transmission. The myasthenia gravis (MG) junction demonstrates a reduced number of acetylcholine receptors (AChRs); flattened, simplified postsynaptic folds; and a widened synaptic space. See Video 459-1 also. (Reproduced with permission from AA Amato, J Russell: Neuromuscular Disorders, 2nd ed. New York, </w:t>
      </w:r>
      <w:r w:rsidRPr="00A6019F">
        <w:lastRenderedPageBreak/>
        <w:t xml:space="preserve">McGraw-Hill; 2016.) 3626 ACh (acetylcholine) Agrin Dystroglycan PART 13 Neurologic Disorders Vesicle Vesicle fusion β α α γ SNARE proteins Syntaxin-1 SNAP 25 Synaptotagmin Synaptobrevin δ ACh receptor Rapsyn Dok-7 MuSK Lrp4 Myofibril B FIGURE 459-1 (Continued) Na+ channels is abnormal in ~75% of patients with AChR antibody–positive MG. In ~65%, the thymus is “hyperplastic,” with the presence of active germi nal centers detected histologically. The hyperplastic thymus may be but is not necessarily enlarged. An additional 10% of patients have thymic tumors (thymomas). Muscle-like cells within the thymus (myoid cells), which express AChRs on their surface, may serve as a source of auto antigen and trigger the autoimmune reaction within the thymus gland. </w:t>
      </w:r>
      <w:r w:rsidRPr="00A6019F">
        <w:rPr>
          <w:rFonts w:ascii="Arial" w:hAnsi="Arial" w:cs="Arial"/>
        </w:rPr>
        <w:t>■</w:t>
      </w:r>
      <w:r w:rsidRPr="00A6019F">
        <w:t xml:space="preserve">CLINICAL FEATURES MG has an incidence ranging from 6.3 to 29 per million and a preva lence ranging from 100 to 361 per million. It affects individuals in all age groups, but peak incidence occurs in women in their twenties and thirties and in men in their fifties and sixties. Overall, women are affected more frequently than men, in a ratio of ~3:2. Cardinal features are weakness and fatigability of muscles. Myasthenic weakness often worsens during repeated use (fatigue) and/or late in the day and may improve following rest or sleep. The course of MG is variable. Exacerbations and remissions may occur, particularly during the first 1–3 years after disease onset. In ~85% of patients, myasthenic weakness becomes generalized, affecting facial, bulbar, axial, or limb muscles in addition to ocular muscles. If weakness remains restricted to ocular muscles for 3 years, future generalization is unlikely, and these patients are said to have ocular MG. However, we have seen rare patients generalize &gt;5 years after onset of ocular MG. Unrelated infections, systemic disorders, or tapering of MG therapies can lead to increased myasthenic weakness and may precipitate myasthenic exacerbation or “crisis” (see below). Some exacerbations occur without any identifiable precipitating factors. The distribution of muscle weakness often has a characteristic pat tern. Cranial muscles, particularly extraocular and eyelid muscles, are frequently involved early in the course of MG; diplopia and ptosis are common initial symptoms. Facial weakness produces a “snarling” ACh Agrin AChE Dystroglycan AChE Vesicle Vesicle fusion α αα α Lysis of ACh receptors Myofibril SNARE proteins Syntaxin-1 SNAP 25 Synaptotagmin Synaptobrevin AChR autoantibody Complement Na+ channel C expression when the patient attempts to smile. Weakness in chewing is most noticeable after prolonged effort or chewing hard or tough foods like meat. Speech may have a nasal timbre caused by weakness of the palate or a dysarthric “mushy” quality due to tongue weakness. Hoarseness can occur from laryngeal weakness. Difficulty in swallow ing (dysphagia) may occur as a result of weakness of the palate, tongue, or pharynx, giving rise to nasal regurgitation or aspiration of liquids or food. Bulbar, neck, and ventilatory weakness can be especially promi nent in MuSK antibody–positive MG. Weakness in neck extensor muscles can lead to head drop. Limb weakness in MG is often proximal and may be asymmetric. Nonetheless, some patients manifest with mainly distal weakness (finger and wrist drop or foot drop). Deep ten don reflexes are typically preserved. Sensory symptoms, sensory </w:t>
      </w:r>
      <w:r w:rsidRPr="00A6019F">
        <w:lastRenderedPageBreak/>
        <w:t xml:space="preserve">loss, and pain are absent. If ventilatory weakness necessitates intubation or noninvasive ventilation to avoid intubation, the patient is said to be in MG crisis. All other worsening is termed exacerbation. </w:t>
      </w:r>
      <w:r w:rsidRPr="00A6019F">
        <w:rPr>
          <w:rFonts w:ascii="Arial" w:hAnsi="Arial" w:cs="Arial"/>
        </w:rPr>
        <w:t>■</w:t>
      </w:r>
      <w:r w:rsidRPr="00A6019F">
        <w:t xml:space="preserve">DIAGNOSIS AND EVALUATION (TABLE 459-1) The diagnosis is suspected based on weakness and fatigability in the typical distribution described above, without loss of deep tendon reflexes or sensory signs or symptoms or abnormality of other neuro logic functions. The suspected diagnosis should be confirmed defini tively before treatment is undertaken; this is essential because (1) other treatable conditions may closely resemble MG and (2) the treatment of MG may involve surgery and the prolonged use of drugs with potential side effects. Ice-Pack Test If a patient has ptosis, application of a pack of ice over a ptotic eye for 2 min often results in improvement if the ptosis is due to an NMJ defect. A lid rise of 2 mm following this cooling is considered a positive result. This is hypothesized to be due to less depletion of quanta of AChR in the cold and reduced activity of TABLE 459-1 Diagnosis of Myasthenia Gravis (MG) 3627 History Diplopia, ptosis, dysarthria, dysphagia, dyspnea Weakness in characteristic distribution: proximal limbs, neck extensors, generalized Fluctuation and fatigue: worse with repeated activity, improved by rest Effects of previous treatments Physical examination Evaluation for ptosis at rest and following 1 min of exercise, extraocular muscles and subjective diplopia, orbicularis oculi and oris strength, jaw opening and closure Assessment of muscle strength in neck and extremities Weakness following repeated shoulder abduction Vital capacity measurement Absence of other neurologic signs Laboratory testing Anti-AChR radioimmunoassay: ~85% positive in generalized MG; 50% in ocular MG; definite diagnosis if positive; negative result does not exclude MG; ~40% of AChR antibody–negative patients with generalized MG have anti-MuSK antibodies and ~2% have LRP4 antibodies Repetitive nerve stimulation: decrement of &gt;10% at 3 Hz: highly probable Single-fiber electromyography: blocking and jitter, with normal fiber density; confirmatory, but not specific Edrophonium chloride (Enlon) 2 mg + 8 mg IV; highly probable diagnosis if unequivocally positive Ice-pack test looking for improvement in ptosis is very sensitive For ocular or cranial MG: exclude intracranial lesions by CT or MRI Abbreviations: AChR, acetylcholine receptor; CT, computed tomography; LRP4, lipoprotein receptor-related protein 4; MRI, magnetic resonance imaging; MuSK, muscle-specific tyrosine kinase. acetylcholinesterase at the NMJ. It is a quick and easy test to do in the clinic or at the bedside of a hospitalized patient. Autoantibodies Associated with MG As previously mentioned, anti-AChR antibodies are detectable in the serum of ~85% of all myas thenic patients but in only ~50% of patients with weakness confined to the ocular muscles. The presence of anti-AChR antibodies is virtually diagnostic of MG, but a negative test does not exclude the disease. The measured level of anti-AChR antibody does not correspond well with the severity of MG in different patients. Antibodies to MuSK are pres ent in up to 40% of AChR antibody–negative patients with generalized MG depending on the population. MuSK antibodies are rarely present in AChR antibody–positive patients or in patients with MG limited to </w:t>
      </w:r>
      <w:r w:rsidRPr="00A6019F">
        <w:lastRenderedPageBreak/>
        <w:t xml:space="preserve">ocular muscles. A small proportion of MG patients without antibodies to AChR or MuSK have antibodies to LRP4. Sending LRP4 antibodies has a low specificity. As such, we only check them in patients with clear MG by phenotype and electrodiagnostic testing but absent AChR and MuSK antibodies. Additionally, antibodies against agrin also have been found in rare patients with MG, but it is unclear if they are pathogenic, and they are not currently tested in clinical practice. Additionally, anti-striated muscle antibodies directed against titin and other skeletal muscle components have been identified in some patients. However, they are not pathogenic, and their presence does not confirm the diagnosis of MG or the presence of a thymoma. Given their limited utility and potential for misinterpretation, we do not order them. Furthermore, antibodies directed against Caspr2 (contactin-associated protein-like 2) may coexist primarily in patients with thymoma who have MG and neuromyotonia or Morvan’s syndrome. The presence of these antibodies can help confirm the diagnosis of a second paraneo plastic syndrome in these clinical situations. Electrodiagnostic Testing Repetitive nerve stimulation may provide helpful diagnostic evidence of MG. Medications that inhibit acetylcholinesterase should be stopped 12–24 h or for as long as pos sible before testing. It is best to test weak muscles or proximal muscle groups. Electrical stimulation is delivered at a rate of two or three per second to the appropriate nerves, and action potentials are recorded from the muscles. In normal individuals, the amplitude of the evoked muscle action potentials does not change by &gt;10% at these rates of stimulation. However, in myasthenic patients, there is a rapid reduc tion of &gt;10% in the amplitude of the evoked responses. If repetitive nerve stimulation is normal and/or symptoms are exclusively ocular, single-fiber electromyography (EMG), a specialized more sensitive test typically done at MG referral centers, is performed. Anticholinesterase Test Drugs that inhibit the enzyme ace tylcholinesterase allow ACh to interact repeatedly with the limited number of AChRs in MG, producing improvement in muscle strength. Edrophonium was most commonly used historically for diagnostic testing because of the rapid onset (30 s) and short duration (~5 min) of its effect, with an objective endpoint such as ptosis typically measured. Edrophonium is no longer used due to potential for side effects and lack of availability. Pulmonary Function Tests (Chap. 295) Measurements of ven tilatory function are valuable because of the frequency and seriousness of respiratory impairment in myasthenic patients. Differential Diagnosis Other conditions that cause weakness of the cranial and/or somatic musculature include nonautoimmune congenital myasthenia, drug-induced myasthenia, Lambert-Eaton myasthenic syndrome (LEMS), hyperthyroidism (Graves’ disease), botulism, intracranial mass lesions, oculopharyngeal dystrophy, and mitochondrial myopathy (Kearns-Sayre syndrome, progressive exter nal ophthalmoplegia). Treatment with immune checkpoint inhibitors (ICIs) for cancer may also result in autoimmune MG. Myositis and myocarditis are also often found in combination with MG as a compli cation of ICIs (Chap. 377). Symptoms typically begin after the first or second cycle of treatment, with ptosis, diplopia, bulbar, neck, extrem ity weakness, and respiratory </w:t>
      </w:r>
      <w:r w:rsidRPr="00A6019F">
        <w:lastRenderedPageBreak/>
        <w:t xml:space="preserve">weakness. ICI-related myositis without disordered neuromuscular transmission can mimic MG, itself causing a similar pattern of weakness including ocular and bulbar weakness, which is uncommon in other autoimmune myopathies. Patients usu ally improve when the ICI is discontinued and a short course of gluco corticoids is given, with intravenous immunoglobulin (IVIg) or plasma exchange depending on severity; however, with fulminant disease, the fatality rate remains high, mainly due to the concurrent myocarditis. Treatment with penicillamine (used for scleroderma or rheumatoid arthritis) has also been associated with MG. Aminoglycoside, quino lone and macrolide antibiotics, intravenous magnesium, or procain amide can also cause exacerbation of weakness in myasthenic patients; very large doses can cause neuromuscular weakness in normal indi viduals. Botulinum toxin injections should be avoided in MG patients. The congenital myasthenic syndromes (CMS) comprise a rare het erogeneous group of disorders of the NMJ that are not autoimmune but rather are due to mutations in &gt;30 identified genes. Virtually any component of the NMJ may be affected. Alterations in function of the presynaptic nerve terminal, in the various subunits of the AChR, acetylcholinesterase, or the other molecules involved in end-plate development or maintenance, have been identified in the different forms of CMS. These disorders share many of the clinical features of autoimmune MG, including weakness and fatigability of proximal or distal extremity muscles and often involving extraocular and eyelid muscles similar to the distribution in autoimmune MG. CMS is most often suspected when symptoms of myasthenia began in infancy or childhood; however, some patients initially present in adulthood. As in autoimmune MG, repetitive nerve stimulation is often associated with a decremental response. Some forms of CMS (e.g., acetylcholinesterase deficiency, prolonged open channel syndrome) have a feature of after discharges that are not seen in MG. An additional clue is the absence of AChR and MuSK antibodies, although these are absent in ~10% of generalized MG patients (so-called double seronegative MG). CHAPTER 459 Myasthenia Gravis and Other Diseases of the Neuromuscular Junction The prevalence of CMS is estimated at ~3.8 per 100,000. The most common genetic defects occur in the ε subunit of the AChR, account ing for ~50% of CMS cases, with mutations in the genes encoding for rapsin, COLQ, DOK7, agrin, and GFPT together accounting for ~40%. 3628 In most of the recessively inherited forms of CMS, the mutations are heteroallelic; that is, different mutations affecting each of the two alleles are present. Features of the most common forms of CMS are summarized in Table 459-2. Molecular analysis is required for precise elucidation of the defect; this may lead to helpful treatment as well as genetic counseling. Some forms of CMS improve with acetylcholines terase inhibitors, while others (e.g., slow channel syndrome, acetylcho linesterase deficiency, DOK7-related CMS) actually worsen. Fluoxetine and quinidine can be useful for slow channel syndrome, and albuterol for mutations affecting acetylcholinesterase, DOK7, rapsyn, and agrin. Additionally, ephedrine and 3,4-diaminopyridine (3,4-DAP) may be of benefit in some forms of CMS. PART 13 Neurologic Disorders LEMS is a presynaptic disorder of </w:t>
      </w:r>
      <w:r w:rsidRPr="00A6019F">
        <w:lastRenderedPageBreak/>
        <w:t xml:space="preserve">the NMJ that causes skeletal muscle weakness; however, the pattern of involvement differs from that in MG. The proximal muscles of the lower limbs are most commonly affected, although other muscles may be involved as well. Cranial and bulbar weakness, including ptosis of the eyelids, diplopia, dysarthria, and dysphagia may occur but are not typically the presenting or prominent symptoms. However, LEMS can be further distinguished from MG because patients with LEMS often have depressed or absent reflexes and experience autonomic symptoms such as dry mouth, orthostasis, and impotence (Chap. 451). Nerve stimulation produces an initial low-amplitude compound muscle action potential and, at low rates of repetitive stimulation (2–3 Hz), a decremental response as seen in MG; however, at high rates (20–50 Hz) or following brief exer cise, incremental responses occur. LEMS is caused by autoantibodies directed against P/Q-type calcium channels at the presynaptic motor nerve terminals detected in ~85% of LEMS patients. These autoan tibodies impair the release of ACh from nerve terminals. In young adults, particularly women, LEMS is less commonly associated with an underlying cancer. However, in older adults, LEMS is associated with malignancy, most commonly small-cell lung cancer (SCLC), and virtually all of these patients have P/Q-type calcium channel autoanti bodies. The tumor cells may express calcium channels that stimulate the autoimmune response. Initial management requires comprehensive evaluation for malignancy and reassessment if the initial malignancy evaluation is negative. Treatment of LEMS symptoms involves therapy first with 3,4-DAP and pyridostigmine. 3,4-DAP acts by blocking potassium channels, which results in prolonged depolarization of the motor nerve terminals, thus enhancing ACh release. Pyridostigmine prolongs the action of ACh, allowing repeated interactions with AChRs. If symptoms are severe or life-threatening or if symptomatic therapy is insufficient, immunomodulatory therapy including IVIg or plasma exchange can be used. Botulism (Chap. 158) is due to potent bacterial toxins produced by any of eight different strains of Clostridium botulinum. The toxins enzymatically cleave specific proteins essential for the release of ACh from the motor nerve terminal, thereby interfering with neuromuscu lar transmission. Most commonly, botulism is caused by ingestion of improperly prepared food containing toxin. Rarely, the nearly ubiq uitous spores of C. botulinum may germinate in wounds. In infants, the spores may germinate in the gastrointestinal (GI) tract and release toxin, causing muscle weakness. Patients present with myasthenia-like bulbar weakness (e.g., diplopia, dysarthria, dysphagia) and lack sensory symptoms and signs. Weakness may generalize to the limbs and may result in respiratory failure. Reflexes are present early, but they may be diminished as the disease progresses. Mentation is normal. Auto nomic findings include paralytic ileus, constipation, urinary retention, dilated or poorly reactive pupils, and dry mouth. The demonstration of toxin in serum by bioassay is definitive, but the results usually take a relatively long time to be completed and may be negative. Nerve stimulation studies reveal reduced compound muscle action potential (CMAP) amplitudes that increase following high-frequency repetitive stimulation. Treatment includes ventilatory </w:t>
      </w:r>
      <w:r w:rsidRPr="00A6019F">
        <w:lastRenderedPageBreak/>
        <w:t xml:space="preserve">support and aggressive inpatient supportive care (e.g., nutrition, deep-vein thrombosis pro phylaxis) as needed. Antitoxin should be given as early as possible to be effective and can be obtained through the Centers for Disease Control and Prevention. A preventive vaccine is available for laboratory work ers or other highly exposed individuals. Hyperthyroidism is readily diagnosed or excluded by tests of thyroid function, which should be carried out routinely in patients with suspected MG. Abnormalities of thyroid function (hyper- or hypothyroidism) may increase myasthenic weakness. Diplopia resem bling that in MG may occasionally be due to an intracranial mass lesion that compresses nerves to the extraocular muscles (e.g., sphenoid ridge meningioma), but magnetic resonance imaging (MRI) of the head and orbits usually reveals the lesion. Progressive external ophthalmoplegia is a rare condition resulting in weakness of the extraocular muscles and often symmetric ptosis, which may be accompanied by weakness of the proximal muscles of the limbs and other systemic features. Most patients with this condition have mitochondrial disorders that can be detected by genetic testing or with muscle biopsy (Chap. 460). Search for Associated Conditions (Table 459-3) Myasthenic patients have an increased incidence of several associated disorders. Thymic abnormalities occur in ~75% of AChR antibody–positive patients, as noted above. Neoplastic change (thymoma) may produce enlargement of the thymus, which is detected by chest computed tomography (CT) or MRI. A thymic shadow on CT scan may normally be present through young adulthood, but enlargement of the thymus in a patient age &gt;40 years is highly suspicious for thymoma. Approxi mately 10–15% of patients with MG have thymoma, and therefore, chest imaging to evaluate this possibility is performed at diagnosis. Hyperthyroidism occurs in 3–8% of patients and may aggravate the myasthenic weakness. Thyroid function tests should be obtained in all patients with suspected MG. Other autoimmune disorders, most com monly systemic lupus erythematosus and rheumatoid arthritis, can coexist with MG; associations also occur with neuromyelitis optica, multiple sclerosis, neuromyotonia, Morvan’s syndrome (encephalitis, insomnia, confusion, hallucinations, autonomic dysfunction, and neuromyotonia), rippling muscle disease, granulomatous myositis/ myocarditis, and chronic inflammatory demyelinating polyneuropathy. An infection of any kind can exacerbate typical MG and should be sought carefully in patients with relapses. Because of the side effects of glucocorticoids and other immunotherapies used in the treatment of MG, a thorough medical investigation should be undertaken, searching specifically for evidence of chronic or latent infection (such as tubercu losis or hepatitis), hypertension, diabetes, renal disease, and glaucoma. TREATMENT Myasthenia Gravis The prognosis of MG has improved strikingly as a result of advances in treatment. Nearly all myasthenic patients can be returned to full productive lives with proper therapy. Common treatments for MG include anticholinesterase medications, glucocorticoids and other immunosuppressive agents, thymectomy, plasmapheresis, IVIg, rituximab, and the recently approved complement inhibitors and neonatal Fc receptor (FcRn) antagonists (Fig. 459-2). </w:t>
      </w:r>
      <w:r w:rsidRPr="00A6019F">
        <w:lastRenderedPageBreak/>
        <w:t xml:space="preserve">ANTICHOLINESTERASE MEDICATIONS Anticholinesterase medication produces at least partial improve ment in most myasthenic patients, although improvement is com plete in only a few. Patients with anti-MuSK MG generally obtain less benefit from anticholinesterase agents than those with AChR antibodies and may actually worsen. Pyridostigmine is the most widely used anticholinesterase drug and is initiated at a dosage of 30–60 mg three to four times daily. The beneficial action of oral pyridostigmine begins within 15–30 min and lasts for 3–4 h, but individual responses vary. The frequency and amount of the dose should be tailored to the patient’s individual requirements through out the day. For example, patients with weakness in chewing and swallowing may benefit by taking the medication before meals so that peak strength coincides with mealtimes. Long-acting pyr idostigmine may occasionally be useful to get the patient through the night but should not be used for daytime medication because of variable absorption. The maximum useful dose of pyridostigmine Myasthenia Gravis and Other Diseases of the Neuromuscular Junction 3629 CHAPTER 459 TABLE 459-2 Congenital Myasthenic Syndromes (CMS) CMS SUBTYPE GENE CLINICAL FEATURES ELECTROPHYSIOLOGIC FEATURES RESPONSE TO ACHE INHIBITORS TREATMENT Presynaptic Disorders CMS with paucity of ACh release CHAT; CHT AR; early onset, respiratory failure at birth, episodic apnea, improvement with age Decremental response to RNS Improve AChE inhibitors; 3,4-DAP Synaptic Disorders AChE deficiency COLQ AR; early onset; variable severity; axial weakness with scoliosis; apnea; +/– EOM involvement, slow or absent pupillary responses After discharges on nerve stimulation and decrement on RNS Worsen Albuterol; ephedrine; 3,4-DAP; avoid AChE inhibitors Postsynaptic Disorders Involving AChR Deficiency or Kinetics Primary AChR deficiency AChR subunit genes AR; early onset; variable severity; fatigue; typical MG features Decremental response to RNS Improve AChE inhibitors; 3,4-DAP AChR kinetic disorder: slow channel syndrome AChR subunit genes AD; onset childhood to early adult; weak forearm extensors and neck; respiratory weakness; variable severity After discharges on nerve stimulation and decrement on RNS Worsen Fluoxetine and quinidine; avoid AChE inhibitors AChR kinetic disorder: fast channel syndrome AChR subunit genes AR; early onset; mild to severe; ptosis, EOM involvement; weakness and fatigue Decremental response to RNS Improve AChE inhibitors; caution with 3,4-DAP Postsynaptic Disorders Involving Abnormal Clustering/Function of AChR  DOK 7 AR; limb girdle weakness with ptosis but no EOM involvement Decremental response to RNS Variable Albuterol; ephedrine; may worsen with AChE inhibitors  Rapsyn AR; early onset with hypotonia, respiratory failure, and arthrogryposis at birth to early adult onset resembling MG Decremental response to RNS Variable Albuterol  Agrin AR; limb girdle or distal weakness, apnea Decremental response to RNS Variable Albuterol; may worsen with AChE inhibitors  MuSK AR; congenital or childhood onset of ptosis, EOM and progressive limb girdle weakness Decremental response to RNS Variable Variable response to AChE inhibitors and 3,4-DAP Positive response to albuterol  LRP4 AR; congenital onset with hypotonia; </w:t>
      </w:r>
      <w:r w:rsidRPr="00A6019F">
        <w:lastRenderedPageBreak/>
        <w:t xml:space="preserve">ventilatory failure, mild ptosis, and EOM weakness Decremental response to RNS Worsen Worsen with AChE inhibitors Other Postsynaptic Disorders Limb-girdle CMS with tubular aggregates GFPT1; DPAGT1; ALG2; ALG14; DPAGT1 AR; limb-girdle weakness usually without ptosis or EOM weakness; onset in infancy or early adult Decremental response to RNS Variable Albuterol; ephedrine; variable response to AChE inhibitors and 3,4 DAP; albuterol Congenital muscular dystrophy with myasthenia Plectin AR; infantile or childhood onset of generalized weakness including ptosis and EOM; epidermolysis bullosa simplex; elevated CK Decremental response to RNS Variable No response to AChE and 3,4-DAP Abbreviations: ACh, acetylcholine; AChE, acetylcholinesterase; AChR, acetylcholine receptor; AD, autosomal dominant; AR, autosomal recessive; CHAT, choline acetyl transferase; CHT, sodium-dependent high-affinity choline transport 1; CK, creatine kinase; CMA, congenital myasthenic syndrome; COLQ, collaganic tail of endplate acetylcholinesterase; 3,4-DAP, 3,4-diaminopyridine; Dok7, downstream of tyrosine kinase 7; DPAGT1, UDP-N-acetylglucosamine-dolichyl-phosphate N-acetylglucosamine phosphotransferase; EOM, extraocular muscle; GFPT1, glutamine-fructose-6-phosphate aminotransferase 1; LRP4, lipoprotein receptor-related protein 4; MG, myasthenia gravis; MuSK, muscle specific kinase; RNS, repetitive nerve stimulation. Source: Reproduced with permission from AA Amato, et al (eds): Amato and Russell’s Neuromuscular Disorders, 3rd ed. New York: McGraw Hill; 2025. rarely exceeds 360–480 mg daily. Overdosage with anticholines terase medication may cause increased weakness and other side effects. In some patients, muscarinic side effects of the anticholin esterase medication (diarrhea, abdominal cramps, excess salivation, nausea) may limit the dose tolerated. Atropine/diphenoxylate or loperamide is useful for the treatment of gastrointestinal symptoms. THYMECTOMY Two separate issues should be distinguished: (1) surgical removal of thymoma, and (2) thymectomy as a treatment for MG. Surgical removal of a thymoma is necessary because of the possibility of local tumor spread, although most thymomas are histologically benign. A large international study (the MGTX trial) of extended transsternal thymectomy in nonthymomatous, AChR antibody–positive, gener alized MG demonstrated that participants who underwent thymec tomy had improved strength and function, required less prednisone and fewer additions of second-line agents (e.g., azathioprine), and had fewer hospitalizations for exacerbations lasting at least 5 years. Whether or not less invasive thymectomy provides identical ben efit is unknown; however, less invasive techniques are now used in most thymectomies at many institutions. Importantly, patients with ocular myasthenia, MuSK-positive, and seronegative MG were all excluded from the MGTX study; retrospective and anecdotal evidence suggests that these patients may not benefit from thymec tomy. Thymectomy should never be carried out as an emergency procedure, but only when the patient is adequately prepared. If nec essary, treatment with IVIg or plasmapheresis may be used before surgery to maximize strength in weak patients. IMMUNOTHERAPY The choice of immunotherapy should be guided by the relative benefits and risks for the individual </w:t>
      </w:r>
      <w:r w:rsidRPr="00A6019F">
        <w:lastRenderedPageBreak/>
        <w:t xml:space="preserve">patient and the urgency of treatment. It is helpful to develop a treatment plan based on short term, intermediate-term, and long-term objectives. For example, 3630 TABLE 459-3 Disorders Associated with Myasthenia Gravis and Recommended Laboratory Tests PART 13 Neurologic Disorders Associated disorders Disorders of the thymus: thymoma, hyperplasia Other autoimmune neurologic disorders: chronic inflammatory demyelinating polyneuropathy, neuromyelitis optica Other autoimmune disorders: Hashimoto’s thyroiditis, Graves’ disease, rheumatoid arthritis, systemic lupus erythematosus, skin disorders, family history of autoimmune disorder Disorders or circumstances that may exacerbate myasthenia gravis: hyperthyroidism or hypothyroidism, occult infection, medical treatment for other conditions (see Table 459-5) Disorders that may interfere with therapy: tuberculosis, diabetes, peptic ulcer, gastrointestinal bleeding, renal disease, hypertension, asthma, osteoporosis, obesity Recommended laboratory tests or procedures CT or MRI of chest Tests for antinuclear antibodies, rheumatoid factor Thyroid function tests Testing for tuberculosis Fasting blood glucose, hemoglobin A1c Pulmonary function tests Bone densitometry Abbreviations: CT, computed tomography; MRI, magnetic resonance imaging. Establish diagnosis unequivocally (see Table 459-1) Search for associated conditions (see Table 459-3) Ocular only MRI of brain (if positive, reassess) Anticholinesterase (pyridostigmine) If unsatisfactory Generalized Anticholinesterase (pyridostigmine) Evaluate for thymectomy (indications: thymoma or generalized MG with anti-AChR antibodies); evaluate surgical risk, FVC Good risk (good FVC) Crisis Intensive care (tx respiratory infection; fluids) Poor risk (low FVC) then Thymectomy Evaluate clinical status; if indicated, go to immunosuppression Immunosuppression See text for short-term, intermediate, and long-term treatments Plasmapheresis or intravenous Ig Improved If not improved FIGURE 459-2 Algorithm for the management of myasthenia gravis. FVC, forced vital capacity; MRI, magnetic resonance imaging. if immediate improvement is essential typically because of the severity of weakness, IVIg should be administered or plasmapher esis should be undertaken as “rescue” therapy. For the intermediate term, glucocorticoids, cyclosporine or tacrolimus, rituximab, and the newer complement inhibitors and FcRn antagonists generally produce clinical improvement within a period of 1–3 months. They can be used for bridging until other immunotherapies become effective or in refractory patients. The beneficial effects of other nonsteroidal immunosuppressive therapies, azathioprine and myco phenolate mofetil, usually begin after many months (and as long as 1–1.5 years), However, these drugs have advantages over glucocor ticoids for the long-term treatment of patients with MG. Rituximab is highly effective in patients with MuSK antibody–positive MG. Glucocorticoid Therapy Glucocorticoids, when used properly, produce improvement in myasthenic weakness in the great major ity of patients. To minimize adverse side effects, prednisone should be given in a single morning dose rather than in divided doses throughout the day. In patients with only ocular or mild general ized weakness, the initial dose can be relatively low (15–25 mg/d). The dose is increased stepwise, as </w:t>
      </w:r>
      <w:r w:rsidRPr="00A6019F">
        <w:lastRenderedPageBreak/>
        <w:t xml:space="preserve">tolerated by the patient (usually by 5 mg/d at 7- to 14-day intervals), until there is marked clinical improvement or a dose of 50–60 mg/d is reached. The full effect of a particular dose of prednisone often takes 2–3 weeks to observe. In patients with more severe weakness and those already in the hospital and/or intubated, starting at a high dose is reasonable, typically after pretreatment with IVIg or plasma exchange to protect against early steroid-associated worsening. Patients are maintained for about a month on the dose that controls their symptoms, and then the dosage is slowly tapered (no faster than 10 mg a month until on 20 mg daily and then by 2.5–5 mg every 1–3 months until on 10 mg daily, and more slowly thereafter) to determine the minimum effective dose. Close monitoring both for side effects and for efficacy is essential. Some patients can be managed with out the addition of other immunotherapies. Patients on long-term glucocorticoid therapy must be followed carefully to prevent or treat adverse side effects. The most common errors include (1) an insufficient duration or dose of prednisone—improvement may be delayed and gradual; (2) tapering the dosage too early, too rapidly, or excessively; and (3) lack of attention to prevention and treatment of side effects. Other Immunotherapies Mycophenolate mofetil, azathioprine, cyclosporine, tacrolimus, rituximab, and rarely, cyclophospha mide are effective in many patients, either alone or in various combinations. Mycophenolate mofetil is widely used because of its presumed effectiveness and relative lack of side effects. A dose of 1–1.5 g bid is recommended. Its mechanism of action involves inhibition of purine synthesis by the de novo pathway. Since lymphocytes have only the de novo pathway, but lack the alternative salvage pathway that is present in all other cells, mycophenolate inhibits proliferation of lymphocytes but not proliferation of other cells. It does not kill or eliminate preexisting autoreactive lymphocytes, and therefore, clinical improvement may be delayed for many months to a year, until the preexisting autoreactive lymphocytes die spontaneously. The advantage of mycophenolate lies in its relative paucity of adverse side effects. The primary side effect is diarrhea or other GI symptoms. Rare side effects are development of leukopenia and very small risks of malignancy or progressive multifocal leukoencephalopathy inherent in nearly all immu nosuppressive treatments. Although two published studies did not show positive outcomes, most experts attribute the negative results to flaws in the trial designs, and mycophenolate is widely used and supported in many guidelines for long-term treatment of myasthenic patients. Azathioprine has long been used for MG, and a randomized, clinical trial demonstrated that it was effective in reducing the dos age of prednisone necessary to control MG symptoms. However, the beneficial effect can take a year or more to become evident. 3631 Approximately 10–15% of patients are unable to tolerate aza thioprine because of idiosyncratic reactions consisting of flulike symptoms (e.g., fever and malaise, abdominal pain), bone marrow suppression, or abnormalities of liver function. An initial dose of 50 mg/d is given for about a week to test for these side effects. If this dose is tolerated, it is increased by 50 mg weekly to 150 mg daily. Some patients require additional increases to reach a dose of ~2–3 mg/kg of total body weight </w:t>
      </w:r>
      <w:r w:rsidRPr="00A6019F">
        <w:lastRenderedPageBreak/>
        <w:t xml:space="preserve">or until the white blood count falls to 3000–4000/μL. Allopurinol should never be used in combination with azathioprine because the two drugs share a common degrada tion pathway; the result may be severe bone marrow suppression due to increased effects of the azathioprine. The calcineurin inhibitors cyclosporine and tacrolimus are effec tive in MG and work more rapidly than azathioprine and mycophe nolate. However, both, and cyclosporin in particular, are associated with more frequent severe side effects including hypertension, nephrotoxicity, and drug interactions. The usual dose of cyclo sporine is 4–5 mg/kg per d, and the average dose of tacrolimus is 0.07–0.1 mg/kg per d, given in two equally divided doses. “Trough” blood levels are measured 12 h after the evening dose. The thera peutic range for the trough level of cyclosporine is 150–200 ng/L, and for tacrolimus, it is 5–15 ng/L. Rituximab is a monoclonal antibody that binds to the CD20 mol ecule on B lymphocytes. It is widely used for the treatment of B-cell lymphomas and has also proven successful in the treatment of several autoimmune diseases including rheumatoid arthritis, pem phigus, and some IgM-related neuropathies. Rituximab can induce prolonged remissions in MuSK antibody–positive MG, which was previously more difficult to treat than anti-AChR–positive MG. We treat MuSK antibody–positive MG patients with 1 g IV on two occasions 2 weeks apart. Periodically, a repeat course needs to be administered; some MuSK patients can go up to 2–3 years between infusions. A large National Institutes of Health–sponsored randomized trial of rituximab in AChR antibody–positive generalized MG failed to demonstrate efficacy, but many of the participants had long standing MG that failed other therapies. However, a more recent randomized, placebo-controlled trial from Sweden of new-onset MG ( distal weakness during attacks AChR or Musk AB positive EKG Exam usually normal between attacks Proximal &gt; distal weakness during attacks Forearm exercise Yes Acquired seropositive MG PART 13 Check chest CT for thymoma No Decrement on 2–3 Hz repetitive nerve stimulation (RNS) or increased jitter on single fiber EMG (SFEMG) Yes Lambert-Eaton myasthenic syndrome Check: Voltage gated Ca channel Abs Chest CT for lung Ca Abnormal Check for dysmorphic features Genetic testing for Anderson-Tawil syndrome No Consider: Seronegative MG Congenital myasthenia* Psychosomatic weakness** Normal Myotonia on exam No Reduced lactic acid rise Consider glycolytic defect Yes Low potassium level Normal or elevated potassium level Normal lactic acid rise Consider CPT deficiency or other fatty acid metabolism disorders Genetic testing Hypokalemic PP Neurologic Disorders Hyperkalemic PP Paramyotonia congenita DNA test confirms diagnosis *Genetic testing (Chap. 459) **If Abs, RNS, SFEMG are all normal or negative No diagnosis Muscle biopsy FIGURE 460-1 Diagnostic evaluation of intermittent weakness. AChR AB, acetylcholine receptor antibody; CPT, carnitine palmitoyltransferase; EKG, electrocardiogram; EMG, electromyogram; EOMs, extraocular muscles; MG, myasthenia gravis; PP, periodic paralysis. and the constant contractions of the muscle cause increased sweating of the extremities. This peripheral nerve hyperexcitability is mediated by antibodies that target voltage-gated potassium channels. There are two </w:t>
      </w:r>
      <w:r w:rsidRPr="00A6019F">
        <w:lastRenderedPageBreak/>
        <w:t xml:space="preserve">painful muscle conditions of particular importance, neither of which is associated with muscle weakness. Fibromyalgia is a common, yet poorly understood myofascial pain syndrome in which patients complain of severe muscle pain and tenderness, severe fatigue, and often poor sleep. Serum CK, erythrocyte sedimentation rate (ESR), EMG, and muscle biopsy are normal (Chap. 385). Polymyalgia rheu matica occurs mainly in patients aged &gt;50 years and is characterized by stiffness and pain in the shoulders, lower back, hips, and thighs (Chap. 375). The ESR and CRP are elevated, while serum CK, EMG, and muscle biopsy are normal. Muscle Enlargement and Atrophy In most myopathies, muscle tissue is replaced by fat and connective tissue, but the size of the muscle is usually not affected. However, in many limb-girdle mus cular dystrophies, enlarged calf muscles are typical. The enlargement represents true muscle hypertrophy; thus, the term pseudohypertrophy should be avoided when referring to these patients. The calf muscles remain very strong even late in the course of these disorders. Muscle enlargement can also result from infiltration by sarcoid granulomas, amyloid deposits, bacterial and parasitic infections, and focal myositis. Persistent Weakness Patterns of Weakness on Neurologic Exam Proximal &gt; distal IMNM; PM; DM; anti-synthetase syndrome; muscular dystrophies; mitochondrial and metabolic myopathies; toxic, endocrine myopathies Ptosis, EOMs OPMD; mitochondrial myopathy; myotubular myopathy Facial weakness and scapular winging (FSHD) Facial, distal, quadriceps; handgrip myotonia Myotonic muscular dystrophy Proximal &amp; distal (hand grip), and quadriceps IBM Myopathic EMG confirms muscle disease and excludes ALS Repetitive nerve stimulation abnormalities suggest a neuromuscular junction disorder (e.g., MG, LEMS, botulism) CK elevation supports myopathy May need DNA testing for further distinction of inherited myopathies Muscle biopsy will help distinguish many disorders Distal Distal myopathy (see Table 460-1) Dropped head/ Axial MG; PM; ALS; hyperpara thyroid; Axial myopathy FIGURE 460-2 Diagnostic evaluation of persistent weakness. Examination reveals one of seven patterns of weakness. The pattern of weakness in combination with the laboratory evaluation leads to a diagnosis. ALS, amyotrophic lateral sclerosis; CK, creatine kinase; DM, dermatomyositis; EMG, electromyography; EOMs, extraocular muscles; FSHD, facioscapulohumeral dystrophy; IBM, inclusion body myositis; IMNM, immune-mediated necrotizing myopathy; MG, myasthenia gravis; OPMD, oculopharyngeal muscular dystrophy; PM, polymyositis. 3637 FIGURE 460-3 Facioscapulohumeral dystrophy with prominent scapular winging. In contrast, muscle atrophy is characteristic of other myopathies. In Miyoshi myopathy, which can be caused by mutations in the genes that encode for dysferlin and anoctamin 5, there is a predilection for early atrophy of the gastrocnemius muscles, particularly the medial aspect. Atrophy of the humeral muscles is characteristic of FSHD and EDMD. </w:t>
      </w:r>
      <w:r w:rsidRPr="00A6019F">
        <w:rPr>
          <w:rFonts w:ascii="Arial" w:hAnsi="Arial" w:cs="Arial"/>
        </w:rPr>
        <w:t>■</w:t>
      </w:r>
      <w:r w:rsidRPr="00A6019F">
        <w:t xml:space="preserve">LABORATORY EVALUATION Various tests can be used to evaluate a suspected myopathy, including CK levels, endocrine studies (e.g., thyroid function tests, parathyroid hormone and vitamin D levels), autoantibodies (associated with myo sitis </w:t>
      </w:r>
      <w:r w:rsidRPr="00A6019F">
        <w:lastRenderedPageBreak/>
        <w:t xml:space="preserve">and systemic disorders), forearm exercise test, muscle biopsy, and genetic testing. Electrodiagnostic studies can be useful to differenti ate myopathies from other neuromuscular disorders (motor neuron disease, peripheral neuropathies, neuromuscular junction disorders) but, in most instances, do not help distinguish the specific type of myopathy. Serum Enzymes CK is the most sensitive measure of muscle dam age. The MM isoenzyme predominates in skeletal muscle, whereas CK-myocardial bound (CK-MB) is the marker for cardiac muscle. Serum CK can be elevated in normal individuals without provocation, presumably on a genetic basis or after strenuous activity, trauma, a pro longed muscle cramp, or a generalized seizure. Aspartate aminotrans ferase (AST), alanine aminotransferase (ALT), aldolase, and lactate dehydrogenase (LDH) are enzymes sharing an origin in both muscle and liver. Problems arise when the levels of these enzymes are found to be elevated in a routine screening battery, leading to the erroneous TABLE 460-2 Observations on Examination That Disclose Muscle Weakness FUNCTIONAL IMPAIRMENT Inability to forcibly close eyes Impaired pucker Inability to raise head from prone position Inability to raise head from supine position Inability to raise arms above head Inability to walk without hyperextending knee (back-kneeing or genu recurvatum) Inability to walk with heels touching the floor (toe walking) Inability to lift foot while walking (steppage gait or foot drop) MUSCLE WEAKNESS Upper facial muscles Lower facial muscles Neck extensor muscles Neck flexor muscles Proximal arm muscles (may be only scapular stabilizing muscles) Knee extensor muscles Shortening of the Achilles tendon Anterior compartment of leg Inability to walk without a waddling gait Inability to get up from the floor without climbing up the extremities (Gowers’ sign) Inability to get up from a chair without using arms Hip muscles Hip, thigh, and trunk muscles Hip muscles CHAPTER 460 Muscular Dystrophies and Other Muscle Diseases FIGURE 460-4 Gower sign showing a patient using his arms to climb up the legs in attempting to get up from the floor. assumption that liver disease is present when in fact muscle could be the cause. An elevated γ-glutamyl transferase (GGT) helps to establish a liver origin because this enzyme is not found in muscle. Rarely, aldose can be elevated in an inflammatory myopathy when CK, AST, and ALT are normal, signifying that the inflammation predominantly affects the perimysium (dermatomyositis, graft-versus-host disease) or the sur rounding fascia (fasciitis). Electrodiagnostic Studies EMG, repetitive nerve stimulation, and nerve conduction studies (NCS) (Chap. 457) are helpful in dif ferentiating myopathies from motor neuron disease, neuropathies, and neuromuscular junction diseases. Routine NCS are typically normal in myopathies, but reduced amplitudes of compound muscle action potentials may be seen in atrophied muscles. The needle EMG may reveal irritability on needle insertion and spontaneously that is suggestive of a myopathy with active necrosis or muscle membrane instability (inflammatory myopathies, dystrophies, toxic myopathies, myotonic myopathies), whereas a lack of irritability is characteristic of long-standing myopathic disorders (muscular dystrophies with severe fibrofatty replacement, endocrine myopathies, </w:t>
      </w:r>
      <w:r w:rsidRPr="00A6019F">
        <w:lastRenderedPageBreak/>
        <w:t xml:space="preserve">disuse atrophy, and many of the metabolic myopathies between bouts of rhabdomyolysis). In addition, the EMG may demonstrate myotonic discharges that will narrow the differential diagnosis (Table 460-1). Another important 3638 sequencing panels are increasing utilized, but clinicians need to know their limitations; large deletions and duplications can be missed, as can mutations in noncoding (intronic) regions. Furthermore, testing often reveals sequence alterations of unclear significance. PART 13 Neurologic Disorders Forearm Exercise Test With exercise-induced muscle pain and myoglobinuria, there may be a defect in glycolysis. For safety, the test should not be performed under ischemic conditions to avoid an unnec essary insult to the muscle, causing rhabdomyolysis. The test is per formed by placing a small indwelling catheter into an antecubital vein. A baseline blood sample is obtained for lactic acid and ammonia. The forearm muscles are exercised by asking the patient to vigorously open and close the hand for 1 min. Blood is then obtained at intervals of 1, 2, 4, 6, and 10 min for comparison with the baseline sample. A three- to fourfold rise of lactic acid is typical. The simultaneous measurement of ammonia serves as a control because it should also rise with exercise. In patients with myophosphorylase deficiency and certain other glyco lytic defects, the lactic acid rise will be absent or below normal, while the rise in ammonia will reach control values. If there is lack of effort, neither lactic acid nor ammonia will rise. Patients with selective failure to increase ammonia may have myoadenylate deaminase deficiency. This condition has been reported to be a cause of myoglobinuria, but deficiency of this enzyme in asymptomatic individuals makes interpre tation controversial. FIGURE 460-5 Hyperlordotic posture, exaggerated by standing on toes, associated with trunk and hip weakness. EMG finding is the presence of short-duration, small-amplitude, polyphasic motor unit action potentials (MUAPs). In myopathies, the MUAPs fire early but at a normal rate to compensate for the loss of individual muscle fibers, whereas in neurogenic disorders, the MUAPs fire faster. An EMG is usually normal in steroid or disuse myopathy, both of which are associated with type 2 fiber atrophy; this is because the EMG preferentially assesses the physiologic function of type 1 fibers. The EMG can supplement the clinical examination in choosing an appropriately affected muscle to biopsy. Imaging Studies Skeletal magnetic resonance imaging (MRI) and ultrasound are increasingly utilized to assess the pattern of muscle involvement, which can help in narrowing the diagnosis, and are often more sensitive than the clinical examination and EMG, particularly early in a disease course. For example, there is early predilection of the vastus lateralis and medialis muscles with relative sparing of the rectus femoris muscles on imaging of thigh muscles in patients with inclusion body myositis, and this can be appreciated on imaging prior to weakness being detected on manual muscle testing. MRI can also demonstrate fasciitis when the clinical examination and EMG are normal. Imaging can also be used to help guide what muscle to biopsy in patients with weakness on manual muscle testing and EMG abnormalities only in muscles that are not typically biopsied (e.g., paraspinal or hip girdle). We have found imaging helpful in patients with presumed </w:t>
      </w:r>
      <w:r w:rsidRPr="00A6019F">
        <w:lastRenderedPageBreak/>
        <w:t xml:space="preserve">muscular dystrophy when the muscle biopsy is not diagnostic and genetic test ing shows only a variation of unclear significance. In this situation, the pattern of muscle involvement on imaging can support the known pattern of muscle involvement of a specific hereditary myopathy. The cost and availability of MRI preclude routine use in some settings, but ultrasound is more readily available and less expensive. Genetic Testing This is increasingly available and is the gold stan dard for diagnosing patients with hereditary myopathies. Next-generation Muscle Biopsy Muscle biopsy is extremely helpful in evaluation of acquired myopathies but is performed less frequently in suspected hereditary myopathies as genetic testing has become more widely available. However, muscle biopsy can be helpful in cases of suspected hereditary myopathy in which genetic testing was nondiagnostic. Almost any superficial muscle can be biopsied, but it is important to biopsy one that is affected clinically but not too severely (for example, grade 4 out of 5 strength or movement against moderate resistance by manual muscle testing) (Chap. 433). A specific diagnosis can be estab lished in many disorders. HEREDITARY MYOPATHIES Muscular dystrophy refers to a group of hereditary progressive dis eases, each with unique phenotypic and genetic features (Tables 460-3 through 460-6 and Fig. 460-6). The prognosis of dystrophies is slow progressive weakness, though the severity and course are variable between and even within subtypes. Some are associated with cardiac and ventilatory muscle involvement, which are the leading causes of mor tality. Unfortunately, there are no specific medical therapies for most of the muscular dystrophies, and treatment is aimed at maintaining function with physical and occupational therapy. Noninvasive ventila tion and tracheostomy may be warranted. Those with cardiomyopathy may require afterload reduction, antiarrhythmic agents, pacemakers or intracardiac defibrillators, and occasionally cardiac transplantation. We will focus primarily on those that manifest in adulthood. </w:t>
      </w:r>
      <w:r w:rsidRPr="00A6019F">
        <w:rPr>
          <w:rFonts w:ascii="Arial" w:hAnsi="Arial" w:cs="Arial"/>
        </w:rPr>
        <w:t>■</w:t>
      </w:r>
      <w:r w:rsidRPr="00A6019F">
        <w:t xml:space="preserve">DUCHENNE AND BECKER MUSCULAR DYSTROPHY (DMD AND BMD) DMD and BMD are X-linked recessive muscular dystrophies caused by mutations in the dystrophin gene. Affecting 1 in 3000 male births, DMD is the most common mutational disease affecting boys. The inci dence of BMD is ~5 per 100,000. Clinical Features Proximal muscles, especially of the lower extremities, are prominently involved in both disorders. This becomes evident in DMD very early; boys with DMD have difficulty climbing stairs and never run well. As the disease progresses, weakness becomes more generalized. Hypertrophy of muscles, particularly in the calves, is an early and prominent finding. Most patients with BMD first experience difficulties between ages 5 and 15 years, although onset in the third or fourth decade or even later can occur. Life expectancy for DMD and BMD is reduced, but most BMD cases survive into the fourth or fifth decade. Intellectual disability may occur in both dis orders but is less common in BMD. Cardiac involvement is common in both DMD and BMD and may result in heart failure; some BMD Muscular Dystrophies and Other Muscle Diseases 3639 CHAPTER 460 TABLE 460-3 Autosomal Dominant (AD) Limb-Girdle Muscular Dystrophies (LGMDs) OLD / NEW NOMENCLATURE INHERITANCE GENE AFFECTED PROTEIN LGMD1A / </w:t>
      </w:r>
      <w:r w:rsidRPr="00A6019F">
        <w:lastRenderedPageBreak/>
        <w:t xml:space="preserve">MFM3 AD MYOT Myotilin LGMD1B / EDMD AD LMNA Lamin A and C LGMD1C / Rippling muscle disease AD CAV3 Caveolin-3 LGMD1D / LMGDD1 AD DNAJB6 DNAJ heat shock protein family (Hsp40) member B6 LGMD1E / MFM1 AD DES Desmin LGMD1F / LGMDD2 AD TNPO3 Transportin 3 LGMD1G / LGMDD3 AD HNRNPDL Heterogeneous nuclear ribonucleoprotein D like protein LGMD1H / Discarded due to false linkage LGMD1I / LGMDD4 AD CAPN3 Calpain 3 Bethlem myopathy / LGMDD5 AD COL6A1/2/3 Collagen type VI alpha  patients manifest with only heart failure. Other less common presenta tions of dystrophinopathy are asymptomatic hyper-CK-emia, myalgias without weakness, and myoglobinuria. Laboratory Features Serum CK levels are usually elevated. Mus cle biopsies demonstrate dystrophic features. Western blot analysis of muscle biopsy samples demonstrates absent dystrophin in DMD or reduction in levels or size of dystrophin in BMD. In both disor ders, mutations can be established using DNA from peripheral blood leukocytes. In most cases, muscle biopsies are no longer performed when DMD or BMD is suspected, as genetic testing is less invasive, less costly, and routinely available. Deletions within or duplications of the dystrophin gene are common in both DMD and BMD; in ~95% of cases, the mutation does not alter the translational reading frame of messenger RNA. These “in-frame” mutations allow for production of some dys trophin, which accounts for the presence of altered rather than absent dystrophin on Western blot analysis and a milder clinical phenotype. TABLE 460-4 Autosomal Recessive (AR) Limb-Girdle Muscular Dystrophies (LGMDs) OLD / NEW NOMENCLATURE INHERITANCE GENE AFFECTED PROTEIN LGMD2A / LGMDR1 AR CAPN3 Calpain 3 LGMD2B / LGMDR2 AR DYSF Dysferlin LGMD2C / LGMDR5 AR SGCG γ-Sarcoglycan LGMD2D / LGMDR3 AR SGCA α-Sarcoglycan LGMD2E / LGMDR4 AR SCGB β-Sarcoglycan LGMD2F / LGMDR6 AR SCGD δ-Sarcoglycan LGMD2G / LGMDR7 AR TCAP Telethonin LGMD2H / LGMDR8 AR TRIM32 Tripartite motif-containing 32 LGMD2I / LGMDR9 AR FKRP Fukutin-related protein LGMD2J / LGMDR10 AR TTN Titin LGMD2K / LGMDR11 AR POMT1 Protein O-mannosyltransferase 1 LGMD2L / LGMDR12 AR ANO5 Anoctamin 5 LGMD2M / LGMDR13 AR FKTN Fukutin LGMD2N / LGMDR14 AR POMT2 Protein O-mannosyltransferase 2 LGMD2O / LGMDR15 AR POMGnT1 Protein O-linked mannose Beta-1,2-N-acetyl glucosaminyltranferase-1 LGMD2P / LGMDR16 AR DAG1 α-Dystroglycan LGMD2Q / LGMDR17 AR PLEC1 Plectin 1 LGMD2R / MFM1 AR DES Desmin LGMD2S / LGMDR18 AR TRAPPC11 Trafficking protein particle complex 11 LMGD2T / LGMDDR19 AR GMPPB DP-mannose pyrophosphorylase B LGMD2U / LGMDR20 AR CRPPA CDP-L-ribitol pyrophosphorylase A (also known as ISPD) LGMD2V / Pompe disease AR GAA A Alpha-glucosidase LGMD2W / PINCH-2-related myopathy AR LIMS2 PINCH-2 LGMD2X / LGMDR25 AR BVES Blood vessel endothelial substance LGMD2Y / TOR1AIP1-related myopathy AR TOR1AIP1 Torsin A interacting protein 1 LGMD2Z / LGMDR21 AR POGLUT1 Protein O-glucosyltransferase 1 Bethlem myopathy /LGMDR22 AR COL6A1/2/3 Collagen VI subunits A1, A2, or A3 Laminin α2-related dystrophy / LGMDR23 AR LAMA2 Laminin subunit alpha 2 POMGNT2-related dystrophy/ LGMDR24 AR POMGNT2 Protein O-linked mannose beta 1,4-N-acetyl </w:t>
      </w:r>
      <w:r w:rsidRPr="00A6019F">
        <w:lastRenderedPageBreak/>
        <w:t xml:space="preserve">glucosaminyltransferase 2 NA / LGMDR26 AR POPDC3 Popeye domain-containing protein 3 NA / LGMDR27 AR JAG2 Jagged2 Abbreviation: NA, not applicable. 3640 PART 13 Neurologic Disorders TABLE 460-5 Hereditary Distal Myopathies/Dystrophies DISORDER INHERITANCE GENE AFFECTED PROTEIN Welander AD TIA1 T-cell restricted intracellular antigen Udd AD TTN Titin Markesbery-Griggs AD LDB3 ZASP GNE myopathy (Nonaka; hIBM2) AR GNE UDP-N-acetylglucosamine 2-epimerase/ n-acetylmannosamine kinase Miyoshi 1 AR DYSF Dysferlin Miyoshi 3 AR ANO5 Anoctamin 5 Laing AD MYH7 Myosin heavy chain 7 Williams AD FLNC Filamin C Distal myopathy with vocal cord and pharyngeal weakness (VCPDM) AD MTR3 Matrin 3 KLHL9 myopathy AD KLH9 KELCH-like homologue 9 ADSSL myopathy AR ADSSL Adenylosuccinate synthase PLIN4 myopathy AD PLIN4 Perilipin-4 Abbreviations: AD, autosomal dominant; AR, autosomal recessive. TABLE 460-6 Myofibrillary Myopathies (MFM) MYOFIBRILLAR MYOPATHY INHERITANCE GENE AFFECTED PROTEIN MFM1 AD/AR DES Desmin MFM2 AD CRYAB Alpha-B crystallin MFM3 AD MYOT Myotolin MFM4 AD LDP3 ZASP MFM5 AD FLNC Filamin C MFM6 AD BAG3 Bcl-2-binding protein MFM7 AD KY Kyphoscoliosis peptidase MFM8 AD PYROXD1 Pyridine nucleotide-disulfide oxidoreductase domain-containing protein 1 MFM9 AD TTN Titin MFM10 AD SVIL Supervillin MFM11 AD UNC45B UNC45 myosin chaperone B MFM12 AD MYL2 Myosin light chain 2 Abbreviations: AD, autosomal dominant; AR, autosomal recessive. TREATMENT Duchenne and Becker Muscular Dystrophy Glucocorticoids slow progression in DMD, but their use has not been adequately studied in BMD. Physical and occupational ther apy are important in helping maintain function. As death is often from the associated cardiomyopathy, it is important to follow patients with a cardiologist and treat appropriately. Small studies suggest that there may be a clinical benefit in selected cases of DMD from short oligonucleotides that permit skipping of mutant exons, leading to expression of a short but nonetheless functional dystro phin protein. In parallel, other studies suggest that small molecules may permit read-through of protein-truncating mutations in some DMD cases. Gene therapy studies have not as yet been conducted in BMD. </w:t>
      </w:r>
      <w:r w:rsidRPr="00A6019F">
        <w:rPr>
          <w:rFonts w:ascii="Arial" w:hAnsi="Arial" w:cs="Arial"/>
        </w:rPr>
        <w:t>■</w:t>
      </w:r>
      <w:r w:rsidRPr="00A6019F">
        <w:t xml:space="preserve">LIMB-GIRDLE MUSCULAR DYSTROPHY The limb-girdle muscular dystrophies (LGMDs) are a genetically heterogenous group of dystrophies in which males and females are affected equally, with typical onset ranging from late in the first decade to the fourth decade. The LGMDs usually manifest with progressive weakness of pelvic and shoulder girdle musculature and are often clini cally indistinguishable from DMD and BMD. Respiratory insufficiency from weakness of the diaphragm may occur, as may cardiomyopathy. Serum CKs are elevated, and the EMG is myopathic. Muscle biopsies reveal dystrophic features, but the findings are not specific to differ entiate subtypes from one another unless immunohistochemistry is employed (e.g., immunostaining for various sarcoglycans, dysferlin, alpha-dystroglycan) or there are features to suggest one of the myofi brillar myopathies. Nonetheless, definitive diagnosis requires genetic testing. The traditional classification of LGMD is based on autosomal domi nant (LGMD1) and autosomal recessive (LGMD2) inheritance. Super imposed on the backbone of LGMD1 </w:t>
      </w:r>
      <w:r w:rsidRPr="00A6019F">
        <w:lastRenderedPageBreak/>
        <w:t xml:space="preserve">and LGMD2, the classification uses a sequential alphabetical lettering system (LGMD1A, LGMD2A, etc.) based on genotype. However, ever-expanding discoveries of new genes have outgrown the alphabet. The European Neuromuscular Centre (ENMC) proposed a new nomenclature in which autosomal dominant cases are termed LGMD “D” and autosomal recessive as LGMD “R,” followed by a numerical number based on genotype. Fur thermore, this new classification only includes cases in which at least two unrelated families have been reported, the predominant weakness at onset was proximal, independent ambulation was achieved at some time, CK is elevated, and muscle biopsies or imaging revealed dystro phic features. Thus, mutations in the CPN3 gene leading to a deficiency in calpain-3, which traditionally were classified as LGMD2A, are classified as LGMDR1 by this new system. In contrast, mutations in myotilin (LGMD1A) and desmin (LGMD1E and LGMD2R) and that often have more distal weakness and have biopsy features of a myofi brillar myopathy are not classified as a LGMD in this new scheme but rather as subtypes of myofibrillar myopathy. Likewise, laminopathies (LGMD1B) are considered a subtype of EDMD rather than an LGMD. The myofibrillar myopathies are now considered as being separate from LGMD. This new classification of LGMD and distal muscular dystrophies is summarized in Tables 460-3 and 460-4. A recent metanalysis reported the prevalence of LGMD to be 1.63 per 100,000 (range, 0.56–5.75 per 100,000), while estimated prevalences Extra cellular matrix 3641 MDC1A, LGMDR23 (α 2 lamin or merosin) LGMDD5, LGMDR22 Bethlem and Ullrich myopathy (Collagen VI) LGMDR5 Rippling muscle disease LGMD1C (Caveolin-3) (FKRP) LGMDR9 Sarcospan LGMDR6 LGMDR4 LGMDR3 LGMDR2 (Dysferlin) (POMT1) LGMDR11 also cause forms of MDDG (Fukutin) LGMDR13 (POMT2) LGMDR14 (POMGnT1) LGMDR15 (POMGnT2) LGMDR24 also cause forms of MDDG Dystrophin (Duchenne and Becker dystrophy) LGMDR12 (Anoctamin 5) ISPD, LARGE, TMEM5, GMPPB, B3GNT1, GTDC2, B3GALNT2, POMK, cause MDDGA, MDDGB, MDDC and LGMD LGMDR8 TRIM32 LGMDR18 TRAPPC11 Myofibrillar myopathy MFM1 (Desmin) EDMD4, EDMD5 (Nesprin 1, Nesprin 2) LGMDR1 (Calpain-3) MFM3/LGMD1A (myotilin) LGMDR7 (Telethonin) Other Z-disk proteins; ZASP, BAG3, α B-crystallin, Nebulin, α Actinin, FHL1, Filamin C, Kyphoscoliosis peptidase, Supervillin, PYROXD1, UNC45B EDMD1 (Emerin) α-SG LGMD1B EDMD2, 3 (Lamin A/C) β-SG γ-SG α-SG LGMDR16 α-DG β-DG Nucleus PABN2 EDMD7 (TMEM43) OPMD Titin Myosin Actin Myofibrillar myopathy Nemaline myopathy LGMDR10 Udd distal myopathy HMERR MFM10 Laing myopathy Hyaline myopathy H-IBM3 MFM12 Transportin3 LGMDD3 Torsin A-Interacting Protein 1 LRP12 GIPC1 NOTCH2NLC RILPL1 VCP HNRPA2BI HNRNPAI Sequestome OPDM1 OPDM2 OPDM3 OPDM4 MSP1 MSP2 MSP3 MSP4 MSP5 Matrin3 FIGURE 460-6 Proteins involved in the muscular dystrophies. This schematic shows the location of various sarcolemmal, sarcomeric, nuclear, and enzymatic proteins associated with muscular dystrophies. The diseases associated with mutations in the genes responsible for encoding these proteins are shown in boxes. Dystrophin, via its interaction with the dystroglycan complex, connects the actin cytoskeleton to the extracellular matrix. </w:t>
      </w:r>
      <w:r w:rsidRPr="00A6019F">
        <w:lastRenderedPageBreak/>
        <w:t xml:space="preserve">Extracellularly, the sarcoglycan complex interacts with biglycan, which connects this complex to the dystroglycan complex and the extracellular matrix collagen. Various enzymes are important in the glycosylation of the α-dystroglycan and mediate its binding to the extracellular matrix and usually cause a congenital muscular dystrophy with severe brain and eye abnormalities but may cause milder limb girdle muscular dystrophy (LGMD) phenotype. Mutations in genes that encode for sarcomeric and Z-disk proteins cause forms of LGMD and distal myopathies (including myofibrillar myopathy, forms of hereditary inclusion body myopathy) as well as nemaline rod myopathy and other “congenital” myopathies. Mutations affecting nuclear membrane proteins are responsible for most forms of Emery-Dreifuss muscular dystrophy (EDMD). Mutations in other nuclear genes cause other forms of dystrophy. (Reproduced with permission from AA Amato et al (eds): Amato and Russell’s Neuromuscular disorders, 3rd ed. New York: McGraw Hill; 2025.) of individual specific subtypes of LGMDs vary. The most common types of adult-onset LGMD are calpainopathy (LGMD2A/LGMDR1), fukutin-related protein (FKRP) deficiency (LGMD2I/LGMDR9), and anoctaminopathy (LGMD2L/LGMDR12). Calpainopathy (LGMD2A/ LGMDR1), the most common cause of LGMD in those with ancestry from Spain, France, Italy, and Great Britain, is associated with marked scapular winging, lack of calf muscle hypertrophy, and lack of cardiac and lung involvement. Of note, autosomal dominant mutations in an intron of the calpain-3 gene is responsible for LGMD1I/LGMDD4. LGMD2I/LGMDR9 is more common in individuals with northern European ancestry, is associated with calf muscle hypertrophy, and can have cardiac and lung involvement out of proportion to extremity weakness. LGMD2L/LGMDR12 accounts for ~7% of LGMD in the United States, and the prevalence is higher in northern Europe; as seen in dysferlinopathies (LGMD2B/LGMDR2 and Miyoshi myopathy type 1), anoctaminopathy has an early predilection for medial calf atrophy and weakness. Importantly, immune-mediated necrotizing myopathies can mimic LGMD clinically and histopathologically (Chap. 377). Any one suspected of having an LGMD but without definite pathogenic mutation(s) identified on genetic testing should be screened for the presence of serum antibodies against HMGCR and SRP to assess for a treatable autoimmune cause. </w:t>
      </w:r>
      <w:r w:rsidRPr="00A6019F">
        <w:rPr>
          <w:rFonts w:ascii="Arial" w:hAnsi="Arial" w:cs="Arial"/>
        </w:rPr>
        <w:t>■</w:t>
      </w:r>
      <w:r w:rsidRPr="00A6019F">
        <w:t xml:space="preserve">EMERY-DREIFUSS MUSCULAR DYSTROPHY There are at least seven subtypes of EDMD that have been associated with mutations in EMD (EDMD1), LMNA (EDMD2 and EDMD3), SYNE1 (EDMD4), SYNE2 (EDMD5), FHL1 (EDMD6), and TMEM43 (EDMD7), encoding emerin, lamin A/C, nesprin-1, nesprin-2, FHL1, and LUMA, respectively. Mutations in EMD and FHL produce X-linked inheritance, whereas the others can be autosomal dominant (LMNA, SYNE1, SYNE2, LUMA) or autosomal recessive (LMNA1). The clinical phenotypes are quite similar. Clinical Features Prominent contractures can be recognized in early childhood and teenage years, often preceding muscle weak ness. The contractures persist throughout the course of the disease and are present at the elbows, ankles, and neck. Muscle weakness affects humeral and peroneal muscles at first and later spreads to a limb-girdle distribution (Table 460-1). The cardiomyopathy is </w:t>
      </w:r>
      <w:r w:rsidRPr="00A6019F">
        <w:lastRenderedPageBreak/>
        <w:t xml:space="preserve">poten tially life threatening and may result in sudden death. A spectrum of atrial rhythm and conduction defects includes atrial fibrillation, CHAPTER 460 Muscular Dystrophies and Other Muscle Diseases 3642 atrial standstill, and atrioventricular heart block. Some patients have a dilated cardiomyopathy. Female carriers of the X-linked variant may manifest with a cardiomyopathy. Laboratory Features Serum CK is usually slightly elevated, and the EMG is myopathic. Muscle biopsy usually shows nonspecific dystrophic features, although cases associated with FHL1 mutations have features of myofibrillar myopathy. Immunohistochemistry reveals absent emerin staining of myonuclei in X-linked EDMD due to emerin mutations. Electrocardiograms (ECGs) demonstrate atrial and atrio ventricular rhythm disturbances. PART 13 Neurologic Disorders X-linked EDMD usually arises from defects in the emerin gene encoding a nuclear envelope protein. FHL1 mutations are also a cause of X-linked scapuloperoneal dystrophy but can also present with an X-linked form of EDMD. The autosomal dominant disease can be caused by mutations in the LMNA gene encoding Lamin A/C; in the synaptic nuclear envelope protein 1 (SYNE1) or 2 (SYNE2) encod ing nesprin-1 and nesprin-2, respectively; and in TMEM43 encoding LUMA. These proteins are essential components of the filamentous network underlying the inner nuclear membrane. Loss of structural integrity of the nuclear envelope from defects in emerin, Lamin A/C, nesprin-1, nesprin-2, and LUMA accounts for overlapping phenotypes. TREATMENT Emery-Dreifuss Muscular Dystrophy Supportive care should be offered for neuromuscular disability, including ambulatory aids, if necessary. Stretching of contractures is difficult. Management of cardiomyopathy and arrhythmias (e.g., early use of a defibrillator or cardiac pacemaker) may be lifesaving. </w:t>
      </w:r>
      <w:r w:rsidRPr="00A6019F">
        <w:rPr>
          <w:rFonts w:ascii="Arial" w:hAnsi="Arial" w:cs="Arial"/>
        </w:rPr>
        <w:t>■</w:t>
      </w:r>
      <w:r w:rsidRPr="00A6019F">
        <w:t xml:space="preserve">MYOTONIC DYSTROPHY There are two distinct forms of myotonic dystrophy (dystrophia myo tonica [DM]), namely myotonic dystrophy type 1 (DM1) and myotonic dystrophy type 2 (DM2), also called proximal myotonic myopathy (PROMM). Clinical Features The clinical expression of DM1 varies widely and involves many systems other than muscle. Affected patients may have a </w:t>
      </w:r>
      <w:r w:rsidRPr="00A6019F">
        <w:rPr>
          <w:rFonts w:ascii="Aptos" w:hAnsi="Aptos" w:cs="Aptos"/>
        </w:rPr>
        <w:t>“</w:t>
      </w:r>
      <w:r w:rsidRPr="00A6019F">
        <w:t>hatchet-faced</w:t>
      </w:r>
      <w:r w:rsidRPr="00A6019F">
        <w:rPr>
          <w:rFonts w:ascii="Aptos" w:hAnsi="Aptos" w:cs="Aptos"/>
        </w:rPr>
        <w:t>”</w:t>
      </w:r>
      <w:r w:rsidRPr="00A6019F">
        <w:t xml:space="preserve"> appearance due to temporalis, masseter, and facial muscle atrophy and weakness. Frontal baldness is frequent. Weakness of wrist and fingers occurs early, as does foot drop. Proximal muscles are less affected. Palatal, pharyngeal, and tongue involvement can lead to dysarthria and dysphagia. Some patients have diaphragm and intercostal muscle weakness, resulting in ventilatory insufficiency. Myotonia is usually apparent by the age of 5 years and is best demon strable by percussion of the thenar eminence or asking patients to close their fingers very tightly and then relax. ECG abnormalities include first-degree heart block and more exten sive conduction system involvement. Complete heart block and sudden death can occur. Congestive heart failure occurs infrequently but may result from cor pulmonale secondary to respiratory failure. Other associated features include intellectual impairment, hypersomnia, pos terior subcapsular cataracts, gonadal atrophy, insulin resistance, and decreased esophageal and colonic motility. Congenital myotonic dystrophy is a more severe form of DM1 and occurs in ~25% of infants of affected </w:t>
      </w:r>
      <w:r w:rsidRPr="00A6019F">
        <w:lastRenderedPageBreak/>
        <w:t xml:space="preserve">mothers. It is characterized by severe facial and bulbar weakness, transient neonatal respiratory insuf ficiency, and intellectual disability. DM2 or PROMM involves mainly proximal muscles. Other features of the disease overlap with DM1, including cataracts, testicular atrophy, insulin resistance, constipation, hypersomnia, and cognitive defects. Cardiac conduction defects occur but are less common. The hatchet face and frontal baldness are also less consistent features. A very strik ing difference is the failure to clearly identify a congenital form of DM2. Laboratory Features The diagnosis of myotonic dystrophy can usually be made on the basis of clinical findings. Serum CK levels may be normal or mildly elevated. EMG evidence of myotonia is present in most cases of DM1 but is more patchy in DM2. Muscle biopsy is not typically performed for diagnosis but is sometimes done when the clinical features and electrophysiologic features are not recognized. The major histopathologic features in both DM1 and DM2 are numerous internalized nuclei in individual muscle fibers combined with many atrophic fibers with pyknotic nuclear clumps. DM1 and DM2 are autosomal dominant disorders. DM1 is transmit ted by an intronic mutation consisting of an unstable expansion of a CTG trinucleotide repeat in a serine-threonine protein kinase gene (named DMPK). An increase in the severity of the disease phenotype in succes sive generations (genetic anticipation) is accompanied by an increase in the number of trinucleotide repeats. The unstable triplet repeat in myo tonic dystrophy can be used for prenatal diagnosis. Congenital disease occurs almost exclusively in infants born to affected mothers. DM2 is caused by a DNA expansion mutation consisting of a CCTG repeat in intron 1 of the CNBP gene encoding the CCHC-type zinc finger nucleic acid binding protein. The DNA expansions in DM1 and DM2 impair muscle function by a toxic gain of function of the mutant mRNA. In both DM1 and DM2, the mutant RNA appears to form intranuclear inclusions composed of aberrant RNA. These RNA inclusions sequester RNA-binding proteins essential for proper splicing of a variety of other mRNAs. This leads to abnormal transcription of multiple proteins in a variety of tissues/organ systems, in turn causing the systemic manifestations of DM1 and DM2. TREATMENT Myotonic Dystrophy The myotonia in DM1 and DM2 is usually not so bothersome to warrant treatment, but when it is, mexiletine may be helpful. A cardiac pacemaker or implantable cardioverter defibrillator should be considered for patients with significant arrhythmia. Molded ankle-foot orthoses help stabilize gait in patients with foot drop. Excessive daytime somnolence with or without sleep apnea is not uncommon. Sleep studies, noninvasive respiratory support (bipha sic positive airway pressure [BiPAP]), and treatment with modafinil may be beneficial. </w:t>
      </w:r>
      <w:r w:rsidRPr="00A6019F">
        <w:rPr>
          <w:rFonts w:ascii="Arial" w:hAnsi="Arial" w:cs="Arial"/>
        </w:rPr>
        <w:t>■</w:t>
      </w:r>
      <w:r w:rsidRPr="00A6019F">
        <w:t xml:space="preserve">FACIOSCAPULOHUMERAL (FSHD) MUSCULAR DYSTROPHY There are two forms of FSHD that have similar pathogenesis. Most patients have FSHD type 1 (95%), whereas ~5% have FSHD2. Both forms are clinically and histopathologically identical. The prevalence FSHD is ~5 per 100,000 individuals. Clinical Features FSHD typically presents in childhood or young adulthood. In most cases, facial weakness is the initial manifestation, appearing as an inability to smile, whistle, or fully close the eyes. Loss of </w:t>
      </w:r>
      <w:r w:rsidRPr="00A6019F">
        <w:lastRenderedPageBreak/>
        <w:t xml:space="preserve">scapular stabilizer muscles makes arm elevation difficult. Scapular winging (Fig. 460-3) becomes apparent with attempts at abduction and forward movement of the arms. Biceps and triceps muscles may be severely affected, with relative sparing of the deltoid muscles. Weak ness is invariably worse for wrist extension than for wrist flexion, and weakness of the anterior compartment muscles of the legs may lead to foot drop. In 20% of patients, weakness progresses to involve the pelvic muscles, and severe functional impairment and possible wheel chair dependency result. The heart is not involved, but there can be ventilatory muscle weakness in 5% of affected individuals. There is an increased incidence of nerve deafness. Coats’ disease, a disorder consist ing of telangiectasia, exudation, and retinal detachment, also occurs. Laboratory Features The serum CK level may be normal or mildly elevated. EMG and muscle biopsy show nonspecific abnormali ties but on occasion can reveal a prominent inflammatory infiltrate leading to an incorrect diagnosis of myositis (Chap. 377). FSHD1 is associated with deletions of tandem 3.3-kb repeats at 4q35. The deletion reduces the number of repeats to a fragment of 3 μm. However, the rods are almost always appreciated on electron microscopy, and on immunohistochemistry, the rods are usually immunoreactive to anti-α-actinin antibody. TREATMENT SLONM Some patients with SLONM respond to intravenous immunoglobu lin or other immunosuppressive therapies. Autologous stem cell transplantation has been beneficial in some patients with SLONM and a monoclonal gammopathy. TABLE 460-7 Multisystem Proteinopathies MULTISYSTEM PROTEINOPATHY MSP1 / IBMPFD1 MSP2 / IBMPFD2 MSP3 / IBMPFD3 MSP4 MSP5 INHERITANCE GENE AD AD AD VCP HNRPA2B1 HNRNPA1 AD AD SQTM1 MTR3 Abbreviations: AD, autosomal dominant; HNRNPA1, heterogeneous nuclear ribonucleoprotein A1; HNRPA2B1, heterogeneous nuclear ribonucleoprotein A2/B1; IBMPFD, inclusion body myopathy, Paget disease, frontotemporal dementia; MSP, multisystem proteinopathy. METABOLISM There are two principal sources of energy for skeletal muscle—fatty acids and glucose. Abnormalities in either glucose or lipid utilization can be associated with distinct clinical presentations that can range from an acute, painful syndrome with rhabdomyolysis and myoglo binuria to a chronic, progressive muscle weakness simulating muscular dystrophy (Table 460-1). As with the muscular dystrophies, there are no specific medical treatments available. </w:t>
      </w:r>
      <w:r w:rsidRPr="00A6019F">
        <w:rPr>
          <w:rFonts w:ascii="Arial" w:hAnsi="Arial" w:cs="Arial"/>
        </w:rPr>
        <w:t>■</w:t>
      </w:r>
      <w:r w:rsidRPr="00A6019F">
        <w:t xml:space="preserve">GLYCOGEN STORAGE AND GLYCOLYTIC DEFECTS Disorders of Glycolysis Causing Exercise Intolerance Sev eral glycolytic defects are associated with recurrent myoglobinuria. The most common is McArdle disease caused by mutations in the PYGM gene leading to myophosphorylase deficiency. Symptoms of muscle pain and stiffness usually begin in adolescence. With severe episodes, myoglobinuria can occur. Certain features help distinguish some enzyme defects. In McArdle disease, exercise tolerance can be enhanced by a slow induction phase (warm-up) or brief periods of rest, allowing for the start of the “second-wind” phenomenon (switching to utilization of fatty acids). Varying degrees of hemolytic anemia accompany deficiencies of both phosphofructokinase (mild) and phosphoglycerate kinase (severe). In phosphoglycerate kinase deficiency, </w:t>
      </w:r>
      <w:r w:rsidRPr="00A6019F">
        <w:lastRenderedPageBreak/>
        <w:t xml:space="preserve">the usual clinical presentation is a seizure disorder associated with intellectual disability; exercise intoler ance is an infrequent manifestation. In all of these conditions, the serum CK levels fluctuate widely and may be elevated even during symptom-free periods. CK levels &gt;100 times normal are expected accompanying myoglobinuria. A forearm exercise test reveals a blunted rise in venous lactate with a normal rise in ammonia. A definitive diagnosis of glycolytic disease can be made by muscle biopsy with appropriate staining and enzyme assays, but genetic testing is now done in lieu of biopsy in most cases. Training may enhance exercise tolerance, perhaps by increasing perfusion to muscle. Dietary intake of free glucose or fructose prior to activity may improve function, but care must be taken to avoid obesity from ingesting too many calories. Disorders of Glycogen Storage Causing Progressive AFFECTED PROTEIN Valosin-containing protein HNRPA2B1 HNRNPA1 Sequestome Matrin 3 Weakness • `-GLUCOSIDASE, OR ACID MALTASE, DEFICIENCY (POMPE DISEASE) Three clinical forms of α-glucosidase, or acid maltase, deficiency (type II glycogenosis) can be distinguished. The infantile form is the most common, with onset of symptoms in the first 3 months of life. Infants develop severe muscle weakness, car diomegaly, hepatomegaly, and respiratory insufficiency. Glycogen accumulation in motor neurons of the spinal cord and brainstem con tributes to muscle weakness. Death usually occurs by 1.5 years of age. In the childhood form, the picture resembles DMD with delayed motor milestones resulting from proximal limb muscle weakness and involve ment of respiratory muscles. The heart may be involved, but the liver and brain are unaffected. The adult form usually begins in the third or fourth decade but can present as late as the seventh decade. Ventila tory weakness can be the initial and only manifestation in 20–30% of late-onset cases. The serum CK level is 2–10 times normal in infantile or childhood onset Pompe disease but can be normal in adult-onset cases. EMG can demonstrate muscle membrane irritability, particularly in the paraspinal muscles. The muscle biopsy in infants typically reveals vacuoles containing glycogen and the lysosomal enzyme acid phos phatase. Electron microscopy reveals membrane-bound and free tissue glycogen. However, muscle biopsies in late-onset Pompe disease may demonstrate only nonspecific abnormalities. Enzyme analysis of dried blood spots is a sensitive technique to screen for Pompe disease. A definitive diagnosis is established by genetic testing. Pompe disease is inherited as an autosomal recessive disorder caused by mutations of the α-glucosidase gene. Enzyme replacement therapy (ERT) with IV recombinant human α-glucosidase is beneficial in infantile-onset Pompe disease. In late-onset cases, ERT has a more modest benefit. OTHER GLYCOGEN STORAGE DISEASES WITH PROGRESSIVE WEAK 3645 NESS In debranching enzyme deficiency (type III glycogenosis), a slowly progressive form of muscle weakness can develop after puberty. Rarely, myoglobinuria may be seen. Patients are usually diagnosed in infancy, however, because of hypotonia and delayed motor milestones; hepa tomegaly, growth retardation, and hypoglycemia are other manifesta tions. Branching enzyme deficiency (type IV glycogenosis) is a rare and fatal glycogen storage </w:t>
      </w:r>
      <w:r w:rsidRPr="00A6019F">
        <w:lastRenderedPageBreak/>
        <w:t xml:space="preserve">disease characterized by failure to thrive and hepatomegaly. Hypotonia and muscle wasting may be present, but the skeletal muscle manifestations are minor compared to liver failure. An autosomal dominant glycogen storage disease was reported in a single family that was due to a mutation in the PYGM gene that typically causes autosomal recessive McArdle disease. Affected individuals pre sented with progressive proximal weakness, no exercise intolerance, normal CK, and a normal lactic acid increase with exercise. </w:t>
      </w:r>
      <w:r w:rsidRPr="00A6019F">
        <w:rPr>
          <w:rFonts w:ascii="Arial" w:hAnsi="Arial" w:cs="Arial"/>
        </w:rPr>
        <w:t>■</w:t>
      </w:r>
      <w:r w:rsidRPr="00A6019F">
        <w:t xml:space="preserve">LIPID AS AN ENERGY SOURCE AND ASSOCIATED DEFECTS Lipid is an important muscle energy source during rest and during prolonged, submaximal exercise. Oxidation of fatty acids occurs in the mitochondria. To enter the mitochondria, a fatty acid must first be converted to an “activated fatty acid,” acyl-CoA. The acyl-CoA must be linked with carnitine by the enzyme CPT for transport into the mitochondria. Carnitine Palmitoyltransferase 2 (CPT2) Deficiency CPT2 deficiency is the most common recognizable cause of recurrent myoglobinuria. Onset is usually in the teenage years or early twen ties. Muscle pain and myoglobinuria typically occur after prolonged exercise but can also be precipitated by fasting or infections; up to 20% of patients do not exhibit myoglobinuria, however. Strength is normal between attacks. In contrast to disorders caused by defects in glycolysis, in which muscle cramps follow short, intense bursts of exercise, the muscle pain in CPT2 deficiency does not occur until the limits of utilization have been exceeded and muscle breakdown has already begun. Serum CK levels and EMG findings are both usually normal between episodes. A normal rise of venous lactate during forearm exercise dis tinguishes this condition from glycolytic defects. Muscle biopsy does not show lipid accumulation and is usually normal between attacks. The diagnosis requires direct measurement of muscle CPT or genetic testing. Attempts to improve exercise tolerance with frequent meals and a low-fat, high-carbohydrate diet, or by substituting medium-chain triglycerides in the diet, have not proven to be beneficial. MITOCHONDRIAL MYOPATHIES Mitochondria play a key role in energy production. Oxidation of the major nutrients derived from carbohydrate, fat, and protein leads to the generation of reducing equivalents. The latter are transported through the respiratory chain in the process known as oxidative phosphoryla tion. The energy generated by the oxidation-reduction reactions of the respiratory chain is stored in an electrochemical gradient coupled to ATP synthesis. A novel feature of mitochondria is their genetic composition. Each mitochondrion possesses a DNA genome that is distinct from that of the nuclear DNA. Human mitochondrial DNA (mtDNA) consists of a double-strand, circular molecule comprising 16,569 base pairs (bp). It codes for 22 transfer RNAs, 2 ribosomal RNAs, and 13 polypeptides of the respiratory chain enzymes. The genetics of mitochondrial dis eases differ from the genetics of chromosomal disorders. The DNA of mitochondria is directly inherited from the cytoplasm of the gametes, mainly from the oocyte. The sperm contributes very little of its mito chondria to the offspring at the time of fertilization. Thus, mitochon drial genes are derived almost exclusively from the mother, accounting for maternal inheritance of some mitochondrial disorders. Patients with mitochondrial myopathies </w:t>
      </w:r>
      <w:r w:rsidRPr="00A6019F">
        <w:lastRenderedPageBreak/>
        <w:t xml:space="preserve">have clinical manifesta tions that usually fall into three groups: chronic progressive external ophthalmoplegia (CPEO), skeletal muscle–CNS syndromes, and pure myopathy simulating muscular dystrophy or metabolic myopathy. Unfortunately, no specific medical therapies are clearly beneficial, although coenzyme Q10 supplements are often prescribed. Kearns-Sayre Syndrome (KSS) This is a widespread multiorgan system disorder with a defined triad of clinical findings: onset before age 20, CPEO, and pigmentary retinopathy, plus one or more of the following features: complete heart block, cerebrospinal fluid (CSF) protein &gt;1 g/L (100 mg/dL), or cerebellar ataxia. The cardiac disease includes syncopal attacks and cardiac arrest related to the abnor malities in the cardiac conduction system: prolonged intraventricular conduction time, bundle branch block, and complete atrioventricular block. Death attributed to heart block occurs in ~20% of the patients. Varying degrees of progressive limb muscle weakness and easy fatiga bility affect activities of daily living. Many affected individuals have intellectual disabilities. Endocrine abnormalities are also common, including gonadal dysfunction in both sexes with delayed puberty, short stature, and infertility. Diabetes mellitus occurs in ~13% of KSS patients. Other less common endocrine disorders include thyroid dis ease, hyperaldosteronism, Addison’s disease, and hypoparathyroidism. Serum CK and lactate levels are normal or slightly elevated. Serum levels of fibroblast growth factor 21 (FGF-21) and growth and dif ferentiation factor 15 (GDF-15) are often elevated in mitochondrial disorders with muscle weakness. EMG is often myopathic. NCS may be abnormal related to an associated neuropathy. Muscle biopsies reveal ragged red fibers and cytochrome oxidase (COX)–negative fibers. By electron microscopy, there are increased numbers of mitochondria that often appear enlarged and contain paracrystalline inclusions. KSS is a sporadic disorder caused by single mtDNA deletions that are presumed to arise spontaneously in the ovum or zygote. The most common deletion, occurring in about one-third of patients, removes 4977 bp of contiguous mtDNA. Monitoring for cardiac conduction defects is critical. Prophylactic pacemaker implantation is indicated when ECGs demonstrate a bifascicular block. Progressive External Ophthalmoplegia (PEO) PEO can be caused by nuclear DNA mutations affecting mtDNA and thus inherited in a Mendelian fashion or by mutations in mtDNA. Onset is usually after puberty. Fatigue, exercise intolerance, dysphagia, and complaints of muscle weakness are typical. The neurologic examination confirms the ptosis and ophthalmoplegia, usually asymmetric in distribution. Patients do not complain of diplopia. Mild facial, neck flexor, and proximal weakness is typical. Rarely, respiratory muscles may be pro gressively affected and may be the direct cause of death. CHAPTER 460 Muscular Dystrophies and Other Muscle Diseases Serum CK and lactate can be normal or mildly elevated. The EMG can be myopathic. Ragged red and COX-negative fibers are promi nently displayed in the muscle biopsy. This autosomal dominant form of CPEO is most commonly caused by mutations in the genes encoding adenine nucleotide translocator 1 (ANT1), twinkle gene (C10orf2), and mtDNA polymerase 1 (POLG1). Autosomal recessive PEO can also be caused by </w:t>
      </w:r>
      <w:r w:rsidRPr="00A6019F">
        <w:lastRenderedPageBreak/>
        <w:t xml:space="preserve">mutations in POLG1. Point mutations have been identified within various mitochondrial tRNA (Leu, Ile, Asn, Trp) genes in families with maternal inheritance of PEO. There is no specific medical treatment available; exercise may improve function, but this will depend on the patient’s ability to participate. Myoclonic Epilepsy with Ragged Red Fibers (MERRF) The onset of MERRF is variable, ranging from late childhood to middle adult life. Characteristic features include myoclonic epilepsy, cerebellar ataxia, and progressive proximal muscle weakness. The seizure disor der is an integral part of the disease and may be the initial symptom. Cerebellar ataxia precedes or accompanies epilepsy. Other more vari able features include dementia, peripheral neuropathy, optic atrophy, hearing loss, and diabetes mellitus. Serum CK levels and lactate may be normal or elevated. EMG is myopathic, and in some patients, NCS show a neuropathy. The electroencephalogram is abnormal, corroborating clinical findings of epilepsy. Typical ragged red fibers are seen on muscle biopsy. MERRF is caused by maternally inherited point mutations of mitochondrial 3646 tRNA genes. The most common mutation found in 80% of MERRF patients is an A to G substitution at nucleotide 8344 of tRNA lysine (A8344G tRNAlys). Only supportive treatment is possible, with special attention to epilepsy. Mitochondrial Myopathy, Encephalopathy, Lactic Acido sis, and Stroke-like Episodes (MELAS) MELAS is the most PART 13 Neurologic Disorders common mitochondrial encephalomyopathy. The term stroke-like is appropriate because the cerebral lesions do not conform to a strictly vascular distribution. The onset in the majority of patients is before age 20. Seizures, usually partial motor or generalized, are common and may represent the first clearly recognizable sign of disease. The cerebral insults that resemble strokes cause hemiparesis, hemianopia, and cortical blindness. A presumptive stroke occurring before age 40 should place this mitochondrial encephalomyopathy high in the differential diagnosis. Associated conditions include hearing loss, diabetes mellitus, hypothalamic pituitary dysfunction causing growth hormone deficiency, hypothyroidism, and absence of secondary sexual characteristics. In its full expression, MELAS leads to dementia, a bedridden state, and a fatal outcome. Serum lactic acid is typically elevated. The CSF protein is also increased but is usually ≤1 g/L (100 mg/dL). Muscle biopsies show ragged red fibers. Neuroimaging demonstrates basal ganglia calcification in a high percentage of cases. Focal lesions that mimic infarction are present predominantly in the occipital and parietal lobes. Strict vascular territories are not respected, and cerebral angiography fails to demonstrate lesions of the major cerebral blood vessels. MELAS is usually caused by maternally inherited point muta tions of mitochondrial tRNA genes. The A3243G point mutation in tRNALeu(UUR) is the most common, occurring in ~80% of MELAS cases. No specific treatment is available. Supportive treatment is essential for the stroke-like episodes, seizures, and endocrinopathies. Mitochondrial DNA Depletion Syndromes Mitochondrial DNA depletion syndrome (MDS) is a heterogeneous group of disorders that are inherited in an autosomal recessive fashion and can present in infancy or in adults. MDS can be caused by mutations in several genes (TK2, DGUOK, </w:t>
      </w:r>
      <w:r w:rsidRPr="00A6019F">
        <w:lastRenderedPageBreak/>
        <w:t xml:space="preserve">RRM2B, TYMP, SUCLA1, and SUCLA2) that lead to depletion of mitochondrial deoxyribonucleotides (dNTP) necessary for mtDNA replication. The other major cause of MDS is a set of mutations in genes essential for mtDNA replication (e.g., POLG1 and C10orf2). The clinical phenotypes associated with MDS vary. Patients may develop a severe encephalopathy (e.g., Leigh’s syndrome), PEO, an isolated myopathy, myo-neuro-gastrointestinal encephalopathy (MNGIE), and a sensory neuropathy with ataxia. DISORDERS OF MUSCLE MEMBRANE EXCITABILITY Muscle membrane excitability is affected in a group of disorders referred to as channelopathies. These disorders usually present with episodic muscle weakness (periodic paralysis) and sometimes myoto nia or paramyotonia (Table 460-1). </w:t>
      </w:r>
      <w:r w:rsidRPr="00A6019F">
        <w:rPr>
          <w:rFonts w:ascii="Arial" w:hAnsi="Arial" w:cs="Arial"/>
        </w:rPr>
        <w:t>■</w:t>
      </w:r>
      <w:r w:rsidRPr="00A6019F">
        <w:t xml:space="preserve">CALCIUM CHANNEL DISORDERS OF MUSCLE Hypokalemic Periodic Paralysis (HypoKPP) This is an auto somal dominant disorder with onset in adolescence. Males are more often affected because of decreased penetrance in females. Episodic weakness with onset after age 25 is almost never due to periodic paralyses, with the exception of thyrotoxic periodic paralysis. Attacks are often provoked by meals high in carbohydrates or sodium and may accompany rest following prolonged exercise. Weakness usually affects proximal limb muscles more than distal. Ocular and bulbar muscles are less likely to be affected. Respiratory muscles are usually spared, but when they are involved, the condition may prove fatal. Weakness may take as long as 24 h to resolve. Life-threatening cardiac arrhythmias related to hypokalemia may occur during attacks. As a late complication, patients commonly develop severe, disabling proximal lower extremity weakness. Attacks of thyrotoxic periodic paralysis resemble those of primary HypoKPP. Despite a higher incidence of thyrotoxicosis in women, men, particularly those of Asian descent, are more likely to manifest this complication. Attacks abate with treatment of the underlying thy roid condition. A low serum potassium level during an attack, excluding secondary causes, establishes the diagnosis. In the midst of an attack of weak ness, motor conduction studies may demonstrate reduced amplitudes, whereas EMG may show electrical silence in severely weak muscles. In between attacks, the EMG and routine NCS are normal. However, a long exercise NCS test may demonstrate decrementing amplitudes. HypoKPP type 1 is the most common form and is caused by muta tions in the voltage-sensitive, skeletal muscle calcium channel gene, CALCL1A3. Approximately 10% of cases are HypoKPP type 2, arising from mutations in the voltage-sensitive sodium channel gene (SCN4A). In both forms, the mutations lead to an abnormal gating pore current that predisposes the muscle cell to depolarize when potassium levels are low. TREATMENT Hypokalemic Periodic Paralysis Mild attacks usually do not require medical treatment. However, severe attacks of weakness can be improved by the administration of potassium. Oral KCl (0.2–0.4 mmol/kg) can be given every 30 min. Only rarely is IV therapy necessary (e.g., when swallowing prob lems or vomiting is present). The long-term goal of therapy is to avoid attacks. Patients should be made aware of the importance of a low-carbohydrate, low-sodium diet and consequences of intense exercise. Prophylactic administration of acetazolamide or dichlor phenamide can </w:t>
      </w:r>
      <w:r w:rsidRPr="00A6019F">
        <w:lastRenderedPageBreak/>
        <w:t xml:space="preserve">reduce attacks of periodic weakness. However, in patients with HypoKPP type 2, attacks of weakness can be exacer bated with these medications. </w:t>
      </w:r>
      <w:r w:rsidRPr="00A6019F">
        <w:rPr>
          <w:rFonts w:ascii="Arial" w:hAnsi="Arial" w:cs="Arial"/>
        </w:rPr>
        <w:t>■</w:t>
      </w:r>
      <w:r w:rsidRPr="00A6019F">
        <w:t xml:space="preserve">SODIUM CHANNEL DISORDERS OF MUSCLE Hyperkalemic Periodic Paralysis (HyperKPP) The term hyperkalemic is misleading because patients are often normokalemic during attacks. That attacks are precipitated by potassium administra tion best defines the disease. The onset is usually in the first decade; males and females are affected equally. Attacks are brief and mild, usually lasting 30 min to several hours. Weakness affects proximal muscles, sparing bulbar muscles. Attacks are precipitated by rest fol lowing exercise and fasting. Potassium may be slightly elevated or normal during an attack. As in HypoKPP, NCS in HyperKPP muscle may demonstrate reduced motor amplitudes and the EMG may be silent in very weak muscles. A long exercise NCS test can reveal diminished amplitudes as well. The EMG may demonstrate myotonic discharges. HyperKPP is caused by mutations of the voltage-gated sodium channel SCN4A gene. Acetazol amide or dichlorphenamide can reduce the frequency and severity of attacks. Mexiletine may be helpful in patients with significant clinical myotonia. Paramyotonia Congenita In PC, the attacks of weakness are cold induced or occur spontaneously and are mild. Myotonia is a prominent feature but worsens with muscle activity (paradoxical myotonia). This is in contrast to classic myotonia in which exercise alleviates the condition. Attacks of weakness are seldom severe enough to require emergency room treatment. Over time, patients develop inter-attack weakness as they do in other forms of periodic paralysis. Serum CK is usually mildly elevated. Routine NCS are normal. Short exercise NCS tests may be abnormal, however, and cooling of the muscle often dramatically reduces the amplitude of the compound muscle action potentials. EMG reveals diffuse myotonic potentials in 3647 PC. Upon local cooling of the muscle, the myotonic discharges disap pear as the patient becomes unable to activate MUAPs. PC is inherited as an autosomal dominant condition; voltage-gated sodium channel mutations are responsible, and thus, this disorder is allelic with HyperKPP. Mexiletine is reported to be helpful in reducing the myotonia. </w:t>
      </w:r>
      <w:r w:rsidRPr="00A6019F">
        <w:rPr>
          <w:rFonts w:ascii="Arial" w:hAnsi="Arial" w:cs="Arial"/>
        </w:rPr>
        <w:t>■</w:t>
      </w:r>
      <w:r w:rsidRPr="00A6019F">
        <w:t xml:space="preserve">POTASSIUM CHANNEL DISORDERS Andersen-Tawil Syndrome This rare disease is characterized by episodic weakness, cardiac arrhythmias, and dysmorphic features (short stature, scoliosis, clinodactyly, hypertelorism, small or promi nent low-set ears, micrognathia, and broad forehead). The cardiac arrhythmias are potentially serious and life threatening. They include long QT, ventricular ectopy, bidirectional ventricular arrhythmias, and tachycardia. The disease is most commonly caused by mutations of the inwardly rectifying potassium channel (Kir 2.1) gene that heighten muscle cell excitability. The episodes of weakness may differ between patients because of potassium variability. Acetazolamide may decrease the attack frequency and severity. </w:t>
      </w:r>
      <w:r w:rsidRPr="00A6019F">
        <w:rPr>
          <w:rFonts w:ascii="Arial" w:hAnsi="Arial" w:cs="Arial"/>
        </w:rPr>
        <w:t>■</w:t>
      </w:r>
      <w:r w:rsidRPr="00A6019F">
        <w:t xml:space="preserve">CHLORIDE CHANNEL DISORDERS Two forms of this disorder, autosomal dominant (Thomsen disease) and autosomal recessive (Becker disease), are both caused by muta tions in the chloride channel 1 gene (CLCN1). Symptoms are noted in infancy and early childhood. The severity lessens in the third to fourth decade. Myotonia is worsened by cold and improved by activity. The </w:t>
      </w:r>
      <w:r w:rsidRPr="00A6019F">
        <w:lastRenderedPageBreak/>
        <w:t xml:space="preserve">gait may appear slow and labored at first but improves with walking. In Thomsen disease, muscle strength is normal, but in Becker disease, which is usually more severe, there may be muscle weakness. Muscle hypertrophy is usually present. Myotonic dis charges are prominently displayed by EMG recordings. Serum CK is normal or mildly elevated. Mexiletine is helpful in relieving the myotonia. ENDOCRINE AND METABOLIC MYOPATHIES Endocrinopathies can cause weakness, but fatigue is more common than true weakness. The serum CK level is often normal (except in hypothyroidism), and the muscle histology is characterized by atrophy rather than destruction of muscle fibers. Nearly all endocrine myopa thies respond to treatment. </w:t>
      </w:r>
      <w:r w:rsidRPr="00A6019F">
        <w:rPr>
          <w:rFonts w:ascii="Arial" w:hAnsi="Arial" w:cs="Arial"/>
        </w:rPr>
        <w:t>■</w:t>
      </w:r>
      <w:r w:rsidRPr="00A6019F">
        <w:t xml:space="preserve">THYROID DISORDERS Hypothyroidism (Chap. 395) Patients with hypothyroidism have frequent muscle complaints, and about one-third have proximal muscle weakness. Muscle cramps, pain, and stiffness are common. Some patients have enlarged muscles. Features of slow muscle con traction and relaxation occur in 25% of patients; the relaxation phase of muscle stretch reflexes is characteristically prolonged and best observed at the ankle or biceps brachii reflexes. The serum CK level is often elevated (up to 10 times normal). EMG is typically normal. Muscle biopsy shows no distinctive morphologic abnormalities. Hyperthyroidism (Chap. 396) Patients who are thyrotoxic commonly have proximal muscle weakness, but they rarely complain of myopathic symptoms. Activity of deep tendon reflexes may be enhanced. Fasciculations may be apparent and, when coupled with increased muscle stretch reflexes, may lead to an erroneous diagnosis of amyotrophic lateral sclerosis. A form of hypokalemic periodic paral ysis can occur in patients who are thyrotoxic. Mutations in the KCNJ18 gene that encodes for the inwardly rectifying potassium channel, Kir 2.6, have been discovered in up to a third of cases. </w:t>
      </w:r>
      <w:r w:rsidRPr="00A6019F">
        <w:rPr>
          <w:rFonts w:ascii="Arial" w:hAnsi="Arial" w:cs="Arial"/>
        </w:rPr>
        <w:t>■</w:t>
      </w:r>
      <w:r w:rsidRPr="00A6019F">
        <w:t xml:space="preserve">PARATHYROID DISORDERS (SEE ALSO CHAP. 422) Hyperparathyroidism Proximal muscle weakness, muscle wast ing, and brisk muscle stretch reflexes are the main features of this endocrinopathy. Some patients develop neck extensor weakness (part of the dropped head syndrome). Serum CK levels are usually normal or slightly elevated. Serum parathyroid hormone levels are elevated, while vitamin D and calcium levels are usually reduced. Muscle biopsies show only mild type 2 fiber atrophy. Hypoparathyroidism An overt myopathy due to hypocalce mia rarely occurs. Neuromuscular symptoms are usually related to localized or generalized tetany. Serum CK levels may be increased secondary to muscle damage from sustained tetany. Hyporeflexia or areflexia is usually present and contrasts with the hyperreflexia in hyperparathyroidism. </w:t>
      </w:r>
      <w:r w:rsidRPr="00A6019F">
        <w:rPr>
          <w:rFonts w:ascii="Arial" w:hAnsi="Arial" w:cs="Arial"/>
        </w:rPr>
        <w:t>■</w:t>
      </w:r>
      <w:r w:rsidRPr="00A6019F">
        <w:t xml:space="preserve">ADRENAL DISORDERS (SEE ALSO CHAP. 398) Conditions associated with glucocorticoid excess cause a myopathy; steroid myopathy is the most commonly diagnosed endocrine muscle disease. Proximal muscle weakness combined with a cushingoid appearance are the key clinical features. Serum CK and EMG are normal. Muscle biopsy, not typically done for diagnostic purposes, reveals type 2b muscle fiber atrophy. In primary hyperaldosteron ism (Conn’s syndrome), neuromuscular complications are due to potassium depletion. The clinical picture is one of persistent muscle weakness. Long-standing hyperaldosteronism may lead to </w:t>
      </w:r>
      <w:r w:rsidRPr="00A6019F">
        <w:lastRenderedPageBreak/>
        <w:t xml:space="preserve">proximal limb weakness and wasting. Serum CK levels may be elevated, and a muscle biopsy may demonstrate necrotic fibers. These changes relate to hypokalemia and are not a direct effect of aldosterone on skeletal muscle. </w:t>
      </w:r>
      <w:r w:rsidRPr="00A6019F">
        <w:rPr>
          <w:rFonts w:ascii="Arial" w:hAnsi="Arial" w:cs="Arial"/>
        </w:rPr>
        <w:t>■</w:t>
      </w:r>
      <w:r w:rsidRPr="00A6019F">
        <w:t xml:space="preserve">PITUITARY DISORDERS (SEE ALSO CHAP. 392) Patients with acromegaly usually have mild proximal weakness. Mus cles often appear enlarged but exhibit decreased force generation. The duration of acromegaly, rather than the serum growth hormone levels, correlates with the degree of myopathy. </w:t>
      </w:r>
      <w:r w:rsidRPr="00A6019F">
        <w:rPr>
          <w:rFonts w:ascii="Arial" w:hAnsi="Arial" w:cs="Arial"/>
        </w:rPr>
        <w:t>■</w:t>
      </w:r>
      <w:r w:rsidRPr="00A6019F">
        <w:t xml:space="preserve">DIABETES MELLITUS (SEE ALSO CHAP. 417) Neuromuscular complications of diabetes mellitus are most often related to neuropathy. The only notable myopathy is ischemic infarc tion of leg muscles, usually involving one of the thigh muscles but on occasion affecting the distal leg. This condition occurs in patients with poorly controlled diabetes and presents with the abrupt onset of pain, tenderness, and edema of a thigh or calf. The area of muscle infarction is hard and indurated. The muscles most often affected include the vastus lateralis, thigh adductors, and biceps femoris. Computed tomography (CT) or MRI can demonstrate focal abnor malities in the affected muscle. Diagnosis by imaging is preferable to muscle biopsy, if possible, as hemorrhage into the biopsy site can occur. CHAPTER 460 Muscular Dystrophies and Other Muscle Diseases MYOPATHIES OF SYSTEMIC ILLNESS Systemic illnesses such as chronic respiratory, cardiac, or hepatic failure are frequently associated with severe muscle wasting and com plaints of weakness. Fatigue is usually a more significant problem than weakness, which is typically mild. DRUG-INDUCED OR TOXIC MYOPATHIES The most common toxic myopathies are caused by the cholesterol lowering agents and glucocorticoids. Others impact practice to a lesser degree but are important to consider in specific situations. Table 460-8 provides a comprehensive list of drug-induced myopathies with their distinguishing features. </w:t>
      </w:r>
      <w:r w:rsidRPr="00A6019F">
        <w:rPr>
          <w:rFonts w:ascii="Arial" w:hAnsi="Arial" w:cs="Arial"/>
        </w:rPr>
        <w:t>■</w:t>
      </w:r>
      <w:r w:rsidRPr="00A6019F">
        <w:t xml:space="preserve">MYOPATHY FROM LIPID-LOWERING AGENTS All classes of lipid-lowering agents have been implicated in muscle toxicity, including HMG-CoA reductase inhibitors (statins) and, to a much lesser extent, fibrates, niacin, and ezetimibe. Myalgia and elevated CKs are the most common manifestations. Rarely, patients exhibit proximal weakness or myoglobinuria. Concomitant use of statins with fibrates and cyclosporine increases the risk of severe 3648 TABLE 460-8 Drug-Induced Myopathies DRUGS Lipid-lowering agents HMG-CoA reductase inhibitors Fibric acid derivatives Niacin (nicotinic acid) Glucocorticoids PART 13 Neurologic Disorders Nondepolarizing neuromuscular blocking agents Zidovudine Drugs of abuse Alcohol Amphetamines Cocaine Heroin Phencyclidine Meperidine Autoimmune myopathy Statins Checkpoint inhibitors D-Penicillamine Amphophilic cationic drugs Amiodarone Chloroquine Hydroxychloroquine Antimicrotubular drugs Colchicine MAJOR TOXIC REACTION Drugs belonging to all three of the major classes of lipid-lowering agents can produce a spectrum of toxicity: asymptomatic serum creatine kinase elevation, myalgias, exercise-induced pain, rhabdomyolysis, and myoglobinuria. Acute, high-dose glucocorticoid treatment can cause acute quadriplegic myopathy. These high doses of steroids are often combined with nondepolarizing neuromuscular blocking agents, but the weakness can occur without their use. Chronic steroid </w:t>
      </w:r>
      <w:r w:rsidRPr="00A6019F">
        <w:lastRenderedPageBreak/>
        <w:t xml:space="preserve">administration produces predominantly proximal weakness. Acute quadriplegic myopathy can occur with or without concomitant glucocorticoids. Mitochondrial myopathy with ragged red fibers. All drugs in this group can lead to widespread muscle breakdown, rhabdomyolysis, and myoglobinuria. Local injections cause muscle necrosis, skin induration, and limb contractures. Use of statins may cause an immune-mediated necrotizing myopathy associated with HMG-CoA reductase antibodies. Checkpoint inhibitors can be complicated by myositis, myocarditis, myasthenia gravis, and immune-mediated neuropathies. Myasthenia gravis has also been reported with penicillamine. All amphophilic drugs have the potential to produce painless, proximal weakness associated with necrosis and autophagic vacuoles in the muscle biopsy. This drug produces painless, proximal weakness especially in the setting of renal failure. Muscle biopsy shows necrosis and fibers with autophagic vacuoles. myotoxicity. EMG demonstrates irritability, and myopathic units and muscle biopsies reveal necrotic muscle fibers in weak muscles. Severe myalgia, weakness, marked elevations in serum CK (&gt;3–5 times baseline), and myoglobinuria are indications for stopping the drug. Patients usually improve with drug cessation, although this may take several weeks. Rare cases continue to progress after the offend ing agent is discontinued. It is possible that in such cases the statin may have triggered an immune-mediated necrotizing myopathy, as these individuals require immunotherapy (e.g., intravenous immuno globulin or immunosuppressive agents) to improve and often relapse when these therapies are discontinued (Chap. 377). Autoantibodies directed against HMG-CoA reductase have been identified in many of these cases. </w:t>
      </w:r>
      <w:r w:rsidRPr="00A6019F">
        <w:rPr>
          <w:rFonts w:ascii="Arial" w:hAnsi="Arial" w:cs="Arial"/>
        </w:rPr>
        <w:t>■</w:t>
      </w:r>
      <w:r w:rsidRPr="00A6019F">
        <w:t xml:space="preserve">GLUCOCORTICOID-RELATED MYOPATHIES Glucocorticoid myopathy occurs with chronic treatment or as </w:t>
      </w:r>
      <w:r w:rsidRPr="00A6019F">
        <w:rPr>
          <w:rFonts w:ascii="Aptos" w:hAnsi="Aptos" w:cs="Aptos"/>
        </w:rPr>
        <w:t>“</w:t>
      </w:r>
      <w:r w:rsidRPr="00A6019F">
        <w:t>acute quadriplegic</w:t>
      </w:r>
      <w:r w:rsidRPr="00A6019F">
        <w:rPr>
          <w:rFonts w:ascii="Aptos" w:hAnsi="Aptos" w:cs="Aptos"/>
        </w:rPr>
        <w:t>”</w:t>
      </w:r>
      <w:r w:rsidRPr="00A6019F">
        <w:t xml:space="preserve"> myopathy secondary to high-dose IV glucocorticoid use. Chronic administration produces proximal weakness accom panied by cushingoid manifestations, which can be quite debili tating; the chronic use of prednisone at a daily dose of ≥30 mg/d is most often associated with toxicity. Patients taking fluorinated glucocorticoids (triamcinolone, betamethasone, dexamethasone) appear to be at especially high risk for myopathy. In chronic steroid myopathy, the serum CK is usually normal. Serum potassium may be low. The muscle biopsy in chronic cases shows preferential type 2 muscle fiber atrophy; this is not reflected in the EMG, which is usually normal. Patients receiving high-dose IV glucocorticoids for status asthmati cus, chronic obstructive pulmonary disease, organ transplantation, or other indications may develop severe generalized weakness (critical illness myopathy). This myopathy, also known as acute quadriplegic myopathy, can also occur in the setting of sepsis. Involvement of the diaphragm and intercostal muscles causes ventilatory muscle weakness and is usually appreciated when patients are unable to be weaned off a ventilatory in the intensive care unit. NCS demonstrate reduced compound muscle action potentials in the setting of relatively preserved sensory potentials. EMG can demonstrate abnormal inser tional and spontaneous activity and early recruitment of myopathic appearing units in those muscles that can be activated. Muscle biopsy can </w:t>
      </w:r>
      <w:r w:rsidRPr="00A6019F">
        <w:lastRenderedPageBreak/>
        <w:t xml:space="preserve">show a distinctive loss of thick filaments (myosin) by electron microscopy. Treatment is withdrawal of glucocorticoids and physical therapy, but the recovery is slow. Patients require supportive care and rehabilitation. </w:t>
      </w:r>
      <w:r w:rsidRPr="00A6019F">
        <w:rPr>
          <w:rFonts w:ascii="Arial" w:hAnsi="Arial" w:cs="Arial"/>
        </w:rPr>
        <w:t>■</w:t>
      </w:r>
      <w:r w:rsidRPr="00A6019F">
        <w:t xml:space="preserve">OTHER DRUG-INDUCED MYOPATHIES Certain drugs produce painless, largely proximal muscle weakness. These drugs include the amphophilic cationic drugs (amiodarone, chloroquine, hydroxychloroquine) and antimicrotubular drugs (col chicine) (Table 460-6). Muscle biopsy can be useful in the identifica tion of toxicity because autophagic vacuoles are prominent pathologic features of these toxins. </w:t>
      </w:r>
      <w:r w:rsidRPr="00A6019F">
        <w:rPr>
          <w:rFonts w:ascii="Arial" w:hAnsi="Arial" w:cs="Arial"/>
        </w:rPr>
        <w:t>■</w:t>
      </w:r>
      <w:r w:rsidRPr="00A6019F">
        <w:t xml:space="preserve">GLOBAL ISSUES As previously discussed, certain dystrophies have an increased preva lence in different parts of the world. LGMD2A/LGMDR1 is the most common LGMD in individuals from Spain, France, Italy, and Great Britain; LGMD2I/LGMDR9 is more common in those with northern European ancestry. GNE myopathy is the most common form of distal myopathy in Japan but is also prevalent in the Ashkenazi popula tion. OPMD is most common in those with ancestry from Spain and French-Canada as well as among Ashkenazi. Epidemiologic studies are lacking regarding other forms of myopathy and their prevalence in dif ferent areas of the world. </w:t>
      </w:r>
      <w:r w:rsidRPr="00A6019F">
        <w:rPr>
          <w:rFonts w:ascii="Arial" w:hAnsi="Arial" w:cs="Arial"/>
        </w:rPr>
        <w:t>■</w:t>
      </w:r>
      <w:r w:rsidRPr="00A6019F">
        <w:t>FURTHER READING Amato AA et al: Amato and Russell</w:t>
      </w:r>
      <w:r w:rsidRPr="00A6019F">
        <w:rPr>
          <w:rFonts w:ascii="Aptos" w:hAnsi="Aptos" w:cs="Aptos"/>
        </w:rPr>
        <w:t>’</w:t>
      </w:r>
      <w:r w:rsidRPr="00A6019F">
        <w:t xml:space="preserve">s Neuromuscular Disorders, 3rd ed. McGraw Hill, 2025. Chin HL et al: A clinical approach to diagnosis and management of mitochondrial myopathies. Neurotherapeutics 21:e00304, 2024. Doughty CT, Amato AA: Toxic myopathies. Continuum (Minneap Minn) 25:1712, 2019. Heller SA et al: Emery-Dreifuss muscular dystrophy. Muscle Nerve 61:436, 2020. Johnson NE: Myotonic muscular dystrophies. Continuum (Minneap Minn) 25:1682, 2019. Johnson NE, Statland JM: The limb-girdle muscular dystrophies. Continuum (Minneap Minn) 28:1698, 2022. Mah JK et al: A systematic review and meta-analysis on the epidemiol ogy of the muscular dystrophies. Can J Neurol Sci 43:163, 2016. Mul K: Facioscapulohumeral Muscular Dystrophy. Continuum (Min neap Minn) 28:1735, 2022. Rodolico C et al: Endocrine myopathies: Clinical and histopathologi cal features of the major forms. Acta Myol 39:130, 2020. Rosow LK, Amato AA: The role of electrodiagnostic testing, imaging, and muscle biopsy in the investigation of muscle disease. Continuum (Minneap Minn) 22:1787, 2016. Straub V et al: LGMD Workshop Study Group. 229th ENMC interna tional workshop: Limb girdle muscular dystrophies—Nomenclature and reformed classification Naarden, the Netherlands, 17-19 March 2017. Neuromuscul Disord 28:702, 2018. 3649 Section 4 Syndromes Associated with Chronic Fatigue 461 Myalgic Encephalomyelitis/ Chronic Fatigue Syndrome Elizabeth R. Unger, Jin-Mann S. Lin, Jeanne Bertolli Myalgic encephalomyelitis/chronic fatigue syndrome (ME/CFS) is a chronic complex illness with multisystem manifestations and long term impact on functional impairment comparable to multiple sclero sis, rheumatoid arthritis, and congestive heart failure. The hallmark of ME/CFS is persistent and unexplained fatigue resulting in significant impairment in daily functioning, along with worsening symptoms following physical or mental exertion that would have been tolerated before illness (postexertional malaise). Besides intense fatigue, many patients report concomitant symptoms such as pain, cognitive dys function, and unrefreshing </w:t>
      </w:r>
      <w:r w:rsidRPr="00A6019F">
        <w:lastRenderedPageBreak/>
        <w:t xml:space="preserve">sleep. Additional symptoms can include headache, sore throat, tender lymph nodes, muscle aches, joint aches, feverishness, difficulty sleeping, psychiatric problems, allergies, and abdominal cramps. The recognition that ME/CFS is one diagnosable condition in Long COVID has raised clinical awareness about this poorly understood illness, although patients still face stigma and mis understanding among health care providers. The condition has been known by many names, and debate about the name and case definition continues. The composite name ME/CFS was adopted by the U.S. Department of Health and Human Services in rec ognition of the limitations of either ME (absence of definitive inflam mation in brain and spinal cord) or CFS (trivializes an often devastating illness through confusion with fatigue that everyone experiences). EPIDEMIOLOGY Determining how frequently ME/CFS occurs and characteristics of those affected has been complicated by variability in study design and application of case definitions. In the absence of a simple diagnostic test, evaluation by an experienced clinician is required for case iden tification. Clinic-based studies most accurately identify patients with ME/CFS but overrepresent higher socioeconomic groups with access to ME/CFS clinics. Population-based studies with or without a clinical evaluation estimated that between 836,000 and 3.3 million Americans have ME/CFS. However, studies indicate that ≥80% of those meeting criteria for ME/CFS had not been diagnosed by a health care provider. The illness costs the U.S. economy between $18 and $51 billion annu ally in medical costs and lost income. ME/CFS is three to four times more common in women than men. The highest prevalence is among those 40–50 years of age, but the age range is broad and includes chil dren and adolescents. Persons of all races and ethnicities are affected, and there is some evidence that socioeconomically disadvantaged groups are at increased risk. RISK FACTORS AND PATHOPHYSIOLOGY A wide variety of infectious agents have been reported to be associ ated with a postinfectious fatiguing illness resembling ME/CFS. These include both viral and nonviral pathogens, such as Epstein-Barr virus, Ross River virus, Coxiella burnetti (Q fever), Ebola virus, SARS-CoV-1, and Giardia. While recovery from these infections is the rule, ~10% of those infected remain ill for ≥6 months. Most recently, published reports suggest that SARS-CoV-2 infection is also associated with prolonged fatiguing illness. Host and pathogen factors associated with recovery versus persistent disease remain elusive. In addition to infectious insults, Fatigue Post-Exertional Malaise Genetics Cognitive Impairment Sleep Problems Central Nervous System Hypothalamic Pituitary Adrenal Axis Metabolism Immune System Diet/Nutrition Lifestyle Pain Stress Autonomic Nervous System Orthostatic Intolerance Infection FIGURE 461-1 A multisystem model for myalgic encephalomyelitis/chronic fatigue syndrome (ME/CFS). An example of a unifying model for ME/CFS demonstrating the interactions of multiple organ systems and environmental, genetic, and behavioral factors contributing to symptoms. a variety of stressors, including toxins, physical trauma, adverse events, and allostatic load (or “wear and tear” on the body), have been found to be associated with ME/CFS. Twin studies and family histories suggest a role for </w:t>
      </w:r>
      <w:r w:rsidRPr="00A6019F">
        <w:lastRenderedPageBreak/>
        <w:t xml:space="preserve">shared environment as well as genetic factors. Evidence for immunologic dysfunction is inconsistent. Modest ele vations in titers of antinuclear antibodies, reductions in immunoglobu lin subclasses, deficiencies in mitogen-driven lymphocyte proliferation, reductions in natural killer cell activity, disturbances in cytokine pro duction, and altered T-cell metabolism have been described. None of these immune findings has been firmly established and none of these changes appear in most patients. In theory, symptoms of ME/CFS could result from excessive production of a cytokine, such as interleukin 1 or interferon α, which induces fatigue and other flulike symptoms; how ever, compelling data in support of this hypothesis are lacking. Other studies have reported various nonspecific changes in regional brain structures estimated by magnetic resonance imaging; dysfunction of the autonomic nervous system; abnormalities in the hypothalamic pituitary-adrenal (HPA) axis; altered metabolism; and dysbiosis of the intestinal microbiome. Confirmatory studies are needed, and none of the findings are consistent enough to be used for diagnosis. It is clear that ME/CFS represents a complex disorder with alterations in multiple interrelated homeostatic systems. A variety of unifying models for the illness have been proposed, and discoveries about the pathophysiology of ME/CFS hold promise for elucidating novel mechanisms and inter actions important in other illnesses (Fig. 461-1). CHAPTER 461 Myalgic Encephalomyelitis/Chronic Fatigue Syndrome APPROACH TO THE PATIENT Myalgic Encephalomyelitis/Chronic Fatigue Syndrome DIAGNOSIS A diagnosis of ME/CFS is made based on patient-reported symp toms that fit a characteristic profile. After a careful review of the literature and symptom-based case definitions for ME, CFS, or ME/ CFS, the Institute of Medicine (IOM) committee recommended in 2015 straightforward diagnostic criteria (Table 461-1). This includes the symptoms consistently noted in prior consensus case definitions: fatigue limiting the patient’s ability to participate in their usual pre-illness activities, sleep problems, and postexertional malaise (PEM). PEM is a relapse in symptoms triggered by physi cal, emotional, or mental exertion that would not have been prob lematic for the patient before onset of ME/CFS. The relapse lasts more than a day and sometimes weeks. In addition, either difficulty 3650 TABLE 461-1 2015 Institute of Medicine Diagnostic Criteria for Myalgic Encephalomyelitis/Chronic Fatigue Syndrome Substantial reduction or impairment in the ability to engage in pre-illness levels of activity (occupational, educational, social, or personal life) that: • lasts for &gt;6 months • is accompanied by fatigue that is often profound, of new or definite onset (not lifelong), not the result of ongoing excessive exertion, and is not substantially alleviated by rest Postexertional malaise (PEM)a—worsening of symptoms after physical, mental, or emotional exertion that would not have caused a problem before the illness Unrefreshing sleepa Cognitive impairment or orthostatic intolerancea aFrequency and severity of symptoms should be assessed; should be present at least half of the time and with at least moderate intensity. PART 13 Neurologic Disorders thinking and concentrating (often referred to by patients as “brain fog”) or orthostatic intolerance should be present. Patients with </w:t>
      </w:r>
      <w:r w:rsidRPr="00A6019F">
        <w:lastRenderedPageBreak/>
        <w:t xml:space="preserve">ME/CFS may experience a wide range of other symptoms not specified in the IOM diagnostic criteria (Table 461-2). As a result, patients meeting ME/CFS criteria could have very dif ferent clinical features based on the type, frequency, and severity of their symptoms. Patients may describe a precipitating cause for their illness, such as a known or presumed infection, but frequently no initiating factor is recognized. The symptoms may occur sud denly within a day or week or may occur gradually. While the diagnostic criteria specifies that illness must be pres ent at least 6 months, the possibility of ME/CFS should be consid ered for patients with consistent symptoms persisting &gt;1 month, and evaluation and supportive care can begin as early as 4–6 weeks after onset. Listening to patients’ descriptions of what they are expe riencing is important. Asking questions can help patients accurately describe their experience with fatigue and PEM. These include ask ing about current activity levels compared with before they became ill, what happens when they are as active as they were pre-illness, and how long it takes to recover after exertion. Whereas patients recognize relapses, the relation of relapse to activity level may not be apparent, and as a result, PEM may not be recognized. Patients may also appear well during an office visit, only to relapse afterward from exertion surrounding the consultation. Although the 2015 IOM ME/CFS criteria do not list medical or psychological conditions that exclude the diagnosis of ME/ CFS, a careful clinical evaluation is required to identify and treat other illnesses that could explain or contribute to the patient’s symptoms. The initial evaluation also requires reviewing family his tory, medical history (including infections, traumas/surgeries, and occupational exposure to environmental toxins), and medications and supplements; performing a physical examination, including lean test for postural orthostatic tachycardia syndrome (POTS; Chap. 451); a mental health assessment (screen for depression and anxiety); and routine screening laboratory tests (if recent results are not on record). As routine laboratory tests are usually within nor mal limits, their role is in identifying other illnesses, and the specific TABLE 461-2 Additional Symptoms Experienced by Patients with Myalgic Encephalomyelitis/Chronic Fatigue Syndrome Joint pain without swelling or redness Muscle aches New headaches Tender lymph nodes Sensitivity to sensory stimuli (e.g., light, noise, smells) Sore throat Shortness of breath Irregular heartbeat Alcohol intolerance Difficulties with temperature regulation (feeling feverish or chilled) panel of tests should be adjusted based on the patient’s presenta tion. Typically the tests include complete blood count, erythrocyte sedimentation rate, electrolytes, fasting glucose, renal function tests (blood urea nitrogen, glomerular filtration rate), calcium, phosphate, liver function (bilirubin, alanine aminotransferase, alkaline phospha tase, aspartate aminotransferase, gamma-glutamyl transferase, total protein, albumin/globulin ratio), C-reactive protein, thyroid func tion (thyroid-stimulating hormone, free thyroxine), iron studies to assess both iron overload and iron deficiency (serum iron, transfer rin saturation, ferritin), celiac disease screening tests, and urinalysis. DIFFERENTIAL DIAGNOSIS AND COMORBID CONDITIONS While the differential diagnosis for fatigue is quite broad (Chap. 25), </w:t>
      </w:r>
      <w:r w:rsidRPr="00A6019F">
        <w:lastRenderedPageBreak/>
        <w:t xml:space="preserve">further workups and referrals should be chosen carefully based on the patient’s history, symptoms (particularly those that are new, worsening, or unusual), and results of initial laboratory tests. Con ditions reported to occur in association with ME/CFS (Table 461-3) should be kept in mind during the evaluation and follow-up, as management and treatment modalities for these comorbidities could contribute to an improved quality of life. MANAGEMENT While there are no approved drugs to treat or cure ME/CFS, patients benefit from receiving a diagnosis and an individualized plan that addresses the symptoms that are most problematic for the patient. Some symptoms, in particular, disturbed sleep (Chap. 33) and pain (Chap. 14), may improve with nonpharmacologic thera pies (e.g., sleep hygiene, massage, acupuncture, hot or cold packs) or medications. Any medications should be started at lower doses than usual and only slowly increased. Patients with ME/CFS have been reported to be more sensitive to medications than the general population, and benefits with fewer toxicities may be achieved at lower doses. Narcotics should be avoided, and referral to sleep cen ters or other specialists may be required. Controlled therapeutic trials have not established significant benefit for patients with ME/CFS from acyclovir, fludrocortisone, galantamine, modafinil, and IV immunoglobulin, among other agents. These studies have been limited by small numbers and lack power to investigate benefit in patient subgroups. Preliminary small studies reported the possible effectiveness of the B-cell targeting anti-CD20 monoclonal antibody rituximab in ME/CFS, but a subsequent large, well-designed, prospective, double-blind study found no benefit. Numerous anecdotes circulate regarding other traditional and nontraditional therapies. It is important to guide patients away from therapeutic modalities that are toxic, expensive, or unreasonable. Educating the patient and family about PEM can be helpful in avoiding the harmful cycle of overexertion during “good days” followed by relapse that can negate any functional gains. This is often referred to as “push and crash.” Recognizing limits and using activity management (pacing) can help limit PEM. It is important to maintain tolerated activity levels to minimize deconditioning. Activity may be advanced very gradually as tolerated. TABLE 461-3 Myalgic Encephalomyelitis/Chronic Fatigue Syndrome Comorbid Conditions Chronic overlapping pain conditions: fibromyalgia (FM), chronic migraine, temporomandibular joint disease (TMJ), irritable bowel syndrome (IBS), endometriosis, vulvodynia, urologic chronic pelvic pain syndromes (UCPPS) Postural orthostatic tachycardia syndrome (POTS) Allergies Sjögren’s syndrome Ehlers-Danlos syndrome Mast cell activation syndrome (MCAS) Dysautonomia Multiple chemical sensitivities 3651 Counseling may help patients and their families cope with the long-term consequences of living with a chronic illness. Consulta tion with a physical or occupational therapist may identify energy saving strategies for activities of daily living as well as needed accommodations, such as a wheelchair for activities that require walking longer distances or prolonged standing. COURSE AND PROGNOSIS The illness severity varies from mild or moderate, with patients retaining varying degrees of pre-illness function, to severe, with patients essentially homebound. Most patients </w:t>
      </w:r>
      <w:r w:rsidRPr="00A6019F">
        <w:lastRenderedPageBreak/>
        <w:t xml:space="preserve">experience some improvement and stabilize, although return to their prior level of function is unusual. A continued decline in function should prompt evaluation for other illnesses. Patients should be re-evaluated at scheduled intervals to adjust treatments and detect any intercur rent disease. New or changing symptoms should be worked up to identify any new illnesses. Given the social isolation and loss of hope associated with a debilitating chronic illness, serious depres sion and an increased risk of suicide are reported for patients with ME/CFS. Clinicians should be prepared to screen for this and refer patients as needed. </w:t>
      </w:r>
      <w:r w:rsidRPr="00A6019F">
        <w:rPr>
          <w:rFonts w:ascii="Arial" w:hAnsi="Arial" w:cs="Arial"/>
        </w:rPr>
        <w:t>■</w:t>
      </w:r>
      <w:r w:rsidRPr="00A6019F">
        <w:t xml:space="preserve">FURTHER READING Centers for Disease Control and Prevention: Myalgic enceph alomyelitis/chronic fatigue syndrome (ME/CFS). Available from https://www.cdc.gov/me-cfs/about/index.html. Accessed June 4, 2024. Choutka J et al: Unexplained post-acute infection syndromes. Nat Med 28:911, 2022. Grach SL et al: Diagnosis and management of myalgic encephalomy elitis/chronic fatigue syndrome. Mayo Clin Proc 98:1544, 2023. Institute of Medicine: Beyond Myalgic Encephalomyelitis/Chronic Fatigue Syndrome: Redefining an Illness. Washington, DC: The National Academies Press, 2015. Komaroff AL et al: ME/CFS and Long COVID share similar symp toms and biological abnormalities: Road map to the literature. Front Med (Lausanne) 10:1187163, 2023. Lapp CW: Initiating care of a patient with myalgic encephalomyelitis/ chronic fatigue syndrome (ME/CFS). Front Pediatr 6:415, 2019. Rowe PC et al: Myalgic encephalomyelitis/chronic fatigue syndrome diagnosis and management in young people: A primer. Front Pediatr 5:121, 2017. Vahratian A et al: Myalgic encephalomyelitis/chronic fatigue syndrome in adults: United States, 2021-2022. NCHS Data Brief 488:1, 2023. Walitt B et al: Deep phenotyping of post-infectious myalgic encepha lomyelitis/chronic fatigue syndrome. Nat Commun 15:907, 2024. Section 5 Psychiatric and Addiction Disorders 462 Biology of Psychiatric Disorders Robert O. Messing, Eric J. Nestler, Matthew W. State Psychiatric disorders are central nervous system diseases characterized by disturbances in emotion, cognition, motivation, and socialization. They are highly heritable, with genetic risk comprising 20–90% of disease vulnerability depending on the syndrome. As a result of their prevalence, early onset, and persistence, they contribute substantially to the burden of illness worldwide. All psychiatric disorders are broad heterogeneous syndromes that currently lack well-defined neuropa thology and bona fide biologic markers. Therefore, diagnoses continue to be made solely from clinical observations using criteria in the Diagnostic and Statistical Manual of Mental Disorders, Fifth Edition (DSM-5), of the American Psychiatric Association (see Chap. 463). There is increasing agreement that the classification of psychiatric illnesses in the DSM does not accurately reflect their underlying biol ogy. Uncertainties in diagnosis complicate efforts to study the genetic basis and attendant neurobiological mechanisms underlying mental illness, though recent technologic advances along with the consoli dation of very large patient cohorts have, for multiple disorders, led to significant progress in these realms. In addition, there have been efforts to address the limitations of a categorical nosology directly through the development of an alternative diagnostic scheme, termed Research </w:t>
      </w:r>
      <w:r w:rsidRPr="00A6019F">
        <w:lastRenderedPageBreak/>
        <w:t xml:space="preserve">Domain Criteria (RDoC). This system classifies mental ill ness on the basis of core behavioral abnormalities shared across several syndromes—such as psychosis (loss of reality) or anhedonia (decreased ability to experience pleasure)—and the associated brain circuitry that controls these behavioral domains. Such classifications may assist in defining the biologic basis of key symptoms. Other factors that have impeded progress in understanding mental illness include the lack of access to pathologic brain tissue except upon death and inherent limitations of animal models for disorders defined largely by behavioral abnormalities (e.g., hallucinations, delusions, guilt, suicidality) that are inaccessible in animals. Despite these limitations, the past decade has been marked by real progress. Neuroimaging methods are beginning to provide evidence of brain pathology; genome-wide association studies and high-throughput sequencing are reliably identifying genes and genomic loci that confer risk for severe forms of mental illness; and investigations of better validated animal models, leveraging a host of new methods to study molecular, cellular, and circuit-level processes, are offering new insight into disease pathogenesis. There is also excitement in the utility of neurons, glia, and brain organoids induced in vitro from patient derived pluripotent stem cells, providing novel ways to study disease pathophysiology and screen for new treatments. There is consequently justified optimism that the field of psychiatry will better integrate behaviorally defined syndromes with an understanding of biological substrates in a way that will drive the development of improved treat ments and eventually cures and preventive measures. This chapter describes several examples of recent discoveries in basic neuroscience and genetics that have informed our current understanding of disease mechanisms in psychiatry. CHAPTER 462 Biology of Psychiatric Disorders </w:t>
      </w:r>
      <w:r w:rsidRPr="00A6019F">
        <w:rPr>
          <w:rFonts w:ascii="Arial" w:hAnsi="Arial" w:cs="Arial"/>
        </w:rPr>
        <w:t>■</w:t>
      </w:r>
      <w:r w:rsidRPr="00A6019F">
        <w:t xml:space="preserve">NEUROGENETICS Because the human brain can only be examined indirectly during life, genome analyses have been extremely important for obtaining molecu lar clues about the pathogenesis of psychiatric disorders. Moreover, the identification of germline risk alleles and mutations provides potential traction on the question of cause versus effect. In other types of cross sectional studies, it may be impossible to determine whether a phe notype or biomarker observed in affected humans or model systems reflects an etiologic factor or a compensatory response. In contrast, germline genetic risk is present before the brain develops—at least theoretically allowing for experiments to address temporal sequencing. A wealth of new information has been made possible by two decades of advances subsequent to the sequencing of the human genome. These have enabled affordable, very large-scale genome-wide association and high-throughput sequencing studies. A striking example of the impact of these developments has been progress in the genetics of autism spectrum disorders (ASDs), a phenotypically heterogeneous neurodevelopmental syndrome characterized by impaired social com munication and restricted, repetitive patterns of behavior. ASDs are highly heritable. Concordance rates in monozygotic twins range from 60–90%, a four- to sixfold increase compared to dizygotic twins and siblings. ASDs are also highly genetically heterogeneous and, like many psychiatric </w:t>
      </w:r>
      <w:r w:rsidRPr="00A6019F">
        <w:lastRenderedPageBreak/>
        <w:t xml:space="preserve">conditions, are mainly inherited in a polygenic fashion, 3652 conferred by a conspiracy of alleles that are common in the population and carry small individual effects. Indeed, the increments of increased risk for any common ASD risk allele are so modest that studies of tens of thousands of individuals have identified only a handful of asso ciations meeting gold-standard genome-wide statistical thresholds. However, with increasingly large cohorts and an associated increase in statistical power, the number of identified risk loci is destined to continue to grow. PART 13 Neurologic Disorders At the same time, the development of next-generation DNA sequencing has identified a substantial minority of ASD patients who carry rare, often spontaneous (de novo), heterozygous, protein damaging mutations. This latter group has served as a powerful resource for the identification of specific ASD risk genes of very large effect (Fig. 462-1). To date, about 70–250 ASD genes have been identi fied by high-throughput sequencing analyses based on false discovery rates ranging from 1%. Importantly, as gene discovery in ASD has progressed, considerable overlap, both phenotypically and geneti cally, has been found among ASD, epilepsy, and well-established intel lectual disability syndromes. For example, individuals with fragile X syndrome or tuberous sclerosis (Chap. 95) show elevated rates of ASD, and mutations in the causal genes may be found in patients who pres ent with otherwise idiopathic ASD. The discovery of very large-effect ASD risk genes that are vul nerable to protein-damaging mutations has provided important opportunities to delve into pathologic mechanisms. From the earli est successes in gene discovery, several common biological themes have emerged. For instance, many of the identified pathogenic rare mutations are in genes that encode proteins involved in synaptic structure or function or in transcriptional and chromatin regula tion (Fig. 462-1). More recently, studies of high-confidence ASD risk mutations in model systems have confirmed these predictions and pointed to neurogenesis and neuronal migration as additional shared pathological mechanisms. Moreover, the availability of increasingly comprehensive maps of human brain gene expression has enabled studies of when and where ASD risk genes converge. These transcrip tomic studies have repeatedly pointed to glutamatergic neurons in the mid-fetal human cortex (Fig. 462-1) as one of several regions and cell types enriched for ASD genetic vulnerability. Given that many autism risk genes are biologically pleiotropic—that is, they serve multiple different functions—the identification of anatomic and temporal dimensions of risk should help narrow in on pathophysiologic mecha nisms and potential therapeutic targets. Moreover, as the number of large-effect ASD risk genes grows and the scale of transcriptomic, epigenomic, and proteomic mapping of human brain development expands, points of pathogenic convergence promise to be identifiable at single-cell resolution. A deeper understanding of disease pathogenesis and the identifica tion of genetic subtypes is ultimately aimed at developing more effec tive, rational, and personalized therapies, particularly for those who are most severely affected. In this regard, in humans, increasing attention has turned to nucleic acid targeting to treat severe phenotypes in cases in which a highly penetrant coding </w:t>
      </w:r>
      <w:r w:rsidRPr="00A6019F">
        <w:lastRenderedPageBreak/>
        <w:t xml:space="preserve">mutation is present, for example, with CRISPR-based therapies or the use of antisense oligonucleotides (ASOs). Remarkable success with very early intervention in spinal muscular atrophy using these strategies has piqued interest in their utility in a range of brain-based conditions. Currently, among neuro developmental disorders, these approaches are being actively pursued for well-known intellectual disability syndromes that may also manifest core features of or elevated risk for ASD, such as Angelman syndrome and SHANK3 deletion/Phelan-McDermid syndrome. If successful, such efforts would be transformational, and potentially not only for the individuals carrying mutations that may be amenable to nucleic acid–targeting approaches. The ability to catalog common genetic variants and assay them on array-based platforms and carry out whole exome sequencing has also allowed investigators to leverage large patient cohorts to reliably detect risk loci for schizophrenia and bipolar disorder. In contrast to ASD, where the lion’s share of early success resulted from the study of rare, large-effect, de novo mutations, much of gene discovery for these syn dromes has resulted from genome-wide association studies of common inherited polymorphisms. To date, several hundred distinct genomic regions, marked by associated single nucleotide polymorphisms, have been identified in schizophrenia, some of which show risk as well for bipolar disorder. Several identified genes are parts of molecular complexes, such as voltage-gated calcium channels (in particular, CACNA1C and CACNB2) and the postsynaptic density of excitatory synapses. Notably, as the scale of high-throughput sequencing studies has expanded, rare large-effect mutations have also been identified in schizophrenia. To date, 10 high-confidence genes have been identified. Genes that promote risk for addiction and depression have also begun to emerge from large studies. One susceptibility locus for addic tion is the CHRNA5-A3-B4 nicotinic acetylcholine receptor gene clus ter on chromosome 15 associated with nicotine and alcohol addiction. Genome-wide association studies of depression and addiction have required hundreds of thousands of cases and controls to identify the first statistically significant loci using state-of-the-art approaches. For example, a meta-analysis of &gt;1 million individuals was able to identify 110 unique genetic variants associated with problematic alcohol use. Such findings collectively point to the tremendous heterogeneity of these disorders as well as the very small biological effects conferred by any individual common allele. A recurrent theme in genetic studies of psychiatric disorders is phenotypic pleiotropy, namely, that individual risk genes may be asso ciated with multiple psychiatric and neurodevelopmental syndromes. For example, functionally identical heterozygous deletions of the gene NRXN1 are associated with ASD, schizophrenia, intellection disability, epilepsy, and other neurodevelopmental phenotypes. Common poly morphisms in CACNA1C are associated with both schizophrenia and bipolar disorder. Rare mutations in this same gene may lead to severe neurodevelopmental syndromes and congenital heart disease, includ ing Timothy syndrome, which may include autistic features. Likewise, there is striking overlap among the phenotypes associated with large effect CNVs, including ASD, </w:t>
      </w:r>
      <w:r w:rsidRPr="00A6019F">
        <w:lastRenderedPageBreak/>
        <w:t xml:space="preserve">schizophrenia, and bipolar disorder, as well as epilepsy and intellectual disability. For example, duplication of chromosome 16p is associated with both schizophrenia and autism, whereas deletions in the DiGeorge’s (velocardiofacial) syndrome region are associated with schizophrenia, autism, and bipolar disorder. These findings attest to the complexity of psychiatric disorders, the very large gap between molecular mechanisms and the current categorical diag nostic schemes, and the influence of additional factors that combine to specify the ultimate phenotype. The latter might include polygenic “background,” stochastic events, epigenetic effects, and environmental factors. This pleiotropy of consequences for a given genetic mutation in psychiatry is akin to the pleiotropy seen for neurodegenerative dis orders as well as for many cancer-causing mutations, where the same mutation can lead to very different disorders across the population. </w:t>
      </w:r>
      <w:r w:rsidRPr="00A6019F">
        <w:rPr>
          <w:rFonts w:ascii="Arial" w:hAnsi="Arial" w:cs="Arial"/>
        </w:rPr>
        <w:t>■</w:t>
      </w:r>
      <w:r w:rsidRPr="00A6019F">
        <w:t>SIGNAL TRANSDUCTION Studies of signal transduction disturbances in psychiatric disorders have provided insight into development of new therapeutic agents. For example, lithium is a highly effective drug for bipolar disorder and competes with magnesium to inhibit numerous magnesium-dependent enzymes, including GSK3</w:t>
      </w:r>
      <w:r w:rsidRPr="00A6019F">
        <w:rPr>
          <w:rFonts w:ascii="Aptos" w:hAnsi="Aptos" w:cs="Aptos"/>
        </w:rPr>
        <w:t>β</w:t>
      </w:r>
      <w:r w:rsidRPr="00A6019F">
        <w:t xml:space="preserve"> and several enzymes involved in phos phoinositide signaling that lead to activation of protein kinase C. These findings have led to discovery programs focused on developing GSK3β or protein kinase C inhibitors as potential novel treatments for mood disorders, although none have demonstrated clinical efficacy to date. The observations that tricyclic antidepressants (e.g., imipramine) inhibit serotonin and/or norepinephrine reuptake and that mono amine oxidase inhibitors (e.g., tranylcypromine) are effective anti depressants initially led to the view that depression is caused by a deficiency of these monoamines. However, this hypothesis has not Biology of Psychiatric Disorders 3653 CHAPTER 462 SHANK2/3 GKAP1 GKAP1 PSD95 CNTNAP2 Homer PSD95 ?+ L1 PTEN CUL3** CK2 CK2 RBX1 RhoA CAMKII CAMKII PI3K PIKE-L RAC1 cAMP AKT MEK SYNGAP1 TNRC6B** CAMKII Ras-GTP Ras-GDP CYFIP1 WRC MINT CASK KCT13 AGO1-4 NLGNs DSCAM NRNX1 SCN2A Phos. localizes Microtubule SCN2A GRIN2B Ca2 + Ch. NMDARs DYNC1H1 Ub NCKAP1** FMR1 FMR1 CYFIP1 TSC1TSC2 MAPK mTORC1 TTT-Pontin/ Reptin complex WAC Translation Ca2 + Ch. ANK2 Spectrin Network MGluR KCNQ3 GABRB3 GABRB3 SLC6A1 GIGYF12EHP SRPR SHANK3 ∆ Transcription ∆ ∆ TCF7L2* POGZ TBR1* Actin Cytoskeleton FOXP1 DEAF1 MYT1L BCL11A PAX5 MKX DYRK1A MBD5 CTNNB1 CTNNB1 RORB MED13L Membrane/ Vessicle Targeting Kinases Other Channels Ubiquitin Ligases Cell Adhesion Proteins Scaffolding Proteins Phosphatase Transcription Factors FDR&gt;0.01 Adaptor Proteins KATNAL2** Postsynaptic Presynaptic DPYSL2 MAP1A AP2S1 Nucleus Endoplasmic Reticulum A H2B H4 H2A H3 SUV420H1 KDM5B ASH1L KMT2C ARID1B ADNP CHD8 Ub WAC SGRGKGGKGLGKGGAKRHRKVLRDNIQGITKPAIR RNF20 RNF40 CHD2 SETD5 Lysine demethylase Other chromatin remodeler Ubiquitine ligase Lysine methyltransferase Methyl group Reader FDR &gt; 0.01 RNF168 Ub TRIP12* ARTKQTARKSTGGKAPRKQLATKAARKSAPATGGVK ANKRD11 KDM6B DNMT3A SIN3A TBL1XR1 RAI1 TLK2 B Convergence of Autism Associated Genes &amp; Co-expression </w:t>
      </w:r>
      <w:r w:rsidRPr="00A6019F">
        <w:lastRenderedPageBreak/>
        <w:t xml:space="preserve">Network Analysis Co-expression of Autism Associated Genes Map of Gene Expression in the Developing Human Brain Mid-fetal Development Prefrontal and Primary Motor-Somatosensory Cortex C FIGURE 462-1 Functional characteristics and developmental convergence of autism spectrum disorder (ASD) associated genes. A representative selection of genes associated with ASD based on recurrent rare coding mutations is shown in A and B. Those genes encoding proteins with a false discovery rate (FDR) 0.01 or an FDR &gt;0.3 in Satterstrom are noted (* and **, respectively). Additional interacting and functionally related molecules that do not meet the above criteria are shown in green. FMR1, TSC1, and TSC2 are syndromic ASD genes included in the figure (A). Multiple gene ontology analyses of ASD genes have highlighted both pre- and postsynaptic molecules (A) and chromatin modifiers (B) as points of enrichment. In C, an alternative strategy for grouping ASD risk genes is highlighted (Willsey et al, Cell 2013), based on their spatiotemporal expression patterns as opposed to putative functions. One analytic strategy, illustrated in C, leveraged only high-confidence ASD genes and examined their developmental expression patterns using the BrainSpan data set. Convergence for ASD risk was identified in deep layer (V and VI) excitatory neurons in mid-fetal human cortex. Multiple analyses have similarly found glutamatergic neurons in mid-fetal prefrontal cortex as one point of convergence, with somewhat less agreement on layer specificity and potential additional spatiotemporal points of convergence. 3654 µ-opioid receptor AC cAMP + PART 13 Neurologic Disorders been substantiated. A cardinal feature of these drugs is that long-term (weeks to months) administration is needed for their antidepressant effects. This means that their short-term actions, namely promotion of serotonin or norepinephrine function, are not per se antidepressant but rather induce a cascade of adaptations in the brain that underlie their slowly developing clinical effects. The nature of these therapeutic drug induced adaptations has not been identified with certainty. A subset of depressed patients display upregulation of the hypothalamic-pituitary adrenal (HPA) axis characterized by increased secretion of cortico tropin-releasing factor (CRF) and glucocorticoids. One hypothesis posits that in these patients excessive glucocorticoids cause atrophy of hippocampal neurons, which is associated with reduced hippocampal volumes seen clinically. Chronic antidepressant administration might reverse this atrophy by increasing brain-derived neurotrophic factor (BDNF) or a host of other neurotrophic factors in the hippocampus. A role for stress-induced decreases in the generation of newly born hippocampal granule cell neurons, and its reversal by antidepressants through BDNF or other growth factors, has also been suggested. A major advance in recent years has been the identification of several rapidly acting antidepressants with non–monoamine-based mechanisms of action. The best established is ketamine, a noncompeti tive antagonist of N-methyl-d-aspartate (NMDA) glutamate receptors among other actions, which exerts rapid (hours) and robust antidepres sant effects in severely depressed patients who have not responded to other treatments. Ketamine, which at higher doses is psychotomimetic and anesthetic, exerts these antidepressant </w:t>
      </w:r>
      <w:r w:rsidRPr="00A6019F">
        <w:lastRenderedPageBreak/>
        <w:t xml:space="preserve">effects at lower doses with minimal side effects. However, the response to ketamine is transient, which has led to several approaches to maintain treatment response, such as repeated ketamine delivery. The mechanism underlying ket amine’s antidepressant action is not known, and its action as an NMDA receptor antagonist has recently been called into question. Neverthe less, ketamine’s striking clinical efficacy has stimulated animal research on the role of glutamate neurotransmission and synaptic plasticity in key limbic regions. Recent evidence supports a role for TORC1 or BDNF activation, as blockade of either blocks the antidepressant-like effects of ketamine in animal models. Mechanisms by which ketamine activates these signaling cascades are currently an active area of investigation. Gi/o R R C C PKA C C + Nucleus K+ + Ca2+ Increased excitability Regulation of proteins by PKA phosphorylation P CREB Altered gene expression FIGURE 462-2 Opioid action in the locus coeruleus (LC). Binding of opioid agonists to μ-opioid receptors on LC neurons catalyzes nucleotide exchange on Gi and Go Another area of great interest is the potential clinical utility of psy chedelic drugs and 3,4-methylenedioxy-methamphetamine (MDMA or ecstasy). Psychedelic drugs are thought to act as partial agonists of serotonin 5-HT2A receptors, whereas MDMA promotes serotonin release from nerve terminals. Both are being studied for treatment of depression and posttraumatic stress disorder, although much addi tional clinical research is needed to establish their efficacy, safety, and mechanism of action. A major goal in the field of substance use disorders has been to identify neuroadaptive mechanisms that lead from recreational use to addiction. Such research has determined that repeated intake of abused drugs induces specific changes in cellular signal transduction, leading to changes in synaptic strength (long-term potentiation or depression) and neuronal structure (altered dendritic branching or cell soma size) within the brain’s reward circuitry. These drug-induced modifications are mediated in part by changes in gene expression, achieved by regu lation of transcription factors (e.g., CREB [cAMP response element binding protein] and ΔFOSB [a FOS family protein]) and their target genes. Such alterations in gene expression are associated with lasting alterations in epigenetic modifications, including histone acetylation and methylation and DNA methylation. These adaptations provide opportunities for developing treatments targeted to drug-addicted individuals. The fact that the spectrum of these adaptations differs in part depending on the particular addictive substance used raises hope that treatments could be developed that are specific for different classes of addictive drugs and less likely to disturb basic mechanisms that gov ern normal motivation and reward. Increasingly, causal relationships are being established between individual molecular and cellular adaptations and specific behavioral abnormalities that characterize the addicted state. For example, acute activation of μ-opioid receptors by morphine or other opioids activates proteins, leading to inhibition of adenylyl cyclase (AC), neuronal hyperpolarization via activation of K+ channels, and perhaps inhibition of Ca2+ channels. Inhibition of AC reduces protein kinase A (PKA) activity and phosphorylation of several PKA substrate proteins, thereby altering their </w:t>
      </w:r>
      <w:r w:rsidRPr="00A6019F">
        <w:lastRenderedPageBreak/>
        <w:t xml:space="preserve">function. For example, opioids reduce phosphorylation of the cAMP response element-binding protein (CREB), which initiates longer term changes in neuronal function. Chronic administration of opioids increases levels of AC isoforms, PKA catalytic (C) and regulatory (R) subunits, and the phosphorylation of several proteins, including CREB (indicated by red arrows). These changes contribute to the altered phenotype of the drug-addicted state. For example, the excitability of LC neurons is increased by enhanced cAMP signaling. Activation of CREB causes upregulation of AC isoforms and tyrosine hydroxylase, the rate-limiting enzyme in catecholamine biosynthesis. Gi/o proteins, leading to inhibition of adenylyl cyclase (AC), resulting in reduced cyclic AMP (cAMP) production, protein kinase A (PKA) activation, and activation of the transcription factor CREB. Repeated administration of these drugs (Fig. 462-2) evokes a homeostatic response involving upregulation of ACs and PKA and increased acti vation of CREB. Such upregulation of cAMP-CREB signaling has been identified in the locus coeruleus (LC), periaqueductal gray, ventral tegmental area (VTA), nucleus accumbens (NAc), and several other central nervous system (CNS) regions and contributes to opioid crav ing and signs of opioid withdrawal. The fact that endogenous opioid peptides do not produce tolerance and dependence, while morphine and related drugs do, may relate to the observation that, unlike endog enous opioids, morphine and like drugs are weak inducers of μ-opioid receptor desensitization and endocytosis. Therefore, these drugs cause prolonged receptor activation and inhibition of ACs, which provides a powerful stimulus for the upregulation of cAMP-CREB signaling that characterizes the opioid-dependent state. </w:t>
      </w:r>
      <w:r w:rsidRPr="00A6019F">
        <w:rPr>
          <w:rFonts w:ascii="Arial" w:hAnsi="Arial" w:cs="Arial"/>
        </w:rPr>
        <w:t>■</w:t>
      </w:r>
      <w:r w:rsidRPr="00A6019F">
        <w:t>SYSTEMS NEUROSCIENCE The study of interconnected brain circuits that drive behavior has been greatly advanced through newer methods in brain imaging that have documented abnormalities in neural function and connectivity in psy chiatric disorders. Electroceutical devices, which use electrical or mag netic stimulation to control neuronal activity, have had some success in depression, obsessive-compulsive disorder, pain, and addiction. The past decade has also witnessed the development of revolutionary new</w:t>
      </w:r>
    </w:p>
    <w:sectPr w:rsidR="00A6019F" w:rsidRPr="00A60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36"/>
    <w:rsid w:val="00153059"/>
    <w:rsid w:val="002507CF"/>
    <w:rsid w:val="00697DFA"/>
    <w:rsid w:val="00724CA6"/>
    <w:rsid w:val="00790E05"/>
    <w:rsid w:val="00862A3A"/>
    <w:rsid w:val="009B4F0F"/>
    <w:rsid w:val="00A6019F"/>
    <w:rsid w:val="00B262C7"/>
    <w:rsid w:val="00F23836"/>
    <w:rsid w:val="00F36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2030"/>
  <w15:chartTrackingRefBased/>
  <w15:docId w15:val="{B0556A33-E572-45F4-B078-5014A774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836"/>
    <w:rPr>
      <w:rFonts w:eastAsiaTheme="majorEastAsia" w:cstheme="majorBidi"/>
      <w:color w:val="272727" w:themeColor="text1" w:themeTint="D8"/>
    </w:rPr>
  </w:style>
  <w:style w:type="paragraph" w:styleId="Title">
    <w:name w:val="Title"/>
    <w:basedOn w:val="Normal"/>
    <w:next w:val="Normal"/>
    <w:link w:val="TitleChar"/>
    <w:uiPriority w:val="10"/>
    <w:qFormat/>
    <w:rsid w:val="00F2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836"/>
    <w:pPr>
      <w:spacing w:before="160"/>
      <w:jc w:val="center"/>
    </w:pPr>
    <w:rPr>
      <w:i/>
      <w:iCs/>
      <w:color w:val="404040" w:themeColor="text1" w:themeTint="BF"/>
    </w:rPr>
  </w:style>
  <w:style w:type="character" w:customStyle="1" w:styleId="QuoteChar">
    <w:name w:val="Quote Char"/>
    <w:basedOn w:val="DefaultParagraphFont"/>
    <w:link w:val="Quote"/>
    <w:uiPriority w:val="29"/>
    <w:rsid w:val="00F23836"/>
    <w:rPr>
      <w:i/>
      <w:iCs/>
      <w:color w:val="404040" w:themeColor="text1" w:themeTint="BF"/>
    </w:rPr>
  </w:style>
  <w:style w:type="paragraph" w:styleId="ListParagraph">
    <w:name w:val="List Paragraph"/>
    <w:basedOn w:val="Normal"/>
    <w:uiPriority w:val="34"/>
    <w:qFormat/>
    <w:rsid w:val="00F23836"/>
    <w:pPr>
      <w:ind w:left="720"/>
      <w:contextualSpacing/>
    </w:pPr>
  </w:style>
  <w:style w:type="character" w:styleId="IntenseEmphasis">
    <w:name w:val="Intense Emphasis"/>
    <w:basedOn w:val="DefaultParagraphFont"/>
    <w:uiPriority w:val="21"/>
    <w:qFormat/>
    <w:rsid w:val="00F23836"/>
    <w:rPr>
      <w:i/>
      <w:iCs/>
      <w:color w:val="0F4761" w:themeColor="accent1" w:themeShade="BF"/>
    </w:rPr>
  </w:style>
  <w:style w:type="paragraph" w:styleId="IntenseQuote">
    <w:name w:val="Intense Quote"/>
    <w:basedOn w:val="Normal"/>
    <w:next w:val="Normal"/>
    <w:link w:val="IntenseQuoteChar"/>
    <w:uiPriority w:val="30"/>
    <w:qFormat/>
    <w:rsid w:val="00F23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836"/>
    <w:rPr>
      <w:i/>
      <w:iCs/>
      <w:color w:val="0F4761" w:themeColor="accent1" w:themeShade="BF"/>
    </w:rPr>
  </w:style>
  <w:style w:type="character" w:styleId="IntenseReference">
    <w:name w:val="Intense Reference"/>
    <w:basedOn w:val="DefaultParagraphFont"/>
    <w:uiPriority w:val="32"/>
    <w:qFormat/>
    <w:rsid w:val="00F23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1927</Pages>
  <Words>985519</Words>
  <Characters>5617463</Characters>
  <Application>Microsoft Office Word</Application>
  <DocSecurity>0</DocSecurity>
  <Lines>46812</Lines>
  <Paragraphs>13179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Pandey-GN</dc:creator>
  <cp:keywords/>
  <dc:description/>
  <cp:lastModifiedBy/>
  <cp:revision>2</cp:revision>
  <dcterms:created xsi:type="dcterms:W3CDTF">2026-09-02T11:05:00Z</dcterms:created>
  <dcterms:modified xsi:type="dcterms:W3CDTF">2026-09-02T11:05:00Z</dcterms:modified>
</cp:coreProperties>
</file>