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2F15" w14:textId="77777777" w:rsidR="00C57883" w:rsidRDefault="00000000">
      <w:pPr>
        <w:spacing w:after="60"/>
      </w:pPr>
      <w:r>
        <w:rPr>
          <w:b/>
          <w:bCs/>
          <w:color w:val="6B3FA0"/>
          <w:sz w:val="26"/>
          <w:szCs w:val="26"/>
        </w:rPr>
        <w:t>Workstream 1</w:t>
      </w:r>
    </w:p>
    <w:p w14:paraId="7954F53E" w14:textId="77777777" w:rsidR="00C57883" w:rsidRDefault="00000000">
      <w:pPr>
        <w:spacing w:after="100"/>
      </w:pPr>
      <w:r>
        <w:rPr>
          <w:b/>
          <w:bCs/>
          <w:color w:val="1F2937"/>
          <w:sz w:val="36"/>
          <w:szCs w:val="36"/>
        </w:rPr>
        <w:t>Salesforce and General Integrations  —  Agentic Quote Accelerator</w:t>
      </w:r>
    </w:p>
    <w:p w14:paraId="4B5149B4" w14:textId="77777777" w:rsidR="00C57883" w:rsidRDefault="00000000">
      <w:pPr>
        <w:spacing w:after="240"/>
      </w:pPr>
      <w:r>
        <w:rPr>
          <w:i/>
          <w:iCs/>
          <w:color w:val="6B7280"/>
        </w:rPr>
        <w:t>Integration plan prepared for Google Cloud partnership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57883" w14:paraId="5AE17998" w14:textId="77777777">
        <w:tblPrEx>
          <w:tblCellMar>
            <w:top w:w="0" w:type="dxa"/>
            <w:bottom w:w="0" w:type="dxa"/>
          </w:tblCellMar>
        </w:tblPrEx>
        <w:tc>
          <w:tcPr>
            <w:tcW w:w="2340" w:type="dxa"/>
            <w:tcBorders>
              <w:top w:val="single" w:sz="4" w:space="0" w:color="D1D5DB"/>
              <w:left w:val="single" w:sz="4" w:space="0" w:color="D1D5DB"/>
              <w:bottom w:val="single" w:sz="4" w:space="0" w:color="D1D5DB"/>
              <w:right w:val="single" w:sz="4" w:space="0" w:color="D1D5DB"/>
            </w:tcBorders>
            <w:shd w:val="clear" w:color="auto" w:fill="EDE9FE"/>
            <w:tcMar>
              <w:top w:w="100" w:type="dxa"/>
              <w:left w:w="140" w:type="dxa"/>
              <w:bottom w:w="100" w:type="dxa"/>
              <w:right w:w="140" w:type="dxa"/>
            </w:tcMar>
          </w:tcPr>
          <w:p w14:paraId="088553BD" w14:textId="77777777" w:rsidR="00C57883" w:rsidRDefault="00000000">
            <w:r>
              <w:rPr>
                <w:b/>
                <w:bCs/>
                <w:color w:val="6B3FA0"/>
                <w:sz w:val="20"/>
                <w:szCs w:val="20"/>
              </w:rPr>
              <w:t>Owner</w:t>
            </w:r>
          </w:p>
        </w:tc>
        <w:tc>
          <w:tcPr>
            <w:tcW w:w="2340" w:type="dxa"/>
            <w:tcBorders>
              <w:top w:val="single" w:sz="4" w:space="0" w:color="D1D5DB"/>
              <w:left w:val="single" w:sz="4" w:space="0" w:color="D1D5DB"/>
              <w:bottom w:val="single" w:sz="4" w:space="0" w:color="D1D5DB"/>
              <w:right w:val="single" w:sz="4" w:space="0" w:color="D1D5DB"/>
            </w:tcBorders>
            <w:shd w:val="clear" w:color="auto" w:fill="EDE9FE"/>
            <w:tcMar>
              <w:top w:w="100" w:type="dxa"/>
              <w:left w:w="140" w:type="dxa"/>
              <w:bottom w:w="100" w:type="dxa"/>
              <w:right w:w="140" w:type="dxa"/>
            </w:tcMar>
          </w:tcPr>
          <w:p w14:paraId="7DEA28DD" w14:textId="77777777" w:rsidR="00C57883" w:rsidRDefault="00000000">
            <w:r>
              <w:rPr>
                <w:b/>
                <w:bCs/>
                <w:color w:val="6B3FA0"/>
                <w:sz w:val="20"/>
                <w:szCs w:val="20"/>
              </w:rPr>
              <w:t>Date</w:t>
            </w:r>
          </w:p>
        </w:tc>
        <w:tc>
          <w:tcPr>
            <w:tcW w:w="2340" w:type="dxa"/>
            <w:tcBorders>
              <w:top w:val="single" w:sz="4" w:space="0" w:color="D1D5DB"/>
              <w:left w:val="single" w:sz="4" w:space="0" w:color="D1D5DB"/>
              <w:bottom w:val="single" w:sz="4" w:space="0" w:color="D1D5DB"/>
              <w:right w:val="single" w:sz="4" w:space="0" w:color="D1D5DB"/>
            </w:tcBorders>
            <w:shd w:val="clear" w:color="auto" w:fill="EDE9FE"/>
            <w:tcMar>
              <w:top w:w="100" w:type="dxa"/>
              <w:left w:w="140" w:type="dxa"/>
              <w:bottom w:w="100" w:type="dxa"/>
              <w:right w:w="140" w:type="dxa"/>
            </w:tcMar>
          </w:tcPr>
          <w:p w14:paraId="1B2E90C3" w14:textId="77777777" w:rsidR="00C57883" w:rsidRDefault="00000000">
            <w:r>
              <w:rPr>
                <w:b/>
                <w:bCs/>
                <w:color w:val="6B3FA0"/>
                <w:sz w:val="20"/>
                <w:szCs w:val="20"/>
              </w:rPr>
              <w:t>Version</w:t>
            </w:r>
          </w:p>
        </w:tc>
        <w:tc>
          <w:tcPr>
            <w:tcW w:w="2340" w:type="dxa"/>
            <w:tcBorders>
              <w:top w:val="single" w:sz="4" w:space="0" w:color="D1D5DB"/>
              <w:left w:val="single" w:sz="4" w:space="0" w:color="D1D5DB"/>
              <w:bottom w:val="single" w:sz="4" w:space="0" w:color="D1D5DB"/>
              <w:right w:val="single" w:sz="4" w:space="0" w:color="D1D5DB"/>
            </w:tcBorders>
            <w:shd w:val="clear" w:color="auto" w:fill="EDE9FE"/>
            <w:tcMar>
              <w:top w:w="100" w:type="dxa"/>
              <w:left w:w="140" w:type="dxa"/>
              <w:bottom w:w="100" w:type="dxa"/>
              <w:right w:w="140" w:type="dxa"/>
            </w:tcMar>
          </w:tcPr>
          <w:p w14:paraId="647440A9" w14:textId="77777777" w:rsidR="00C57883" w:rsidRDefault="00000000">
            <w:r>
              <w:rPr>
                <w:b/>
                <w:bCs/>
                <w:color w:val="6B3FA0"/>
                <w:sz w:val="20"/>
                <w:szCs w:val="20"/>
              </w:rPr>
              <w:t>Status</w:t>
            </w:r>
          </w:p>
        </w:tc>
      </w:tr>
      <w:tr w:rsidR="00C57883" w14:paraId="30F7451E" w14:textId="77777777">
        <w:tblPrEx>
          <w:tblCellMar>
            <w:top w:w="0" w:type="dxa"/>
            <w:bottom w:w="0" w:type="dxa"/>
          </w:tblCellMar>
        </w:tblPrEx>
        <w:tc>
          <w:tcPr>
            <w:tcW w:w="23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702B322" w14:textId="77777777" w:rsidR="00C57883" w:rsidRDefault="00000000">
            <w:proofErr w:type="spellStart"/>
            <w:r>
              <w:rPr>
                <w:color w:val="374151"/>
                <w:sz w:val="20"/>
                <w:szCs w:val="20"/>
              </w:rPr>
              <w:t>Pushparagam</w:t>
            </w:r>
            <w:proofErr w:type="spellEnd"/>
            <w:r>
              <w:rPr>
                <w:color w:val="374151"/>
                <w:sz w:val="20"/>
                <w:szCs w:val="20"/>
              </w:rPr>
              <w:t xml:space="preserve"> </w:t>
            </w:r>
            <w:proofErr w:type="spellStart"/>
            <w:r>
              <w:rPr>
                <w:color w:val="374151"/>
                <w:sz w:val="20"/>
                <w:szCs w:val="20"/>
              </w:rPr>
              <w:t>Thamotharan</w:t>
            </w:r>
            <w:proofErr w:type="spellEnd"/>
          </w:p>
        </w:tc>
        <w:tc>
          <w:tcPr>
            <w:tcW w:w="23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D9EDCF1" w14:textId="77777777" w:rsidR="00C57883" w:rsidRDefault="00000000">
            <w:r>
              <w:rPr>
                <w:i/>
                <w:iCs/>
                <w:color w:val="9CA3AF"/>
                <w:sz w:val="20"/>
                <w:szCs w:val="20"/>
              </w:rPr>
              <w:t>[ DD MMM YYYY ]</w:t>
            </w:r>
          </w:p>
        </w:tc>
        <w:tc>
          <w:tcPr>
            <w:tcW w:w="23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28EEF3B" w14:textId="77777777" w:rsidR="00C57883" w:rsidRDefault="00000000">
            <w:r>
              <w:rPr>
                <w:color w:val="374151"/>
                <w:sz w:val="20"/>
                <w:szCs w:val="20"/>
              </w:rPr>
              <w:t>v0.1  —  Draft for Google review</w:t>
            </w:r>
          </w:p>
        </w:tc>
        <w:tc>
          <w:tcPr>
            <w:tcW w:w="23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07C7091" w14:textId="77777777" w:rsidR="00C57883" w:rsidRDefault="00000000">
            <w:r>
              <w:rPr>
                <w:color w:val="374151"/>
                <w:sz w:val="20"/>
                <w:szCs w:val="20"/>
              </w:rPr>
              <w:t>In Progress</w:t>
            </w:r>
          </w:p>
        </w:tc>
      </w:tr>
    </w:tbl>
    <w:p w14:paraId="19234C98" w14:textId="77777777" w:rsidR="00C57883" w:rsidRDefault="00C57883">
      <w:pPr>
        <w:spacing w:before="80" w:after="80" w:line="320" w:lineRule="auto"/>
      </w:pPr>
    </w:p>
    <w:p w14:paraId="7A3E1BA3" w14:textId="77777777" w:rsidR="00C57883" w:rsidRDefault="00000000">
      <w:pPr>
        <w:spacing w:before="80" w:after="80" w:line="320" w:lineRule="auto"/>
      </w:pPr>
      <w:r>
        <w:rPr>
          <w:b/>
          <w:bCs/>
          <w:color w:val="1F2937"/>
        </w:rPr>
        <w:t xml:space="preserve">Purpose of this document.  </w:t>
      </w:r>
      <w:r>
        <w:rPr>
          <w:color w:val="374151"/>
        </w:rPr>
        <w:t xml:space="preserve">This document outlines </w:t>
      </w:r>
      <w:proofErr w:type="spellStart"/>
      <w:r>
        <w:rPr>
          <w:color w:val="374151"/>
        </w:rPr>
        <w:t>Agivant’s</w:t>
      </w:r>
      <w:proofErr w:type="spellEnd"/>
      <w:r>
        <w:rPr>
          <w:color w:val="374151"/>
        </w:rPr>
        <w:t xml:space="preserve"> integration plan for Workstream 1 — Salesforce and general integrations — covering the Agentic Quote Accelerator. It is intended to align </w:t>
      </w:r>
      <w:proofErr w:type="spellStart"/>
      <w:r>
        <w:rPr>
          <w:color w:val="374151"/>
        </w:rPr>
        <w:t>Agivant</w:t>
      </w:r>
      <w:proofErr w:type="spellEnd"/>
      <w:r>
        <w:rPr>
          <w:color w:val="374151"/>
        </w:rPr>
        <w:t xml:space="preserve"> and Google Cloud on scope, target marketplace agents, integration approach, asks from Google, and sequence of work for the agreed 90-day MVP sprint.</w:t>
      </w:r>
    </w:p>
    <w:p w14:paraId="3BB733CD" w14:textId="77777777" w:rsidR="00C57883" w:rsidRDefault="00000000">
      <w:r>
        <w:br w:type="page"/>
      </w:r>
    </w:p>
    <w:p w14:paraId="7E4B1569" w14:textId="77777777" w:rsidR="00C57883" w:rsidRDefault="00000000">
      <w:pPr>
        <w:pStyle w:val="Heading1"/>
      </w:pPr>
      <w:r>
        <w:lastRenderedPageBreak/>
        <w:t>1.  Workstream Scope and Solution</w:t>
      </w:r>
    </w:p>
    <w:p w14:paraId="21816A76" w14:textId="77777777" w:rsidR="00C57883" w:rsidRDefault="00000000">
      <w:pPr>
        <w:pStyle w:val="Heading2"/>
      </w:pPr>
      <w:r>
        <w:t>1.1  Scope</w:t>
      </w:r>
    </w:p>
    <w:p w14:paraId="7CDDFA85" w14:textId="77777777" w:rsidR="00C57883" w:rsidRDefault="00000000">
      <w:pPr>
        <w:spacing w:before="80" w:after="80" w:line="320" w:lineRule="auto"/>
      </w:pPr>
      <w:r>
        <w:rPr>
          <w:color w:val="374151"/>
        </w:rPr>
        <w:t xml:space="preserve">This workstream covers the integration of </w:t>
      </w:r>
      <w:proofErr w:type="spellStart"/>
      <w:r>
        <w:rPr>
          <w:color w:val="374151"/>
        </w:rPr>
        <w:t>Agivant’s</w:t>
      </w:r>
      <w:proofErr w:type="spellEnd"/>
      <w:r>
        <w:rPr>
          <w:color w:val="374151"/>
        </w:rPr>
        <w:t xml:space="preserve"> Agentic Quote Accelerator with Salesforce — both Salesforce CPQ and Salesforce Revenue Cloud — and with general enterprise systems via the Google Cloud Marketplace, using the Agent-to-Agent (A2A) protocol.</w:t>
      </w:r>
    </w:p>
    <w:p w14:paraId="6AE0AF5C" w14:textId="77777777" w:rsidR="00C57883" w:rsidRDefault="00000000">
      <w:pPr>
        <w:spacing w:before="80" w:after="80" w:line="320" w:lineRule="auto"/>
      </w:pPr>
      <w:r>
        <w:rPr>
          <w:color w:val="374151"/>
        </w:rPr>
        <w:t>Explicitly out of scope for Workstream 1: Oracle CPQ and Oracle E-Business Suite integration (covered in Workstream 2 — Oracle), and IT Service Management integrations such as ServiceNow Now Assist or Dynatrace (covered in Workstream 3 — IT Support).</w:t>
      </w:r>
    </w:p>
    <w:p w14:paraId="48B43DC1" w14:textId="77777777" w:rsidR="00C57883" w:rsidRDefault="00000000">
      <w:pPr>
        <w:spacing w:before="80" w:after="80" w:line="320" w:lineRule="auto"/>
      </w:pPr>
      <w:r>
        <w:rPr>
          <w:i/>
          <w:iCs/>
          <w:color w:val="9CA3AF"/>
          <w:sz w:val="20"/>
          <w:szCs w:val="20"/>
        </w:rPr>
        <w:t>[ Owner to add any additional scope boundaries specific to the engagement ]</w:t>
      </w:r>
    </w:p>
    <w:p w14:paraId="45B1ED27" w14:textId="77777777" w:rsidR="00C57883" w:rsidRDefault="00000000">
      <w:pPr>
        <w:pStyle w:val="Heading2"/>
      </w:pPr>
      <w:r>
        <w:t>1.2  Solution — Agentic Quote Accelerator</w:t>
      </w:r>
    </w:p>
    <w:p w14:paraId="55E3DB6A" w14:textId="77777777" w:rsidR="00C57883" w:rsidRDefault="00000000">
      <w:pPr>
        <w:spacing w:before="80" w:after="80" w:line="320" w:lineRule="auto"/>
      </w:pPr>
      <w:r>
        <w:rPr>
          <w:color w:val="374151"/>
        </w:rPr>
        <w:t>The Agentic Quote Accelerator is an autonomous multi-agent suite that supports the enterprise quoting lifecycle: product discovery, configuration, pricing, approvals, and proposal generation. The solution is GCP-native, built on Google ADK with the Gemini Enterprise Agent Platform, and integrates with downstream CPQ systems via the Model Context Protocol (MCP). Reference business outcomes include 60% faster quote cycle and 2–5% order value uplift, as presented in the May 13 review.</w:t>
      </w:r>
    </w:p>
    <w:p w14:paraId="21656114" w14:textId="1958F4E0" w:rsidR="00C57883" w:rsidRPr="00030A39" w:rsidRDefault="00000000">
      <w:pPr>
        <w:spacing w:before="80" w:after="80" w:line="320" w:lineRule="auto"/>
        <w:rPr>
          <w:color w:val="EE0000"/>
        </w:rPr>
      </w:pPr>
      <w:r w:rsidRPr="00030A39">
        <w:rPr/>
        <w:t>The accelerator deploys 7 specialised agents across the quoting lifecycle:</w:t>
      </w:r>
      <w:r w:rsidR="00030A39" w:rsidRPr="00030A39">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6740"/>
      </w:tblGrid>
      <w:tr w:rsidR="00C57883" w14:paraId="22D31725" w14:textId="77777777">
        <w:tblPrEx>
          <w:tblCellMar>
            <w:top w:w="0" w:type="dxa"/>
            <w:bottom w:w="0" w:type="dxa"/>
          </w:tblCellMar>
        </w:tblPrEx>
        <w:trPr>
          <w:tblHeader/>
        </w:trPr>
        <w:tc>
          <w:tcPr>
            <w:tcW w:w="2620" w:type="dxa"/>
            <w:tcBorders>
              <w:top w:val="single" w:sz="4" w:space="0" w:color="D1D5DB"/>
              <w:left w:val="single" w:sz="4" w:space="0" w:color="D1D5DB"/>
              <w:bottom w:val="single" w:sz="4" w:space="0" w:color="D1D5DB"/>
              <w:right w:val="single" w:sz="4" w:space="0" w:color="D1D5DB"/>
            </w:tcBorders>
            <w:shd w:val="clear" w:color="auto" w:fill="EDE9FE"/>
            <w:tcMar>
              <w:top w:w="100" w:type="dxa"/>
              <w:left w:w="140" w:type="dxa"/>
              <w:bottom w:w="100" w:type="dxa"/>
              <w:right w:w="140" w:type="dxa"/>
            </w:tcMar>
          </w:tcPr>
          <w:p w14:paraId="494A0180" w14:textId="77777777" w:rsidR="00C57883" w:rsidRDefault="00000000">
            <w:r>
              <w:rPr>
                <w:b/>
                <w:bCs/>
                <w:color w:val="6B3FA0"/>
                <w:sz w:val="20"/>
                <w:szCs w:val="20"/>
              </w:rPr>
              <w:t>Agent</w:t>
            </w:r>
          </w:p>
        </w:tc>
        <w:tc>
          <w:tcPr>
            <w:tcW w:w="6739" w:type="dxa"/>
            <w:tcBorders>
              <w:top w:val="single" w:sz="4" w:space="0" w:color="D1D5DB"/>
              <w:left w:val="single" w:sz="4" w:space="0" w:color="D1D5DB"/>
              <w:bottom w:val="single" w:sz="4" w:space="0" w:color="D1D5DB"/>
              <w:right w:val="single" w:sz="4" w:space="0" w:color="D1D5DB"/>
            </w:tcBorders>
            <w:shd w:val="clear" w:color="auto" w:fill="EDE9FE"/>
            <w:tcMar>
              <w:top w:w="100" w:type="dxa"/>
              <w:left w:w="140" w:type="dxa"/>
              <w:bottom w:w="100" w:type="dxa"/>
              <w:right w:w="140" w:type="dxa"/>
            </w:tcMar>
          </w:tcPr>
          <w:p w14:paraId="37285F0C" w14:textId="77777777" w:rsidR="00C57883" w:rsidRDefault="00000000">
            <w:r>
              <w:rPr>
                <w:b/>
                <w:bCs/>
                <w:color w:val="6B3FA0"/>
                <w:sz w:val="20"/>
                <w:szCs w:val="20"/>
              </w:rPr>
              <w:t>Role</w:t>
            </w:r>
          </w:p>
        </w:tc>
      </w:tr>
      <w:tr w:rsidR="00C57883" w14:paraId="3AAE60BB" w14:textId="77777777">
        <w:tblPrEx>
          <w:tblCellMar>
            <w:top w:w="0" w:type="dxa"/>
            <w:bottom w:w="0" w:type="dxa"/>
          </w:tblCellMar>
        </w:tblPrEx>
        <w:tc>
          <w:tcPr>
            <w:tcW w:w="26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72B9A5F" w14:textId="77777777" w:rsidR="00C57883" w:rsidRDefault="00000000">
            <w:r>
              <w:rPr>
                <w:b/>
                <w:bCs/>
                <w:color w:val="374151"/>
                <w:sz w:val="20"/>
                <w:szCs w:val="20"/>
              </w:rPr>
              <w:t>Deal Manager</w:t>
            </w:r>
          </w:p>
        </w:tc>
        <w:tc>
          <w:tcPr>
            <w:tcW w:w="6739"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ECDDD43" w14:textId="77777777" w:rsidR="00C57883" w:rsidRDefault="00000000">
            <w:r>
              <w:rPr>
                <w:color w:val="374151"/>
                <w:sz w:val="20"/>
                <w:szCs w:val="20"/>
              </w:rPr>
              <w:t>Orchestration agent — coordinates the workflow and invokes specialist agents based on incoming requests.</w:t>
            </w:r>
          </w:p>
        </w:tc>
      </w:tr>
      <w:tr w:rsidR="00C57883" w14:paraId="3F2802E5" w14:textId="77777777">
        <w:tblPrEx>
          <w:tblCellMar>
            <w:top w:w="0" w:type="dxa"/>
            <w:bottom w:w="0" w:type="dxa"/>
          </w:tblCellMar>
        </w:tblPrEx>
        <w:tc>
          <w:tcPr>
            <w:tcW w:w="262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4EC1B67B" w14:textId="77777777" w:rsidR="00C57883" w:rsidRDefault="00000000">
            <w:r>
              <w:rPr>
                <w:b/>
                <w:bCs/>
                <w:color w:val="374151"/>
                <w:sz w:val="20"/>
                <w:szCs w:val="20"/>
              </w:rPr>
              <w:t>Requirement Parser</w:t>
            </w:r>
          </w:p>
        </w:tc>
        <w:tc>
          <w:tcPr>
            <w:tcW w:w="6739"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788270A3" w14:textId="77777777" w:rsidR="00C57883" w:rsidRDefault="00000000">
            <w:r>
              <w:rPr>
                <w:color w:val="374151"/>
                <w:sz w:val="20"/>
                <w:szCs w:val="20"/>
              </w:rPr>
              <w:t>Extracts structured requirements from inbound RFQs, transcripts, and emails.</w:t>
            </w:r>
          </w:p>
        </w:tc>
      </w:tr>
      <w:tr w:rsidR="00C57883" w14:paraId="0AE1E8CE" w14:textId="77777777">
        <w:tblPrEx>
          <w:tblCellMar>
            <w:top w:w="0" w:type="dxa"/>
            <w:bottom w:w="0" w:type="dxa"/>
          </w:tblCellMar>
        </w:tblPrEx>
        <w:tc>
          <w:tcPr>
            <w:tcW w:w="26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D03D165" w14:textId="77777777" w:rsidR="00C57883" w:rsidRDefault="00000000">
            <w:proofErr w:type="spellStart"/>
            <w:r>
              <w:rPr>
                <w:b/>
                <w:bCs/>
                <w:color w:val="374151"/>
                <w:sz w:val="20"/>
                <w:szCs w:val="20"/>
              </w:rPr>
              <w:t>Catalog</w:t>
            </w:r>
            <w:proofErr w:type="spellEnd"/>
            <w:r>
              <w:rPr>
                <w:b/>
                <w:bCs/>
                <w:color w:val="374151"/>
                <w:sz w:val="20"/>
                <w:szCs w:val="20"/>
              </w:rPr>
              <w:t xml:space="preserve"> Scout</w:t>
            </w:r>
          </w:p>
        </w:tc>
        <w:tc>
          <w:tcPr>
            <w:tcW w:w="6739"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6851777" w14:textId="77777777" w:rsidR="00C57883" w:rsidRDefault="00000000">
            <w:r>
              <w:rPr>
                <w:color w:val="374151"/>
                <w:sz w:val="20"/>
                <w:szCs w:val="20"/>
              </w:rPr>
              <w:t xml:space="preserve">Performs semantic product discovery — retrieves matching SKUs, bundles, and recommendations from large </w:t>
            </w:r>
            <w:proofErr w:type="spellStart"/>
            <w:r>
              <w:rPr>
                <w:color w:val="374151"/>
                <w:sz w:val="20"/>
                <w:szCs w:val="20"/>
              </w:rPr>
              <w:t>catalogs</w:t>
            </w:r>
            <w:proofErr w:type="spellEnd"/>
            <w:r>
              <w:rPr>
                <w:color w:val="374151"/>
                <w:sz w:val="20"/>
                <w:szCs w:val="20"/>
              </w:rPr>
              <w:t>.</w:t>
            </w:r>
          </w:p>
        </w:tc>
      </w:tr>
      <w:tr w:rsidR="00C57883" w14:paraId="10F063ED" w14:textId="77777777">
        <w:tblPrEx>
          <w:tblCellMar>
            <w:top w:w="0" w:type="dxa"/>
            <w:bottom w:w="0" w:type="dxa"/>
          </w:tblCellMar>
        </w:tblPrEx>
        <w:tc>
          <w:tcPr>
            <w:tcW w:w="262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17ACDFA2" w14:textId="77777777" w:rsidR="00C57883" w:rsidRDefault="00000000">
            <w:r>
              <w:rPr>
                <w:b/>
                <w:bCs/>
                <w:color w:val="374151"/>
                <w:sz w:val="20"/>
                <w:szCs w:val="20"/>
              </w:rPr>
              <w:t>Quote Builder</w:t>
            </w:r>
          </w:p>
        </w:tc>
        <w:tc>
          <w:tcPr>
            <w:tcW w:w="6739"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5E0C178D" w14:textId="77777777" w:rsidR="00C57883" w:rsidRDefault="00000000">
            <w:r>
              <w:rPr>
                <w:color w:val="374151"/>
                <w:sz w:val="20"/>
                <w:szCs w:val="20"/>
              </w:rPr>
              <w:t>Generates quotes from products, pricing, discounts, quantities, accounts, and opportunity context.</w:t>
            </w:r>
          </w:p>
        </w:tc>
      </w:tr>
      <w:tr w:rsidR="00C57883" w14:paraId="7F715F92" w14:textId="77777777">
        <w:tblPrEx>
          <w:tblCellMar>
            <w:top w:w="0" w:type="dxa"/>
            <w:bottom w:w="0" w:type="dxa"/>
          </w:tblCellMar>
        </w:tblPrEx>
        <w:tc>
          <w:tcPr>
            <w:tcW w:w="26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1363D8E" w14:textId="77777777" w:rsidR="00C57883" w:rsidRDefault="00000000">
            <w:r>
              <w:rPr>
                <w:b/>
                <w:bCs/>
                <w:color w:val="374151"/>
                <w:sz w:val="20"/>
                <w:szCs w:val="20"/>
              </w:rPr>
              <w:t>Quote Updater</w:t>
            </w:r>
          </w:p>
        </w:tc>
        <w:tc>
          <w:tcPr>
            <w:tcW w:w="6739"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8E47535" w14:textId="77777777" w:rsidR="00C57883" w:rsidRDefault="00000000">
            <w:r>
              <w:rPr>
                <w:color w:val="374151"/>
                <w:sz w:val="20"/>
                <w:szCs w:val="20"/>
              </w:rPr>
              <w:t>Updates existing quotes when pricing, product, or customer requirements change.</w:t>
            </w:r>
          </w:p>
        </w:tc>
      </w:tr>
      <w:tr w:rsidR="00C57883" w14:paraId="0825AC89" w14:textId="77777777">
        <w:tblPrEx>
          <w:tblCellMar>
            <w:top w:w="0" w:type="dxa"/>
            <w:bottom w:w="0" w:type="dxa"/>
          </w:tblCellMar>
        </w:tblPrEx>
        <w:tc>
          <w:tcPr>
            <w:tcW w:w="262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3B6C64C4" w14:textId="77777777" w:rsidR="00C57883" w:rsidRDefault="00000000">
            <w:r>
              <w:rPr>
                <w:b/>
                <w:bCs/>
                <w:color w:val="374151"/>
                <w:sz w:val="20"/>
                <w:szCs w:val="20"/>
              </w:rPr>
              <w:t>Solution Advisor</w:t>
            </w:r>
          </w:p>
        </w:tc>
        <w:tc>
          <w:tcPr>
            <w:tcW w:w="6739"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48628F71" w14:textId="77777777" w:rsidR="00C57883" w:rsidRDefault="00000000">
            <w:r>
              <w:rPr>
                <w:color w:val="374151"/>
                <w:sz w:val="20"/>
                <w:szCs w:val="20"/>
              </w:rPr>
              <w:t>Enables guided selling with contextual recommendations and solution mapping.</w:t>
            </w:r>
          </w:p>
        </w:tc>
      </w:tr>
      <w:tr w:rsidR="00C57883" w14:paraId="6283CD7C" w14:textId="77777777">
        <w:tblPrEx>
          <w:tblCellMar>
            <w:top w:w="0" w:type="dxa"/>
            <w:bottom w:w="0" w:type="dxa"/>
          </w:tblCellMar>
        </w:tblPrEx>
        <w:tc>
          <w:tcPr>
            <w:tcW w:w="26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858A603" w14:textId="77777777" w:rsidR="00C57883" w:rsidRDefault="00000000">
            <w:r>
              <w:rPr>
                <w:b/>
                <w:bCs/>
                <w:color w:val="374151"/>
                <w:sz w:val="20"/>
                <w:szCs w:val="20"/>
              </w:rPr>
              <w:t>Recommendation Engine</w:t>
            </w:r>
          </w:p>
        </w:tc>
        <w:tc>
          <w:tcPr>
            <w:tcW w:w="6739"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BE59B4D" w14:textId="58A2A83A" w:rsidR="00C57883" w:rsidRDefault="00000000">
            <w:r>
              <w:rPr>
                <w:color w:val="374151"/>
                <w:sz w:val="20"/>
                <w:szCs w:val="20"/>
              </w:rPr>
              <w:t>Surfaces upsell, cross-sell, and bundle recommendations during quote creation.</w:t>
            </w:r>
            <w:r w:rsidR="004570C2">
              <w:rPr>
                <w:color w:val="374151"/>
                <w:sz w:val="20"/>
                <w:szCs w:val="20"/>
              </w:rPr>
              <w:t xml:space="preserve"> </w:t>
            </w:r>
            <w:r w:rsidR="004570C2" w:rsidRPr="004570C2">
              <w:rPr>
                <w:sz w:val="20"/>
                <w:szCs w:val="20"/>
              </w:rPr>
              <w:t xml:space="preserve"> (Recommendation capabilities are fully enabled by the Catalog Scout's semantic catalog matching. Upsell and cross-sell intelligence surfaces relevant items by matching customer requirements with highly correlated catalog product associations.)</w:t>
            </w:r>
          </w:p>
        </w:tc>
      </w:tr>
    </w:tbl>
    <w:p w14:paraId="756EF944" w14:textId="77777777" w:rsidR="00C57883" w:rsidRDefault="00000000">
      <w:r>
        <w:br w:type="page"/>
      </w:r>
    </w:p>
    <w:p w14:paraId="3D5DA322" w14:textId="77777777" w:rsidR="00C57883" w:rsidRDefault="00000000">
      <w:pPr>
        <w:pStyle w:val="Heading1"/>
      </w:pPr>
      <w:r>
        <w:lastRenderedPageBreak/>
        <w:t>2.  Target Marketplace Agents</w:t>
      </w:r>
    </w:p>
    <w:p w14:paraId="4C482BE3" w14:textId="77777777" w:rsidR="00C57883" w:rsidRDefault="00000000">
      <w:pPr>
        <w:spacing w:before="80" w:after="80" w:line="320" w:lineRule="auto"/>
      </w:pPr>
      <w:r>
        <w:rPr>
          <w:color w:val="374151"/>
        </w:rPr>
        <w:t xml:space="preserve">Per Schneider Larbi’s guidance in the May 20 meeting, this workstream targets 3 to 4 marketplace agents — selected for functional fit and quality of A2A integration, not for breadth. Below are the two confirmed targets, with one to two additional candidates to be identified by the </w:t>
      </w:r>
      <w:proofErr w:type="spellStart"/>
      <w:r>
        <w:rPr>
          <w:color w:val="374151"/>
        </w:rPr>
        <w:t>Agivant</w:t>
      </w:r>
      <w:proofErr w:type="spellEnd"/>
      <w:r>
        <w:rPr>
          <w:color w:val="374151"/>
        </w:rPr>
        <w:t xml:space="preserve"> team in collaboration with Google.</w:t>
      </w:r>
    </w:p>
    <w:p w14:paraId="07C889D2" w14:textId="77777777" w:rsidR="00C57883" w:rsidRPr="00030A39" w:rsidRDefault="00000000">
      <w:pPr>
        <w:pStyle w:val="Heading2"/>
        <w:rPr>
          <w:color w:val="EE0000"/>
        </w:rPr>
      </w:pPr>
      <w:r w:rsidRPr="00030A39">
        <w:rPr/>
        <w:t>2.1  Confirmed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3369"/>
        <w:gridCol w:w="2059"/>
        <w:gridCol w:w="1872"/>
      </w:tblGrid>
      <w:tr w:rsidR="00C57883" w14:paraId="01B6E398" w14:textId="77777777">
        <w:tblPrEx>
          <w:tblCellMar>
            <w:top w:w="0" w:type="dxa"/>
            <w:bottom w:w="0" w:type="dxa"/>
          </w:tblCellMar>
        </w:tblPrEx>
        <w:trPr>
          <w:tblHeader/>
        </w:trPr>
        <w:tc>
          <w:tcPr>
            <w:tcW w:w="2059" w:type="dxa"/>
            <w:tcBorders>
              <w:top w:val="single" w:sz="4" w:space="0" w:color="D1D5DB"/>
              <w:left w:val="single" w:sz="4" w:space="0" w:color="D1D5DB"/>
              <w:bottom w:val="single" w:sz="4" w:space="0" w:color="D1D5DB"/>
              <w:right w:val="single" w:sz="4" w:space="0" w:color="D1D5DB"/>
            </w:tcBorders>
            <w:shd w:val="clear" w:color="auto" w:fill="EDE9FE"/>
            <w:tcMar>
              <w:top w:w="100" w:type="dxa"/>
              <w:left w:w="140" w:type="dxa"/>
              <w:bottom w:w="100" w:type="dxa"/>
              <w:right w:w="140" w:type="dxa"/>
            </w:tcMar>
          </w:tcPr>
          <w:p w14:paraId="335BF569" w14:textId="77777777" w:rsidR="00C57883" w:rsidRDefault="00000000">
            <w:r>
              <w:rPr>
                <w:b/>
                <w:bCs/>
                <w:color w:val="6B3FA0"/>
                <w:sz w:val="20"/>
                <w:szCs w:val="20"/>
              </w:rPr>
              <w:t>Marketplace Agent</w:t>
            </w:r>
          </w:p>
        </w:tc>
        <w:tc>
          <w:tcPr>
            <w:tcW w:w="3369" w:type="dxa"/>
            <w:tcBorders>
              <w:top w:val="single" w:sz="4" w:space="0" w:color="D1D5DB"/>
              <w:left w:val="single" w:sz="4" w:space="0" w:color="D1D5DB"/>
              <w:bottom w:val="single" w:sz="4" w:space="0" w:color="D1D5DB"/>
              <w:right w:val="single" w:sz="4" w:space="0" w:color="D1D5DB"/>
            </w:tcBorders>
            <w:shd w:val="clear" w:color="auto" w:fill="EDE9FE"/>
            <w:tcMar>
              <w:top w:w="100" w:type="dxa"/>
              <w:left w:w="140" w:type="dxa"/>
              <w:bottom w:w="100" w:type="dxa"/>
              <w:right w:w="140" w:type="dxa"/>
            </w:tcMar>
          </w:tcPr>
          <w:p w14:paraId="69E298DB" w14:textId="77777777" w:rsidR="00C57883" w:rsidRDefault="00000000">
            <w:r>
              <w:rPr>
                <w:b/>
                <w:bCs/>
                <w:color w:val="6B3FA0"/>
                <w:sz w:val="20"/>
                <w:szCs w:val="20"/>
              </w:rPr>
              <w:t>Function</w:t>
            </w:r>
          </w:p>
        </w:tc>
        <w:tc>
          <w:tcPr>
            <w:tcW w:w="2059" w:type="dxa"/>
            <w:tcBorders>
              <w:top w:val="single" w:sz="4" w:space="0" w:color="D1D5DB"/>
              <w:left w:val="single" w:sz="4" w:space="0" w:color="D1D5DB"/>
              <w:bottom w:val="single" w:sz="4" w:space="0" w:color="D1D5DB"/>
              <w:right w:val="single" w:sz="4" w:space="0" w:color="D1D5DB"/>
            </w:tcBorders>
            <w:shd w:val="clear" w:color="auto" w:fill="EDE9FE"/>
            <w:tcMar>
              <w:top w:w="100" w:type="dxa"/>
              <w:left w:w="140" w:type="dxa"/>
              <w:bottom w:w="100" w:type="dxa"/>
              <w:right w:w="140" w:type="dxa"/>
            </w:tcMar>
          </w:tcPr>
          <w:p w14:paraId="350EEFFD" w14:textId="77777777" w:rsidR="00C57883" w:rsidRDefault="00000000">
            <w:r>
              <w:rPr>
                <w:b/>
                <w:bCs/>
                <w:color w:val="6B3FA0"/>
                <w:sz w:val="20"/>
                <w:szCs w:val="20"/>
              </w:rPr>
              <w:t>Paired with our agent</w:t>
            </w:r>
          </w:p>
        </w:tc>
        <w:tc>
          <w:tcPr>
            <w:tcW w:w="1872" w:type="dxa"/>
            <w:tcBorders>
              <w:top w:val="single" w:sz="4" w:space="0" w:color="D1D5DB"/>
              <w:left w:val="single" w:sz="4" w:space="0" w:color="D1D5DB"/>
              <w:bottom w:val="single" w:sz="4" w:space="0" w:color="D1D5DB"/>
              <w:right w:val="single" w:sz="4" w:space="0" w:color="D1D5DB"/>
            </w:tcBorders>
            <w:shd w:val="clear" w:color="auto" w:fill="EDE9FE"/>
            <w:tcMar>
              <w:top w:w="100" w:type="dxa"/>
              <w:left w:w="140" w:type="dxa"/>
              <w:bottom w:w="100" w:type="dxa"/>
              <w:right w:w="140" w:type="dxa"/>
            </w:tcMar>
          </w:tcPr>
          <w:p w14:paraId="19197C01" w14:textId="77777777" w:rsidR="00C57883" w:rsidRDefault="00000000">
            <w:r>
              <w:rPr>
                <w:b/>
                <w:bCs/>
                <w:color w:val="6B3FA0"/>
                <w:sz w:val="20"/>
                <w:szCs w:val="20"/>
              </w:rPr>
              <w:t>Status</w:t>
            </w:r>
          </w:p>
        </w:tc>
      </w:tr>
      <w:tr w:rsidR="00C57883" w14:paraId="5612A628" w14:textId="77777777">
        <w:tblPrEx>
          <w:tblCellMar>
            <w:top w:w="0" w:type="dxa"/>
            <w:bottom w:w="0" w:type="dxa"/>
          </w:tblCellMar>
        </w:tblPrEx>
        <w:tc>
          <w:tcPr>
            <w:tcW w:w="2059"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045FEA8" w14:textId="77777777" w:rsidR="00C57883" w:rsidRDefault="00000000">
            <w:proofErr w:type="spellStart"/>
            <w:r w:rsidRPr="00030A39">
              <w:rPr>
                <w:b/>
                <w:bCs/>
                <w:sz w:val="20"/>
                <w:szCs w:val="20"/>
              </w:rPr>
              <w:t>Agentforce</w:t>
            </w:r>
            <w:proofErr w:type="spellEnd"/>
            <w:r w:rsidRPr="00030A39">
              <w:rPr>
                <w:b/>
                <w:bCs/>
                <w:sz w:val="20"/>
                <w:szCs w:val="20"/>
              </w:rPr>
              <w:t xml:space="preserve"> Sales</w:t>
            </w:r>
          </w:p>
        </w:tc>
        <w:tc>
          <w:tcPr>
            <w:tcW w:w="3369"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84754F6" w14:textId="77777777" w:rsidR="00C57883" w:rsidRDefault="00000000">
            <w:r>
              <w:rPr>
                <w:color w:val="374151"/>
                <w:sz w:val="20"/>
                <w:szCs w:val="20"/>
              </w:rPr>
              <w:t>CRM-aware guided selling, opportunity intelligence, customer context retrieval, and sales workflow enrichment.</w:t>
            </w:r>
          </w:p>
        </w:tc>
        <w:tc>
          <w:tcPr>
            <w:tcW w:w="2059"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39361B8" w14:textId="77777777" w:rsidR="00C57883" w:rsidRDefault="00000000">
            <w:r>
              <w:rPr>
                <w:color w:val="374151"/>
                <w:sz w:val="20"/>
                <w:szCs w:val="20"/>
              </w:rPr>
              <w:t>Deal Manager, Solution Advisor</w:t>
            </w:r>
          </w:p>
        </w:tc>
        <w:tc>
          <w:tcPr>
            <w:tcW w:w="187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818AF87" w14:textId="77777777" w:rsidR="00C57883" w:rsidRDefault="00000000">
            <w:r>
              <w:rPr>
                <w:color w:val="374151"/>
                <w:sz w:val="20"/>
                <w:szCs w:val="20"/>
              </w:rPr>
              <w:t>Confirmed — licensing path being worked through Schneider Larbi.</w:t>
            </w:r>
          </w:p>
        </w:tc>
      </w:tr>
      <w:tr w:rsidR="00C57883" w14:paraId="3C5A3641" w14:textId="77777777">
        <w:tblPrEx>
          <w:tblCellMar>
            <w:top w:w="0" w:type="dxa"/>
            <w:bottom w:w="0" w:type="dxa"/>
          </w:tblCellMar>
        </w:tblPrEx>
        <w:tc>
          <w:tcPr>
            <w:tcW w:w="2059"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247D3DC0" w14:textId="77777777" w:rsidR="00C57883" w:rsidRDefault="00000000">
            <w:r>
              <w:rPr>
                <w:b/>
                <w:bCs/>
                <w:color w:val="374151"/>
                <w:sz w:val="20"/>
                <w:szCs w:val="20"/>
              </w:rPr>
              <w:t>Base64 Document Intelligence Platform</w:t>
            </w:r>
          </w:p>
        </w:tc>
        <w:tc>
          <w:tcPr>
            <w:tcW w:w="3369"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73B6B3D5" w14:textId="77777777" w:rsidR="00C57883" w:rsidRDefault="00000000">
            <w:r>
              <w:rPr>
                <w:color w:val="374151"/>
                <w:sz w:val="20"/>
                <w:szCs w:val="20"/>
              </w:rPr>
              <w:t>Multimodal enterprise intake — processes call recordings, transcripts, email attachments, scanned RFQs, screenshots, procurement documents, and voice inputs.</w:t>
            </w:r>
          </w:p>
        </w:tc>
        <w:tc>
          <w:tcPr>
            <w:tcW w:w="2059"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431DDE5A" w14:textId="77777777" w:rsidR="00C57883" w:rsidRDefault="00000000">
            <w:r>
              <w:rPr>
                <w:color w:val="374151"/>
                <w:sz w:val="20"/>
                <w:szCs w:val="20"/>
              </w:rPr>
              <w:t>Requirement Parser</w:t>
            </w:r>
          </w:p>
        </w:tc>
        <w:tc>
          <w:tcPr>
            <w:tcW w:w="1872"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6BE7F2CB" w14:textId="77777777" w:rsidR="00C57883" w:rsidRDefault="00000000">
            <w:r>
              <w:rPr>
                <w:color w:val="374151"/>
                <w:sz w:val="20"/>
                <w:szCs w:val="20"/>
              </w:rPr>
              <w:t>Confirmed — sandbox access needed.</w:t>
            </w:r>
          </w:p>
        </w:tc>
      </w:tr>
    </w:tbl>
    <w:p w14:paraId="6BE033A7" w14:textId="77777777" w:rsidR="00C57883" w:rsidRDefault="00000000">
      <w:pPr>
        <w:pStyle w:val="Heading2"/>
      </w:pPr>
      <w:r>
        <w:t>2.2  Additional candidates to evaluate</w:t>
      </w:r>
    </w:p>
    <w:p w14:paraId="132A77EB" w14:textId="77777777" w:rsidR="00C57883" w:rsidRDefault="00000000">
      <w:pPr>
        <w:spacing w:before="80" w:after="80" w:line="320" w:lineRule="auto"/>
      </w:pPr>
      <w:r>
        <w:rPr>
          <w:color w:val="374151"/>
        </w:rPr>
        <w:t xml:space="preserve">Two further candidates to be identified by the </w:t>
      </w:r>
      <w:proofErr w:type="spellStart"/>
      <w:r>
        <w:rPr>
          <w:color w:val="374151"/>
        </w:rPr>
        <w:t>Agivant</w:t>
      </w:r>
      <w:proofErr w:type="spellEnd"/>
      <w:r>
        <w:rPr>
          <w:color w:val="374151"/>
        </w:rPr>
        <w:t xml:space="preserve"> team and discussed with Google. Selection criteria: A2A-compliant interface (or near-term roadmap to A2A), demonstrable enhancement to a specific touchpoint in the 7-agent workflow, and feasibility of click-based configuration.</w:t>
      </w:r>
    </w:p>
    <w:p w14:paraId="5F473BB9" w14:textId="77777777" w:rsidR="00C57883" w:rsidRDefault="00000000">
      <w:pPr>
        <w:spacing w:before="80" w:after="80" w:line="320" w:lineRule="auto"/>
      </w:pPr>
      <w:r>
        <w:rPr>
          <w:i/>
          <w:iCs/>
          <w:color w:val="9CA3AF"/>
          <w:sz w:val="20"/>
          <w:szCs w:val="20"/>
        </w:rPr>
        <w:t>[ Owner to add 1–2 additional candidates with rationale — name, function, agent paired with, and current A2A status. Suggested categories to explore: pricing intelligence, sales intelligence, contract management ]</w:t>
      </w:r>
    </w:p>
    <w:p w14:paraId="4ACB21BE" w14:textId="77777777" w:rsidR="00C57883" w:rsidRDefault="00000000">
      <w:r>
        <w:br w:type="page"/>
      </w:r>
    </w:p>
    <w:p w14:paraId="6DDA4153" w14:textId="77777777" w:rsidR="00C57883" w:rsidRDefault="00000000">
      <w:pPr>
        <w:pStyle w:val="Heading1"/>
      </w:pPr>
      <w:r>
        <w:lastRenderedPageBreak/>
        <w:t>3.  Integration Architecture and Touchpoints</w:t>
      </w:r>
    </w:p>
    <w:p w14:paraId="6908FC0B" w14:textId="77777777" w:rsidR="00C57883" w:rsidRPr="00030A39" w:rsidRDefault="00000000">
      <w:pPr>
        <w:pStyle w:val="Heading2"/>
        <w:rPr>
          <w:color w:val="EE0000"/>
        </w:rPr>
      </w:pPr>
      <w:r w:rsidRPr="00030A39">
        <w:rPr/>
        <w:t>3.1  Architecture approach</w:t>
      </w:r>
    </w:p>
    <w:p w14:paraId="18BA2B9C" w14:textId="70C1C408" w:rsidR="00C57883" w:rsidRDefault="00000000">
      <w:pPr>
        <w:spacing w:before="80" w:after="80" w:line="320" w:lineRule="auto"/>
      </w:pPr>
      <w:r>
        <w:rPr>
          <w:color w:val="374151"/>
        </w:rPr>
        <w:t xml:space="preserve">The Agentic Quote Accelerator is positioned as a sidecar to existing CPQ systems — augmenting rather than replacing them. Our agents are hosted on Cloud Run </w:t>
      </w:r>
      <w:r w:rsidR="00691019" w:rsidRPr="00691019">
        <w:rPr/>
        <w:t xml:space="preserve">(Agent Runtime) </w:t>
      </w:r>
      <w:r w:rsidR="00691019">
        <w:rPr/>
        <w:t xml:space="preserve">which is managed by Gemini Enterprise Agent platform </w:t>
      </w:r>
      <w:r w:rsidRPr="00691019">
        <w:rPr>
          <w:color w:val="374151"/>
          <w:highlight w:val="yellow"/>
        </w:rPr>
        <w:t>and orchestrated through the Google Agent Development Kit (ADK), with the Gemini Enterprise Agent Platform as the agent runtime.</w:t>
      </w:r>
      <w:r>
        <w:rPr>
          <w:color w:val="374151"/>
        </w:rPr>
        <w:t xml:space="preserve"> External marketplace agents are reached via the A2A protocol, with MCP servers on Cloud Run handling direct CPQ API integrations </w:t>
      </w:r>
      <w:r w:rsidRPr="00691019">
        <w:rPr>
          <w:color w:val="374151"/>
          <w:highlight w:val="yellow"/>
        </w:rPr>
        <w:t>where A2A is not yet available.</w:t>
      </w:r>
    </w:p>
    <w:p w14:paraId="3927AB95" w14:textId="77777777" w:rsidR="00C57883" w:rsidRDefault="00000000">
      <w:pPr>
        <w:spacing w:before="80" w:after="80" w:line="320" w:lineRule="auto"/>
      </w:pPr>
      <w:r>
        <w:rPr>
          <w:b/>
          <w:bCs/>
          <w:color w:val="1F2937"/>
        </w:rPr>
        <w:t xml:space="preserve">Important technical note.  </w:t>
      </w:r>
      <w:r>
        <w:rPr>
          <w:color w:val="374151"/>
        </w:rPr>
        <w:t>Salesforce is not currently MCP-compliant. As confirmed in the May 20 meeting, the agreed workaround is to use existing Salesforce MCP servers to bridge our agents to Salesforce APIs. This is a known constraint and does not block the workstream — the longer-term path is to migrate to native MCP support once Salesforce makes it available.</w:t>
      </w:r>
    </w:p>
    <w:p w14:paraId="41EE378A" w14:textId="77777777" w:rsidR="00C57883" w:rsidRDefault="00000000">
      <w:pPr>
        <w:spacing w:before="80" w:after="80" w:line="320" w:lineRule="auto"/>
      </w:pPr>
      <w:r>
        <w:rPr>
          <w:i/>
          <w:iCs/>
          <w:color w:val="9CA3AF"/>
          <w:sz w:val="20"/>
          <w:szCs w:val="20"/>
        </w:rPr>
        <w:t>[ Owner to insert a single high-level architecture diagram showing: our 7 agents on Cloud Run, the A2A protocol layer (Agent Gateway / Identity / Registry), the Salesforce MCP server workaround, and the marketplace agents on the Google side. One diagram, no deep technical detail ]</w:t>
      </w:r>
    </w:p>
    <w:p w14:paraId="6AD57CC0" w14:textId="382D8F91" w:rsidR="00C57883" w:rsidRDefault="00000000">
      <w:pPr>
        <w:pStyle w:val="Heading2"/>
      </w:pPr>
      <w:r>
        <w:t>3.2  Integration Touchpoints and Security Architecture</w:t>
      </w:r>
    </w:p>
    <w:p>
      <w:pPr>
        <w:spacing w:before="120" w:after="120"/>
      </w:pPr>
      <w:r>
        <w:t>The following architectural points detail how our multi-agent Quoting Accelerator exchanges data, secures transactions, and orchestrates workflows:</w:t>
      </w:r>
    </w:p>
    <w:p>
      <w:pPr>
        <w:spacing w:after="80"/>
        <w:ind w:left="360"/>
      </w:pPr>
      <w:r>
        <w:t>• Data Ingestion (Intake): Call transcripts, emails, scanned RFQs, and screenshots are processed via the Requirement Parser. Custom high-fidelity extractors (leveraging pdfplumber, openpyxl, and python-docx) parse the documents at the backend (/api/upload endpoint) and convert them to structured text. A refined requirements package is transmitted to the Deal Manager coordinator via secure WebSockets.</w:t>
      </w:r>
    </w:p>
    <w:p>
      <w:pPr>
        <w:spacing w:after="80"/>
        <w:ind w:left="360"/>
      </w:pPr>
      <w:r>
        <w:t>• Product Discovery and Attribute Classification: The Catalog Scout queries live product items using Salesforce Connect REST APIs (connect/pcm/products), combining keyword search with Picklist attribute filters (using check_field_values tool). The Quote Architect resolves standard Pricebook entries (resolve_pricebook_entries) to retrieve active PricebookEntry IDs, list prices, and unit prices before quote creation.</w:t>
      </w:r>
    </w:p>
    <w:p>
      <w:pPr>
        <w:spacing w:after="80"/>
        <w:ind w:left="360"/>
      </w:pPr>
      <w:r>
        <w:t>• Transactional Quote Execution: The Quote Architect compiles complete configurations into a Salesforce CPQ Quote Graph payload. It submits this transaction via the connect sales transaction placing API (/services/data/v65.0/connect/rev/sales-transaction/actions/place) to generate a validated Quote and Quote Line Items in a single transaction. Subsequent modifications are handled securely by the Quote Updater.</w:t>
      </w:r>
    </w:p>
    <w:p>
      <w:pPr>
        <w:spacing w:after="80"/>
        <w:ind w:left="360"/>
      </w:pPr>
      <w:r>
        <w:t>• Authentication and Security: Authentication is managed via secure OAuth 2.0 Web Server Flow / JWT Bearer Flow against the Salesforce Connected App. Token storage is cached at the backend layer (auth.json), and all REST/WebSocket transmissions are encrypted in transit via TLS 1.3.</w:t>
      </w:r>
    </w:p>
    <w:p>
      <w:pPr>
        <w:spacing w:after="240"/>
        <w:ind w:left="360"/>
      </w:pPr>
      <w:r>
        <w:t>• API Integration Gateway: The FastAPI backend serves as the secure Orchestration and API Integration Gateway, handling WebSockets and routing calls. In enterprise production, this gateway is placed behind Apigee API Gateway or Google Cloud API Gateway to implement rate-limiting, request auditing, and enterprise IAM controls.</w:t>
      </w:r>
    </w:p>
    <w:p w14:paraId="1B1FC6DE" w14:textId="77777777" w:rsidR="00C57883" w:rsidRDefault="00000000">
      <w:pPr>
        <w:spacing w:before="80" w:after="80" w:line="320" w:lineRule="auto"/>
      </w:pPr>
      <w:r>
        <w:rPr>
          <w:color w:val="374151"/>
        </w:rPr>
        <w:t>The following touchpoints describe how each of our agents interacts with the selected marketplace agents during the quoting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9"/>
        <w:gridCol w:w="5991"/>
      </w:tblGrid>
      <w:tr w:rsidR="00C57883" w14:paraId="3C17013F" w14:textId="77777777" w:rsidTr="006B2E5F">
        <w:tblPrEx>
          <w:tblCellMar>
            <w:top w:w="0" w:type="dxa"/>
            <w:bottom w:w="0" w:type="dxa"/>
          </w:tblCellMar>
        </w:tblPrEx>
        <w:trPr>
          <w:tblHeader/>
        </w:trPr>
        <w:tc>
          <w:tcPr>
            <w:tcW w:w="3369" w:type="dxa"/>
            <w:tcBorders>
              <w:top w:val="single" w:sz="4" w:space="0" w:color="D1D5DB"/>
              <w:left w:val="single" w:sz="4" w:space="0" w:color="D1D5DB"/>
              <w:bottom w:val="single" w:sz="4" w:space="0" w:color="D1D5DB"/>
              <w:right w:val="single" w:sz="4" w:space="0" w:color="D1D5DB"/>
            </w:tcBorders>
            <w:shd w:val="clear" w:color="auto" w:fill="EDE9FE"/>
            <w:tcMar>
              <w:top w:w="100" w:type="dxa"/>
              <w:left w:w="140" w:type="dxa"/>
              <w:bottom w:w="100" w:type="dxa"/>
              <w:right w:w="140" w:type="dxa"/>
            </w:tcMar>
          </w:tcPr>
          <w:p w14:paraId="2D1CE287" w14:textId="77777777" w:rsidR="00C57883" w:rsidRDefault="00000000">
            <w:r>
              <w:rPr>
                <w:b/>
                <w:bCs/>
                <w:color w:val="6B3FA0"/>
                <w:sz w:val="20"/>
                <w:szCs w:val="20"/>
              </w:rPr>
              <w:t>Touchpoint</w:t>
            </w:r>
          </w:p>
        </w:tc>
        <w:tc>
          <w:tcPr>
            <w:tcW w:w="5991" w:type="dxa"/>
            <w:tcBorders>
              <w:top w:val="single" w:sz="4" w:space="0" w:color="D1D5DB"/>
              <w:left w:val="single" w:sz="4" w:space="0" w:color="D1D5DB"/>
              <w:bottom w:val="single" w:sz="4" w:space="0" w:color="D1D5DB"/>
              <w:right w:val="single" w:sz="4" w:space="0" w:color="D1D5DB"/>
            </w:tcBorders>
            <w:shd w:val="clear" w:color="auto" w:fill="EDE9FE"/>
            <w:tcMar>
              <w:top w:w="100" w:type="dxa"/>
              <w:left w:w="140" w:type="dxa"/>
              <w:bottom w:w="100" w:type="dxa"/>
              <w:right w:w="140" w:type="dxa"/>
            </w:tcMar>
          </w:tcPr>
          <w:p w14:paraId="482B3181" w14:textId="77777777" w:rsidR="00C57883" w:rsidRDefault="00000000">
            <w:r>
              <w:rPr>
                <w:b/>
                <w:bCs/>
                <w:color w:val="6B3FA0"/>
                <w:sz w:val="20"/>
                <w:szCs w:val="20"/>
              </w:rPr>
              <w:t>Purpose</w:t>
            </w:r>
          </w:p>
        </w:tc>
      </w:tr>
      <w:tr w:rsidR="00C57883" w14:paraId="50AFF51F" w14:textId="77777777" w:rsidTr="006B2E5F">
        <w:tblPrEx>
          <w:tblCellMar>
            <w:top w:w="0" w:type="dxa"/>
            <w:bottom w:w="0" w:type="dxa"/>
          </w:tblCellMar>
        </w:tblPrEx>
        <w:tc>
          <w:tcPr>
            <w:tcW w:w="3369"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997B07E" w14:textId="52872005" w:rsidR="00C57883" w:rsidRDefault="00000000">
            <w:r>
              <w:rPr>
                <w:b/>
                <w:bCs/>
                <w:color w:val="374151"/>
                <w:sz w:val="20"/>
                <w:szCs w:val="20"/>
              </w:rPr>
              <w:t xml:space="preserve">Deal Manager </w:t>
            </w:r>
            <w:r w:rsidR="00691019">
              <w:rPr>
                <w:b/>
                <w:bCs/>
                <w:color w:val="374151"/>
                <w:sz w:val="20"/>
                <w:szCs w:val="20"/>
              </w:rPr>
              <w:t xml:space="preserve">, </w:t>
            </w:r>
            <w:r w:rsidR="00691019">
              <w:rPr>
                <w:b/>
                <w:bCs/>
                <w:color w:val="374151"/>
                <w:sz w:val="20"/>
                <w:szCs w:val="20"/>
              </w:rPr>
              <w:t xml:space="preserve">Solution Advisor  </w:t>
            </w:r>
            <w:r>
              <w:rPr>
                <w:b/>
                <w:bCs/>
                <w:color w:val="374151"/>
                <w:sz w:val="20"/>
                <w:szCs w:val="20"/>
              </w:rPr>
              <w:t xml:space="preserve">→  </w:t>
            </w:r>
            <w:proofErr w:type="spellStart"/>
            <w:r>
              <w:rPr>
                <w:b/>
                <w:bCs/>
                <w:color w:val="374151"/>
                <w:sz w:val="20"/>
                <w:szCs w:val="20"/>
              </w:rPr>
              <w:t>Agentforce</w:t>
            </w:r>
            <w:proofErr w:type="spellEnd"/>
            <w:r>
              <w:rPr>
                <w:b/>
                <w:bCs/>
                <w:color w:val="374151"/>
                <w:sz w:val="20"/>
                <w:szCs w:val="20"/>
              </w:rPr>
              <w:t xml:space="preserve"> Sales</w:t>
            </w:r>
          </w:p>
        </w:tc>
        <w:tc>
          <w:tcPr>
            <w:tcW w:w="5991"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B5AAD1D" w14:textId="39F48E6D" w:rsidR="00C57883" w:rsidRDefault="00000000">
            <w:r>
              <w:rPr>
                <w:color w:val="374151"/>
                <w:sz w:val="20"/>
                <w:szCs w:val="20"/>
              </w:rPr>
              <w:t>Retrieves customer account details, opportunity context, and guided selling intelligence before quote creation</w:t>
            </w:r>
            <w:r w:rsidR="006B2E5F">
              <w:rPr>
                <w:color w:val="374151"/>
                <w:sz w:val="20"/>
                <w:szCs w:val="20"/>
              </w:rPr>
              <w:t xml:space="preserve"> and </w:t>
            </w:r>
            <w:r w:rsidR="006B2E5F">
              <w:rPr>
                <w:color w:val="374151"/>
                <w:sz w:val="20"/>
                <w:szCs w:val="20"/>
              </w:rPr>
              <w:t>opportunity insights to recommend relevant products, bundles, and contextual solutions.</w:t>
            </w:r>
          </w:p>
        </w:tc>
      </w:tr>
      <w:tr w:rsidR="00C57883" w14:paraId="3414F67D" w14:textId="77777777" w:rsidTr="006B2E5F">
        <w:tblPrEx>
          <w:tblCellMar>
            <w:top w:w="0" w:type="dxa"/>
            <w:bottom w:w="0" w:type="dxa"/>
          </w:tblCellMar>
        </w:tblPrEx>
        <w:tc>
          <w:tcPr>
            <w:tcW w:w="3369"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0075B7B" w14:textId="77777777" w:rsidR="00C57883" w:rsidRDefault="00000000">
            <w:r>
              <w:rPr>
                <w:b/>
                <w:bCs/>
                <w:color w:val="374151"/>
                <w:sz w:val="20"/>
                <w:szCs w:val="20"/>
              </w:rPr>
              <w:t>Requirement Parser  →  Base64 Document Intelligence</w:t>
            </w:r>
          </w:p>
        </w:tc>
        <w:tc>
          <w:tcPr>
            <w:tcW w:w="5991"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54D5DD0" w14:textId="77777777" w:rsidR="00C57883" w:rsidRDefault="00000000">
            <w:r>
              <w:rPr>
                <w:color w:val="374151"/>
                <w:sz w:val="20"/>
                <w:szCs w:val="20"/>
              </w:rPr>
              <w:t>Sends transcripts, emails, scanned RFQs, screenshots, and voice inputs for multimodal extraction into structured requirements.</w:t>
            </w:r>
          </w:p>
        </w:tc>
      </w:tr>
    </w:tbl>
    <w:p w14:paraId="2340F20D" w14:textId="77777777" w:rsidR="00C57883" w:rsidRDefault="00000000">
      <w:pPr>
        <w:spacing w:before="80" w:after="80" w:line="320" w:lineRule="auto"/>
      </w:pPr>
      <w:r>
        <w:rPr>
          <w:i/>
          <w:iCs/>
          <w:color w:val="9CA3AF"/>
          <w:sz w:val="20"/>
          <w:szCs w:val="20"/>
        </w:rPr>
        <w:t>[ Owner to add touchpoints for the additional candidate agents identified in Section 2.2 ]</w:t>
      </w:r>
    </w:p>
    <w:p w14:paraId="0D92B1FF" w14:textId="77777777" w:rsidR="00C57883" w:rsidRDefault="00000000">
      <w:r>
        <w:br w:type="page"/>
      </w:r>
    </w:p>
    <w:p w14:paraId="4FC32BDF" w14:textId="77777777" w:rsidR="00C57883" w:rsidRPr="00030A39" w:rsidRDefault="00000000">
      <w:pPr>
        <w:pStyle w:val="Heading1"/>
        <w:rPr>
          <w:color w:val="EE0000"/>
        </w:rPr>
      </w:pPr>
      <w:r w:rsidRPr="00030A39">
        <w:rPr/>
        <w:lastRenderedPageBreak/>
        <w:t>4.  What We Need From Google</w:t>
      </w:r>
    </w:p>
    <w:p w14:paraId="0D76F89C" w14:textId="77777777" w:rsidR="00C57883" w:rsidRDefault="00000000">
      <w:pPr>
        <w:spacing w:before="80" w:after="80" w:line="320" w:lineRule="auto"/>
      </w:pPr>
      <w:r>
        <w:rPr>
          <w:color w:val="374151"/>
        </w:rPr>
        <w:t>The following items are required from Google to progress the integration. Items 1 and 2 are blockers for the next phase of integration work. Items 3 to 5 are required during the sprint.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
        <w:gridCol w:w="4119"/>
        <w:gridCol w:w="2059"/>
        <w:gridCol w:w="2621"/>
      </w:tblGrid>
      <w:tr w:rsidR="00C57883" w14:paraId="329362E9" w14:textId="77777777">
        <w:tblPrEx>
          <w:tblCellMar>
            <w:top w:w="0" w:type="dxa"/>
            <w:bottom w:w="0" w:type="dxa"/>
          </w:tblCellMar>
        </w:tblPrEx>
        <w:trPr>
          <w:tblHeader/>
        </w:trPr>
        <w:tc>
          <w:tcPr>
            <w:tcW w:w="561" w:type="dxa"/>
            <w:tcBorders>
              <w:top w:val="single" w:sz="4" w:space="0" w:color="D1D5DB"/>
              <w:left w:val="single" w:sz="4" w:space="0" w:color="D1D5DB"/>
              <w:bottom w:val="single" w:sz="4" w:space="0" w:color="D1D5DB"/>
              <w:right w:val="single" w:sz="4" w:space="0" w:color="D1D5DB"/>
            </w:tcBorders>
            <w:shd w:val="clear" w:color="auto" w:fill="EDE9FE"/>
            <w:tcMar>
              <w:top w:w="100" w:type="dxa"/>
              <w:left w:w="140" w:type="dxa"/>
              <w:bottom w:w="100" w:type="dxa"/>
              <w:right w:w="140" w:type="dxa"/>
            </w:tcMar>
          </w:tcPr>
          <w:p w14:paraId="282C300C" w14:textId="77777777" w:rsidR="00C57883" w:rsidRDefault="00000000">
            <w:pPr>
              <w:jc w:val="center"/>
            </w:pPr>
            <w:r>
              <w:rPr>
                <w:b/>
                <w:bCs/>
                <w:color w:val="6B3FA0"/>
                <w:sz w:val="20"/>
                <w:szCs w:val="20"/>
              </w:rPr>
              <w:t>#</w:t>
            </w:r>
          </w:p>
        </w:tc>
        <w:tc>
          <w:tcPr>
            <w:tcW w:w="4118" w:type="dxa"/>
            <w:tcBorders>
              <w:top w:val="single" w:sz="4" w:space="0" w:color="D1D5DB"/>
              <w:left w:val="single" w:sz="4" w:space="0" w:color="D1D5DB"/>
              <w:bottom w:val="single" w:sz="4" w:space="0" w:color="D1D5DB"/>
              <w:right w:val="single" w:sz="4" w:space="0" w:color="D1D5DB"/>
            </w:tcBorders>
            <w:shd w:val="clear" w:color="auto" w:fill="EDE9FE"/>
            <w:tcMar>
              <w:top w:w="100" w:type="dxa"/>
              <w:left w:w="140" w:type="dxa"/>
              <w:bottom w:w="100" w:type="dxa"/>
              <w:right w:w="140" w:type="dxa"/>
            </w:tcMar>
          </w:tcPr>
          <w:p w14:paraId="423BF8C0" w14:textId="77777777" w:rsidR="00C57883" w:rsidRDefault="00000000">
            <w:r>
              <w:rPr>
                <w:b/>
                <w:bCs/>
                <w:color w:val="6B3FA0"/>
                <w:sz w:val="20"/>
                <w:szCs w:val="20"/>
              </w:rPr>
              <w:t>Ask</w:t>
            </w:r>
          </w:p>
        </w:tc>
        <w:tc>
          <w:tcPr>
            <w:tcW w:w="2059" w:type="dxa"/>
            <w:tcBorders>
              <w:top w:val="single" w:sz="4" w:space="0" w:color="D1D5DB"/>
              <w:left w:val="single" w:sz="4" w:space="0" w:color="D1D5DB"/>
              <w:bottom w:val="single" w:sz="4" w:space="0" w:color="D1D5DB"/>
              <w:right w:val="single" w:sz="4" w:space="0" w:color="D1D5DB"/>
            </w:tcBorders>
            <w:shd w:val="clear" w:color="auto" w:fill="EDE9FE"/>
            <w:tcMar>
              <w:top w:w="100" w:type="dxa"/>
              <w:left w:w="140" w:type="dxa"/>
              <w:bottom w:w="100" w:type="dxa"/>
              <w:right w:w="140" w:type="dxa"/>
            </w:tcMar>
          </w:tcPr>
          <w:p w14:paraId="11C2C707" w14:textId="77777777" w:rsidR="00C57883" w:rsidRDefault="00000000">
            <w:r>
              <w:rPr>
                <w:b/>
                <w:bCs/>
                <w:color w:val="6B3FA0"/>
                <w:sz w:val="20"/>
                <w:szCs w:val="20"/>
              </w:rPr>
              <w:t>Google owner</w:t>
            </w:r>
          </w:p>
        </w:tc>
        <w:tc>
          <w:tcPr>
            <w:tcW w:w="2620" w:type="dxa"/>
            <w:tcBorders>
              <w:top w:val="single" w:sz="4" w:space="0" w:color="D1D5DB"/>
              <w:left w:val="single" w:sz="4" w:space="0" w:color="D1D5DB"/>
              <w:bottom w:val="single" w:sz="4" w:space="0" w:color="D1D5DB"/>
              <w:right w:val="single" w:sz="4" w:space="0" w:color="D1D5DB"/>
            </w:tcBorders>
            <w:shd w:val="clear" w:color="auto" w:fill="EDE9FE"/>
            <w:tcMar>
              <w:top w:w="100" w:type="dxa"/>
              <w:left w:w="140" w:type="dxa"/>
              <w:bottom w:w="100" w:type="dxa"/>
              <w:right w:w="140" w:type="dxa"/>
            </w:tcMar>
          </w:tcPr>
          <w:p w14:paraId="785A12E2" w14:textId="77777777" w:rsidR="00C57883" w:rsidRDefault="00000000">
            <w:r>
              <w:rPr>
                <w:b/>
                <w:bCs/>
                <w:color w:val="6B3FA0"/>
                <w:sz w:val="20"/>
                <w:szCs w:val="20"/>
              </w:rPr>
              <w:t>Priority</w:t>
            </w:r>
          </w:p>
        </w:tc>
      </w:tr>
      <w:tr w:rsidR="00C57883" w14:paraId="4D4ED352" w14:textId="77777777">
        <w:tblPrEx>
          <w:tblCellMar>
            <w:top w:w="0" w:type="dxa"/>
            <w:bottom w:w="0" w:type="dxa"/>
          </w:tblCellMar>
        </w:tblPrEx>
        <w:tc>
          <w:tcPr>
            <w:tcW w:w="561"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B465365" w14:textId="77777777" w:rsidR="00C57883" w:rsidRDefault="00000000">
            <w:pPr>
              <w:jc w:val="center"/>
            </w:pPr>
            <w:r>
              <w:rPr>
                <w:b/>
                <w:bCs/>
                <w:color w:val="374151"/>
                <w:sz w:val="20"/>
                <w:szCs w:val="20"/>
              </w:rPr>
              <w:t>1</w:t>
            </w:r>
          </w:p>
        </w:tc>
        <w:tc>
          <w:tcPr>
            <w:tcW w:w="4118"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3FA1FDC" w14:textId="77777777" w:rsidR="00C57883" w:rsidRDefault="00000000">
            <w:r>
              <w:rPr>
                <w:color w:val="374151"/>
                <w:sz w:val="20"/>
                <w:szCs w:val="20"/>
              </w:rPr>
              <w:t xml:space="preserve">Gemini developer environment provisioned for </w:t>
            </w:r>
            <w:proofErr w:type="spellStart"/>
            <w:r>
              <w:rPr>
                <w:color w:val="374151"/>
                <w:sz w:val="20"/>
                <w:szCs w:val="20"/>
              </w:rPr>
              <w:t>Agivant</w:t>
            </w:r>
            <w:proofErr w:type="spellEnd"/>
            <w:r>
              <w:rPr>
                <w:color w:val="374151"/>
                <w:sz w:val="20"/>
                <w:szCs w:val="20"/>
              </w:rPr>
              <w:t xml:space="preserve"> to host and test accelerator solutions.</w:t>
            </w:r>
          </w:p>
        </w:tc>
        <w:tc>
          <w:tcPr>
            <w:tcW w:w="2059"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DA5106B" w14:textId="77777777" w:rsidR="00C57883" w:rsidRDefault="00000000">
            <w:r>
              <w:rPr>
                <w:color w:val="374151"/>
                <w:sz w:val="20"/>
                <w:szCs w:val="20"/>
              </w:rPr>
              <w:t>Schneider Larbi</w:t>
            </w:r>
          </w:p>
        </w:tc>
        <w:tc>
          <w:tcPr>
            <w:tcW w:w="26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0739603" w14:textId="77777777" w:rsidR="00C57883" w:rsidRDefault="00000000">
            <w:r>
              <w:rPr>
                <w:b/>
                <w:bCs/>
                <w:color w:val="6B3FA0"/>
                <w:sz w:val="20"/>
                <w:szCs w:val="20"/>
              </w:rPr>
              <w:t>Blocker</w:t>
            </w:r>
          </w:p>
        </w:tc>
      </w:tr>
      <w:tr w:rsidR="00C57883" w14:paraId="54D5EC53" w14:textId="77777777">
        <w:tblPrEx>
          <w:tblCellMar>
            <w:top w:w="0" w:type="dxa"/>
            <w:bottom w:w="0" w:type="dxa"/>
          </w:tblCellMar>
        </w:tblPrEx>
        <w:tc>
          <w:tcPr>
            <w:tcW w:w="561"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640DCFA5" w14:textId="77777777" w:rsidR="00C57883" w:rsidRDefault="00000000">
            <w:pPr>
              <w:jc w:val="center"/>
            </w:pPr>
            <w:r>
              <w:rPr>
                <w:b/>
                <w:bCs/>
                <w:color w:val="374151"/>
                <w:sz w:val="20"/>
                <w:szCs w:val="20"/>
              </w:rPr>
              <w:t>2</w:t>
            </w:r>
          </w:p>
        </w:tc>
        <w:tc>
          <w:tcPr>
            <w:tcW w:w="4118"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00E3EB80" w14:textId="77777777" w:rsidR="00C57883" w:rsidRDefault="00000000">
            <w:proofErr w:type="spellStart"/>
            <w:r>
              <w:rPr>
                <w:color w:val="374151"/>
                <w:sz w:val="20"/>
                <w:szCs w:val="20"/>
              </w:rPr>
              <w:t>AgentCard</w:t>
            </w:r>
            <w:proofErr w:type="spellEnd"/>
            <w:r>
              <w:rPr>
                <w:color w:val="374151"/>
                <w:sz w:val="20"/>
                <w:szCs w:val="20"/>
              </w:rPr>
              <w:t xml:space="preserve"> registry and routing address access for </w:t>
            </w:r>
            <w:proofErr w:type="spellStart"/>
            <w:r>
              <w:rPr>
                <w:color w:val="374151"/>
                <w:sz w:val="20"/>
                <w:szCs w:val="20"/>
              </w:rPr>
              <w:t>Agentforce</w:t>
            </w:r>
            <w:proofErr w:type="spellEnd"/>
            <w:r>
              <w:rPr>
                <w:color w:val="374151"/>
                <w:sz w:val="20"/>
                <w:szCs w:val="20"/>
              </w:rPr>
              <w:t xml:space="preserve"> Sales and Base64 Document Intelligence Platform.</w:t>
            </w:r>
          </w:p>
        </w:tc>
        <w:tc>
          <w:tcPr>
            <w:tcW w:w="2059"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42CE38F5" w14:textId="77777777" w:rsidR="00C57883" w:rsidRDefault="00000000">
            <w:r>
              <w:rPr>
                <w:color w:val="374151"/>
                <w:sz w:val="20"/>
                <w:szCs w:val="20"/>
              </w:rPr>
              <w:t>Schneider Larbi</w:t>
            </w:r>
          </w:p>
        </w:tc>
        <w:tc>
          <w:tcPr>
            <w:tcW w:w="262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7C6BF654" w14:textId="77777777" w:rsidR="00C57883" w:rsidRDefault="00000000">
            <w:r>
              <w:rPr>
                <w:b/>
                <w:bCs/>
                <w:color w:val="6B3FA0"/>
                <w:sz w:val="20"/>
                <w:szCs w:val="20"/>
              </w:rPr>
              <w:t>Blocker</w:t>
            </w:r>
          </w:p>
        </w:tc>
      </w:tr>
      <w:tr w:rsidR="00C57883" w14:paraId="6E1A3532" w14:textId="77777777">
        <w:tblPrEx>
          <w:tblCellMar>
            <w:top w:w="0" w:type="dxa"/>
            <w:bottom w:w="0" w:type="dxa"/>
          </w:tblCellMar>
        </w:tblPrEx>
        <w:tc>
          <w:tcPr>
            <w:tcW w:w="561"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DD81714" w14:textId="77777777" w:rsidR="00C57883" w:rsidRDefault="00000000">
            <w:pPr>
              <w:jc w:val="center"/>
            </w:pPr>
            <w:r>
              <w:rPr>
                <w:b/>
                <w:bCs/>
                <w:color w:val="374151"/>
                <w:sz w:val="20"/>
                <w:szCs w:val="20"/>
              </w:rPr>
              <w:t>3</w:t>
            </w:r>
          </w:p>
        </w:tc>
        <w:tc>
          <w:tcPr>
            <w:tcW w:w="4118"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5FA1575" w14:textId="77777777" w:rsidR="00C57883" w:rsidRDefault="00000000">
            <w:r>
              <w:rPr>
                <w:color w:val="374151"/>
                <w:sz w:val="20"/>
                <w:szCs w:val="20"/>
              </w:rPr>
              <w:t>Sandbox / testing access to confirmed marketplace agents to validate integration touchpoints.</w:t>
            </w:r>
          </w:p>
        </w:tc>
        <w:tc>
          <w:tcPr>
            <w:tcW w:w="2059"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616165F" w14:textId="77777777" w:rsidR="00C57883" w:rsidRDefault="00000000">
            <w:r>
              <w:rPr>
                <w:color w:val="374151"/>
                <w:sz w:val="20"/>
                <w:szCs w:val="20"/>
              </w:rPr>
              <w:t>Schneider Larbi  +  Agent owners</w:t>
            </w:r>
          </w:p>
        </w:tc>
        <w:tc>
          <w:tcPr>
            <w:tcW w:w="26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86537CB" w14:textId="77777777" w:rsidR="00C57883" w:rsidRDefault="00000000">
            <w:r>
              <w:rPr>
                <w:color w:val="374151"/>
                <w:sz w:val="20"/>
                <w:szCs w:val="20"/>
              </w:rPr>
              <w:t>High</w:t>
            </w:r>
          </w:p>
        </w:tc>
      </w:tr>
      <w:tr w:rsidR="00C57883" w14:paraId="07333865" w14:textId="77777777">
        <w:tblPrEx>
          <w:tblCellMar>
            <w:top w:w="0" w:type="dxa"/>
            <w:bottom w:w="0" w:type="dxa"/>
          </w:tblCellMar>
        </w:tblPrEx>
        <w:tc>
          <w:tcPr>
            <w:tcW w:w="561"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7E779FD1" w14:textId="77777777" w:rsidR="00C57883" w:rsidRDefault="00000000">
            <w:pPr>
              <w:jc w:val="center"/>
            </w:pPr>
            <w:r>
              <w:rPr>
                <w:b/>
                <w:bCs/>
                <w:color w:val="374151"/>
                <w:sz w:val="20"/>
                <w:szCs w:val="20"/>
              </w:rPr>
              <w:t>4</w:t>
            </w:r>
          </w:p>
        </w:tc>
        <w:tc>
          <w:tcPr>
            <w:tcW w:w="4118"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4E3B216A" w14:textId="77777777" w:rsidR="00C57883" w:rsidRDefault="00000000">
            <w:r>
              <w:rPr>
                <w:color w:val="374151"/>
                <w:sz w:val="20"/>
                <w:szCs w:val="20"/>
              </w:rPr>
              <w:t>Salesforce agent licensing path confirmation for A2A integration testing.</w:t>
            </w:r>
          </w:p>
        </w:tc>
        <w:tc>
          <w:tcPr>
            <w:tcW w:w="2059"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4D7DCF86" w14:textId="77777777" w:rsidR="00C57883" w:rsidRDefault="00000000">
            <w:r>
              <w:rPr>
                <w:color w:val="374151"/>
                <w:sz w:val="20"/>
                <w:szCs w:val="20"/>
              </w:rPr>
              <w:t>Schneider Larbi</w:t>
            </w:r>
          </w:p>
        </w:tc>
        <w:tc>
          <w:tcPr>
            <w:tcW w:w="262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6E8F36B9" w14:textId="77777777" w:rsidR="00C57883" w:rsidRDefault="00000000">
            <w:r>
              <w:rPr>
                <w:color w:val="374151"/>
                <w:sz w:val="20"/>
                <w:szCs w:val="20"/>
              </w:rPr>
              <w:t>High</w:t>
            </w:r>
          </w:p>
        </w:tc>
      </w:tr>
      <w:tr w:rsidR="00C57883" w14:paraId="3FB3A151" w14:textId="77777777">
        <w:tblPrEx>
          <w:tblCellMar>
            <w:top w:w="0" w:type="dxa"/>
            <w:bottom w:w="0" w:type="dxa"/>
          </w:tblCellMar>
        </w:tblPrEx>
        <w:tc>
          <w:tcPr>
            <w:tcW w:w="561"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3071E6E" w14:textId="77777777" w:rsidR="00C57883" w:rsidRDefault="00000000">
            <w:pPr>
              <w:jc w:val="center"/>
            </w:pPr>
            <w:r>
              <w:rPr>
                <w:b/>
                <w:bCs/>
                <w:color w:val="374151"/>
                <w:sz w:val="20"/>
                <w:szCs w:val="20"/>
              </w:rPr>
              <w:t>5</w:t>
            </w:r>
          </w:p>
        </w:tc>
        <w:tc>
          <w:tcPr>
            <w:tcW w:w="4118"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3275473" w14:textId="77777777" w:rsidR="00C57883" w:rsidRDefault="00000000">
            <w:r>
              <w:rPr>
                <w:color w:val="374151"/>
                <w:sz w:val="20"/>
                <w:szCs w:val="20"/>
              </w:rPr>
              <w:t>Marketplace listing process: end-to-end ISV intake, technical / legal / compliance checklist, and named listing intake owner.</w:t>
            </w:r>
          </w:p>
        </w:tc>
        <w:tc>
          <w:tcPr>
            <w:tcW w:w="2059"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6DFAE99" w14:textId="77777777" w:rsidR="00C57883" w:rsidRDefault="00000000">
            <w:r>
              <w:rPr>
                <w:i/>
                <w:iCs/>
                <w:color w:val="9CA3AF"/>
                <w:sz w:val="20"/>
                <w:szCs w:val="20"/>
              </w:rPr>
              <w:t>[ Marketplace SPOC — TBC ]</w:t>
            </w:r>
          </w:p>
        </w:tc>
        <w:tc>
          <w:tcPr>
            <w:tcW w:w="26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E39EFDB" w14:textId="77777777" w:rsidR="00C57883" w:rsidRDefault="00000000">
            <w:r>
              <w:rPr>
                <w:color w:val="374151"/>
                <w:sz w:val="20"/>
                <w:szCs w:val="20"/>
              </w:rPr>
              <w:t>Medium</w:t>
            </w:r>
          </w:p>
        </w:tc>
      </w:tr>
    </w:tbl>
    <w:p w14:paraId="69406489" w14:textId="77777777" w:rsidR="00C57883" w:rsidRDefault="00000000">
      <w:pPr>
        <w:pStyle w:val="Heading1"/>
      </w:pPr>
      <w:r>
        <w:t>5.  Sequence of Work</w:t>
      </w:r>
    </w:p>
    <w:p w14:paraId="665DB9E1" w14:textId="77777777" w:rsidR="00C57883" w:rsidRDefault="00000000">
      <w:pPr>
        <w:spacing w:before="80" w:after="80" w:line="320" w:lineRule="auto"/>
      </w:pPr>
      <w:r>
        <w:rPr>
          <w:color w:val="374151"/>
        </w:rPr>
        <w:t>The integration work follows a logical sequence in which each step unlocks the next. No fixed dates are committed here; the underlying commitment is to deliver the first MVP within the agreed 90-day sprint.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
        <w:gridCol w:w="2995"/>
        <w:gridCol w:w="5804"/>
      </w:tblGrid>
      <w:tr w:rsidR="00C57883" w14:paraId="02374B2B" w14:textId="77777777">
        <w:tblPrEx>
          <w:tblCellMar>
            <w:top w:w="0" w:type="dxa"/>
            <w:bottom w:w="0" w:type="dxa"/>
          </w:tblCellMar>
        </w:tblPrEx>
        <w:trPr>
          <w:tblHeader/>
        </w:trPr>
        <w:tc>
          <w:tcPr>
            <w:tcW w:w="561" w:type="dxa"/>
            <w:tcBorders>
              <w:top w:val="single" w:sz="4" w:space="0" w:color="D1D5DB"/>
              <w:left w:val="single" w:sz="4" w:space="0" w:color="D1D5DB"/>
              <w:bottom w:val="single" w:sz="4" w:space="0" w:color="D1D5DB"/>
              <w:right w:val="single" w:sz="4" w:space="0" w:color="D1D5DB"/>
            </w:tcBorders>
            <w:shd w:val="clear" w:color="auto" w:fill="EDE9FE"/>
            <w:tcMar>
              <w:top w:w="100" w:type="dxa"/>
              <w:left w:w="140" w:type="dxa"/>
              <w:bottom w:w="100" w:type="dxa"/>
              <w:right w:w="140" w:type="dxa"/>
            </w:tcMar>
          </w:tcPr>
          <w:p w14:paraId="34B0CBF9" w14:textId="77777777" w:rsidR="00C57883" w:rsidRDefault="00000000">
            <w:pPr>
              <w:jc w:val="center"/>
            </w:pPr>
            <w:r>
              <w:rPr>
                <w:b/>
                <w:bCs/>
                <w:color w:val="6B3FA0"/>
                <w:sz w:val="20"/>
                <w:szCs w:val="20"/>
              </w:rPr>
              <w:t>#</w:t>
            </w:r>
          </w:p>
        </w:tc>
        <w:tc>
          <w:tcPr>
            <w:tcW w:w="2995" w:type="dxa"/>
            <w:tcBorders>
              <w:top w:val="single" w:sz="4" w:space="0" w:color="D1D5DB"/>
              <w:left w:val="single" w:sz="4" w:space="0" w:color="D1D5DB"/>
              <w:bottom w:val="single" w:sz="4" w:space="0" w:color="D1D5DB"/>
              <w:right w:val="single" w:sz="4" w:space="0" w:color="D1D5DB"/>
            </w:tcBorders>
            <w:shd w:val="clear" w:color="auto" w:fill="EDE9FE"/>
            <w:tcMar>
              <w:top w:w="100" w:type="dxa"/>
              <w:left w:w="140" w:type="dxa"/>
              <w:bottom w:w="100" w:type="dxa"/>
              <w:right w:w="140" w:type="dxa"/>
            </w:tcMar>
          </w:tcPr>
          <w:p w14:paraId="7D8DE41F" w14:textId="77777777" w:rsidR="00C57883" w:rsidRDefault="00000000">
            <w:r>
              <w:rPr>
                <w:b/>
                <w:bCs/>
                <w:color w:val="6B3FA0"/>
                <w:sz w:val="20"/>
                <w:szCs w:val="20"/>
              </w:rPr>
              <w:t>Step</w:t>
            </w:r>
          </w:p>
        </w:tc>
        <w:tc>
          <w:tcPr>
            <w:tcW w:w="5803" w:type="dxa"/>
            <w:tcBorders>
              <w:top w:val="single" w:sz="4" w:space="0" w:color="D1D5DB"/>
              <w:left w:val="single" w:sz="4" w:space="0" w:color="D1D5DB"/>
              <w:bottom w:val="single" w:sz="4" w:space="0" w:color="D1D5DB"/>
              <w:right w:val="single" w:sz="4" w:space="0" w:color="D1D5DB"/>
            </w:tcBorders>
            <w:shd w:val="clear" w:color="auto" w:fill="EDE9FE"/>
            <w:tcMar>
              <w:top w:w="100" w:type="dxa"/>
              <w:left w:w="140" w:type="dxa"/>
              <w:bottom w:w="100" w:type="dxa"/>
              <w:right w:w="140" w:type="dxa"/>
            </w:tcMar>
          </w:tcPr>
          <w:p w14:paraId="47758334" w14:textId="77777777" w:rsidR="00C57883" w:rsidRDefault="00000000">
            <w:r>
              <w:rPr>
                <w:b/>
                <w:bCs/>
                <w:color w:val="6B3FA0"/>
                <w:sz w:val="20"/>
                <w:szCs w:val="20"/>
              </w:rPr>
              <w:t>What this enables</w:t>
            </w:r>
          </w:p>
        </w:tc>
      </w:tr>
      <w:tr w:rsidR="00C57883" w14:paraId="5E3415AD" w14:textId="77777777">
        <w:tblPrEx>
          <w:tblCellMar>
            <w:top w:w="0" w:type="dxa"/>
            <w:bottom w:w="0" w:type="dxa"/>
          </w:tblCellMar>
        </w:tblPrEx>
        <w:tc>
          <w:tcPr>
            <w:tcW w:w="561"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E4B6BF7" w14:textId="77777777" w:rsidR="00C57883" w:rsidRDefault="00000000">
            <w:pPr>
              <w:jc w:val="center"/>
            </w:pPr>
            <w:r>
              <w:rPr>
                <w:b/>
                <w:bCs/>
                <w:color w:val="374151"/>
                <w:sz w:val="20"/>
                <w:szCs w:val="20"/>
              </w:rPr>
              <w:t>1</w:t>
            </w:r>
          </w:p>
        </w:tc>
        <w:tc>
          <w:tcPr>
            <w:tcW w:w="2995"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E79B72D" w14:textId="77777777" w:rsidR="00C57883" w:rsidRDefault="00000000">
            <w:r>
              <w:rPr>
                <w:b/>
                <w:bCs/>
                <w:color w:val="374151"/>
                <w:sz w:val="20"/>
                <w:szCs w:val="20"/>
              </w:rPr>
              <w:t>Register accelerator on Gemini Enterprise Agent Platform</w:t>
            </w:r>
          </w:p>
        </w:tc>
        <w:tc>
          <w:tcPr>
            <w:tcW w:w="5803"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E751F07" w14:textId="77777777" w:rsidR="00C57883" w:rsidRDefault="00000000">
            <w:r>
              <w:rPr>
                <w:color w:val="374151"/>
                <w:sz w:val="20"/>
                <w:szCs w:val="20"/>
              </w:rPr>
              <w:t>Makes the Agentic Quote Accelerator discoverable and interactive within the Google Cloud ecosystem.</w:t>
            </w:r>
          </w:p>
        </w:tc>
      </w:tr>
      <w:tr w:rsidR="00C57883" w14:paraId="439343A9" w14:textId="77777777">
        <w:tblPrEx>
          <w:tblCellMar>
            <w:top w:w="0" w:type="dxa"/>
            <w:bottom w:w="0" w:type="dxa"/>
          </w:tblCellMar>
        </w:tblPrEx>
        <w:tc>
          <w:tcPr>
            <w:tcW w:w="561"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0F30684A" w14:textId="77777777" w:rsidR="00C57883" w:rsidRDefault="00000000">
            <w:pPr>
              <w:jc w:val="center"/>
            </w:pPr>
            <w:r>
              <w:rPr>
                <w:b/>
                <w:bCs/>
                <w:color w:val="374151"/>
                <w:sz w:val="20"/>
                <w:szCs w:val="20"/>
              </w:rPr>
              <w:t>2</w:t>
            </w:r>
          </w:p>
        </w:tc>
        <w:tc>
          <w:tcPr>
            <w:tcW w:w="2995"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4F1D9B93" w14:textId="77777777" w:rsidR="00C57883" w:rsidRDefault="00000000">
            <w:r>
              <w:rPr>
                <w:b/>
                <w:bCs/>
                <w:color w:val="374151"/>
                <w:sz w:val="20"/>
                <w:szCs w:val="20"/>
              </w:rPr>
              <w:t xml:space="preserve">Receive Gemini developer environment and </w:t>
            </w:r>
            <w:proofErr w:type="spellStart"/>
            <w:r>
              <w:rPr>
                <w:b/>
                <w:bCs/>
                <w:color w:val="374151"/>
                <w:sz w:val="20"/>
                <w:szCs w:val="20"/>
              </w:rPr>
              <w:t>AgentCard</w:t>
            </w:r>
            <w:proofErr w:type="spellEnd"/>
            <w:r>
              <w:rPr>
                <w:b/>
                <w:bCs/>
                <w:color w:val="374151"/>
                <w:sz w:val="20"/>
                <w:szCs w:val="20"/>
              </w:rPr>
              <w:t xml:space="preserve"> access</w:t>
            </w:r>
          </w:p>
        </w:tc>
        <w:tc>
          <w:tcPr>
            <w:tcW w:w="5803"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3DE63530" w14:textId="77777777" w:rsidR="00C57883" w:rsidRDefault="00000000">
            <w:r>
              <w:rPr>
                <w:color w:val="374151"/>
                <w:sz w:val="20"/>
                <w:szCs w:val="20"/>
              </w:rPr>
              <w:t>Unlocks the technical foundation needed to begin integration testing with marketplace agents.</w:t>
            </w:r>
          </w:p>
        </w:tc>
      </w:tr>
      <w:tr w:rsidR="00C57883" w14:paraId="6965663A" w14:textId="77777777">
        <w:tblPrEx>
          <w:tblCellMar>
            <w:top w:w="0" w:type="dxa"/>
            <w:bottom w:w="0" w:type="dxa"/>
          </w:tblCellMar>
        </w:tblPrEx>
        <w:tc>
          <w:tcPr>
            <w:tcW w:w="561"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3978057" w14:textId="77777777" w:rsidR="00C57883" w:rsidRDefault="00000000">
            <w:pPr>
              <w:jc w:val="center"/>
            </w:pPr>
            <w:r>
              <w:rPr>
                <w:b/>
                <w:bCs/>
                <w:color w:val="374151"/>
                <w:sz w:val="20"/>
                <w:szCs w:val="20"/>
              </w:rPr>
              <w:t>3</w:t>
            </w:r>
          </w:p>
        </w:tc>
        <w:tc>
          <w:tcPr>
            <w:tcW w:w="2995"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6234A31" w14:textId="77777777" w:rsidR="00C57883" w:rsidRDefault="00000000">
            <w:r>
              <w:rPr>
                <w:b/>
                <w:bCs/>
                <w:color w:val="374151"/>
                <w:sz w:val="20"/>
                <w:szCs w:val="20"/>
              </w:rPr>
              <w:t>Integrate and validate marketplace agent pairings</w:t>
            </w:r>
          </w:p>
        </w:tc>
        <w:tc>
          <w:tcPr>
            <w:tcW w:w="5803"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2E229AA" w14:textId="77777777" w:rsidR="00C57883" w:rsidRDefault="00000000">
            <w:r>
              <w:rPr>
                <w:color w:val="374151"/>
                <w:sz w:val="20"/>
                <w:szCs w:val="20"/>
              </w:rPr>
              <w:t>Test the agent touchpoints from Section 3.2; confirm functional fit; identify gaps requiring Google’s further guidance.</w:t>
            </w:r>
          </w:p>
        </w:tc>
      </w:tr>
      <w:tr w:rsidR="00C57883" w14:paraId="62032A11" w14:textId="77777777">
        <w:tblPrEx>
          <w:tblCellMar>
            <w:top w:w="0" w:type="dxa"/>
            <w:bottom w:w="0" w:type="dxa"/>
          </w:tblCellMar>
        </w:tblPrEx>
        <w:tc>
          <w:tcPr>
            <w:tcW w:w="561"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720FA87E" w14:textId="77777777" w:rsidR="00C57883" w:rsidRDefault="00000000">
            <w:pPr>
              <w:jc w:val="center"/>
            </w:pPr>
            <w:r>
              <w:rPr>
                <w:b/>
                <w:bCs/>
                <w:color w:val="374151"/>
                <w:sz w:val="20"/>
                <w:szCs w:val="20"/>
              </w:rPr>
              <w:t>4</w:t>
            </w:r>
          </w:p>
        </w:tc>
        <w:tc>
          <w:tcPr>
            <w:tcW w:w="2995"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5DBFD96A" w14:textId="77777777" w:rsidR="00C57883" w:rsidRDefault="00000000">
            <w:r>
              <w:rPr>
                <w:b/>
                <w:bCs/>
                <w:color w:val="374151"/>
                <w:sz w:val="20"/>
                <w:szCs w:val="20"/>
              </w:rPr>
              <w:t>Build A2A demo and progress marketplace listing</w:t>
            </w:r>
          </w:p>
        </w:tc>
        <w:tc>
          <w:tcPr>
            <w:tcW w:w="5803"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2404AA3A" w14:textId="77777777" w:rsidR="00C57883" w:rsidRDefault="00000000">
            <w:r>
              <w:rPr>
                <w:color w:val="374151"/>
                <w:sz w:val="20"/>
                <w:szCs w:val="20"/>
              </w:rPr>
              <w:t>Demonstrate end-to-end A2A integration; complete the ISV listing intake; move toward published marketplace listing.</w:t>
            </w:r>
          </w:p>
        </w:tc>
      </w:tr>
    </w:tbl>
    <w:p w14:paraId="2E71B474" w14:textId="77777777" w:rsidR="00C57883" w:rsidRDefault="00000000">
      <w:r>
        <w:br w:type="page"/>
      </w:r>
    </w:p>
    <w:p w14:paraId="5B249DA8" w14:textId="77777777" w:rsidR="00C57883" w:rsidRDefault="00000000">
      <w:pPr>
        <w:pStyle w:val="Heading1"/>
      </w:pPr>
      <w:r>
        <w:lastRenderedPageBreak/>
        <w:t>6.  Open Questions and Risks</w:t>
      </w:r>
    </w:p>
    <w:p w14:paraId="26C115DE" w14:textId="77777777" w:rsidR="00C57883" w:rsidRPr="00030A39" w:rsidRDefault="00000000">
      <w:pPr>
        <w:pStyle w:val="Heading2"/>
        <w:rPr>
          <w:color w:val="EE0000"/>
        </w:rPr>
      </w:pPr>
      <w:r w:rsidRPr="00030A39">
        <w:rPr/>
        <w:t>6.1  Open questions for Google</w:t>
      </w:r>
    </w:p>
    <w:p w14:paraId="5870A556" w14:textId="77777777" w:rsidR="00C57883" w:rsidRDefault="00000000">
      <w:pPr>
        <w:pStyle w:val="ListParagraph"/>
        <w:numPr>
          <w:ilvl w:val="0"/>
          <w:numId w:val="2"/>
        </w:numPr>
        <w:spacing w:before="40" w:after="40" w:line="300" w:lineRule="auto"/>
      </w:pPr>
      <w:r>
        <w:rPr>
          <w:b/>
          <w:bCs/>
          <w:color w:val="1F2937"/>
        </w:rPr>
        <w:t xml:space="preserve">Salesforce MCP roadmap:  </w:t>
      </w:r>
      <w:r>
        <w:rPr>
          <w:color w:val="374151"/>
        </w:rPr>
        <w:t>Is there visibility into when Salesforce will be MCP-compliant natively, so we can plan our transition away from the existing-MCP-server workaround?</w:t>
      </w:r>
    </w:p>
    <w:p w14:paraId="7483BD37" w14:textId="77777777" w:rsidR="00C57883" w:rsidRDefault="00000000">
      <w:pPr>
        <w:pStyle w:val="ListParagraph"/>
        <w:numPr>
          <w:ilvl w:val="0"/>
          <w:numId w:val="2"/>
        </w:numPr>
        <w:spacing w:before="40" w:after="40" w:line="300" w:lineRule="auto"/>
      </w:pPr>
      <w:proofErr w:type="spellStart"/>
      <w:r>
        <w:rPr>
          <w:b/>
          <w:bCs/>
          <w:color w:val="1F2937"/>
        </w:rPr>
        <w:t>AgentCard</w:t>
      </w:r>
      <w:proofErr w:type="spellEnd"/>
      <w:r>
        <w:rPr>
          <w:b/>
          <w:bCs/>
          <w:color w:val="1F2937"/>
        </w:rPr>
        <w:t xml:space="preserve"> availability:  </w:t>
      </w:r>
      <w:r>
        <w:rPr>
          <w:color w:val="374151"/>
        </w:rPr>
        <w:t xml:space="preserve">When will </w:t>
      </w:r>
      <w:proofErr w:type="spellStart"/>
      <w:r>
        <w:rPr>
          <w:color w:val="374151"/>
        </w:rPr>
        <w:t>AgentCards</w:t>
      </w:r>
      <w:proofErr w:type="spellEnd"/>
      <w:r>
        <w:rPr>
          <w:color w:val="374151"/>
        </w:rPr>
        <w:t xml:space="preserve"> for </w:t>
      </w:r>
      <w:proofErr w:type="spellStart"/>
      <w:r>
        <w:rPr>
          <w:color w:val="374151"/>
        </w:rPr>
        <w:t>Agentforce</w:t>
      </w:r>
      <w:proofErr w:type="spellEnd"/>
      <w:r>
        <w:rPr>
          <w:color w:val="374151"/>
        </w:rPr>
        <w:t xml:space="preserve"> Sales and Base64 be available so our orchestration agent can delegate tasks to them?</w:t>
      </w:r>
    </w:p>
    <w:p w14:paraId="7CFED32C" w14:textId="77777777" w:rsidR="00C57883" w:rsidRDefault="00000000">
      <w:pPr>
        <w:pStyle w:val="ListParagraph"/>
        <w:numPr>
          <w:ilvl w:val="0"/>
          <w:numId w:val="2"/>
        </w:numPr>
        <w:spacing w:before="40" w:after="40" w:line="300" w:lineRule="auto"/>
      </w:pPr>
      <w:r>
        <w:rPr>
          <w:b/>
          <w:bCs/>
          <w:color w:val="1F2937"/>
        </w:rPr>
        <w:t xml:space="preserve">Licensing constraints:  </w:t>
      </w:r>
      <w:r>
        <w:rPr>
          <w:color w:val="374151"/>
        </w:rPr>
        <w:t xml:space="preserve">Are there licensing or rate-limit constraints on </w:t>
      </w:r>
      <w:proofErr w:type="spellStart"/>
      <w:r>
        <w:rPr>
          <w:color w:val="374151"/>
        </w:rPr>
        <w:t>Agentforce</w:t>
      </w:r>
      <w:proofErr w:type="spellEnd"/>
      <w:r>
        <w:rPr>
          <w:color w:val="374151"/>
        </w:rPr>
        <w:t xml:space="preserve"> Sales for A2A testing that we need to plan around?</w:t>
      </w:r>
    </w:p>
    <w:p w14:paraId="56F84A46" w14:textId="77777777" w:rsidR="00C57883" w:rsidRDefault="00000000">
      <w:pPr>
        <w:pStyle w:val="ListParagraph"/>
        <w:numPr>
          <w:ilvl w:val="0"/>
          <w:numId w:val="2"/>
        </w:numPr>
        <w:spacing w:before="40" w:after="40" w:line="300" w:lineRule="auto"/>
      </w:pPr>
      <w:r>
        <w:rPr>
          <w:b/>
          <w:bCs/>
          <w:color w:val="1F2937"/>
        </w:rPr>
        <w:t xml:space="preserve">Click-based configuration:  </w:t>
      </w:r>
      <w:r>
        <w:rPr>
          <w:color w:val="374151"/>
        </w:rPr>
        <w:t>Per Schneider’s guidance, what reference patterns exist on Google Cloud for click-based agent-to-agent configuration that we should adopt?</w:t>
      </w:r>
    </w:p>
    <w:p w14:paraId="0E46530C" w14:textId="77777777" w:rsidR="00C57883" w:rsidRDefault="00000000">
      <w:pPr>
        <w:spacing w:before="80" w:after="120" w:line="320" w:lineRule="auto"/>
      </w:pPr>
      <w:r>
        <w:t>Multilingual A2A Context Propagation:  How does the Google A2A protocol handle session locale propagation natively? Since our Quoting Accelerator fully supports localized English, Spanish, and Chinese interfaces, should we pass language preferences in custom metadata parameters in A2A calls to ensure paired marketplace agents (like Agentforce Sales) respond natively in the consumer's chosen language?</w:t>
      </w:r>
    </w:p>
    <w:p>
      <w:pPr>
        <w:spacing w:after="120"/>
      </w:pPr>
      <w:r>
        <w:t>Base64 Sandbox Provisioning:  When will sandbox access and API credentials be provisioned for the Base64 Document Intelligence Platform so we can validate real-world document extraction and attribute mapping with our Requirement Parser agent?</w:t>
      </w:r>
    </w:p>
    <w:p w14:paraId="3AECB140" w14:textId="77777777" w:rsidR="00C57883" w:rsidRDefault="00000000">
      <w:pPr>
        <w:pStyle w:val="Heading2"/>
      </w:pPr>
      <w:r>
        <w:t>6.2  Known risks</w:t>
      </w:r>
    </w:p>
    <w:p w14:paraId="2558BF71" w14:textId="77777777" w:rsidR="00C57883" w:rsidRDefault="00000000">
      <w:pPr>
        <w:pStyle w:val="ListParagraph"/>
        <w:numPr>
          <w:ilvl w:val="0"/>
          <w:numId w:val="2"/>
        </w:numPr>
        <w:spacing w:before="40" w:after="40" w:line="300" w:lineRule="auto"/>
      </w:pPr>
      <w:r>
        <w:rPr>
          <w:b/>
          <w:bCs/>
          <w:color w:val="1F2937"/>
        </w:rPr>
        <w:t xml:space="preserve">Dependency on Google-provisioned environment:  </w:t>
      </w:r>
      <w:r>
        <w:rPr>
          <w:color w:val="374151"/>
        </w:rPr>
        <w:t>Integration testing cannot begin until the Gemini developer environment is provisioned. Mitigation: track weekly with Schneider Larbi; escalate if delayed beyond the first checkpoint.</w:t>
      </w:r>
    </w:p>
    <w:p w14:paraId="58B507B3" w14:textId="77777777" w:rsidR="00C57883" w:rsidRDefault="00000000">
      <w:pPr>
        <w:pStyle w:val="ListParagraph"/>
        <w:numPr>
          <w:ilvl w:val="0"/>
          <w:numId w:val="2"/>
        </w:numPr>
        <w:spacing w:before="40" w:after="40" w:line="300" w:lineRule="auto"/>
      </w:pPr>
      <w:r>
        <w:rPr>
          <w:b/>
          <w:bCs/>
          <w:color w:val="1F2937"/>
        </w:rPr>
        <w:t xml:space="preserve">Salesforce MCP workaround:  </w:t>
      </w:r>
      <w:r>
        <w:rPr>
          <w:color w:val="374151"/>
        </w:rPr>
        <w:t>The existing-MCP-server bridge is a known interim solution. Mitigation: design with abstraction so migration to native MCP requires minimal rework once Salesforce supports it.</w:t>
      </w:r>
    </w:p>
    <w:p w14:paraId="33F539F7" w14:textId="77777777" w:rsidR="00C57883" w:rsidRDefault="00000000">
      <w:pPr>
        <w:pStyle w:val="ListParagraph"/>
        <w:numPr>
          <w:ilvl w:val="0"/>
          <w:numId w:val="2"/>
        </w:numPr>
        <w:spacing w:before="40" w:after="40" w:line="300" w:lineRule="auto"/>
      </w:pPr>
      <w:r>
        <w:rPr>
          <w:b/>
          <w:bCs/>
          <w:color w:val="1F2937"/>
        </w:rPr>
        <w:t xml:space="preserve">Marketplace listing readiness:  </w:t>
      </w:r>
      <w:r>
        <w:rPr>
          <w:color w:val="374151"/>
        </w:rPr>
        <w:t xml:space="preserve">The ISV listing process is not yet fully understood by the </w:t>
      </w:r>
      <w:proofErr w:type="spellStart"/>
      <w:r>
        <w:rPr>
          <w:color w:val="374151"/>
        </w:rPr>
        <w:t>Agivant</w:t>
      </w:r>
      <w:proofErr w:type="spellEnd"/>
      <w:r>
        <w:rPr>
          <w:color w:val="374151"/>
        </w:rPr>
        <w:t xml:space="preserve"> team. Mitigation: include marketplace intake owner identification in early sprint activities (Section 4, item 5).</w:t>
      </w:r>
    </w:p>
    <w:p w14:paraId="61BD8DB3" w14:textId="77777777" w:rsidR="00C57883" w:rsidRDefault="00000000">
      <w:pPr>
        <w:spacing w:before="80" w:after="80" w:line="320" w:lineRule="auto"/>
      </w:pPr>
      <w:r>
        <w:rPr>
          <w:i/>
          <w:iCs/>
          <w:color w:val="9CA3AF"/>
          <w:sz w:val="20"/>
          <w:szCs w:val="20"/>
        </w:rPr>
        <w:t>[ Owner to add any additional risks specific to this workstream ]</w:t>
      </w:r>
    </w:p>
    <w:sectPr w:rsidR="00C5788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BE2E9" w14:textId="77777777" w:rsidR="001A49DE" w:rsidRDefault="001A49DE">
      <w:r>
        <w:separator/>
      </w:r>
    </w:p>
  </w:endnote>
  <w:endnote w:type="continuationSeparator" w:id="0">
    <w:p w14:paraId="044684E8" w14:textId="77777777" w:rsidR="001A49DE" w:rsidRDefault="001A4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420D6" w14:textId="77777777" w:rsidR="00C57883" w:rsidRDefault="00000000">
    <w:pPr>
      <w:tabs>
        <w:tab w:val="right" w:pos="9360"/>
      </w:tabs>
    </w:pPr>
    <w:r>
      <w:rPr>
        <w:i/>
        <w:iCs/>
        <w:color w:val="6B7280"/>
        <w:sz w:val="18"/>
        <w:szCs w:val="18"/>
      </w:rPr>
      <w:t>Workstream 1  -  Agentic Quote Accelerator  -  Integration Plan</w:t>
    </w:r>
    <w:r>
      <w:tab/>
    </w:r>
    <w:r>
      <w:rPr>
        <w:i/>
        <w:iCs/>
        <w:color w:val="6B7280"/>
        <w:sz w:val="18"/>
        <w:szCs w:val="18"/>
      </w:rPr>
      <w:t xml:space="preserve">Page </w:t>
    </w:r>
    <w:r>
      <w:rPr>
        <w:i/>
        <w:iCs/>
        <w:color w:val="6B7280"/>
        <w:sz w:val="18"/>
        <w:szCs w:val="18"/>
      </w:rPr>
      <w:fldChar w:fldCharType="begin"/>
    </w:r>
    <w:r>
      <w:rPr>
        <w:i/>
        <w:iCs/>
        <w:color w:val="6B7280"/>
        <w:sz w:val="18"/>
        <w:szCs w:val="18"/>
      </w:rPr>
      <w:instrText>PAGE</w:instrText>
    </w:r>
    <w:r>
      <w:rPr>
        <w:i/>
        <w:iCs/>
        <w:color w:val="6B7280"/>
        <w:sz w:val="18"/>
        <w:szCs w:val="18"/>
      </w:rPr>
      <w:fldChar w:fldCharType="separate"/>
    </w:r>
    <w:r w:rsidR="00030A39">
      <w:rPr>
        <w:i/>
        <w:iCs/>
        <w:noProof/>
        <w:color w:val="6B7280"/>
        <w:sz w:val="18"/>
        <w:szCs w:val="18"/>
      </w:rPr>
      <w:t>1</w:t>
    </w:r>
    <w:r>
      <w:rPr>
        <w:i/>
        <w:iCs/>
        <w:color w:val="6B7280"/>
        <w:sz w:val="18"/>
        <w:szCs w:val="18"/>
      </w:rPr>
      <w:fldChar w:fldCharType="end"/>
    </w:r>
    <w:r>
      <w:rPr>
        <w:i/>
        <w:iCs/>
        <w:color w:val="6B7280"/>
        <w:sz w:val="18"/>
        <w:szCs w:val="18"/>
      </w:rPr>
      <w:t xml:space="preserve"> of </w:t>
    </w:r>
    <w:r>
      <w:rPr>
        <w:i/>
        <w:iCs/>
        <w:color w:val="6B7280"/>
        <w:sz w:val="18"/>
        <w:szCs w:val="18"/>
      </w:rPr>
      <w:fldChar w:fldCharType="begin"/>
    </w:r>
    <w:r>
      <w:rPr>
        <w:i/>
        <w:iCs/>
        <w:color w:val="6B7280"/>
        <w:sz w:val="18"/>
        <w:szCs w:val="18"/>
      </w:rPr>
      <w:instrText>NUMPAGES</w:instrText>
    </w:r>
    <w:r>
      <w:rPr>
        <w:i/>
        <w:iCs/>
        <w:color w:val="6B7280"/>
        <w:sz w:val="18"/>
        <w:szCs w:val="18"/>
      </w:rPr>
      <w:fldChar w:fldCharType="separate"/>
    </w:r>
    <w:r w:rsidR="00030A39">
      <w:rPr>
        <w:i/>
        <w:iCs/>
        <w:noProof/>
        <w:color w:val="6B7280"/>
        <w:sz w:val="18"/>
        <w:szCs w:val="18"/>
      </w:rPr>
      <w:t>2</w:t>
    </w:r>
    <w:r>
      <w:rPr>
        <w:i/>
        <w:iCs/>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97105" w14:textId="77777777" w:rsidR="001A49DE" w:rsidRDefault="001A49DE">
      <w:r>
        <w:separator/>
      </w:r>
    </w:p>
  </w:footnote>
  <w:footnote w:type="continuationSeparator" w:id="0">
    <w:p w14:paraId="0B90477A" w14:textId="77777777" w:rsidR="001A49DE" w:rsidRDefault="001A49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4AF15" w14:textId="77777777" w:rsidR="00C57883" w:rsidRDefault="00000000">
    <w:pPr>
      <w:jc w:val="right"/>
    </w:pPr>
    <w:proofErr w:type="spellStart"/>
    <w:r>
      <w:rPr>
        <w:i/>
        <w:iCs/>
        <w:color w:val="6B7280"/>
        <w:sz w:val="18"/>
        <w:szCs w:val="18"/>
      </w:rPr>
      <w:t>Agivant</w:t>
    </w:r>
    <w:proofErr w:type="spellEnd"/>
    <w:r>
      <w:rPr>
        <w:i/>
        <w:iCs/>
        <w:color w:val="6B7280"/>
        <w:sz w:val="18"/>
        <w:szCs w:val="18"/>
      </w:rPr>
      <w:t xml:space="preserve">  -  Google Cloud Partnership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E4F4F"/>
    <w:multiLevelType w:val="hybridMultilevel"/>
    <w:tmpl w:val="14F2EFB6"/>
    <w:lvl w:ilvl="0" w:tplc="9CAE70BE">
      <w:start w:val="1"/>
      <w:numFmt w:val="bullet"/>
      <w:lvlText w:val="●"/>
      <w:lvlJc w:val="left"/>
      <w:pPr>
        <w:ind w:left="720" w:hanging="360"/>
      </w:pPr>
    </w:lvl>
    <w:lvl w:ilvl="1" w:tplc="C156A202">
      <w:start w:val="1"/>
      <w:numFmt w:val="bullet"/>
      <w:lvlText w:val="○"/>
      <w:lvlJc w:val="left"/>
      <w:pPr>
        <w:ind w:left="1440" w:hanging="360"/>
      </w:pPr>
    </w:lvl>
    <w:lvl w:ilvl="2" w:tplc="C2C21924">
      <w:start w:val="1"/>
      <w:numFmt w:val="bullet"/>
      <w:lvlText w:val="■"/>
      <w:lvlJc w:val="left"/>
      <w:pPr>
        <w:ind w:left="2160" w:hanging="360"/>
      </w:pPr>
    </w:lvl>
    <w:lvl w:ilvl="3" w:tplc="FB546692">
      <w:start w:val="1"/>
      <w:numFmt w:val="bullet"/>
      <w:lvlText w:val="●"/>
      <w:lvlJc w:val="left"/>
      <w:pPr>
        <w:ind w:left="2880" w:hanging="360"/>
      </w:pPr>
    </w:lvl>
    <w:lvl w:ilvl="4" w:tplc="708AF746">
      <w:start w:val="1"/>
      <w:numFmt w:val="bullet"/>
      <w:lvlText w:val="○"/>
      <w:lvlJc w:val="left"/>
      <w:pPr>
        <w:ind w:left="3600" w:hanging="360"/>
      </w:pPr>
    </w:lvl>
    <w:lvl w:ilvl="5" w:tplc="E5BE6F14">
      <w:start w:val="1"/>
      <w:numFmt w:val="bullet"/>
      <w:lvlText w:val="■"/>
      <w:lvlJc w:val="left"/>
      <w:pPr>
        <w:ind w:left="4320" w:hanging="360"/>
      </w:pPr>
    </w:lvl>
    <w:lvl w:ilvl="6" w:tplc="D012FDF2">
      <w:start w:val="1"/>
      <w:numFmt w:val="bullet"/>
      <w:lvlText w:val="●"/>
      <w:lvlJc w:val="left"/>
      <w:pPr>
        <w:ind w:left="5040" w:hanging="360"/>
      </w:pPr>
    </w:lvl>
    <w:lvl w:ilvl="7" w:tplc="F6FE2AB2">
      <w:start w:val="1"/>
      <w:numFmt w:val="bullet"/>
      <w:lvlText w:val="●"/>
      <w:lvlJc w:val="left"/>
      <w:pPr>
        <w:ind w:left="5760" w:hanging="360"/>
      </w:pPr>
    </w:lvl>
    <w:lvl w:ilvl="8" w:tplc="5F6402AC">
      <w:start w:val="1"/>
      <w:numFmt w:val="bullet"/>
      <w:lvlText w:val="●"/>
      <w:lvlJc w:val="left"/>
      <w:pPr>
        <w:ind w:left="6480" w:hanging="360"/>
      </w:pPr>
    </w:lvl>
  </w:abstractNum>
  <w:abstractNum w:abstractNumId="1" w15:restartNumberingAfterBreak="0">
    <w:nsid w:val="71E8267D"/>
    <w:multiLevelType w:val="hybridMultilevel"/>
    <w:tmpl w:val="9AE6E4C0"/>
    <w:lvl w:ilvl="0" w:tplc="3E4C36C8">
      <w:start w:val="1"/>
      <w:numFmt w:val="bullet"/>
      <w:lvlText w:val="•"/>
      <w:lvlJc w:val="left"/>
      <w:pPr>
        <w:ind w:left="720" w:hanging="360"/>
      </w:pPr>
    </w:lvl>
    <w:lvl w:ilvl="1" w:tplc="0256D6AA">
      <w:numFmt w:val="decimal"/>
      <w:lvlText w:val=""/>
      <w:lvlJc w:val="left"/>
    </w:lvl>
    <w:lvl w:ilvl="2" w:tplc="F6F6CFE0">
      <w:numFmt w:val="decimal"/>
      <w:lvlText w:val=""/>
      <w:lvlJc w:val="left"/>
    </w:lvl>
    <w:lvl w:ilvl="3" w:tplc="40DA62B4">
      <w:numFmt w:val="decimal"/>
      <w:lvlText w:val=""/>
      <w:lvlJc w:val="left"/>
    </w:lvl>
    <w:lvl w:ilvl="4" w:tplc="F97CA9A8">
      <w:numFmt w:val="decimal"/>
      <w:lvlText w:val=""/>
      <w:lvlJc w:val="left"/>
    </w:lvl>
    <w:lvl w:ilvl="5" w:tplc="3760EDAA">
      <w:numFmt w:val="decimal"/>
      <w:lvlText w:val=""/>
      <w:lvlJc w:val="left"/>
    </w:lvl>
    <w:lvl w:ilvl="6" w:tplc="4748EF22">
      <w:numFmt w:val="decimal"/>
      <w:lvlText w:val=""/>
      <w:lvlJc w:val="left"/>
    </w:lvl>
    <w:lvl w:ilvl="7" w:tplc="6E286D22">
      <w:numFmt w:val="decimal"/>
      <w:lvlText w:val=""/>
      <w:lvlJc w:val="left"/>
    </w:lvl>
    <w:lvl w:ilvl="8" w:tplc="1AD81C68">
      <w:numFmt w:val="decimal"/>
      <w:lvlText w:val=""/>
      <w:lvlJc w:val="left"/>
    </w:lvl>
  </w:abstractNum>
  <w:num w:numId="1" w16cid:durableId="1614945905">
    <w:abstractNumId w:val="0"/>
    <w:lvlOverride w:ilvl="0">
      <w:startOverride w:val="1"/>
    </w:lvlOverride>
  </w:num>
  <w:num w:numId="2" w16cid:durableId="5659188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883"/>
    <w:rsid w:val="00022723"/>
    <w:rsid w:val="00030A39"/>
    <w:rsid w:val="00033049"/>
    <w:rsid w:val="00116B78"/>
    <w:rsid w:val="001A49DE"/>
    <w:rsid w:val="004570C2"/>
    <w:rsid w:val="00531657"/>
    <w:rsid w:val="00596551"/>
    <w:rsid w:val="00691019"/>
    <w:rsid w:val="006B2E5F"/>
    <w:rsid w:val="00C57883"/>
    <w:rsid w:val="00DD3B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D5706"/>
  <w15:docId w15:val="{644ADD45-EEA2-4CBC-89A1-DE2F97A93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6B3FA0"/>
      <w:sz w:val="28"/>
      <w:szCs w:val="28"/>
    </w:rPr>
  </w:style>
  <w:style w:type="paragraph" w:styleId="Heading2">
    <w:name w:val="heading 2"/>
    <w:uiPriority w:val="9"/>
    <w:unhideWhenUsed/>
    <w:qFormat/>
    <w:pPr>
      <w:spacing w:before="240" w:after="120"/>
      <w:outlineLvl w:val="1"/>
    </w:pPr>
    <w:rPr>
      <w:b/>
      <w:bCs/>
      <w:color w:val="1F293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875</TotalTime>
  <Pages>6</Pages>
  <Words>1340</Words>
  <Characters>8166</Characters>
  <Application>Microsoft Office Word</Application>
  <DocSecurity>0</DocSecurity>
  <Lines>247</Lines>
  <Paragraphs>148</Paragraphs>
  <ScaleCrop>false</ScaleCrop>
  <HeadingPairs>
    <vt:vector size="2" baseType="variant">
      <vt:variant>
        <vt:lpstr>Title</vt:lpstr>
      </vt:variant>
      <vt:variant>
        <vt:i4>1</vt:i4>
      </vt:variant>
    </vt:vector>
  </HeadingPairs>
  <TitlesOfParts>
    <vt:vector size="1" baseType="lpstr">
      <vt:lpstr>Workstream 1 - Agentic Quote Accelerator Integration Plan</vt:lpstr>
    </vt:vector>
  </TitlesOfParts>
  <Company/>
  <LinksUpToDate>false</LinksUpToDate>
  <CharactersWithSpaces>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Workstream 1 - Agentic Quote Accelerator Integration Plan</dc:title>
  <dc:creator>Agivant</dc:creator>
  <cp:lastModifiedBy>Jayasurya V S</cp:lastModifiedBy>
  <cp:revision>11</cp:revision>
  <dcterms:created xsi:type="dcterms:W3CDTF">2026-05-21T14:38:00Z</dcterms:created>
  <dcterms:modified xsi:type="dcterms:W3CDTF">2026-05-22T05:28:00Z</dcterms:modified>
</cp:coreProperties>
</file>