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Technical Design Document</w:t>
      </w:r>
    </w:p>
    <w:p>
      <w:pPr>
        <w:spacing w:before="200"/>
        <w:jc w:val="center"/>
      </w:pPr>
      <w:r>
        <w:rPr>
          <w:rFonts w:ascii="Arial" w:cs="Arial" w:eastAsia="Arial" w:hAnsi="Arial"/>
          <w:sz w:val="32"/>
          <w:szCs w:val="32"/>
        </w:rPr>
        <w:t xml:space="preserve">Bulk Quote Upload using Salesforce CPQ</w:t>
      </w:r>
    </w:p>
    <w:p>
      <w:pPr>
        <w:spacing w:before="600"/>
        <w:jc w:val="center"/>
      </w:pPr>
      <w:r>
        <w:rPr>
          <w:rFonts w:ascii="Arial" w:cs="Arial" w:eastAsia="Arial" w:hAnsi="Arial"/>
          <w:sz w:val="24"/>
          <w:szCs w:val="24"/>
        </w:rPr>
        <w:t xml:space="preserve">Author: Shashank</w:t>
      </w:r>
    </w:p>
    <w:p>
      <w:pPr>
        <w:spacing w:before="100"/>
        <w:jc w:val="center"/>
      </w:pPr>
      <w:r>
        <w:rPr>
          <w:rFonts w:ascii="Arial" w:cs="Arial" w:eastAsia="Arial" w:hAnsi="Arial"/>
          <w:sz w:val="24"/>
          <w:szCs w:val="24"/>
        </w:rPr>
        <w:t xml:space="preserve">Platform: Salesforce CPQ (Revenue Cloud), Package Version 262.0</w:t>
      </w:r>
    </w:p>
    <w:p>
      <w:pPr>
        <w:spacing w:before="100"/>
        <w:jc w:val="center"/>
      </w:pPr>
      <w:r>
        <w:rPr>
          <w:rFonts w:ascii="Arial" w:cs="Arial" w:eastAsia="Arial" w:hAnsi="Arial"/>
          <w:sz w:val="24"/>
          <w:szCs w:val="24"/>
        </w:rPr>
        <w:t xml:space="preserve">Document Version: 1.0</w:t>
      </w:r>
    </w:p>
    <w:p>
      <w:r>
        <w:br w:type="page"/>
      </w:r>
    </w:p>
    <w:p>
      <w:pPr>
        <w:pStyle w:val="Heading1"/>
        <w:spacing w:after="150" w:before="300"/>
      </w:pPr>
      <w: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2F5496" w:val="clear"/>
          </w:tcPr>
          <w:p>
            <w:r>
              <w:rPr>
                <w:rFonts w:ascii="Arial" w:cs="Arial" w:eastAsia="Arial" w:hAnsi="Arial"/>
                <w:b/>
                <w:bCs/>
                <w:color w:val="FFFFFF"/>
                <w:sz w:val="20"/>
                <w:szCs w:val="20"/>
              </w:rPr>
              <w:t xml:space="preserve">Field</w:t>
            </w:r>
          </w:p>
        </w:tc>
        <w:tc>
          <w:tcPr>
            <w:tcW w:type="dxa" w:w="6600"/>
            <w:shd w:fill="2F5496" w:val="clear"/>
          </w:tcPr>
          <w:p>
            <w:r>
              <w:rPr>
                <w:rFonts w:ascii="Arial" w:cs="Arial" w:eastAsia="Arial" w:hAnsi="Arial"/>
                <w:b/>
                <w:bCs/>
                <w:color w:val="FFFFFF"/>
                <w:sz w:val="20"/>
                <w:szCs w:val="20"/>
              </w:rPr>
              <w:t xml:space="preserve">Value</w:t>
            </w:r>
          </w:p>
        </w:tc>
      </w:tr>
      <w:tr>
        <w:tc>
          <w:tcPr>
            <w:tcW w:type="dxa" w:w="3000"/>
          </w:tcPr>
          <w:p>
            <w:r>
              <w:rPr>
                <w:rFonts w:ascii="Arial" w:cs="Arial" w:eastAsia="Arial" w:hAnsi="Arial"/>
                <w:b w:val="false"/>
                <w:bCs w:val="false"/>
                <w:sz w:val="20"/>
                <w:szCs w:val="20"/>
              </w:rPr>
              <w:t xml:space="preserve">Project</w:t>
            </w:r>
          </w:p>
        </w:tc>
        <w:tc>
          <w:tcPr>
            <w:tcW w:type="dxa" w:w="6600"/>
          </w:tcPr>
          <w:p>
            <w:r>
              <w:rPr>
                <w:rFonts w:ascii="Arial" w:cs="Arial" w:eastAsia="Arial" w:hAnsi="Arial"/>
                <w:b w:val="false"/>
                <w:bCs w:val="false"/>
                <w:sz w:val="20"/>
                <w:szCs w:val="20"/>
              </w:rPr>
              <w:t xml:space="preserve">Bulk Quote Upload using Salesforce CPQ</w:t>
            </w:r>
          </w:p>
        </w:tc>
      </w:tr>
      <w:tr>
        <w:tc>
          <w:tcPr>
            <w:tcW w:type="dxa" w:w="3000"/>
          </w:tcPr>
          <w:p>
            <w:r>
              <w:rPr>
                <w:rFonts w:ascii="Arial" w:cs="Arial" w:eastAsia="Arial" w:hAnsi="Arial"/>
                <w:b w:val="false"/>
                <w:bCs w:val="false"/>
                <w:sz w:val="20"/>
                <w:szCs w:val="20"/>
              </w:rPr>
              <w:t xml:space="preserve">Author</w:t>
            </w:r>
          </w:p>
        </w:tc>
        <w:tc>
          <w:tcPr>
            <w:tcW w:type="dxa" w:w="6600"/>
          </w:tcPr>
          <w:p>
            <w:r>
              <w:rPr>
                <w:rFonts w:ascii="Arial" w:cs="Arial" w:eastAsia="Arial" w:hAnsi="Arial"/>
                <w:b w:val="false"/>
                <w:bCs w:val="false"/>
                <w:sz w:val="20"/>
                <w:szCs w:val="20"/>
              </w:rPr>
              <w:t xml:space="preserve">Shashank</w:t>
            </w:r>
          </w:p>
        </w:tc>
      </w:tr>
      <w:tr>
        <w:tc>
          <w:tcPr>
            <w:tcW w:type="dxa" w:w="3000"/>
          </w:tcPr>
          <w:p>
            <w:r>
              <w:rPr>
                <w:rFonts w:ascii="Arial" w:cs="Arial" w:eastAsia="Arial" w:hAnsi="Arial"/>
                <w:b w:val="false"/>
                <w:bCs w:val="false"/>
                <w:sz w:val="20"/>
                <w:szCs w:val="20"/>
              </w:rPr>
              <w:t xml:space="preserve">Org Type</w:t>
            </w:r>
          </w:p>
        </w:tc>
        <w:tc>
          <w:tcPr>
            <w:tcW w:type="dxa" w:w="6600"/>
          </w:tcPr>
          <w:p>
            <w:r>
              <w:rPr>
                <w:rFonts w:ascii="Arial" w:cs="Arial" w:eastAsia="Arial" w:hAnsi="Arial"/>
                <w:b w:val="false"/>
                <w:bCs w:val="false"/>
                <w:sz w:val="20"/>
                <w:szCs w:val="20"/>
              </w:rPr>
              <w:t xml:space="preserve">Salesforce Developer Edition (CPQ Package v262.0 installed)</w:t>
            </w:r>
          </w:p>
        </w:tc>
      </w:tr>
      <w:tr>
        <w:tc>
          <w:tcPr>
            <w:tcW w:type="dxa" w:w="3000"/>
          </w:tcPr>
          <w:p>
            <w:r>
              <w:rPr>
                <w:rFonts w:ascii="Arial" w:cs="Arial" w:eastAsia="Arial" w:hAnsi="Arial"/>
                <w:b w:val="false"/>
                <w:bCs w:val="false"/>
                <w:sz w:val="20"/>
                <w:szCs w:val="20"/>
              </w:rPr>
              <w:t xml:space="preserve">Status</w:t>
            </w:r>
          </w:p>
        </w:tc>
        <w:tc>
          <w:tcPr>
            <w:tcW w:type="dxa" w:w="6600"/>
          </w:tcPr>
          <w:p>
            <w:r>
              <w:rPr>
                <w:rFonts w:ascii="Arial" w:cs="Arial" w:eastAsia="Arial" w:hAnsi="Arial"/>
                <w:b w:val="false"/>
                <w:bCs w:val="false"/>
                <w:sz w:val="20"/>
                <w:szCs w:val="20"/>
              </w:rPr>
              <w:t xml:space="preserve">Implemented and functionally tested (5-quote and 110-quote runs)</w:t>
            </w:r>
          </w:p>
        </w:tc>
      </w:tr>
      <w:tr>
        <w:tc>
          <w:tcPr>
            <w:tcW w:type="dxa" w:w="3000"/>
          </w:tcPr>
          <w:p>
            <w:r>
              <w:rPr>
                <w:rFonts w:ascii="Arial" w:cs="Arial" w:eastAsia="Arial" w:hAnsi="Arial"/>
                <w:b w:val="false"/>
                <w:bCs w:val="false"/>
                <w:sz w:val="20"/>
                <w:szCs w:val="20"/>
              </w:rPr>
              <w:t xml:space="preserve">Version</w:t>
            </w:r>
          </w:p>
        </w:tc>
        <w:tc>
          <w:tcPr>
            <w:tcW w:type="dxa" w:w="6600"/>
          </w:tcPr>
          <w:p>
            <w:r>
              <w:rPr>
                <w:rFonts w:ascii="Arial" w:cs="Arial" w:eastAsia="Arial" w:hAnsi="Arial"/>
                <w:b w:val="false"/>
                <w:bCs w:val="false"/>
                <w:sz w:val="20"/>
                <w:szCs w:val="20"/>
              </w:rPr>
              <w:t xml:space="preserve">1.0</w:t>
            </w:r>
          </w:p>
        </w:tc>
      </w:tr>
    </w:tbl>
    <w:p>
      <w:r>
        <w:br w:type="page"/>
      </w: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Overview and Purpose</w:t>
      </w:r>
    </w:p>
    <w:p>
      <w:pPr>
        <w:spacing w:after="120"/>
      </w:pPr>
      <w:r>
        <w:rPr>
          <w:rFonts w:ascii="Arial" w:cs="Arial" w:eastAsia="Arial" w:hAnsi="Arial"/>
          <w:sz w:val="22"/>
          <w:szCs w:val="22"/>
        </w:rPr>
        <w:t xml:space="preserve">This document describes the technical design of the Bulk Quote Upload solution built on Salesforce CPQ. The solution allows a user to upload a single Excel file containing multiple Quotes (each with one or more Quote Line Items), validates the data, and asynchronously creates the corresponding Accounts, Opportunities, Quotes, and Quote Lines in Salesforce CPQ - skipping and logging any invalid rows rather than failing the entire upload.</w:t>
      </w:r>
    </w:p>
    <w:p>
      <w:pPr>
        <w:spacing w:after="120"/>
      </w:pPr>
      <w:r>
        <w:rPr>
          <w:rFonts w:ascii="Arial" w:cs="Arial" w:eastAsia="Arial" w:hAnsi="Arial"/>
          <w:sz w:val="22"/>
          <w:szCs w:val="22"/>
        </w:rPr>
        <w:t xml:space="preserve">The design was arrived at iteratively: several Salesforce CPQ and Apex platform behaviors (chain-depth limits, callout/DML transaction rules, and CPQ's internal managed-package trigger behavior) were discovered empirically during implementation and are documented in Section 6 (Asynchronous Processing Design) and Section 9 (Known Platform Constraints), since they materially shaped the final architecture.</w:t>
      </w:r>
    </w:p>
    <w:p>
      <w:pPr>
        <w:pStyle w:val="Heading2"/>
        <w:spacing w:after="120" w:before="240"/>
      </w:pPr>
      <w:r>
        <w:t xml:space="preserve">1.1 Goals</w:t>
      </w:r>
    </w:p>
    <w:p>
      <w:pPr>
        <w:pStyle w:val="ListParagraph"/>
        <w:numPr>
          <w:ilvl w:val="0"/>
          <w:numId w:val="2"/>
        </w:numPr>
        <w:spacing w:after="60"/>
      </w:pPr>
      <w:r>
        <w:rPr>
          <w:rFonts w:ascii="Arial" w:cs="Arial" w:eastAsia="Arial" w:hAnsi="Arial"/>
          <w:sz w:val="22"/>
          <w:szCs w:val="22"/>
        </w:rPr>
        <w:t xml:space="preserve">Allow a single Excel upload to create many Quotes and Quote Lines in one operation.</w:t>
      </w:r>
    </w:p>
    <w:p>
      <w:pPr>
        <w:pStyle w:val="ListParagraph"/>
        <w:numPr>
          <w:ilvl w:val="0"/>
          <w:numId w:val="2"/>
        </w:numPr>
        <w:spacing w:after="60"/>
      </w:pPr>
      <w:r>
        <w:rPr>
          <w:rFonts w:ascii="Arial" w:cs="Arial" w:eastAsia="Arial" w:hAnsi="Arial"/>
          <w:sz w:val="22"/>
          <w:szCs w:val="22"/>
        </w:rPr>
        <w:t xml:space="preserve">Validate data before any records are created, and let the user review errors before committing to processing.</w:t>
      </w:r>
    </w:p>
    <w:p>
      <w:pPr>
        <w:pStyle w:val="ListParagraph"/>
        <w:numPr>
          <w:ilvl w:val="0"/>
          <w:numId w:val="2"/>
        </w:numPr>
        <w:spacing w:after="60"/>
      </w:pPr>
      <w:r>
        <w:rPr>
          <w:rFonts w:ascii="Arial" w:cs="Arial" w:eastAsia="Arial" w:hAnsi="Arial"/>
          <w:sz w:val="22"/>
          <w:szCs w:val="22"/>
        </w:rPr>
        <w:t xml:space="preserve">Process asynchronously so the UI is never blocked, and so the solution scales to 100+ Quotes / 10,000+ Quote Lines.</w:t>
      </w:r>
    </w:p>
    <w:p>
      <w:pPr>
        <w:pStyle w:val="ListParagraph"/>
        <w:numPr>
          <w:ilvl w:val="0"/>
          <w:numId w:val="2"/>
        </w:numPr>
        <w:spacing w:after="60"/>
      </w:pPr>
      <w:r>
        <w:rPr>
          <w:rFonts w:ascii="Arial" w:cs="Arial" w:eastAsia="Arial" w:hAnsi="Arial"/>
          <w:sz w:val="22"/>
          <w:szCs w:val="22"/>
        </w:rPr>
        <w:t xml:space="preserve">Never let one bad row or one failed Quote stop the rest of the batch from processing.</w:t>
      </w:r>
    </w:p>
    <w:p>
      <w:pPr>
        <w:pStyle w:val="ListParagraph"/>
        <w:numPr>
          <w:ilvl w:val="0"/>
          <w:numId w:val="2"/>
        </w:numPr>
        <w:spacing w:after="60"/>
      </w:pPr>
      <w:r>
        <w:rPr>
          <w:rFonts w:ascii="Arial" w:cs="Arial" w:eastAsia="Arial" w:hAnsi="Arial"/>
          <w:sz w:val="22"/>
          <w:szCs w:val="22"/>
        </w:rPr>
        <w:t xml:space="preserve">Provide full visibility into what succeeded, what failed, and why, both live and historically.</w:t>
      </w:r>
    </w:p>
    <w:p>
      <w:pPr>
        <w:pStyle w:val="Heading2"/>
        <w:spacing w:after="120" w:before="240"/>
      </w:pPr>
      <w:r>
        <w:t xml:space="preserve">1.2 Non-Goals</w:t>
      </w:r>
    </w:p>
    <w:p>
      <w:pPr>
        <w:pStyle w:val="ListParagraph"/>
        <w:numPr>
          <w:ilvl w:val="0"/>
          <w:numId w:val="2"/>
        </w:numPr>
        <w:spacing w:after="60"/>
      </w:pPr>
      <w:r>
        <w:rPr>
          <w:rFonts w:ascii="Arial" w:cs="Arial" w:eastAsia="Arial" w:hAnsi="Arial"/>
          <w:sz w:val="22"/>
          <w:szCs w:val="22"/>
        </w:rPr>
        <w:t xml:space="preserve">Real-time (synchronous) quote creation is not a goal - all processing after validation is asynchronous.</w:t>
      </w:r>
    </w:p>
    <w:p>
      <w:pPr>
        <w:pStyle w:val="ListParagraph"/>
        <w:numPr>
          <w:ilvl w:val="0"/>
          <w:numId w:val="2"/>
        </w:numPr>
        <w:spacing w:after="60"/>
      </w:pPr>
      <w:r>
        <w:rPr>
          <w:rFonts w:ascii="Arial" w:cs="Arial" w:eastAsia="Arial" w:hAnsi="Arial"/>
          <w:sz w:val="22"/>
          <w:szCs w:val="22"/>
        </w:rPr>
        <w:t xml:space="preserve">The solution does not attempt to update or merge existing Quotes; a Quote whose Excel_Quote_Number__c already exists is skipped, not modified (see Section 5.5).</w:t>
      </w:r>
    </w:p>
    <w:p>
      <w:pPr>
        <w:pStyle w:val="Heading1"/>
        <w:spacing w:after="150" w:before="300"/>
      </w:pPr>
      <w:r>
        <w:t xml:space="preserve">2. Requirements Traceability</w:t>
      </w:r>
    </w:p>
    <w:p>
      <w:pPr>
        <w:spacing w:after="120"/>
      </w:pPr>
      <w:r>
        <w:rPr>
          <w:rFonts w:ascii="Arial" w:cs="Arial" w:eastAsia="Arial" w:hAnsi="Arial"/>
          <w:sz w:val="22"/>
          <w:szCs w:val="22"/>
        </w:rPr>
        <w:t xml:space="preserve">The table below maps each original task requirement to where it is addressed in this design.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500"/>
      </w:tblGrid>
      <w:tr>
        <w:tc>
          <w:tcPr>
            <w:tcW w:type="dxa" w:w="900"/>
            <w:shd w:fill="2F5496" w:val="clear"/>
          </w:tcPr>
          <w:p>
            <w:r>
              <w:rPr>
                <w:rFonts w:ascii="Arial" w:cs="Arial" w:eastAsia="Arial" w:hAnsi="Arial"/>
                <w:b/>
                <w:bCs/>
                <w:color w:val="FFFFFF"/>
                <w:sz w:val="20"/>
                <w:szCs w:val="20"/>
              </w:rPr>
              <w:t xml:space="preserve">#</w:t>
            </w:r>
          </w:p>
        </w:tc>
        <w:tc>
          <w:tcPr>
            <w:tcW w:type="dxa" w:w="5200"/>
            <w:shd w:fill="2F5496" w:val="clear"/>
          </w:tcPr>
          <w:p>
            <w:r>
              <w:rPr>
                <w:rFonts w:ascii="Arial" w:cs="Arial" w:eastAsia="Arial" w:hAnsi="Arial"/>
                <w:b/>
                <w:bCs/>
                <w:color w:val="FFFFFF"/>
                <w:sz w:val="20"/>
                <w:szCs w:val="20"/>
              </w:rPr>
              <w:t xml:space="preserve">Requirement</w:t>
            </w:r>
          </w:p>
        </w:tc>
        <w:tc>
          <w:tcPr>
            <w:tcW w:type="dxa" w:w="3500"/>
            <w:shd w:fill="2F5496" w:val="clear"/>
          </w:tcPr>
          <w:p>
            <w:r>
              <w:rPr>
                <w:rFonts w:ascii="Arial" w:cs="Arial" w:eastAsia="Arial" w:hAnsi="Arial"/>
                <w:b/>
                <w:bCs/>
                <w:color w:val="FFFFFF"/>
                <w:sz w:val="20"/>
                <w:szCs w:val="20"/>
              </w:rPr>
              <w:t xml:space="preserve">Addressed In</w:t>
            </w:r>
          </w:p>
        </w:tc>
      </w:tr>
      <w:tr>
        <w:tc>
          <w:tcPr>
            <w:tcW w:type="dxa" w:w="900"/>
          </w:tcPr>
          <w:p>
            <w:r>
              <w:rPr>
                <w:rFonts w:ascii="Arial" w:cs="Arial" w:eastAsia="Arial" w:hAnsi="Arial"/>
                <w:b w:val="false"/>
                <w:bCs w:val="false"/>
                <w:sz w:val="20"/>
                <w:szCs w:val="20"/>
              </w:rPr>
              <w:t xml:space="preserve">1-2</w:t>
            </w:r>
          </w:p>
        </w:tc>
        <w:tc>
          <w:tcPr>
            <w:tcW w:type="dxa" w:w="5200"/>
          </w:tcPr>
          <w:p>
            <w:r>
              <w:rPr>
                <w:rFonts w:ascii="Arial" w:cs="Arial" w:eastAsia="Arial" w:hAnsi="Arial"/>
                <w:b w:val="false"/>
                <w:bCs w:val="false"/>
                <w:sz w:val="20"/>
                <w:szCs w:val="20"/>
              </w:rPr>
              <w:t xml:space="preserve">CPQ Developer Org, Product Catalog, Price Book</w:t>
            </w:r>
          </w:p>
        </w:tc>
        <w:tc>
          <w:tcPr>
            <w:tcW w:type="dxa" w:w="3500"/>
          </w:tcPr>
          <w:p>
            <w:r>
              <w:rPr>
                <w:rFonts w:ascii="Arial" w:cs="Arial" w:eastAsia="Arial" w:hAnsi="Arial"/>
                <w:b w:val="false"/>
                <w:bCs w:val="false"/>
                <w:sz w:val="20"/>
                <w:szCs w:val="20"/>
              </w:rPr>
              <w:t xml:space="preserve">Org setup (outside Apex/LWC scope)</w:t>
            </w:r>
          </w:p>
        </w:tc>
      </w:tr>
      <w:tr>
        <w:tc>
          <w:tcPr>
            <w:tcW w:type="dxa" w:w="900"/>
          </w:tcPr>
          <w:p>
            <w:r>
              <w:rPr>
                <w:rFonts w:ascii="Arial" w:cs="Arial" w:eastAsia="Arial" w:hAnsi="Arial"/>
                <w:b w:val="false"/>
                <w:bCs w:val="false"/>
                <w:sz w:val="20"/>
                <w:szCs w:val="20"/>
              </w:rPr>
              <w:t xml:space="preserve">3-4</w:t>
            </w:r>
          </w:p>
        </w:tc>
        <w:tc>
          <w:tcPr>
            <w:tcW w:type="dxa" w:w="5200"/>
          </w:tcPr>
          <w:p>
            <w:r>
              <w:rPr>
                <w:rFonts w:ascii="Arial" w:cs="Arial" w:eastAsia="Arial" w:hAnsi="Arial"/>
                <w:b w:val="false"/>
                <w:bCs w:val="false"/>
                <w:sz w:val="20"/>
                <w:szCs w:val="20"/>
              </w:rPr>
              <w:t xml:space="preserve">Excel template supporting multiple Quotes/Lines</w:t>
            </w:r>
          </w:p>
        </w:tc>
        <w:tc>
          <w:tcPr>
            <w:tcW w:type="dxa" w:w="3500"/>
          </w:tcPr>
          <w:p>
            <w:r>
              <w:rPr>
                <w:rFonts w:ascii="Arial" w:cs="Arial" w:eastAsia="Arial" w:hAnsi="Arial"/>
                <w:b w:val="false"/>
                <w:bCs w:val="false"/>
                <w:sz w:val="20"/>
                <w:szCs w:val="20"/>
              </w:rPr>
              <w:t xml:space="preserve">Section 4</w:t>
            </w:r>
          </w:p>
        </w:tc>
      </w:tr>
      <w:tr>
        <w:tc>
          <w:tcPr>
            <w:tcW w:type="dxa" w:w="900"/>
          </w:tcPr>
          <w:p>
            <w:r>
              <w:rPr>
                <w:rFonts w:ascii="Arial" w:cs="Arial" w:eastAsia="Arial" w:hAnsi="Arial"/>
                <w:b w:val="false"/>
                <w:bCs w:val="false"/>
                <w:sz w:val="20"/>
                <w:szCs w:val="20"/>
              </w:rPr>
              <w:t xml:space="preserve">5-9</w:t>
            </w:r>
          </w:p>
        </w:tc>
        <w:tc>
          <w:tcPr>
            <w:tcW w:type="dxa" w:w="5200"/>
          </w:tcPr>
          <w:p>
            <w:r>
              <w:rPr>
                <w:rFonts w:ascii="Arial" w:cs="Arial" w:eastAsia="Arial" w:hAnsi="Arial"/>
                <w:b w:val="false"/>
                <w:bCs w:val="false"/>
                <w:sz w:val="20"/>
                <w:szCs w:val="20"/>
              </w:rPr>
              <w:t xml:space="preserve">Upload LWC, parse, validate, display errors, group</w:t>
            </w:r>
          </w:p>
        </w:tc>
        <w:tc>
          <w:tcPr>
            <w:tcW w:type="dxa" w:w="3500"/>
          </w:tcPr>
          <w:p>
            <w:r>
              <w:rPr>
                <w:rFonts w:ascii="Arial" w:cs="Arial" w:eastAsia="Arial" w:hAnsi="Arial"/>
                <w:b w:val="false"/>
                <w:bCs w:val="false"/>
                <w:sz w:val="20"/>
                <w:szCs w:val="20"/>
              </w:rPr>
              <w:t xml:space="preserve">Section 5.1-5.3, Section 7.1</w:t>
            </w:r>
          </w:p>
        </w:tc>
      </w:tr>
      <w:tr>
        <w:tc>
          <w:tcPr>
            <w:tcW w:type="dxa" w:w="900"/>
          </w:tcPr>
          <w:p>
            <w:r>
              <w:rPr>
                <w:rFonts w:ascii="Arial" w:cs="Arial" w:eastAsia="Arial" w:hAnsi="Arial"/>
                <w:b w:val="false"/>
                <w:bCs w:val="false"/>
                <w:sz w:val="20"/>
                <w:szCs w:val="20"/>
              </w:rPr>
              <w:t xml:space="preserve">10-11</w:t>
            </w:r>
          </w:p>
        </w:tc>
        <w:tc>
          <w:tcPr>
            <w:tcW w:type="dxa" w:w="5200"/>
          </w:tcPr>
          <w:p>
            <w:r>
              <w:rPr>
                <w:rFonts w:ascii="Arial" w:cs="Arial" w:eastAsia="Arial" w:hAnsi="Arial"/>
                <w:b w:val="false"/>
                <w:bCs w:val="false"/>
                <w:sz w:val="20"/>
                <w:szCs w:val="20"/>
              </w:rPr>
              <w:t xml:space="preserve">Create Account/Opportunity if missing</w:t>
            </w:r>
          </w:p>
        </w:tc>
        <w:tc>
          <w:tcPr>
            <w:tcW w:type="dxa" w:w="3500"/>
          </w:tcPr>
          <w:p>
            <w:r>
              <w:rPr>
                <w:rFonts w:ascii="Arial" w:cs="Arial" w:eastAsia="Arial" w:hAnsi="Arial"/>
                <w:b w:val="false"/>
                <w:bCs w:val="false"/>
                <w:sz w:val="20"/>
                <w:szCs w:val="20"/>
              </w:rPr>
              <w:t xml:space="preserve">Section 5.4, 8.1, 8.2</w:t>
            </w:r>
          </w:p>
        </w:tc>
      </w:tr>
      <w:tr>
        <w:tc>
          <w:tcPr>
            <w:tcW w:type="dxa" w:w="900"/>
          </w:tcPr>
          <w:p>
            <w:r>
              <w:rPr>
                <w:rFonts w:ascii="Arial" w:cs="Arial" w:eastAsia="Arial" w:hAnsi="Arial"/>
                <w:b w:val="false"/>
                <w:bCs w:val="false"/>
                <w:sz w:val="20"/>
                <w:szCs w:val="20"/>
              </w:rPr>
              <w:t xml:space="preserve">12-13</w:t>
            </w:r>
          </w:p>
        </w:tc>
        <w:tc>
          <w:tcPr>
            <w:tcW w:type="dxa" w:w="5200"/>
          </w:tcPr>
          <w:p>
            <w:r>
              <w:rPr>
                <w:rFonts w:ascii="Arial" w:cs="Arial" w:eastAsia="Arial" w:hAnsi="Arial"/>
                <w:b w:val="false"/>
                <w:bCs w:val="false"/>
                <w:sz w:val="20"/>
                <w:szCs w:val="20"/>
              </w:rPr>
              <w:t xml:space="preserve">Multiple Quotes + Quote Lines per upload</w:t>
            </w:r>
          </w:p>
        </w:tc>
        <w:tc>
          <w:tcPr>
            <w:tcW w:type="dxa" w:w="3500"/>
          </w:tcPr>
          <w:p>
            <w:r>
              <w:rPr>
                <w:rFonts w:ascii="Arial" w:cs="Arial" w:eastAsia="Arial" w:hAnsi="Arial"/>
                <w:b w:val="false"/>
                <w:bCs w:val="false"/>
                <w:sz w:val="20"/>
                <w:szCs w:val="20"/>
              </w:rPr>
              <w:t xml:space="preserve">Section 5.5-5.7</w:t>
            </w:r>
          </w:p>
        </w:tc>
      </w:tr>
      <w:tr>
        <w:tc>
          <w:tcPr>
            <w:tcW w:type="dxa" w:w="900"/>
          </w:tcPr>
          <w:p>
            <w:r>
              <w:rPr>
                <w:rFonts w:ascii="Arial" w:cs="Arial" w:eastAsia="Arial" w:hAnsi="Arial"/>
                <w:b w:val="false"/>
                <w:bCs w:val="false"/>
                <w:sz w:val="20"/>
                <w:szCs w:val="20"/>
              </w:rPr>
              <w:t xml:space="preserve">14-15</w:t>
            </w:r>
          </w:p>
        </w:tc>
        <w:tc>
          <w:tcPr>
            <w:tcW w:type="dxa" w:w="5200"/>
          </w:tcPr>
          <w:p>
            <w:r>
              <w:rPr>
                <w:rFonts w:ascii="Arial" w:cs="Arial" w:eastAsia="Arial" w:hAnsi="Arial"/>
                <w:b w:val="false"/>
                <w:bCs w:val="false"/>
                <w:sz w:val="20"/>
                <w:szCs w:val="20"/>
              </w:rPr>
              <w:t xml:space="preserve">Validate Products/PBEs/Quantities, skip invalid</w:t>
            </w:r>
          </w:p>
        </w:tc>
        <w:tc>
          <w:tcPr>
            <w:tcW w:type="dxa" w:w="3500"/>
          </w:tcPr>
          <w:p>
            <w:r>
              <w:rPr>
                <w:rFonts w:ascii="Arial" w:cs="Arial" w:eastAsia="Arial" w:hAnsi="Arial"/>
                <w:b w:val="false"/>
                <w:bCs w:val="false"/>
                <w:sz w:val="20"/>
                <w:szCs w:val="20"/>
              </w:rPr>
              <w:t xml:space="preserve">Section 5.2, 8.4</w:t>
            </w:r>
          </w:p>
        </w:tc>
      </w:tr>
      <w:tr>
        <w:tc>
          <w:tcPr>
            <w:tcW w:type="dxa" w:w="900"/>
          </w:tcPr>
          <w:p>
            <w:r>
              <w:rPr>
                <w:rFonts w:ascii="Arial" w:cs="Arial" w:eastAsia="Arial" w:hAnsi="Arial"/>
                <w:b w:val="false"/>
                <w:bCs w:val="false"/>
                <w:sz w:val="20"/>
                <w:szCs w:val="20"/>
              </w:rPr>
              <w:t xml:space="preserve">16-17</w:t>
            </w:r>
          </w:p>
        </w:tc>
        <w:tc>
          <w:tcPr>
            <w:tcW w:type="dxa" w:w="5200"/>
          </w:tcPr>
          <w:p>
            <w:r>
              <w:rPr>
                <w:rFonts w:ascii="Arial" w:cs="Arial" w:eastAsia="Arial" w:hAnsi="Arial"/>
                <w:b w:val="false"/>
                <w:bCs w:val="false"/>
                <w:sz w:val="20"/>
                <w:szCs w:val="20"/>
              </w:rPr>
              <w:t xml:space="preserve">Success/failure logs, processing summary</w:t>
            </w:r>
          </w:p>
        </w:tc>
        <w:tc>
          <w:tcPr>
            <w:tcW w:type="dxa" w:w="3500"/>
          </w:tcPr>
          <w:p>
            <w:r>
              <w:rPr>
                <w:rFonts w:ascii="Arial" w:cs="Arial" w:eastAsia="Arial" w:hAnsi="Arial"/>
                <w:b w:val="false"/>
                <w:bCs w:val="false"/>
                <w:sz w:val="20"/>
                <w:szCs w:val="20"/>
              </w:rPr>
              <w:t xml:space="preserve">Section 5.8, 8.6, 8.9</w:t>
            </w:r>
          </w:p>
        </w:tc>
      </w:tr>
      <w:tr>
        <w:tc>
          <w:tcPr>
            <w:tcW w:type="dxa" w:w="900"/>
          </w:tcPr>
          <w:p>
            <w:r>
              <w:rPr>
                <w:rFonts w:ascii="Arial" w:cs="Arial" w:eastAsia="Arial" w:hAnsi="Arial"/>
                <w:b w:val="false"/>
                <w:bCs w:val="false"/>
                <w:sz w:val="20"/>
                <w:szCs w:val="20"/>
              </w:rPr>
              <w:t xml:space="preserve">18</w:t>
            </w:r>
          </w:p>
        </w:tc>
        <w:tc>
          <w:tcPr>
            <w:tcW w:type="dxa" w:w="5200"/>
          </w:tcPr>
          <w:p>
            <w:r>
              <w:rPr>
                <w:rFonts w:ascii="Arial" w:cs="Arial" w:eastAsia="Arial" w:hAnsi="Arial"/>
                <w:b w:val="false"/>
                <w:bCs w:val="false"/>
                <w:sz w:val="20"/>
                <w:szCs w:val="20"/>
              </w:rPr>
              <w:t xml:space="preserve">Error report download (CSV)</w:t>
            </w:r>
          </w:p>
        </w:tc>
        <w:tc>
          <w:tcPr>
            <w:tcW w:type="dxa" w:w="3500"/>
          </w:tcPr>
          <w:p>
            <w:r>
              <w:rPr>
                <w:rFonts w:ascii="Arial" w:cs="Arial" w:eastAsia="Arial" w:hAnsi="Arial"/>
                <w:b w:val="false"/>
                <w:bCs w:val="false"/>
                <w:sz w:val="20"/>
                <w:szCs w:val="20"/>
              </w:rPr>
              <w:t xml:space="preserve">Section 7.1, 8.9</w:t>
            </w:r>
          </w:p>
        </w:tc>
      </w:tr>
      <w:tr>
        <w:tc>
          <w:tcPr>
            <w:tcW w:type="dxa" w:w="900"/>
          </w:tcPr>
          <w:p>
            <w:r>
              <w:rPr>
                <w:rFonts w:ascii="Arial" w:cs="Arial" w:eastAsia="Arial" w:hAnsi="Arial"/>
                <w:b w:val="false"/>
                <w:bCs w:val="false"/>
                <w:sz w:val="20"/>
                <w:szCs w:val="20"/>
              </w:rPr>
              <w:t xml:space="preserve">19</w:t>
            </w:r>
          </w:p>
        </w:tc>
        <w:tc>
          <w:tcPr>
            <w:tcW w:type="dxa" w:w="5200"/>
          </w:tcPr>
          <w:p>
            <w:r>
              <w:rPr>
                <w:rFonts w:ascii="Arial" w:cs="Arial" w:eastAsia="Arial" w:hAnsi="Arial"/>
                <w:b w:val="false"/>
                <w:bCs w:val="false"/>
                <w:sz w:val="20"/>
                <w:szCs w:val="20"/>
              </w:rPr>
              <w:t xml:space="preserve">Store uploaded Excel against process record</w:t>
            </w:r>
          </w:p>
        </w:tc>
        <w:tc>
          <w:tcPr>
            <w:tcW w:type="dxa" w:w="3500"/>
          </w:tcPr>
          <w:p>
            <w:r>
              <w:rPr>
                <w:rFonts w:ascii="Arial" w:cs="Arial" w:eastAsia="Arial" w:hAnsi="Arial"/>
                <w:b w:val="false"/>
                <w:bCs w:val="false"/>
                <w:sz w:val="20"/>
                <w:szCs w:val="20"/>
              </w:rPr>
              <w:t xml:space="preserve">Section 5.9</w:t>
            </w:r>
          </w:p>
        </w:tc>
      </w:tr>
      <w:tr>
        <w:tc>
          <w:tcPr>
            <w:tcW w:type="dxa" w:w="900"/>
          </w:tcPr>
          <w:p>
            <w:r>
              <w:rPr>
                <w:rFonts w:ascii="Arial" w:cs="Arial" w:eastAsia="Arial" w:hAnsi="Arial"/>
                <w:b w:val="false"/>
                <w:bCs w:val="false"/>
                <w:sz w:val="20"/>
                <w:szCs w:val="20"/>
              </w:rPr>
              <w:t xml:space="preserve">20</w:t>
            </w:r>
          </w:p>
        </w:tc>
        <w:tc>
          <w:tcPr>
            <w:tcW w:type="dxa" w:w="5200"/>
          </w:tcPr>
          <w:p>
            <w:r>
              <w:rPr>
                <w:rFonts w:ascii="Arial" w:cs="Arial" w:eastAsia="Arial" w:hAnsi="Arial"/>
                <w:b w:val="false"/>
                <w:bCs w:val="false"/>
                <w:sz w:val="20"/>
                <w:szCs w:val="20"/>
              </w:rPr>
              <w:t xml:space="preserve">Processing History screen</w:t>
            </w:r>
          </w:p>
        </w:tc>
        <w:tc>
          <w:tcPr>
            <w:tcW w:type="dxa" w:w="3500"/>
          </w:tcPr>
          <w:p>
            <w:r>
              <w:rPr>
                <w:rFonts w:ascii="Arial" w:cs="Arial" w:eastAsia="Arial" w:hAnsi="Arial"/>
                <w:b w:val="false"/>
                <w:bCs w:val="false"/>
                <w:sz w:val="20"/>
                <w:szCs w:val="20"/>
              </w:rPr>
              <w:t xml:space="preserve">Section 7.2</w:t>
            </w:r>
          </w:p>
        </w:tc>
      </w:tr>
      <w:tr>
        <w:tc>
          <w:tcPr>
            <w:tcW w:type="dxa" w:w="900"/>
          </w:tcPr>
          <w:p>
            <w:r>
              <w:rPr>
                <w:rFonts w:ascii="Arial" w:cs="Arial" w:eastAsia="Arial" w:hAnsi="Arial"/>
                <w:b w:val="false"/>
                <w:bCs w:val="false"/>
                <w:sz w:val="20"/>
                <w:szCs w:val="20"/>
              </w:rPr>
              <w:t xml:space="preserve">21-23</w:t>
            </w:r>
          </w:p>
        </w:tc>
        <w:tc>
          <w:tcPr>
            <w:tcW w:type="dxa" w:w="5200"/>
          </w:tcPr>
          <w:p>
            <w:r>
              <w:rPr>
                <w:rFonts w:ascii="Arial" w:cs="Arial" w:eastAsia="Arial" w:hAnsi="Arial"/>
                <w:b w:val="false"/>
                <w:bCs w:val="false"/>
                <w:sz w:val="20"/>
                <w:szCs w:val="20"/>
              </w:rPr>
              <w:t xml:space="preserve">Bulk 100+/10k+, async, bulkified</w:t>
            </w:r>
          </w:p>
        </w:tc>
        <w:tc>
          <w:tcPr>
            <w:tcW w:type="dxa" w:w="3500"/>
          </w:tcPr>
          <w:p>
            <w:r>
              <w:rPr>
                <w:rFonts w:ascii="Arial" w:cs="Arial" w:eastAsia="Arial" w:hAnsi="Arial"/>
                <w:b w:val="false"/>
                <w:bCs w:val="false"/>
                <w:sz w:val="20"/>
                <w:szCs w:val="20"/>
              </w:rPr>
              <w:t xml:space="preserve">Section 6</w:t>
            </w:r>
          </w:p>
        </w:tc>
      </w:tr>
      <w:tr>
        <w:tc>
          <w:tcPr>
            <w:tcW w:type="dxa" w:w="900"/>
          </w:tcPr>
          <w:p>
            <w:r>
              <w:rPr>
                <w:rFonts w:ascii="Arial" w:cs="Arial" w:eastAsia="Arial" w:hAnsi="Arial"/>
                <w:b w:val="false"/>
                <w:bCs w:val="false"/>
                <w:sz w:val="20"/>
                <w:szCs w:val="20"/>
              </w:rPr>
              <w:t xml:space="preserve">24</w:t>
            </w:r>
          </w:p>
        </w:tc>
        <w:tc>
          <w:tcPr>
            <w:tcW w:type="dxa" w:w="5200"/>
          </w:tcPr>
          <w:p>
            <w:r>
              <w:rPr>
                <w:rFonts w:ascii="Arial" w:cs="Arial" w:eastAsia="Arial" w:hAnsi="Arial"/>
                <w:b w:val="false"/>
                <w:bCs w:val="false"/>
                <w:sz w:val="20"/>
                <w:szCs w:val="20"/>
              </w:rPr>
              <w:t xml:space="preserve">Apex Test Classes</w:t>
            </w:r>
          </w:p>
        </w:tc>
        <w:tc>
          <w:tcPr>
            <w:tcW w:type="dxa" w:w="3500"/>
          </w:tcPr>
          <w:p>
            <w:r>
              <w:rPr>
                <w:rFonts w:ascii="Arial" w:cs="Arial" w:eastAsia="Arial" w:hAnsi="Arial"/>
                <w:b w:val="false"/>
                <w:bCs w:val="false"/>
                <w:sz w:val="20"/>
                <w:szCs w:val="20"/>
              </w:rPr>
              <w:t xml:space="preserve">Section 10</w:t>
            </w:r>
          </w:p>
        </w:tc>
      </w:tr>
      <w:tr>
        <w:tc>
          <w:tcPr>
            <w:tcW w:type="dxa" w:w="900"/>
          </w:tcPr>
          <w:p>
            <w:r>
              <w:rPr>
                <w:rFonts w:ascii="Arial" w:cs="Arial" w:eastAsia="Arial" w:hAnsi="Arial"/>
                <w:b w:val="false"/>
                <w:bCs w:val="false"/>
                <w:sz w:val="20"/>
                <w:szCs w:val="20"/>
              </w:rPr>
              <w:t xml:space="preserve">25</w:t>
            </w:r>
          </w:p>
        </w:tc>
        <w:tc>
          <w:tcPr>
            <w:tcW w:type="dxa" w:w="5200"/>
          </w:tcPr>
          <w:p>
            <w:r>
              <w:rPr>
                <w:rFonts w:ascii="Arial" w:cs="Arial" w:eastAsia="Arial" w:hAnsi="Arial"/>
                <w:b w:val="false"/>
                <w:bCs w:val="false"/>
                <w:sz w:val="20"/>
                <w:szCs w:val="20"/>
              </w:rPr>
              <w:t xml:space="preserve">Demo with sample data</w:t>
            </w:r>
          </w:p>
        </w:tc>
        <w:tc>
          <w:tcPr>
            <w:tcW w:type="dxa" w:w="3500"/>
          </w:tcPr>
          <w:p>
            <w:r>
              <w:rPr>
                <w:rFonts w:ascii="Arial" w:cs="Arial" w:eastAsia="Arial" w:hAnsi="Arial"/>
                <w:b w:val="false"/>
                <w:bCs w:val="false"/>
                <w:sz w:val="20"/>
                <w:szCs w:val="20"/>
              </w:rPr>
              <w:t xml:space="preserve">Delivered separately (demo video / sample Excel)</w:t>
            </w:r>
          </w:p>
        </w:tc>
      </w:tr>
    </w:tbl>
    <w:p>
      <w:pPr>
        <w:pStyle w:val="Heading1"/>
        <w:spacing w:after="150" w:before="300"/>
      </w:pPr>
      <w:r>
        <w:t xml:space="preserve">3. Architecture Overview</w:t>
      </w:r>
    </w:p>
    <w:p>
      <w:pPr>
        <w:spacing w:after="120"/>
      </w:pPr>
      <w:r>
        <w:rPr>
          <w:rFonts w:ascii="Arial" w:cs="Arial" w:eastAsia="Arial" w:hAnsi="Arial"/>
          <w:sz w:val="22"/>
          <w:szCs w:val="22"/>
        </w:rPr>
        <w:t xml:space="preserve">The solution follows a layered design: a Lightning Web Component for user interaction, a thin Apex controller layer, single-purpose service classes for each unit of business logic, and a two-phase asynchronous Queueable chain for record creation and CPQ processing.</w:t>
      </w:r>
    </w:p>
    <w:p>
      <w:pPr>
        <w:shd w:fill="F2F2F2" w:val="clear"/>
        <w:spacing w:after="40"/>
      </w:pPr>
      <w:r>
        <w:rPr>
          <w:rFonts w:ascii="Courier New" w:cs="Courier New" w:eastAsia="Courier New" w:hAnsi="Courier New"/>
          <w:sz w:val="19"/>
          <w:szCs w:val="19"/>
        </w:rPr>
        <w:t xml:space="preserve">LWC (quoteBulkUpload)</w:t>
      </w:r>
    </w:p>
    <w:p>
      <w:pPr>
        <w:shd w:fill="F2F2F2" w:val="clear"/>
        <w:spacing w:after="40"/>
      </w:pPr>
      <w:r>
        <w:rPr>
          <w:rFonts w:ascii="Courier New" w:cs="Courier New" w:eastAsia="Courier New" w:hAnsi="Courier New"/>
          <w:sz w:val="19"/>
          <w:szCs w:val="19"/>
        </w:rPr>
        <w:t xml:space="preserve">   |  previewValidation() -- read-only, no DML</w:t>
      </w:r>
    </w:p>
    <w:p>
      <w:pPr>
        <w:shd w:fill="F2F2F2" w:val="clear"/>
        <w:spacing w:after="40"/>
      </w:pPr>
      <w:r>
        <w:rPr>
          <w:rFonts w:ascii="Courier New" w:cs="Courier New" w:eastAsia="Courier New" w:hAnsi="Courier New"/>
          <w:sz w:val="19"/>
          <w:szCs w:val="19"/>
        </w:rPr>
        <w:t xml:space="preserve">   v</w:t>
      </w:r>
    </w:p>
    <w:p>
      <w:pPr>
        <w:shd w:fill="F2F2F2" w:val="clear"/>
        <w:spacing w:after="40"/>
      </w:pPr>
      <w:r>
        <w:rPr>
          <w:rFonts w:ascii="Courier New" w:cs="Courier New" w:eastAsia="Courier New" w:hAnsi="Courier New"/>
          <w:sz w:val="19"/>
          <w:szCs w:val="19"/>
        </w:rPr>
        <w:t xml:space="preserve">QuoteBulkUploadController.previewValidation()</w:t>
      </w:r>
    </w:p>
    <w:p>
      <w:pPr>
        <w:shd w:fill="F2F2F2" w:val="clear"/>
        <w:spacing w:after="40"/>
      </w:pPr>
      <w:r>
        <w:rPr>
          <w:rFonts w:ascii="Courier New" w:cs="Courier New" w:eastAsia="Courier New" w:hAnsi="Courier New"/>
          <w:sz w:val="19"/>
          <w:szCs w:val="19"/>
        </w:rPr>
        <w:t xml:space="preserve">   -&gt; QuoteValidationService.validate()</w:t>
      </w:r>
    </w:p>
    <w:p>
      <w:pPr>
        <w:shd w:fill="F2F2F2" w:val="clear"/>
        <w:spacing w:after="40"/>
      </w:pPr>
      <w:r>
        <w:rPr>
          <w:rFonts w:ascii="Courier New" w:cs="Courier New" w:eastAsia="Courier New" w:hAnsi="Courier New"/>
          <w:sz w:val="19"/>
          <w:szCs w:val="19"/>
        </w:rPr>
        <w:t xml:space="preserve"/>
      </w:r>
    </w:p>
    <w:p>
      <w:pPr>
        <w:shd w:fill="F2F2F2" w:val="clear"/>
        <w:spacing w:after="40"/>
      </w:pPr>
      <w:r>
        <w:rPr>
          <w:rFonts w:ascii="Courier New" w:cs="Courier New" w:eastAsia="Courier New" w:hAnsi="Courier New"/>
          <w:sz w:val="19"/>
          <w:szCs w:val="19"/>
        </w:rPr>
        <w:t xml:space="preserve">LWC -- user confirms --</w:t>
      </w:r>
    </w:p>
    <w:p>
      <w:pPr>
        <w:shd w:fill="F2F2F2" w:val="clear"/>
        <w:spacing w:after="40"/>
      </w:pPr>
      <w:r>
        <w:rPr>
          <w:rFonts w:ascii="Courier New" w:cs="Courier New" w:eastAsia="Courier New" w:hAnsi="Courier New"/>
          <w:sz w:val="19"/>
          <w:szCs w:val="19"/>
        </w:rPr>
        <w:t xml:space="preserve">   |  submitForProcessing()</w:t>
      </w:r>
    </w:p>
    <w:p>
      <w:pPr>
        <w:shd w:fill="F2F2F2" w:val="clear"/>
        <w:spacing w:after="40"/>
      </w:pPr>
      <w:r>
        <w:rPr>
          <w:rFonts w:ascii="Courier New" w:cs="Courier New" w:eastAsia="Courier New" w:hAnsi="Courier New"/>
          <w:sz w:val="19"/>
          <w:szCs w:val="19"/>
        </w:rPr>
        <w:t xml:space="preserve">   v</w:t>
      </w:r>
    </w:p>
    <w:p>
      <w:pPr>
        <w:shd w:fill="F2F2F2" w:val="clear"/>
        <w:spacing w:after="40"/>
      </w:pPr>
      <w:r>
        <w:rPr>
          <w:rFonts w:ascii="Courier New" w:cs="Courier New" w:eastAsia="Courier New" w:hAnsi="Courier New"/>
          <w:sz w:val="19"/>
          <w:szCs w:val="19"/>
        </w:rPr>
        <w:t xml:space="preserve">QuoteBulkUploadController.submitForProcessing()</w:t>
      </w:r>
    </w:p>
    <w:p>
      <w:pPr>
        <w:shd w:fill="F2F2F2" w:val="clear"/>
        <w:spacing w:after="40"/>
      </w:pPr>
      <w:r>
        <w:rPr>
          <w:rFonts w:ascii="Courier New" w:cs="Courier New" w:eastAsia="Courier New" w:hAnsi="Courier New"/>
          <w:sz w:val="19"/>
          <w:szCs w:val="19"/>
        </w:rPr>
        <w:t xml:space="preserve">   -&gt; QuoteValidationService.validate()          (re-validate)</w:t>
      </w:r>
    </w:p>
    <w:p>
      <w:pPr>
        <w:shd w:fill="F2F2F2" w:val="clear"/>
        <w:spacing w:after="40"/>
      </w:pPr>
      <w:r>
        <w:rPr>
          <w:rFonts w:ascii="Courier New" w:cs="Courier New" w:eastAsia="Courier New" w:hAnsi="Courier New"/>
          <w:sz w:val="19"/>
          <w:szCs w:val="19"/>
        </w:rPr>
        <w:t xml:space="preserve">   -&gt; QuoteGroupingService.groupByQuoteNumber()</w:t>
      </w:r>
    </w:p>
    <w:p>
      <w:pPr>
        <w:shd w:fill="F2F2F2" w:val="clear"/>
        <w:spacing w:after="40"/>
      </w:pPr>
      <w:r>
        <w:rPr>
          <w:rFonts w:ascii="Courier New" w:cs="Courier New" w:eastAsia="Courier New" w:hAnsi="Courier New"/>
          <w:sz w:val="19"/>
          <w:szCs w:val="19"/>
        </w:rPr>
        <w:t xml:space="preserve">   -&gt; UploadProcessService.createProcess()       (Upload_Process__c, Status = Pending)</w:t>
      </w:r>
    </w:p>
    <w:p>
      <w:pPr>
        <w:shd w:fill="F2F2F2" w:val="clear"/>
        <w:spacing w:after="40"/>
      </w:pPr>
      <w:r>
        <w:rPr>
          <w:rFonts w:ascii="Courier New" w:cs="Courier New" w:eastAsia="Courier New" w:hAnsi="Courier New"/>
          <w:sz w:val="19"/>
          <w:szCs w:val="19"/>
        </w:rPr>
        <w:t xml:space="preserve">   -&gt; UploadErrorService.logRowErrors()          (row-level validation failures)</w:t>
      </w:r>
    </w:p>
    <w:p>
      <w:pPr>
        <w:shd w:fill="F2F2F2" w:val="clear"/>
        <w:spacing w:after="40"/>
      </w:pPr>
      <w:r>
        <w:rPr>
          <w:rFonts w:ascii="Courier New" w:cs="Courier New" w:eastAsia="Courier New" w:hAnsi="Courier New"/>
          <w:sz w:val="19"/>
          <w:szCs w:val="19"/>
        </w:rPr>
        <w:t xml:space="preserve">   -&gt; enqueueJob(QuoteUploadQueueable)            [Phase 1]</w:t>
      </w:r>
    </w:p>
    <w:p>
      <w:pPr>
        <w:shd w:fill="F2F2F2" w:val="clear"/>
        <w:spacing w:after="40"/>
      </w:pPr>
      <w:r>
        <w:rPr>
          <w:rFonts w:ascii="Courier New" w:cs="Courier New" w:eastAsia="Courier New" w:hAnsi="Courier New"/>
          <w:sz w:val="19"/>
          <w:szCs w:val="19"/>
        </w:rPr>
        <w:t xml:space="preserve"/>
      </w:r>
    </w:p>
    <w:p>
      <w:pPr>
        <w:shd w:fill="F2F2F2" w:val="clear"/>
        <w:spacing w:after="40"/>
      </w:pPr>
      <w:r>
        <w:rPr>
          <w:rFonts w:ascii="Courier New" w:cs="Courier New" w:eastAsia="Courier New" w:hAnsi="Courier New"/>
          <w:sz w:val="19"/>
          <w:szCs w:val="19"/>
        </w:rPr>
        <w:t xml:space="preserve">QuoteUploadQueueable.execute()                   [Phase 1: header records]</w:t>
      </w:r>
    </w:p>
    <w:p>
      <w:pPr>
        <w:shd w:fill="F2F2F2" w:val="clear"/>
        <w:spacing w:after="40"/>
      </w:pPr>
      <w:r>
        <w:rPr>
          <w:rFonts w:ascii="Courier New" w:cs="Courier New" w:eastAsia="Courier New" w:hAnsi="Courier New"/>
          <w:sz w:val="19"/>
          <w:szCs w:val="19"/>
        </w:rPr>
        <w:t xml:space="preserve">   -&gt; AccountService.getOrCreateAccounts()</w:t>
      </w:r>
    </w:p>
    <w:p>
      <w:pPr>
        <w:shd w:fill="F2F2F2" w:val="clear"/>
        <w:spacing w:after="40"/>
      </w:pPr>
      <w:r>
        <w:rPr>
          <w:rFonts w:ascii="Courier New" w:cs="Courier New" w:eastAsia="Courier New" w:hAnsi="Courier New"/>
          <w:sz w:val="19"/>
          <w:szCs w:val="19"/>
        </w:rPr>
        <w:t xml:space="preserve">   -&gt; OpportunityService.createOpportunities()</w:t>
      </w:r>
    </w:p>
    <w:p>
      <w:pPr>
        <w:shd w:fill="F2F2F2" w:val="clear"/>
        <w:spacing w:after="40"/>
      </w:pPr>
      <w:r>
        <w:rPr>
          <w:rFonts w:ascii="Courier New" w:cs="Courier New" w:eastAsia="Courier New" w:hAnsi="Courier New"/>
          <w:sz w:val="19"/>
          <w:szCs w:val="19"/>
        </w:rPr>
        <w:t xml:space="preserve">   -&gt; bulk Database.insert(SBQQ__Quote__c[])</w:t>
      </w:r>
    </w:p>
    <w:p>
      <w:pPr>
        <w:shd w:fill="F2F2F2" w:val="clear"/>
        <w:spacing w:after="40"/>
      </w:pPr>
      <w:r>
        <w:rPr>
          <w:rFonts w:ascii="Courier New" w:cs="Courier New" w:eastAsia="Courier New" w:hAnsi="Courier New"/>
          <w:sz w:val="19"/>
          <w:szCs w:val="19"/>
        </w:rPr>
        <w:t xml:space="preserve">   -&gt; enqueueJob(QuoteLineProcessingQueueable)    [Phase 2, one hop per Quote]</w:t>
      </w:r>
    </w:p>
    <w:p>
      <w:pPr>
        <w:shd w:fill="F2F2F2" w:val="clear"/>
        <w:spacing w:after="40"/>
      </w:pPr>
      <w:r>
        <w:rPr>
          <w:rFonts w:ascii="Courier New" w:cs="Courier New" w:eastAsia="Courier New" w:hAnsi="Courier New"/>
          <w:sz w:val="19"/>
          <w:szCs w:val="19"/>
        </w:rPr>
        <w:t xml:space="preserve"/>
      </w:r>
    </w:p>
    <w:p>
      <w:pPr>
        <w:shd w:fill="F2F2F2" w:val="clear"/>
        <w:spacing w:after="40"/>
      </w:pPr>
      <w:r>
        <w:rPr>
          <w:rFonts w:ascii="Courier New" w:cs="Courier New" w:eastAsia="Courier New" w:hAnsi="Courier New"/>
          <w:sz w:val="19"/>
          <w:szCs w:val="19"/>
        </w:rPr>
        <w:t xml:space="preserve">QuoteLineProcessingQueueable.execute()            [Phase 2a: calculate + save lines]</w:t>
      </w:r>
    </w:p>
    <w:p>
      <w:pPr>
        <w:shd w:fill="F2F2F2" w:val="clear"/>
        <w:spacing w:after="40"/>
      </w:pPr>
      <w:r>
        <w:rPr>
          <w:rFonts w:ascii="Courier New" w:cs="Courier New" w:eastAsia="Courier New" w:hAnsi="Courier New"/>
          <w:sz w:val="19"/>
          <w:szCs w:val="19"/>
        </w:rPr>
        <w:t xml:space="preserve">   -&gt; CPQProductAdderService.calculateAndSaveLines()</w:t>
      </w:r>
    </w:p>
    <w:p>
      <w:pPr>
        <w:shd w:fill="F2F2F2" w:val="clear"/>
        <w:spacing w:after="40"/>
      </w:pPr>
      <w:r>
        <w:rPr>
          <w:rFonts w:ascii="Courier New" w:cs="Courier New" w:eastAsia="Courier New" w:hAnsi="Courier New"/>
          <w:sz w:val="19"/>
          <w:szCs w:val="19"/>
        </w:rPr>
        <w:t xml:space="preserve">        -&gt; SBQQ.ServiceRouter (QuoteReader / ProductLoader / QuoteProductAdder / QuoteCalculator)</w:t>
      </w:r>
    </w:p>
    <w:p>
      <w:pPr>
        <w:shd w:fill="F2F2F2" w:val="clear"/>
        <w:spacing w:after="40"/>
      </w:pPr>
      <w:r>
        <w:rPr>
          <w:rFonts w:ascii="Courier New" w:cs="Courier New" w:eastAsia="Courier New" w:hAnsi="Courier New"/>
          <w:sz w:val="19"/>
          <w:szCs w:val="19"/>
        </w:rPr>
        <w:t xml:space="preserve">        -&gt; CPQQuoteCalculatorCallback.callback() -&gt; QuoteSaver</w:t>
      </w:r>
    </w:p>
    <w:p>
      <w:pPr>
        <w:shd w:fill="F2F2F2" w:val="clear"/>
        <w:spacing w:after="40"/>
      </w:pPr>
      <w:r>
        <w:rPr>
          <w:rFonts w:ascii="Courier New" w:cs="Courier New" w:eastAsia="Courier New" w:hAnsi="Courier New"/>
          <w:sz w:val="19"/>
          <w:szCs w:val="19"/>
        </w:rPr>
        <w:t xml:space="preserve">   -&gt; enqueueJob(QuoteLineCorrectionQueueable)    [next hop]</w:t>
      </w:r>
    </w:p>
    <w:p>
      <w:pPr>
        <w:shd w:fill="F2F2F2" w:val="clear"/>
        <w:spacing w:after="40"/>
      </w:pPr>
      <w:r>
        <w:rPr>
          <w:rFonts w:ascii="Courier New" w:cs="Courier New" w:eastAsia="Courier New" w:hAnsi="Courier New"/>
          <w:sz w:val="19"/>
          <w:szCs w:val="19"/>
        </w:rPr>
        <w:t xml:space="preserve"/>
      </w:r>
    </w:p>
    <w:p>
      <w:pPr>
        <w:shd w:fill="F2F2F2" w:val="clear"/>
        <w:spacing w:after="40"/>
      </w:pPr>
      <w:r>
        <w:rPr>
          <w:rFonts w:ascii="Courier New" w:cs="Courier New" w:eastAsia="Courier New" w:hAnsi="Courier New"/>
          <w:sz w:val="19"/>
          <w:szCs w:val="19"/>
        </w:rPr>
        <w:t xml:space="preserve">QuoteLineCorrectionQueueable.execute()            [Phase 2b: qty/price correction]</w:t>
      </w:r>
    </w:p>
    <w:p>
      <w:pPr>
        <w:shd w:fill="F2F2F2" w:val="clear"/>
        <w:spacing w:after="40"/>
      </w:pPr>
      <w:r>
        <w:rPr>
          <w:rFonts w:ascii="Courier New" w:cs="Courier New" w:eastAsia="Courier New" w:hAnsi="Courier New"/>
          <w:sz w:val="19"/>
          <w:szCs w:val="19"/>
        </w:rPr>
        <w:t xml:space="preserve">   -&gt; CPQProductAdderService.correctQuantitiesAndPrices()</w:t>
      </w:r>
    </w:p>
    <w:p>
      <w:pPr>
        <w:shd w:fill="F2F2F2" w:val="clear"/>
        <w:spacing w:after="40"/>
      </w:pPr>
      <w:r>
        <w:rPr>
          <w:rFonts w:ascii="Courier New" w:cs="Courier New" w:eastAsia="Courier New" w:hAnsi="Courier New"/>
          <w:sz w:val="19"/>
          <w:szCs w:val="19"/>
        </w:rPr>
        <w:t xml:space="preserve">   -&gt; enqueueJob(QuoteLineProcessingQueueable)    [next Quote, or complete]</w:t>
      </w:r>
    </w:p>
    <w:p>
      <w:pPr>
        <w:shd w:fill="F2F2F2" w:val="clear"/>
        <w:spacing w:after="40"/>
      </w:pPr>
      <w:r>
        <w:rPr>
          <w:rFonts w:ascii="Courier New" w:cs="Courier New" w:eastAsia="Courier New" w:hAnsi="Courier New"/>
          <w:sz w:val="19"/>
          <w:szCs w:val="19"/>
        </w:rPr>
        <w:t xml:space="preserve"/>
      </w:r>
    </w:p>
    <w:p>
      <w:pPr>
        <w:shd w:fill="F2F2F2" w:val="clear"/>
        <w:spacing w:after="40"/>
      </w:pPr>
      <w:r>
        <w:rPr>
          <w:rFonts w:ascii="Courier New" w:cs="Courier New" w:eastAsia="Courier New" w:hAnsi="Courier New"/>
          <w:sz w:val="19"/>
          <w:szCs w:val="19"/>
        </w:rPr>
        <w:t xml:space="preserve">(fallback only, Developer/Trial orgs)</w:t>
      </w:r>
    </w:p>
    <w:p>
      <w:pPr>
        <w:shd w:fill="F2F2F2" w:val="clear"/>
        <w:spacing w:after="40"/>
      </w:pPr>
      <w:r>
        <w:rPr>
          <w:rFonts w:ascii="Courier New" w:cs="Courier New" w:eastAsia="Courier New" w:hAnsi="Courier New"/>
          <w:sz w:val="19"/>
          <w:szCs w:val="19"/>
        </w:rPr>
        <w:t xml:space="preserve">QuoteLineChainResetScheduler                      [Schedulable, one-shot, self-aborting]</w:t>
      </w:r>
    </w:p>
    <w:p>
      <w:pPr>
        <w:shd w:fill="F2F2F2" w:val="clear"/>
        <w:spacing w:after="40"/>
      </w:pPr>
      <w:r>
        <w:rPr>
          <w:rFonts w:ascii="Courier New" w:cs="Courier New" w:eastAsia="Courier New" w:hAnsi="Courier New"/>
          <w:sz w:val="19"/>
          <w:szCs w:val="19"/>
        </w:rPr>
        <w:t xml:space="preserve">   -&gt; re-enqueues whichever Queueable was about to run, from a fresh async context</w:t>
      </w:r>
    </w:p>
    <w:p>
      <w:pPr>
        <w:pStyle w:val="Heading1"/>
        <w:spacing w:after="150" w:before="300"/>
      </w:pPr>
      <w:r>
        <w:t xml:space="preserve">4. Excel Template Format</w:t>
      </w:r>
    </w:p>
    <w:p>
      <w:pPr>
        <w:spacing w:after="120"/>
      </w:pPr>
      <w:r>
        <w:rPr>
          <w:rFonts w:ascii="Arial" w:cs="Arial" w:eastAsia="Arial" w:hAnsi="Arial"/>
          <w:sz w:val="22"/>
          <w:szCs w:val="22"/>
        </w:rPr>
        <w:t xml:space="preserve">A single flat sheet is used for both Quote header and Quote Line data - one row per Quote Line, with header fields repeated on every row belonging to the same Quote. Rows sharing the same Quote Number are grouped server-side into one Quote with multiple Quote Lines (Section 5.3).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500"/>
      </w:tblGrid>
      <w:tr>
        <w:tc>
          <w:tcPr>
            <w:tcW w:type="dxa" w:w="1900"/>
            <w:shd w:fill="2F5496" w:val="clear"/>
          </w:tcPr>
          <w:p>
            <w:r>
              <w:rPr>
                <w:rFonts w:ascii="Arial" w:cs="Arial" w:eastAsia="Arial" w:hAnsi="Arial"/>
                <w:b/>
                <w:bCs/>
                <w:color w:val="FFFFFF"/>
                <w:sz w:val="20"/>
                <w:szCs w:val="20"/>
              </w:rPr>
              <w:t xml:space="preserve">Column</w:t>
            </w:r>
          </w:p>
        </w:tc>
        <w:tc>
          <w:tcPr>
            <w:tcW w:type="dxa" w:w="3200"/>
            <w:shd w:fill="2F5496" w:val="clear"/>
          </w:tcPr>
          <w:p>
            <w:r>
              <w:rPr>
                <w:rFonts w:ascii="Arial" w:cs="Arial" w:eastAsia="Arial" w:hAnsi="Arial"/>
                <w:b/>
                <w:bCs/>
                <w:color w:val="FFFFFF"/>
                <w:sz w:val="20"/>
                <w:szCs w:val="20"/>
              </w:rPr>
              <w:t xml:space="preserve">Maps To</w:t>
            </w:r>
          </w:p>
        </w:tc>
        <w:tc>
          <w:tcPr>
            <w:tcW w:type="dxa" w:w="4500"/>
            <w:shd w:fill="2F5496" w:val="clear"/>
          </w:tcPr>
          <w:p>
            <w:r>
              <w:rPr>
                <w:rFonts w:ascii="Arial" w:cs="Arial" w:eastAsia="Arial" w:hAnsi="Arial"/>
                <w:b/>
                <w:bCs/>
                <w:color w:val="FFFFFF"/>
                <w:sz w:val="20"/>
                <w:szCs w:val="20"/>
              </w:rPr>
              <w:t xml:space="preserve">Notes</w:t>
            </w:r>
          </w:p>
        </w:tc>
      </w:tr>
      <w:tr>
        <w:tc>
          <w:tcPr>
            <w:tcW w:type="dxa" w:w="1900"/>
          </w:tcPr>
          <w:p>
            <w:r>
              <w:rPr>
                <w:rFonts w:ascii="Arial" w:cs="Arial" w:eastAsia="Arial" w:hAnsi="Arial"/>
                <w:b w:val="false"/>
                <w:bCs w:val="false"/>
                <w:sz w:val="20"/>
                <w:szCs w:val="20"/>
              </w:rPr>
              <w:t xml:space="preserve">Quote Number</w:t>
            </w:r>
          </w:p>
        </w:tc>
        <w:tc>
          <w:tcPr>
            <w:tcW w:type="dxa" w:w="3200"/>
          </w:tcPr>
          <w:p>
            <w:r>
              <w:rPr>
                <w:rFonts w:ascii="Arial" w:cs="Arial" w:eastAsia="Arial" w:hAnsi="Arial"/>
                <w:b w:val="false"/>
                <w:bCs w:val="false"/>
                <w:sz w:val="20"/>
                <w:szCs w:val="20"/>
              </w:rPr>
              <w:t xml:space="preserve">ExcelRowWrapper.quoteNumber</w:t>
            </w:r>
          </w:p>
        </w:tc>
        <w:tc>
          <w:tcPr>
            <w:tcW w:type="dxa" w:w="4500"/>
          </w:tcPr>
          <w:p>
            <w:r>
              <w:rPr>
                <w:rFonts w:ascii="Arial" w:cs="Arial" w:eastAsia="Arial" w:hAnsi="Arial"/>
                <w:b w:val="false"/>
                <w:bCs w:val="false"/>
                <w:sz w:val="20"/>
                <w:szCs w:val="20"/>
              </w:rPr>
              <w:t xml:space="preserve">Business key; grouping key for Quote header. Required.</w:t>
            </w:r>
          </w:p>
        </w:tc>
      </w:tr>
      <w:tr>
        <w:tc>
          <w:tcPr>
            <w:tcW w:type="dxa" w:w="1900"/>
          </w:tcPr>
          <w:p>
            <w:r>
              <w:rPr>
                <w:rFonts w:ascii="Arial" w:cs="Arial" w:eastAsia="Arial" w:hAnsi="Arial"/>
                <w:b w:val="false"/>
                <w:bCs w:val="false"/>
                <w:sz w:val="20"/>
                <w:szCs w:val="20"/>
              </w:rPr>
              <w:t xml:space="preserve">Customer Name</w:t>
            </w:r>
          </w:p>
        </w:tc>
        <w:tc>
          <w:tcPr>
            <w:tcW w:type="dxa" w:w="3200"/>
          </w:tcPr>
          <w:p>
            <w:r>
              <w:rPr>
                <w:rFonts w:ascii="Arial" w:cs="Arial" w:eastAsia="Arial" w:hAnsi="Arial"/>
                <w:b w:val="false"/>
                <w:bCs w:val="false"/>
                <w:sz w:val="20"/>
                <w:szCs w:val="20"/>
              </w:rPr>
              <w:t xml:space="preserve">ExcelRowWrapper.customerName</w:t>
            </w:r>
          </w:p>
        </w:tc>
        <w:tc>
          <w:tcPr>
            <w:tcW w:type="dxa" w:w="4500"/>
          </w:tcPr>
          <w:p>
            <w:r>
              <w:rPr>
                <w:rFonts w:ascii="Arial" w:cs="Arial" w:eastAsia="Arial" w:hAnsi="Arial"/>
                <w:b w:val="false"/>
                <w:bCs w:val="false"/>
                <w:sz w:val="20"/>
                <w:szCs w:val="20"/>
              </w:rPr>
              <w:t xml:space="preserve">Account.Name; matched or created. Required.</w:t>
            </w:r>
          </w:p>
        </w:tc>
      </w:tr>
      <w:tr>
        <w:tc>
          <w:tcPr>
            <w:tcW w:type="dxa" w:w="1900"/>
          </w:tcPr>
          <w:p>
            <w:r>
              <w:rPr>
                <w:rFonts w:ascii="Arial" w:cs="Arial" w:eastAsia="Arial" w:hAnsi="Arial"/>
                <w:b w:val="false"/>
                <w:bCs w:val="false"/>
                <w:sz w:val="20"/>
                <w:szCs w:val="20"/>
              </w:rPr>
              <w:t xml:space="preserve">Opportunity Name</w:t>
            </w:r>
          </w:p>
        </w:tc>
        <w:tc>
          <w:tcPr>
            <w:tcW w:type="dxa" w:w="3200"/>
          </w:tcPr>
          <w:p>
            <w:r>
              <w:rPr>
                <w:rFonts w:ascii="Arial" w:cs="Arial" w:eastAsia="Arial" w:hAnsi="Arial"/>
                <w:b w:val="false"/>
                <w:bCs w:val="false"/>
                <w:sz w:val="20"/>
                <w:szCs w:val="20"/>
              </w:rPr>
              <w:t xml:space="preserve">ExcelRowWrapper.opportunityName</w:t>
            </w:r>
          </w:p>
        </w:tc>
        <w:tc>
          <w:tcPr>
            <w:tcW w:type="dxa" w:w="4500"/>
          </w:tcPr>
          <w:p>
            <w:r>
              <w:rPr>
                <w:rFonts w:ascii="Arial" w:cs="Arial" w:eastAsia="Arial" w:hAnsi="Arial"/>
                <w:b w:val="false"/>
                <w:bCs w:val="false"/>
                <w:sz w:val="20"/>
                <w:szCs w:val="20"/>
              </w:rPr>
              <w:t xml:space="preserve">Opportunity.Name; matched (per Account) or created.</w:t>
            </w:r>
          </w:p>
        </w:tc>
      </w:tr>
      <w:tr>
        <w:tc>
          <w:tcPr>
            <w:tcW w:type="dxa" w:w="1900"/>
          </w:tcPr>
          <w:p>
            <w:r>
              <w:rPr>
                <w:rFonts w:ascii="Arial" w:cs="Arial" w:eastAsia="Arial" w:hAnsi="Arial"/>
                <w:b w:val="false"/>
                <w:bCs w:val="false"/>
                <w:sz w:val="20"/>
                <w:szCs w:val="20"/>
              </w:rPr>
              <w:t xml:space="preserve">Quote Name</w:t>
            </w:r>
          </w:p>
        </w:tc>
        <w:tc>
          <w:tcPr>
            <w:tcW w:type="dxa" w:w="3200"/>
          </w:tcPr>
          <w:p>
            <w:r>
              <w:rPr>
                <w:rFonts w:ascii="Arial" w:cs="Arial" w:eastAsia="Arial" w:hAnsi="Arial"/>
                <w:b w:val="false"/>
                <w:bCs w:val="false"/>
                <w:sz w:val="20"/>
                <w:szCs w:val="20"/>
              </w:rPr>
              <w:t xml:space="preserve">ExcelRowWrapper.quoteName</w:t>
            </w:r>
          </w:p>
        </w:tc>
        <w:tc>
          <w:tcPr>
            <w:tcW w:type="dxa" w:w="4500"/>
          </w:tcPr>
          <w:p>
            <w:r>
              <w:rPr>
                <w:rFonts w:ascii="Arial" w:cs="Arial" w:eastAsia="Arial" w:hAnsi="Arial"/>
                <w:b w:val="false"/>
                <w:bCs w:val="false"/>
                <w:sz w:val="20"/>
                <w:szCs w:val="20"/>
              </w:rPr>
              <w:t xml:space="preserve">SBQQ__Quote__c.External_Quote_Name__c.</w:t>
            </w:r>
          </w:p>
        </w:tc>
      </w:tr>
      <w:tr>
        <w:tc>
          <w:tcPr>
            <w:tcW w:type="dxa" w:w="1900"/>
          </w:tcPr>
          <w:p>
            <w:r>
              <w:rPr>
                <w:rFonts w:ascii="Arial" w:cs="Arial" w:eastAsia="Arial" w:hAnsi="Arial"/>
                <w:b w:val="false"/>
                <w:bCs w:val="false"/>
                <w:sz w:val="20"/>
                <w:szCs w:val="20"/>
              </w:rPr>
              <w:t xml:space="preserve">Product Name</w:t>
            </w:r>
          </w:p>
        </w:tc>
        <w:tc>
          <w:tcPr>
            <w:tcW w:type="dxa" w:w="3200"/>
          </w:tcPr>
          <w:p>
            <w:r>
              <w:rPr>
                <w:rFonts w:ascii="Arial" w:cs="Arial" w:eastAsia="Arial" w:hAnsi="Arial"/>
                <w:b w:val="false"/>
                <w:bCs w:val="false"/>
                <w:sz w:val="20"/>
                <w:szCs w:val="20"/>
              </w:rPr>
              <w:t xml:space="preserve">ExcelRowWrapper.productName</w:t>
            </w:r>
          </w:p>
        </w:tc>
        <w:tc>
          <w:tcPr>
            <w:tcW w:type="dxa" w:w="4500"/>
          </w:tcPr>
          <w:p>
            <w:r>
              <w:rPr>
                <w:rFonts w:ascii="Arial" w:cs="Arial" w:eastAsia="Arial" w:hAnsi="Arial"/>
                <w:b w:val="false"/>
                <w:bCs w:val="false"/>
                <w:sz w:val="20"/>
                <w:szCs w:val="20"/>
              </w:rPr>
              <w:t xml:space="preserve">Matched against Product2.Name. Required.</w:t>
            </w:r>
          </w:p>
        </w:tc>
      </w:tr>
      <w:tr>
        <w:tc>
          <w:tcPr>
            <w:tcW w:type="dxa" w:w="1900"/>
          </w:tcPr>
          <w:p>
            <w:r>
              <w:rPr>
                <w:rFonts w:ascii="Arial" w:cs="Arial" w:eastAsia="Arial" w:hAnsi="Arial"/>
                <w:b w:val="false"/>
                <w:bCs w:val="false"/>
                <w:sz w:val="20"/>
                <w:szCs w:val="20"/>
              </w:rPr>
              <w:t xml:space="preserve">Quantity</w:t>
            </w:r>
          </w:p>
        </w:tc>
        <w:tc>
          <w:tcPr>
            <w:tcW w:type="dxa" w:w="3200"/>
          </w:tcPr>
          <w:p>
            <w:r>
              <w:rPr>
                <w:rFonts w:ascii="Arial" w:cs="Arial" w:eastAsia="Arial" w:hAnsi="Arial"/>
                <w:b w:val="false"/>
                <w:bCs w:val="false"/>
                <w:sz w:val="20"/>
                <w:szCs w:val="20"/>
              </w:rPr>
              <w:t xml:space="preserve">ExcelRowWrapper.quantity</w:t>
            </w:r>
          </w:p>
        </w:tc>
        <w:tc>
          <w:tcPr>
            <w:tcW w:type="dxa" w:w="4500"/>
          </w:tcPr>
          <w:p>
            <w:r>
              <w:rPr>
                <w:rFonts w:ascii="Arial" w:cs="Arial" w:eastAsia="Arial" w:hAnsi="Arial"/>
                <w:b w:val="false"/>
                <w:bCs w:val="false"/>
                <w:sz w:val="20"/>
                <w:szCs w:val="20"/>
              </w:rPr>
              <w:t xml:space="preserve">Must be &gt; 0. Required.</w:t>
            </w:r>
          </w:p>
        </w:tc>
      </w:tr>
      <w:tr>
        <w:tc>
          <w:tcPr>
            <w:tcW w:type="dxa" w:w="1900"/>
          </w:tcPr>
          <w:p>
            <w:r>
              <w:rPr>
                <w:rFonts w:ascii="Arial" w:cs="Arial" w:eastAsia="Arial" w:hAnsi="Arial"/>
                <w:b w:val="false"/>
                <w:bCs w:val="false"/>
                <w:sz w:val="20"/>
                <w:szCs w:val="20"/>
              </w:rPr>
              <w:t xml:space="preserve">Sales Price</w:t>
            </w:r>
          </w:p>
        </w:tc>
        <w:tc>
          <w:tcPr>
            <w:tcW w:type="dxa" w:w="3200"/>
          </w:tcPr>
          <w:p>
            <w:r>
              <w:rPr>
                <w:rFonts w:ascii="Arial" w:cs="Arial" w:eastAsia="Arial" w:hAnsi="Arial"/>
                <w:b w:val="false"/>
                <w:bCs w:val="false"/>
                <w:sz w:val="20"/>
                <w:szCs w:val="20"/>
              </w:rPr>
              <w:t xml:space="preserve">ExcelRowWrapper.salesPrice</w:t>
            </w:r>
          </w:p>
        </w:tc>
        <w:tc>
          <w:tcPr>
            <w:tcW w:type="dxa" w:w="4500"/>
          </w:tcPr>
          <w:p>
            <w:r>
              <w:rPr>
                <w:rFonts w:ascii="Arial" w:cs="Arial" w:eastAsia="Arial" w:hAnsi="Arial"/>
                <w:b w:val="false"/>
                <w:bCs w:val="false"/>
                <w:sz w:val="20"/>
                <w:szCs w:val="20"/>
              </w:rPr>
              <w:t xml:space="preserve">Applied to SBQQ__QuoteLine__c.SBQQ__NetPrice__c if the product is price-editable.</w:t>
            </w:r>
          </w:p>
        </w:tc>
      </w:tr>
      <w:tr>
        <w:tc>
          <w:tcPr>
            <w:tcW w:type="dxa" w:w="1900"/>
          </w:tcPr>
          <w:p>
            <w:r>
              <w:rPr>
                <w:rFonts w:ascii="Arial" w:cs="Arial" w:eastAsia="Arial" w:hAnsi="Arial"/>
                <w:b w:val="false"/>
                <w:bCs w:val="false"/>
                <w:sz w:val="20"/>
                <w:szCs w:val="20"/>
              </w:rPr>
              <w:t xml:space="preserve">Quote Start Date</w:t>
            </w:r>
          </w:p>
        </w:tc>
        <w:tc>
          <w:tcPr>
            <w:tcW w:type="dxa" w:w="3200"/>
          </w:tcPr>
          <w:p>
            <w:r>
              <w:rPr>
                <w:rFonts w:ascii="Arial" w:cs="Arial" w:eastAsia="Arial" w:hAnsi="Arial"/>
                <w:b w:val="false"/>
                <w:bCs w:val="false"/>
                <w:sz w:val="20"/>
                <w:szCs w:val="20"/>
              </w:rPr>
              <w:t xml:space="preserve">ExcelRowWrapper.quoteStartDate</w:t>
            </w:r>
          </w:p>
        </w:tc>
        <w:tc>
          <w:tcPr>
            <w:tcW w:type="dxa" w:w="4500"/>
          </w:tcPr>
          <w:p>
            <w:r>
              <w:rPr>
                <w:rFonts w:ascii="Arial" w:cs="Arial" w:eastAsia="Arial" w:hAnsi="Arial"/>
                <w:b w:val="false"/>
                <w:bCs w:val="false"/>
                <w:sz w:val="20"/>
                <w:szCs w:val="20"/>
              </w:rPr>
              <w:t xml:space="preserve">SBQQ__Quote__c.SBQQ__StartDate__c.</w:t>
            </w:r>
          </w:p>
        </w:tc>
      </w:tr>
      <w:tr>
        <w:tc>
          <w:tcPr>
            <w:tcW w:type="dxa" w:w="1900"/>
          </w:tcPr>
          <w:p>
            <w:r>
              <w:rPr>
                <w:rFonts w:ascii="Arial" w:cs="Arial" w:eastAsia="Arial" w:hAnsi="Arial"/>
                <w:b w:val="false"/>
                <w:bCs w:val="false"/>
                <w:sz w:val="20"/>
                <w:szCs w:val="20"/>
              </w:rPr>
              <w:t xml:space="preserve">Quote End Date</w:t>
            </w:r>
          </w:p>
        </w:tc>
        <w:tc>
          <w:tcPr>
            <w:tcW w:type="dxa" w:w="3200"/>
          </w:tcPr>
          <w:p>
            <w:r>
              <w:rPr>
                <w:rFonts w:ascii="Arial" w:cs="Arial" w:eastAsia="Arial" w:hAnsi="Arial"/>
                <w:b w:val="false"/>
                <w:bCs w:val="false"/>
                <w:sz w:val="20"/>
                <w:szCs w:val="20"/>
              </w:rPr>
              <w:t xml:space="preserve">ExcelRowWrapper.quoteEndDate</w:t>
            </w:r>
          </w:p>
        </w:tc>
        <w:tc>
          <w:tcPr>
            <w:tcW w:type="dxa" w:w="4500"/>
          </w:tcPr>
          <w:p>
            <w:r>
              <w:rPr>
                <w:rFonts w:ascii="Arial" w:cs="Arial" w:eastAsia="Arial" w:hAnsi="Arial"/>
                <w:b w:val="false"/>
                <w:bCs w:val="false"/>
                <w:sz w:val="20"/>
                <w:szCs w:val="20"/>
              </w:rPr>
              <w:t xml:space="preserve">SBQQ__Quote__c.SBQQ__EndDate__c.</w:t>
            </w:r>
          </w:p>
        </w:tc>
      </w:tr>
      <w:tr>
        <w:tc>
          <w:tcPr>
            <w:tcW w:type="dxa" w:w="1900"/>
          </w:tcPr>
          <w:p>
            <w:r>
              <w:rPr>
                <w:rFonts w:ascii="Arial" w:cs="Arial" w:eastAsia="Arial" w:hAnsi="Arial"/>
                <w:b w:val="false"/>
                <w:bCs w:val="false"/>
                <w:sz w:val="20"/>
                <w:szCs w:val="20"/>
              </w:rPr>
              <w:t xml:space="preserve">Notes</w:t>
            </w:r>
          </w:p>
        </w:tc>
        <w:tc>
          <w:tcPr>
            <w:tcW w:type="dxa" w:w="3200"/>
          </w:tcPr>
          <w:p>
            <w:r>
              <w:rPr>
                <w:rFonts w:ascii="Arial" w:cs="Arial" w:eastAsia="Arial" w:hAnsi="Arial"/>
                <w:b w:val="false"/>
                <w:bCs w:val="false"/>
                <w:sz w:val="20"/>
                <w:szCs w:val="20"/>
              </w:rPr>
              <w:t xml:space="preserve">ExcelRowWrapper.notes</w:t>
            </w:r>
          </w:p>
        </w:tc>
        <w:tc>
          <w:tcPr>
            <w:tcW w:type="dxa" w:w="4500"/>
          </w:tcPr>
          <w:p>
            <w:r>
              <w:rPr>
                <w:rFonts w:ascii="Arial" w:cs="Arial" w:eastAsia="Arial" w:hAnsi="Arial"/>
                <w:b w:val="false"/>
                <w:bCs w:val="false"/>
                <w:sz w:val="20"/>
                <w:szCs w:val="20"/>
              </w:rPr>
              <w:t xml:space="preserve">SBQQ__Quote__c.SBQQ__Notes__c.</w:t>
            </w:r>
          </w:p>
        </w:tc>
      </w:tr>
    </w:tbl>
    <w:p>
      <w:pPr>
        <w:pStyle w:val="Heading1"/>
        <w:spacing w:after="150" w:before="300"/>
      </w:pPr>
      <w:r>
        <w:t xml:space="preserve">5. Detailed Component Design</w:t>
      </w:r>
    </w:p>
    <w:p>
      <w:pPr>
        <w:pStyle w:val="Heading2"/>
        <w:spacing w:after="120" w:before="240"/>
      </w:pPr>
      <w:r>
        <w:t xml:space="preserve">5.1 Excel Parsing (LWC)</w:t>
      </w:r>
    </w:p>
    <w:p>
      <w:pPr>
        <w:spacing w:after="120"/>
      </w:pPr>
      <w:r>
        <w:rPr>
          <w:rFonts w:ascii="Arial" w:cs="Arial" w:eastAsia="Arial" w:hAnsi="Arial"/>
          <w:sz w:val="22"/>
          <w:szCs w:val="22"/>
        </w:rPr>
        <w:t xml:space="preserve">The LWC (quoteBulkUpload) uses the SheetJS library (loaded as a static resource via lightning/platformResourceLoader) to parse the uploaded .xlsx file client-side into a JSON row array, which is then mapped into the ExcelRowWrapper shape expected by Apex.</w:t>
      </w:r>
    </w:p>
    <w:p>
      <w:pPr>
        <w:pStyle w:val="Heading2"/>
        <w:spacing w:after="120" w:before="240"/>
      </w:pPr>
      <w:r>
        <w:t xml:space="preserve">5.2 Validation (QuoteValidationService)</w:t>
      </w:r>
    </w:p>
    <w:p>
      <w:pPr>
        <w:spacing w:after="120"/>
      </w:pPr>
      <w:r>
        <w:rPr>
          <w:rFonts w:ascii="Arial" w:cs="Arial" w:eastAsia="Arial" w:hAnsi="Arial"/>
          <w:sz w:val="22"/>
          <w:szCs w:val="22"/>
        </w:rPr>
        <w:t xml:space="preserve">Validation runs entirely server-side and never mutates data. For each row it checks, in order: Quote Number present, Customer Name present, Product Name present, Product exists, Product is active, an active Standard Pricebook Entry exists for the product, and Quantity is a positive number. The first failing check produces the row's error message; a row either passes all checks or is flagged invalid with exactly one reason.</w:t>
      </w:r>
    </w:p>
    <w:p>
      <w:pPr>
        <w:spacing w:after="120"/>
      </w:pPr>
      <w:r>
        <w:rPr>
          <w:rFonts w:ascii="Arial" w:cs="Arial" w:eastAsia="Arial" w:hAnsi="Arial"/>
          <w:sz w:val="22"/>
          <w:szCs w:val="22"/>
        </w:rPr>
        <w:t xml:space="preserve">Product and Pricebook Entry lookups are bulk SOQL queries executed once for the whole batch (not per row), keeping validation governor-limit safe regardless of file size.</w:t>
      </w:r>
    </w:p>
    <w:p>
      <w:pPr>
        <w:pStyle w:val="Heading2"/>
        <w:spacing w:after="120" w:before="240"/>
      </w:pPr>
      <w:r>
        <w:t xml:space="preserve">5.3 Grouping (QuoteGroupingService)</w:t>
      </w:r>
    </w:p>
    <w:p>
      <w:pPr>
        <w:spacing w:after="120"/>
      </w:pPr>
      <w:r>
        <w:rPr>
          <w:rFonts w:ascii="Arial" w:cs="Arial" w:eastAsia="Arial" w:hAnsi="Arial"/>
          <w:sz w:val="22"/>
          <w:szCs w:val="22"/>
        </w:rPr>
        <w:t xml:space="preserve">Valid rows are grouped into a Map&lt;String, QuoteGroupWrapper&gt; keyed by Quote Number. Each QuoteGroupWrapper carries the Quote header fields (taken from the first row seen for that Quote Number) plus the full list of ExcelRowWrapper lines belonging to it.</w:t>
      </w:r>
    </w:p>
    <w:p>
      <w:pPr>
        <w:pStyle w:val="Heading2"/>
        <w:spacing w:after="120" w:before="240"/>
      </w:pPr>
      <w:r>
        <w:t xml:space="preserve">5.4 Account and Opportunity Resolution</w:t>
      </w:r>
    </w:p>
    <w:p>
      <w:pPr>
        <w:spacing w:after="120"/>
      </w:pPr>
      <w:r>
        <w:rPr>
          <w:rFonts w:ascii="Arial" w:cs="Arial" w:eastAsia="Arial" w:hAnsi="Arial"/>
          <w:sz w:val="22"/>
          <w:szCs w:val="22"/>
        </w:rPr>
        <w:t xml:space="preserve">AccountService resolves or creates Accounts by Name, in one bulk query plus one bulk insert. OpportunityService resolves or creates Opportunities keyed by Account Id + Opportunity Name, deduplicating both against existing Opportunities in the org and against Opportunities being created earlier in the same batch (an in-batch duplicate-key bug here was found and corrected during development - see Section 9.4).</w:t>
      </w:r>
    </w:p>
    <w:p>
      <w:pPr>
        <w:pStyle w:val="Heading2"/>
        <w:spacing w:after="120" w:before="240"/>
      </w:pPr>
      <w:r>
        <w:t xml:space="preserve">5.5 Quote Header Creation and Duplicate Prevention</w:t>
      </w:r>
    </w:p>
    <w:p>
      <w:pPr>
        <w:spacing w:after="120"/>
      </w:pPr>
      <w:r>
        <w:rPr>
          <w:rFonts w:ascii="Arial" w:cs="Arial" w:eastAsia="Arial" w:hAnsi="Arial"/>
          <w:sz w:val="22"/>
          <w:szCs w:val="22"/>
        </w:rPr>
        <w:t xml:space="preserve">QuoteUploadQueueable (Phase 1) builds all Quote header records in memory, then inserts them with a single bulk Database.insert(..., false) call, using SBQQ__Quote__c.Excel_Quote_Number__c as the business key. Before insert, existing Quotes matching any incoming Excel_Quote_Number__c are queried; a match causes that Quote group to be skipped entirely (logged to Upload_Error__c, counted in Failed Quotes) rather than creating a duplicate Quote. This was a deliberate design decision, not an explicit requirement: re-uploading the same file is treated as a retry/correction scenario, not an intentional request to duplicate every Quote.</w:t>
      </w:r>
    </w:p>
    <w:p>
      <w:pPr>
        <w:pStyle w:val="Heading2"/>
        <w:spacing w:after="120" w:before="240"/>
      </w:pPr>
      <w:r>
        <w:t xml:space="preserve">5.6 Quote Line Creation (CPQProductAdderService)</w:t>
      </w:r>
    </w:p>
    <w:p>
      <w:pPr>
        <w:spacing w:after="120"/>
      </w:pPr>
      <w:r>
        <w:rPr>
          <w:rFonts w:ascii="Arial" w:cs="Arial" w:eastAsia="Arial" w:hAnsi="Arial"/>
          <w:sz w:val="22"/>
          <w:szCs w:val="22"/>
        </w:rPr>
        <w:t xml:space="preserve">Adding Quote Lines uses Salesforce CPQ's own ServiceRouter API rather than direct SBQQ__QuoteLine__c inserts, so that CPQ's pricing engine (discounting, price rules, product rules) runs exactly as it would from the CPQ Line Editor UI. The sequence per Quote is:</w:t>
      </w:r>
    </w:p>
    <w:p>
      <w:pPr>
        <w:pStyle w:val="ListParagraph"/>
        <w:numPr>
          <w:ilvl w:val="0"/>
          <w:numId w:val="2"/>
        </w:numPr>
        <w:spacing w:after="60"/>
      </w:pPr>
      <w:r>
        <w:rPr>
          <w:rFonts w:ascii="Arial" w:cs="Arial" w:eastAsia="Arial" w:hAnsi="Arial"/>
          <w:sz w:val="22"/>
          <w:szCs w:val="22"/>
        </w:rPr>
        <w:t xml:space="preserve">QuoteReader - reads the current Quote model as JSON.</w:t>
      </w:r>
    </w:p>
    <w:p>
      <w:pPr>
        <w:pStyle w:val="ListParagraph"/>
        <w:numPr>
          <w:ilvl w:val="0"/>
          <w:numId w:val="2"/>
        </w:numPr>
        <w:spacing w:after="60"/>
      </w:pPr>
      <w:r>
        <w:rPr>
          <w:rFonts w:ascii="Arial" w:cs="Arial" w:eastAsia="Arial" w:hAnsi="Arial"/>
          <w:sz w:val="22"/>
          <w:szCs w:val="22"/>
        </w:rPr>
        <w:t xml:space="preserve">ProductLoader - loads a pricing-ready model for each product being added (one call per distinct product on the Quote, then batched into a single call to QuoteProductAdder - see Section 9.1 for why single-product-at-a-time calls were rejected).</w:t>
      </w:r>
    </w:p>
    <w:p>
      <w:pPr>
        <w:pStyle w:val="ListParagraph"/>
        <w:numPr>
          <w:ilvl w:val="0"/>
          <w:numId w:val="2"/>
        </w:numPr>
        <w:spacing w:after="60"/>
      </w:pPr>
      <w:r>
        <w:rPr>
          <w:rFonts w:ascii="Arial" w:cs="Arial" w:eastAsia="Arial" w:hAnsi="Arial"/>
          <w:sz w:val="22"/>
          <w:szCs w:val="22"/>
        </w:rPr>
        <w:t xml:space="preserve">QuoteProductAdder - adds all new product lines to the Quote model in one call.</w:t>
      </w:r>
    </w:p>
    <w:p>
      <w:pPr>
        <w:pStyle w:val="ListParagraph"/>
        <w:numPr>
          <w:ilvl w:val="0"/>
          <w:numId w:val="2"/>
        </w:numPr>
        <w:spacing w:after="60"/>
      </w:pPr>
      <w:r>
        <w:rPr>
          <w:rFonts w:ascii="Arial" w:cs="Arial" w:eastAsia="Arial" w:hAnsi="Arial"/>
          <w:sz w:val="22"/>
          <w:szCs w:val="22"/>
        </w:rPr>
        <w:t xml:space="preserve">QuoteCalculator - recalculates pricing. Invoked with a { quote, callbackClass } context object rather than a raw quote model (see Section 9.2).</w:t>
      </w:r>
    </w:p>
    <w:p>
      <w:pPr>
        <w:pStyle w:val="ListParagraph"/>
        <w:numPr>
          <w:ilvl w:val="0"/>
          <w:numId w:val="2"/>
        </w:numPr>
        <w:spacing w:after="60"/>
      </w:pPr>
      <w:r>
        <w:rPr>
          <w:rFonts w:ascii="Arial" w:cs="Arial" w:eastAsia="Arial" w:hAnsi="Arial"/>
          <w:sz w:val="22"/>
          <w:szCs w:val="22"/>
        </w:rPr>
        <w:t xml:space="preserve">CPQQuoteCalculatorCallback.callback() - CPQ's required callback, which calls QuoteSaver to persist the calculated Quote and its new Quote Lines.</w:t>
      </w:r>
    </w:p>
    <w:p>
      <w:pPr>
        <w:spacing w:after="120"/>
      </w:pPr>
      <w:r>
        <w:rPr>
          <w:rFonts w:ascii="Arial" w:cs="Arial" w:eastAsia="Arial" w:hAnsi="Arial"/>
          <w:sz w:val="22"/>
          <w:szCs w:val="22"/>
        </w:rPr>
        <w:t xml:space="preserve">A second pass then corrects Quantity and Sales Price on the newly created Quote Lines to match the Excel values (CPQ's calculator applies its own defaults - quantity 1, list price - when lines are first added). This correction uses SBQQ.TriggerControl.disable()/enable() around the update, per Salesforce's documented guidance for updating Quote Line fields outside the Line Editor (see Section 9.3).</w:t>
      </w:r>
    </w:p>
    <w:p>
      <w:pPr>
        <w:pStyle w:val="Heading2"/>
        <w:spacing w:after="120" w:before="240"/>
      </w:pPr>
      <w:r>
        <w:t xml:space="preserve">5.7 Skip-Invalid, Continue-Processing Behavior</w:t>
      </w:r>
    </w:p>
    <w:p>
      <w:pPr>
        <w:spacing w:after="120"/>
      </w:pPr>
      <w:r>
        <w:rPr>
          <w:rFonts w:ascii="Arial" w:cs="Arial" w:eastAsia="Arial" w:hAnsi="Arial"/>
          <w:sz w:val="22"/>
          <w:szCs w:val="22"/>
        </w:rPr>
        <w:t xml:space="preserve">Invalid rows never reach Phase 1 or Phase 2 - they are filtered out during validation and logged immediately. Within processing, each Quote's calculate/save step and correction step are wrapped in their own try/catch; a failure on one Quote is logged to Upload_Error__c and counted, but does not stop the chain from continuing to the next Quote.</w:t>
      </w:r>
    </w:p>
    <w:p>
      <w:pPr>
        <w:pStyle w:val="Heading2"/>
        <w:spacing w:after="120" w:before="240"/>
      </w:pPr>
      <w:r>
        <w:t xml:space="preserve">5.8 Success/Failure Logging and Live Progress</w:t>
      </w:r>
    </w:p>
    <w:p>
      <w:pPr>
        <w:spacing w:after="120"/>
      </w:pPr>
      <w:r>
        <w:rPr>
          <w:rFonts w:ascii="Arial" w:cs="Arial" w:eastAsia="Arial" w:hAnsi="Arial"/>
          <w:sz w:val="22"/>
          <w:szCs w:val="22"/>
        </w:rPr>
        <w:t xml:space="preserve">Upload_Process__c holds running totals (Total/Successful/Failed Quotes, Total Quote Lines) and a Status__c of Pending -&gt; Processing -&gt; Completed/Failed. UploadProcessService.updateProgress() is called after every Quote (not only at the end of the chain) so the LWC's 3-second polling shows real incremental progress rather than a static result until the entire batch finishes.</w:t>
      </w:r>
    </w:p>
    <w:p>
      <w:pPr>
        <w:pStyle w:val="Heading2"/>
        <w:spacing w:after="120" w:before="240"/>
      </w:pPr>
      <w:r>
        <w:t xml:space="preserve">5.9 File Storage Against the Process Record</w:t>
      </w:r>
    </w:p>
    <w:p>
      <w:pPr>
        <w:spacing w:after="120"/>
      </w:pPr>
      <w:r>
        <w:rPr>
          <w:rFonts w:ascii="Arial" w:cs="Arial" w:eastAsia="Arial" w:hAnsi="Arial"/>
          <w:sz w:val="22"/>
          <w:szCs w:val="22"/>
        </w:rPr>
        <w:t xml:space="preserve">The original uploaded .xlsx file is stored via ContentVersion with FirstPublishLocationId set directly to the Upload_Process__c record Id, creating the ContentDocumentLink in the same DML statement. This call is made from the LWC immediately after submitForProcessing() returns a real uploadProcessId, and is deliberately isolated in its own try/catch so a file-storage failure never blocks or rolls back quote processing.</w:t>
      </w:r>
    </w:p>
    <w:p>
      <w:r>
        <w:br w:type="page"/>
      </w:r>
    </w:p>
    <w:p>
      <w:pPr>
        <w:pStyle w:val="Heading1"/>
        <w:spacing w:after="150" w:before="300"/>
      </w:pPr>
      <w:r>
        <w:t xml:space="preserve">6. Asynchronous Processing Design</w:t>
      </w:r>
    </w:p>
    <w:p>
      <w:pPr>
        <w:spacing w:after="120"/>
      </w:pPr>
      <w:r>
        <w:rPr>
          <w:rFonts w:ascii="Arial" w:cs="Arial" w:eastAsia="Arial" w:hAnsi="Arial"/>
          <w:sz w:val="22"/>
          <w:szCs w:val="22"/>
        </w:rPr>
        <w:t xml:space="preserve">This is the most heavily iterated part of the design, driven by several Apex/CPQ platform constraints discovered during implementation (see Section 9 for the evidence trail). The final design:</w:t>
      </w:r>
    </w:p>
    <w:p>
      <w:pPr>
        <w:pStyle w:val="Heading2"/>
        <w:spacing w:after="120" w:before="240"/>
      </w:pPr>
      <w:r>
        <w:t xml:space="preserve">6.1 Two-Phase Queueable Chain</w:t>
      </w:r>
    </w:p>
    <w:p>
      <w:pPr>
        <w:spacing w:after="120"/>
      </w:pPr>
      <w:r>
        <w:rPr>
          <w:rFonts w:ascii="Arial" w:cs="Arial" w:eastAsia="Arial" w:hAnsi="Arial"/>
          <w:sz w:val="22"/>
          <w:szCs w:val="22"/>
        </w:rPr>
        <w:t xml:space="preserve">Phase 1 (QuoteUploadQueueable) creates all Account, Opportunity, and Quote header records and commits. Phase 2 runs only after that commit, in a separate Queueable transaction, because Salesforce CPQ's ServiceRouter calculator API was found to intermittently null-pointer when invoked against a Quote inserted earlier in the same transaction - splitting into two phases, with Phase 2 only starting after Phase 1's transaction has committed, resolved this reliably (verified experimentally - see Section 9.5).</w:t>
      </w:r>
    </w:p>
    <w:p>
      <w:pPr>
        <w:pStyle w:val="Heading2"/>
        <w:spacing w:after="120" w:before="240"/>
      </w:pPr>
      <w:r>
        <w:t xml:space="preserve">6.2 One-Quote-Per-Hop Chaining, Split Calculate/Correct</w:t>
      </w:r>
    </w:p>
    <w:p>
      <w:pPr>
        <w:spacing w:after="120"/>
      </w:pPr>
      <w:r>
        <w:rPr>
          <w:rFonts w:ascii="Arial" w:cs="Arial" w:eastAsia="Arial" w:hAnsi="Arial"/>
          <w:sz w:val="22"/>
          <w:szCs w:val="22"/>
        </w:rPr>
        <w:t xml:space="preserve">Each Queueable execution ("hop") handles exactly one unit of work for one Quote: either the calculate-and-save step or the quantity/price correction step, never both, and never more than one Quote. This is required because SBQQ.ServiceRouter's calculate call performs a real HTTP callout, and Salesforce does not allow a callout after uncommitted DML in the same transaction - so each callout+DML cycle needs its own transaction. The calculate step and correction step were further split into separate hops (QuoteLineProcessingQueueable and QuoteLineCorrectionQueueable) after CPQ's own SBQQ__QuoteLine__c trigger was found to internally call AsyncInfo.hasMaxStackDepth(), which fails outside a fresh Queueable/Finalizer execution context.</w:t>
      </w:r>
    </w:p>
    <w:p>
      <w:pPr>
        <w:pStyle w:val="Heading2"/>
        <w:spacing w:after="120" w:before="240"/>
      </w:pPr>
      <w:r>
        <w:t xml:space="preserve">6.3 Chain-Depth Handling</w:t>
      </w:r>
    </w:p>
    <w:p>
      <w:pPr>
        <w:spacing w:after="120"/>
      </w:pPr>
      <w:r>
        <w:rPr>
          <w:rFonts w:ascii="Arial" w:cs="Arial" w:eastAsia="Arial" w:hAnsi="Arial"/>
          <w:sz w:val="22"/>
          <w:szCs w:val="22"/>
        </w:rPr>
        <w:t xml:space="preserve">Salesforce Developer Edition and Trial orgs cap chained Queueable jobs at a stack depth of 5; production and sandbox orgs have no such cap. Rather than throttling every run to defend against a limit that mostly does not apply, the design chains directly and fast by default, and only falls back to QuoteLineChainResetScheduler (a one-shot, self-aborting Scheduled Apex job, which starts a fresh async context with depth reset to zero) when the platform actually signals it is near the ceiling. Each Queueable tracks its own hop count and proactively hands off to the scheduler before reaching a conservative threshold, because CPQ's internal trigger can throw the depth-limit error before our own enqueueJob call would ever get the chance to.</w:t>
      </w:r>
    </w:p>
    <w:p>
      <w:pPr>
        <w:pStyle w:val="Heading2"/>
        <w:spacing w:after="120" w:before="240"/>
      </w:pPr>
      <w:r>
        <w:t xml:space="preserve">6.4 Bulkification</w:t>
      </w:r>
    </w:p>
    <w:p>
      <w:pPr>
        <w:spacing w:after="120"/>
      </w:pPr>
      <w:r>
        <w:rPr>
          <w:rFonts w:ascii="Arial" w:cs="Arial" w:eastAsia="Arial" w:hAnsi="Arial"/>
          <w:sz w:val="22"/>
          <w:szCs w:val="22"/>
        </w:rPr>
        <w:t xml:space="preserve">Phase 1's Quote header insert is a single bulk Database.insert call across all Quotes in the batch, not one insert per record - at 110 Quotes, one-insert-per-record caused CPQ's own Quote trigger logic to exceed the 200 SOQL query async Apex limit, since its per-invocation query cost multiplied by the number of separate insert statements. A single bulk statement lets CPQ's trigger process the whole batch in one invocation instead. Database.insert(..., false) (partial success) is used so one bad record does not roll back the batch; each row's outcome is inspected individually via Database.SaveResult.</w:t>
      </w:r>
    </w:p>
    <w:p>
      <w:pPr>
        <w:spacing w:after="120"/>
      </w:pPr>
      <w:r>
        <w:rPr>
          <w:rFonts w:ascii="Arial" w:cs="Arial" w:eastAsia="Arial" w:hAnsi="Arial"/>
          <w:sz w:val="22"/>
          <w:szCs w:val="22"/>
        </w:rPr>
        <w:t xml:space="preserve">Product and Pricebook Entry validation queries are similarly batched once per upload, not per row (Section 5.2).</w:t>
      </w:r>
    </w:p>
    <w:p>
      <w:pPr>
        <w:pStyle w:val="Heading2"/>
        <w:spacing w:after="120" w:before="240"/>
      </w:pPr>
      <w:r>
        <w:t xml:space="preserve">6.5 Why Batch Apex Was Not Used</w:t>
      </w:r>
    </w:p>
    <w:p>
      <w:pPr>
        <w:spacing w:after="120"/>
      </w:pPr>
      <w:r>
        <w:rPr>
          <w:rFonts w:ascii="Arial" w:cs="Arial" w:eastAsia="Arial" w:hAnsi="Arial"/>
          <w:sz w:val="22"/>
          <w:szCs w:val="22"/>
        </w:rPr>
        <w:t xml:space="preserve">Salesforce's Apex Reference documents that AsyncInfo.hasMaxStackDepth() - which CPQ's own managed-package trigger logic calls internally during Quote Line updates - is only valid inside a Queueable or Finalizer execution context; calling it from Batch Apex throws. Since CPQ's calculator relies on this internally, Batch Apex is not a viable execution context for this integration, and the design remains Queueable-based throughout.</w:t>
      </w:r>
    </w:p>
    <w:p>
      <w:pPr>
        <w:pStyle w:val="Heading1"/>
        <w:spacing w:after="150" w:before="300"/>
      </w:pPr>
      <w:r>
        <w:t xml:space="preserve">7. Lightning Web Component Design</w:t>
      </w:r>
    </w:p>
    <w:p>
      <w:pPr>
        <w:pStyle w:val="Heading2"/>
        <w:spacing w:after="120" w:before="240"/>
      </w:pPr>
      <w:r>
        <w:t xml:space="preserve">7.1 quoteBulkUpload</w:t>
      </w:r>
    </w:p>
    <w:p>
      <w:pPr>
        <w:spacing w:after="120"/>
      </w:pPr>
      <w:r>
        <w:rPr>
          <w:rFonts w:ascii="Arial" w:cs="Arial" w:eastAsia="Arial" w:hAnsi="Arial"/>
          <w:sz w:val="22"/>
          <w:szCs w:val="22"/>
        </w:rPr>
        <w:t xml:space="preserve">Primary upload and results screen. Flow: select file -&gt; client-side parse (SheetJS) -&gt; Validate (previewValidation, read-only) -&gt; review validation errors -&gt; Proceed with Processing (submitForProcessing, which is the point at which Upload_Process__c is first created and Phase 1 is enqueued) -&gt; live progress panel (3-second polling of getProcessStatus, stopping automatically at a terminal status) -&gt; error report CSV download when any failures exist.</w:t>
      </w:r>
    </w:p>
    <w:p>
      <w:pPr>
        <w:spacing w:after="120"/>
      </w:pPr>
      <w:r>
        <w:rPr>
          <w:rFonts w:ascii="Arial" w:cs="Arial" w:eastAsia="Arial" w:hAnsi="Arial"/>
          <w:sz w:val="22"/>
          <w:szCs w:val="22"/>
        </w:rPr>
        <w:t xml:space="preserve">Run state (uploadProcessId and the last validation response) is persisted to localStorage on submit, so navigating away, refreshing, or closing and reopening the browser resumes watching the same run rather than losing context - the live numbers are always re-fetched from Apex on load, never trusted from the cached copy.</w:t>
      </w:r>
    </w:p>
    <w:p>
      <w:pPr>
        <w:pStyle w:val="Heading2"/>
        <w:spacing w:after="120" w:before="240"/>
      </w:pPr>
      <w:r>
        <w:t xml:space="preserve">7.2 uploadProcessingHistory</w:t>
      </w:r>
    </w:p>
    <w:p>
      <w:pPr>
        <w:spacing w:after="120"/>
      </w:pPr>
      <w:r>
        <w:rPr>
          <w:rFonts w:ascii="Arial" w:cs="Arial" w:eastAsia="Arial" w:hAnsi="Arial"/>
          <w:sz w:val="22"/>
          <w:szCs w:val="22"/>
        </w:rPr>
        <w:t xml:space="preserve">Lists all Upload_Process__c records (most recent first, capped at 200), with per-row navigation to the record detail page and a per-row Download Error Report action reusing the same CSV-building logic as the primary screen.</w:t>
      </w:r>
    </w:p>
    <w:p>
      <w:pPr>
        <w:pStyle w:val="Heading1"/>
        <w:spacing w:after="150" w:before="300"/>
      </w:pPr>
      <w:r>
        <w:t xml:space="preserve">8. Apex Class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2F5496" w:val="clear"/>
          </w:tcPr>
          <w:p>
            <w:r>
              <w:rPr>
                <w:rFonts w:ascii="Arial" w:cs="Arial" w:eastAsia="Arial" w:hAnsi="Arial"/>
                <w:b/>
                <w:bCs/>
                <w:color w:val="FFFFFF"/>
                <w:sz w:val="20"/>
                <w:szCs w:val="20"/>
              </w:rPr>
              <w:t xml:space="preserve">Class</w:t>
            </w:r>
          </w:p>
        </w:tc>
        <w:tc>
          <w:tcPr>
            <w:tcW w:type="dxa" w:w="6400"/>
            <w:shd w:fill="2F5496" w:val="clear"/>
          </w:tcPr>
          <w:p>
            <w:r>
              <w:rPr>
                <w:rFonts w:ascii="Arial" w:cs="Arial" w:eastAsia="Arial" w:hAnsi="Arial"/>
                <w:b/>
                <w:bCs/>
                <w:color w:val="FFFFFF"/>
                <w:sz w:val="20"/>
                <w:szCs w:val="20"/>
              </w:rPr>
              <w:t xml:space="preserve">Responsibility</w:t>
            </w:r>
          </w:p>
        </w:tc>
      </w:tr>
      <w:tr>
        <w:tc>
          <w:tcPr>
            <w:tcW w:type="dxa" w:w="3200"/>
          </w:tcPr>
          <w:p>
            <w:r>
              <w:rPr>
                <w:rFonts w:ascii="Arial" w:cs="Arial" w:eastAsia="Arial" w:hAnsi="Arial"/>
                <w:b w:val="false"/>
                <w:bCs w:val="false"/>
                <w:sz w:val="20"/>
                <w:szCs w:val="20"/>
              </w:rPr>
              <w:t xml:space="preserve">QuoteBulkUploadController</w:t>
            </w:r>
          </w:p>
        </w:tc>
        <w:tc>
          <w:tcPr>
            <w:tcW w:type="dxa" w:w="6400"/>
          </w:tcPr>
          <w:p>
            <w:r>
              <w:rPr>
                <w:rFonts w:ascii="Arial" w:cs="Arial" w:eastAsia="Arial" w:hAnsi="Arial"/>
                <w:b w:val="false"/>
                <w:bCs w:val="false"/>
                <w:sz w:val="20"/>
                <w:szCs w:val="20"/>
              </w:rPr>
              <w:t xml:space="preserve">LWC entry point: previewValidation, submitForProcessing, getProcessStatus, getErrorReport, attachExcelFile, getProcessingHistory.</w:t>
            </w:r>
          </w:p>
        </w:tc>
      </w:tr>
      <w:tr>
        <w:tc>
          <w:tcPr>
            <w:tcW w:type="dxa" w:w="3200"/>
          </w:tcPr>
          <w:p>
            <w:r>
              <w:rPr>
                <w:rFonts w:ascii="Arial" w:cs="Arial" w:eastAsia="Arial" w:hAnsi="Arial"/>
                <w:b w:val="false"/>
                <w:bCs w:val="false"/>
                <w:sz w:val="20"/>
                <w:szCs w:val="20"/>
              </w:rPr>
              <w:t xml:space="preserve">QuoteValidationService</w:t>
            </w:r>
          </w:p>
        </w:tc>
        <w:tc>
          <w:tcPr>
            <w:tcW w:type="dxa" w:w="6400"/>
          </w:tcPr>
          <w:p>
            <w:r>
              <w:rPr>
                <w:rFonts w:ascii="Arial" w:cs="Arial" w:eastAsia="Arial" w:hAnsi="Arial"/>
                <w:b w:val="false"/>
                <w:bCs w:val="false"/>
                <w:sz w:val="20"/>
                <w:szCs w:val="20"/>
              </w:rPr>
              <w:t xml:space="preserve">Row-level validation against required fields, Product2, and PricebookEntry.</w:t>
            </w:r>
          </w:p>
        </w:tc>
      </w:tr>
      <w:tr>
        <w:tc>
          <w:tcPr>
            <w:tcW w:type="dxa" w:w="3200"/>
          </w:tcPr>
          <w:p>
            <w:r>
              <w:rPr>
                <w:rFonts w:ascii="Arial" w:cs="Arial" w:eastAsia="Arial" w:hAnsi="Arial"/>
                <w:b w:val="false"/>
                <w:bCs w:val="false"/>
                <w:sz w:val="20"/>
                <w:szCs w:val="20"/>
              </w:rPr>
              <w:t xml:space="preserve">QuoteGroupingService</w:t>
            </w:r>
          </w:p>
        </w:tc>
        <w:tc>
          <w:tcPr>
            <w:tcW w:type="dxa" w:w="6400"/>
          </w:tcPr>
          <w:p>
            <w:r>
              <w:rPr>
                <w:rFonts w:ascii="Arial" w:cs="Arial" w:eastAsia="Arial" w:hAnsi="Arial"/>
                <w:b w:val="false"/>
                <w:bCs w:val="false"/>
                <w:sz w:val="20"/>
                <w:szCs w:val="20"/>
              </w:rPr>
              <w:t xml:space="preserve">Groups valid rows into per-Quote-Number bundles.</w:t>
            </w:r>
          </w:p>
        </w:tc>
      </w:tr>
      <w:tr>
        <w:tc>
          <w:tcPr>
            <w:tcW w:type="dxa" w:w="3200"/>
          </w:tcPr>
          <w:p>
            <w:r>
              <w:rPr>
                <w:rFonts w:ascii="Arial" w:cs="Arial" w:eastAsia="Arial" w:hAnsi="Arial"/>
                <w:b w:val="false"/>
                <w:bCs w:val="false"/>
                <w:sz w:val="20"/>
                <w:szCs w:val="20"/>
              </w:rPr>
              <w:t xml:space="preserve">AccountService</w:t>
            </w:r>
          </w:p>
        </w:tc>
        <w:tc>
          <w:tcPr>
            <w:tcW w:type="dxa" w:w="6400"/>
          </w:tcPr>
          <w:p>
            <w:r>
              <w:rPr>
                <w:rFonts w:ascii="Arial" w:cs="Arial" w:eastAsia="Arial" w:hAnsi="Arial"/>
                <w:b w:val="false"/>
                <w:bCs w:val="false"/>
                <w:sz w:val="20"/>
                <w:szCs w:val="20"/>
              </w:rPr>
              <w:t xml:space="preserve">Bulk find-or-create Accounts by Name.</w:t>
            </w:r>
          </w:p>
        </w:tc>
      </w:tr>
      <w:tr>
        <w:tc>
          <w:tcPr>
            <w:tcW w:type="dxa" w:w="3200"/>
          </w:tcPr>
          <w:p>
            <w:r>
              <w:rPr>
                <w:rFonts w:ascii="Arial" w:cs="Arial" w:eastAsia="Arial" w:hAnsi="Arial"/>
                <w:b w:val="false"/>
                <w:bCs w:val="false"/>
                <w:sz w:val="20"/>
                <w:szCs w:val="20"/>
              </w:rPr>
              <w:t xml:space="preserve">OpportunityService</w:t>
            </w:r>
          </w:p>
        </w:tc>
        <w:tc>
          <w:tcPr>
            <w:tcW w:type="dxa" w:w="6400"/>
          </w:tcPr>
          <w:p>
            <w:r>
              <w:rPr>
                <w:rFonts w:ascii="Arial" w:cs="Arial" w:eastAsia="Arial" w:hAnsi="Arial"/>
                <w:b w:val="false"/>
                <w:bCs w:val="false"/>
                <w:sz w:val="20"/>
                <w:szCs w:val="20"/>
              </w:rPr>
              <w:t xml:space="preserve">Bulk find-or-create Opportunities, deduped by Account + Name, including within-batch dedup.</w:t>
            </w:r>
          </w:p>
        </w:tc>
      </w:tr>
      <w:tr>
        <w:tc>
          <w:tcPr>
            <w:tcW w:type="dxa" w:w="3200"/>
          </w:tcPr>
          <w:p>
            <w:r>
              <w:rPr>
                <w:rFonts w:ascii="Arial" w:cs="Arial" w:eastAsia="Arial" w:hAnsi="Arial"/>
                <w:b w:val="false"/>
                <w:bCs w:val="false"/>
                <w:sz w:val="20"/>
                <w:szCs w:val="20"/>
              </w:rPr>
              <w:t xml:space="preserve">QuoteUploadQueueable</w:t>
            </w:r>
          </w:p>
        </w:tc>
        <w:tc>
          <w:tcPr>
            <w:tcW w:type="dxa" w:w="6400"/>
          </w:tcPr>
          <w:p>
            <w:r>
              <w:rPr>
                <w:rFonts w:ascii="Arial" w:cs="Arial" w:eastAsia="Arial" w:hAnsi="Arial"/>
                <w:b w:val="false"/>
                <w:bCs w:val="false"/>
                <w:sz w:val="20"/>
                <w:szCs w:val="20"/>
              </w:rPr>
              <w:t xml:space="preserve">Phase 1: bulk creation of Quote header records; enqueues Phase 2.</w:t>
            </w:r>
          </w:p>
        </w:tc>
      </w:tr>
      <w:tr>
        <w:tc>
          <w:tcPr>
            <w:tcW w:type="dxa" w:w="3200"/>
          </w:tcPr>
          <w:p>
            <w:r>
              <w:rPr>
                <w:rFonts w:ascii="Arial" w:cs="Arial" w:eastAsia="Arial" w:hAnsi="Arial"/>
                <w:b w:val="false"/>
                <w:bCs w:val="false"/>
                <w:sz w:val="20"/>
                <w:szCs w:val="20"/>
              </w:rPr>
              <w:t xml:space="preserve">QuoteLineProcessingQueueable</w:t>
            </w:r>
          </w:p>
        </w:tc>
        <w:tc>
          <w:tcPr>
            <w:tcW w:type="dxa" w:w="6400"/>
          </w:tcPr>
          <w:p>
            <w:r>
              <w:rPr>
                <w:rFonts w:ascii="Arial" w:cs="Arial" w:eastAsia="Arial" w:hAnsi="Arial"/>
                <w:b w:val="false"/>
                <w:bCs w:val="false"/>
                <w:sz w:val="20"/>
                <w:szCs w:val="20"/>
              </w:rPr>
              <w:t xml:space="preserve">Phase 2a: calculate-and-save Quote Lines for one Quote; chains to correction.</w:t>
            </w:r>
          </w:p>
        </w:tc>
      </w:tr>
      <w:tr>
        <w:tc>
          <w:tcPr>
            <w:tcW w:type="dxa" w:w="3200"/>
          </w:tcPr>
          <w:p>
            <w:r>
              <w:rPr>
                <w:rFonts w:ascii="Arial" w:cs="Arial" w:eastAsia="Arial" w:hAnsi="Arial"/>
                <w:b w:val="false"/>
                <w:bCs w:val="false"/>
                <w:sz w:val="20"/>
                <w:szCs w:val="20"/>
              </w:rPr>
              <w:t xml:space="preserve">QuoteLineCorrectionQueueable</w:t>
            </w:r>
          </w:p>
        </w:tc>
        <w:tc>
          <w:tcPr>
            <w:tcW w:type="dxa" w:w="6400"/>
          </w:tcPr>
          <w:p>
            <w:r>
              <w:rPr>
                <w:rFonts w:ascii="Arial" w:cs="Arial" w:eastAsia="Arial" w:hAnsi="Arial"/>
                <w:b w:val="false"/>
                <w:bCs w:val="false"/>
                <w:sz w:val="20"/>
                <w:szCs w:val="20"/>
              </w:rPr>
              <w:t xml:space="preserve">Phase 2b: quantity/price correction for one Quote; chains to the next Quote.</w:t>
            </w:r>
          </w:p>
        </w:tc>
      </w:tr>
      <w:tr>
        <w:tc>
          <w:tcPr>
            <w:tcW w:type="dxa" w:w="3200"/>
          </w:tcPr>
          <w:p>
            <w:r>
              <w:rPr>
                <w:rFonts w:ascii="Arial" w:cs="Arial" w:eastAsia="Arial" w:hAnsi="Arial"/>
                <w:b w:val="false"/>
                <w:bCs w:val="false"/>
                <w:sz w:val="20"/>
                <w:szCs w:val="20"/>
              </w:rPr>
              <w:t xml:space="preserve">QuoteLineChainResetScheduler</w:t>
            </w:r>
          </w:p>
        </w:tc>
        <w:tc>
          <w:tcPr>
            <w:tcW w:type="dxa" w:w="6400"/>
          </w:tcPr>
          <w:p>
            <w:r>
              <w:rPr>
                <w:rFonts w:ascii="Arial" w:cs="Arial" w:eastAsia="Arial" w:hAnsi="Arial"/>
                <w:b w:val="false"/>
                <w:bCs w:val="false"/>
                <w:sz w:val="20"/>
                <w:szCs w:val="20"/>
              </w:rPr>
              <w:t xml:space="preserve">One-shot fallback for Developer/Trial org chain-depth limits.</w:t>
            </w:r>
          </w:p>
        </w:tc>
      </w:tr>
      <w:tr>
        <w:tc>
          <w:tcPr>
            <w:tcW w:type="dxa" w:w="3200"/>
          </w:tcPr>
          <w:p>
            <w:r>
              <w:rPr>
                <w:rFonts w:ascii="Arial" w:cs="Arial" w:eastAsia="Arial" w:hAnsi="Arial"/>
                <w:b w:val="false"/>
                <w:bCs w:val="false"/>
                <w:sz w:val="20"/>
                <w:szCs w:val="20"/>
              </w:rPr>
              <w:t xml:space="preserve">CPQProductAdderService</w:t>
            </w:r>
          </w:p>
        </w:tc>
        <w:tc>
          <w:tcPr>
            <w:tcW w:type="dxa" w:w="6400"/>
          </w:tcPr>
          <w:p>
            <w:r>
              <w:rPr>
                <w:rFonts w:ascii="Arial" w:cs="Arial" w:eastAsia="Arial" w:hAnsi="Arial"/>
                <w:b w:val="false"/>
                <w:bCs w:val="false"/>
                <w:sz w:val="20"/>
                <w:szCs w:val="20"/>
              </w:rPr>
              <w:t xml:space="preserve">Wraps SBQQ.ServiceRouter calls (Read, ProductLoader, ProductAdder, Calculator) and the post-calculate correction update.</w:t>
            </w:r>
          </w:p>
        </w:tc>
      </w:tr>
      <w:tr>
        <w:tc>
          <w:tcPr>
            <w:tcW w:type="dxa" w:w="3200"/>
          </w:tcPr>
          <w:p>
            <w:r>
              <w:rPr>
                <w:rFonts w:ascii="Arial" w:cs="Arial" w:eastAsia="Arial" w:hAnsi="Arial"/>
                <w:b w:val="false"/>
                <w:bCs w:val="false"/>
                <w:sz w:val="20"/>
                <w:szCs w:val="20"/>
              </w:rPr>
              <w:t xml:space="preserve">CPQQuoteCalculatorCallback</w:t>
            </w:r>
          </w:p>
        </w:tc>
        <w:tc>
          <w:tcPr>
            <w:tcW w:type="dxa" w:w="6400"/>
          </w:tcPr>
          <w:p>
            <w:r>
              <w:rPr>
                <w:rFonts w:ascii="Arial" w:cs="Arial" w:eastAsia="Arial" w:hAnsi="Arial"/>
                <w:b w:val="false"/>
                <w:bCs w:val="false"/>
                <w:sz w:val="20"/>
                <w:szCs w:val="20"/>
              </w:rPr>
              <w:t xml:space="preserve">Implements SBQQ.CalculateCallback; persists the calculated Quote via QuoteSaver.</w:t>
            </w:r>
          </w:p>
        </w:tc>
      </w:tr>
      <w:tr>
        <w:tc>
          <w:tcPr>
            <w:tcW w:type="dxa" w:w="3200"/>
          </w:tcPr>
          <w:p>
            <w:r>
              <w:rPr>
                <w:rFonts w:ascii="Arial" w:cs="Arial" w:eastAsia="Arial" w:hAnsi="Arial"/>
                <w:b w:val="false"/>
                <w:bCs w:val="false"/>
                <w:sz w:val="20"/>
                <w:szCs w:val="20"/>
              </w:rPr>
              <w:t xml:space="preserve">UploadProcessService</w:t>
            </w:r>
          </w:p>
        </w:tc>
        <w:tc>
          <w:tcPr>
            <w:tcW w:type="dxa" w:w="6400"/>
          </w:tcPr>
          <w:p>
            <w:r>
              <w:rPr>
                <w:rFonts w:ascii="Arial" w:cs="Arial" w:eastAsia="Arial" w:hAnsi="Arial"/>
                <w:b w:val="false"/>
                <w:bCs w:val="false"/>
                <w:sz w:val="20"/>
                <w:szCs w:val="20"/>
              </w:rPr>
              <w:t xml:space="preserve">Creates and updates Upload_Process__c (status, running totals).</w:t>
            </w:r>
          </w:p>
        </w:tc>
      </w:tr>
      <w:tr>
        <w:tc>
          <w:tcPr>
            <w:tcW w:type="dxa" w:w="3200"/>
          </w:tcPr>
          <w:p>
            <w:r>
              <w:rPr>
                <w:rFonts w:ascii="Arial" w:cs="Arial" w:eastAsia="Arial" w:hAnsi="Arial"/>
                <w:b w:val="false"/>
                <w:bCs w:val="false"/>
                <w:sz w:val="20"/>
                <w:szCs w:val="20"/>
              </w:rPr>
              <w:t xml:space="preserve">UploadErrorService</w:t>
            </w:r>
          </w:p>
        </w:tc>
        <w:tc>
          <w:tcPr>
            <w:tcW w:type="dxa" w:w="6400"/>
          </w:tcPr>
          <w:p>
            <w:r>
              <w:rPr>
                <w:rFonts w:ascii="Arial" w:cs="Arial" w:eastAsia="Arial" w:hAnsi="Arial"/>
                <w:b w:val="false"/>
                <w:bCs w:val="false"/>
                <w:sz w:val="20"/>
                <w:szCs w:val="20"/>
              </w:rPr>
              <w:t xml:space="preserve">Logs row-level and quote-level failures to Upload_Error__c.</w:t>
            </w:r>
          </w:p>
        </w:tc>
      </w:tr>
      <w:tr>
        <w:tc>
          <w:tcPr>
            <w:tcW w:type="dxa" w:w="3200"/>
          </w:tcPr>
          <w:p>
            <w:r>
              <w:rPr>
                <w:rFonts w:ascii="Arial" w:cs="Arial" w:eastAsia="Arial" w:hAnsi="Arial"/>
                <w:b w:val="false"/>
                <w:bCs w:val="false"/>
                <w:sz w:val="20"/>
                <w:szCs w:val="20"/>
              </w:rPr>
              <w:t xml:space="preserve">ExcelRowWrapper / QuoteGroupWrapper / QuoteUploadResponse / RowError</w:t>
            </w:r>
          </w:p>
        </w:tc>
        <w:tc>
          <w:tcPr>
            <w:tcW w:type="dxa" w:w="6400"/>
          </w:tcPr>
          <w:p>
            <w:r>
              <w:rPr>
                <w:rFonts w:ascii="Arial" w:cs="Arial" w:eastAsia="Arial" w:hAnsi="Arial"/>
                <w:b w:val="false"/>
                <w:bCs w:val="false"/>
                <w:sz w:val="20"/>
                <w:szCs w:val="20"/>
              </w:rPr>
              <w:t xml:space="preserve">Data transfer objects between LWC, controller, and service layer.</w:t>
            </w:r>
          </w:p>
        </w:tc>
      </w:tr>
    </w:tbl>
    <w:p>
      <w:r>
        <w:br w:type="page"/>
      </w:r>
    </w:p>
    <w:p>
      <w:pPr>
        <w:pStyle w:val="Heading1"/>
        <w:spacing w:after="150" w:before="300"/>
      </w:pPr>
      <w:r>
        <w:t xml:space="preserve">9. Known Platform Constraints and Design Decisions</w:t>
      </w:r>
    </w:p>
    <w:p>
      <w:pPr>
        <w:spacing w:after="120"/>
      </w:pPr>
      <w:r>
        <w:rPr>
          <w:rFonts w:ascii="Arial" w:cs="Arial" w:eastAsia="Arial" w:hAnsi="Arial"/>
          <w:sz w:val="22"/>
          <w:szCs w:val="22"/>
        </w:rPr>
        <w:t xml:space="preserve">This section records platform behaviors that were discovered empirically during implementation, since they directly explain several design choices above that would otherwise look unusual.</w:t>
      </w:r>
    </w:p>
    <w:p>
      <w:pPr>
        <w:pStyle w:val="Heading2"/>
        <w:spacing w:after="120" w:before="240"/>
      </w:pPr>
      <w:r>
        <w:t xml:space="preserve">9.1 QuoteProductAdder Must Receive All Products in One Call</w:t>
      </w:r>
    </w:p>
    <w:p>
      <w:pPr>
        <w:spacing w:after="120"/>
      </w:pPr>
      <w:r>
        <w:rPr>
          <w:rFonts w:ascii="Arial" w:cs="Arial" w:eastAsia="Arial" w:hAnsi="Arial"/>
          <w:sz w:val="22"/>
          <w:szCs w:val="22"/>
        </w:rPr>
        <w:t xml:space="preserve">Calling SBQQ.QuoteAPI.QuoteProductAdder once per product, threading the returned model through a loop, was found to silently lose earlier lines - only the last product added would survive to the calculate step. Passing the full product list in a single call resolved this.</w:t>
      </w:r>
    </w:p>
    <w:p>
      <w:pPr>
        <w:pStyle w:val="Heading2"/>
        <w:spacing w:after="120" w:before="240"/>
      </w:pPr>
      <w:r>
        <w:t xml:space="preserve">9.2 QuoteCalculator Requires a Callback Context, Not a Raw Model</w:t>
      </w:r>
    </w:p>
    <w:p>
      <w:pPr>
        <w:spacing w:after="120"/>
      </w:pPr>
      <w:r>
        <w:rPr>
          <w:rFonts w:ascii="Arial" w:cs="Arial" w:eastAsia="Arial" w:hAnsi="Arial"/>
          <w:sz w:val="22"/>
          <w:szCs w:val="22"/>
        </w:rPr>
        <w:t xml:space="preserve">Calling SBQQ.QuoteAPI.QuoteCalculator with a bare quote model JSON threw a managed-package NullPointerException on every attempt, including against a manually created, fully committed Quote with no code involved beyond the API call itself. Consulting Salesforce's CPQ Developer Guide confirmed the documented contract requires a { "quote": ..., "callbackClass": "..." } context object, where the named class implements SBQQ.CalculateCallback. This was verified experimentally with an isolated test class before being applied to the production code.</w:t>
      </w:r>
    </w:p>
    <w:p>
      <w:pPr>
        <w:pStyle w:val="Heading2"/>
        <w:spacing w:after="120" w:before="240"/>
      </w:pPr>
      <w:r>
        <w:t xml:space="preserve">9.3 CPQ's Own Triggers React to Manual Quote Line Updates</w:t>
      </w:r>
    </w:p>
    <w:p>
      <w:pPr>
        <w:spacing w:after="120"/>
      </w:pPr>
      <w:r>
        <w:rPr>
          <w:rFonts w:ascii="Arial" w:cs="Arial" w:eastAsia="Arial" w:hAnsi="Arial"/>
          <w:sz w:val="22"/>
          <w:szCs w:val="22"/>
        </w:rPr>
        <w:t xml:space="preserve">Updating SBQQ__QuoteLine__c fields via plain Apex DML from outside the CPQ Line Editor is documented by Salesforce (Help article 000383160) to trigger CPQ's own background recalculation logic. This surfaced as a recurring "hasMaxStackDepth is not allowed outside a Queueable or Finalizer execution" error thrown by CPQ's SBQQ__QuoteLine__c AfterUpdate trigger, not by this project's own code. SBQQ.TriggerControl.disable()/enable(), Salesforce's documented API for this scenario, is used around the correction update only - never around the calculate/save step, since CPQ's own triggers are required to run for that step.</w:t>
      </w:r>
    </w:p>
    <w:p>
      <w:pPr>
        <w:pStyle w:val="Heading2"/>
        <w:spacing w:after="120" w:before="240"/>
      </w:pPr>
      <w:r>
        <w:t xml:space="preserve">9.4 In-Batch Opportunity Duplication</w:t>
      </w:r>
    </w:p>
    <w:p>
      <w:pPr>
        <w:spacing w:after="120"/>
      </w:pPr>
      <w:r>
        <w:rPr>
          <w:rFonts w:ascii="Arial" w:cs="Arial" w:eastAsia="Arial" w:hAnsi="Arial"/>
          <w:sz w:val="22"/>
          <w:szCs w:val="22"/>
        </w:rPr>
        <w:t xml:space="preserve">An early version of OpportunityService correctly deduplicated against Opportunities already in the org, but did not register newly-queued Opportunities back into its own lookup map - so two Quote groups in the same upload sharing an Account and Opportunity Name would create two Opportunities instead of one. Corrected by registering each newly-queued Opportunity into the lookup map immediately, keyed the same way as existing records, so its Id populates via the shared reference once the batch insert completes.</w:t>
      </w:r>
    </w:p>
    <w:p>
      <w:pPr>
        <w:pStyle w:val="Heading2"/>
        <w:spacing w:after="120" w:before="240"/>
      </w:pPr>
      <w:r>
        <w:t xml:space="preserve">9.5 Transaction Commit Boundary for CPQ API Calls</w:t>
      </w:r>
    </w:p>
    <w:p>
      <w:pPr>
        <w:spacing w:after="120"/>
      </w:pPr>
      <w:r>
        <w:rPr>
          <w:rFonts w:ascii="Arial" w:cs="Arial" w:eastAsia="Arial" w:hAnsi="Arial"/>
          <w:sz w:val="22"/>
          <w:szCs w:val="22"/>
        </w:rPr>
        <w:t xml:space="preserve">Empirically isolated via a controlled experiment: the same Read -&gt; ProductAdder -&gt; Calculator sequence succeeded against a Quote created and committed in a prior transaction, but failed against a Quote inserted earlier in the same transaction. This is the basis for the two-phase Queueable design in Section 6.1.</w:t>
      </w:r>
    </w:p>
    <w:p>
      <w:pPr>
        <w:pStyle w:val="Heading2"/>
        <w:spacing w:after="120" w:before="240"/>
      </w:pPr>
      <w:r>
        <w:t xml:space="preserve">9.6 Developer Edition Queueable Chain-Depth Cap</w:t>
      </w:r>
    </w:p>
    <w:p>
      <w:pPr>
        <w:spacing w:after="120"/>
      </w:pPr>
      <w:r>
        <w:rPr>
          <w:rFonts w:ascii="Arial" w:cs="Arial" w:eastAsia="Arial" w:hAnsi="Arial"/>
          <w:sz w:val="22"/>
          <w:szCs w:val="22"/>
        </w:rPr>
        <w:t xml:space="preserve">Confirmed via Salesforce documentation that the 5-level chained-Queueable cap applies only to Developer Edition and Trial orgs, not production or sandbox. The reset-scheduler fallback in Section 6.3 exists specifically to keep this Developer org functional during testing; it is expected to be effectively inert once deployed to a production or sandbox org.</w:t>
      </w:r>
    </w:p>
    <w:p>
      <w:pPr>
        <w:pStyle w:val="Heading1"/>
        <w:spacing w:after="150" w:before="300"/>
      </w:pPr>
      <w:r>
        <w:t xml:space="preserve">10. Test Strategy</w:t>
      </w:r>
    </w:p>
    <w:p>
      <w:pPr>
        <w:spacing w:after="120"/>
      </w:pPr>
      <w:r>
        <w:rPr>
          <w:rFonts w:ascii="Arial" w:cs="Arial" w:eastAsia="Arial" w:hAnsi="Arial"/>
          <w:sz w:val="22"/>
          <w:szCs w:val="22"/>
        </w:rPr>
        <w:t xml:space="preserve">Unit tests are organized by risk and testability:</w:t>
      </w:r>
    </w:p>
    <w:p>
      <w:pPr>
        <w:pStyle w:val="ListParagraph"/>
        <w:numPr>
          <w:ilvl w:val="0"/>
          <w:numId w:val="2"/>
        </w:numPr>
        <w:spacing w:after="60"/>
      </w:pPr>
      <w:r>
        <w:rPr>
          <w:rFonts w:ascii="Arial" w:cs="Arial" w:eastAsia="Arial" w:hAnsi="Arial"/>
          <w:sz w:val="22"/>
          <w:szCs w:val="22"/>
        </w:rPr>
        <w:t xml:space="preserve">Plain-DML service classes (AccountService, OpportunityService, QuoteGroupingService, QuoteValidationService) - fully covered with positive and negative-path assertions, backed by a shared TestDataFactory providing Products, Pricebook Entries, and row builders.</w:t>
      </w:r>
    </w:p>
    <w:p>
      <w:pPr>
        <w:pStyle w:val="ListParagraph"/>
        <w:numPr>
          <w:ilvl w:val="0"/>
          <w:numId w:val="2"/>
        </w:numPr>
        <w:spacing w:after="60"/>
      </w:pPr>
      <w:r>
        <w:rPr>
          <w:rFonts w:ascii="Arial" w:cs="Arial" w:eastAsia="Arial" w:hAnsi="Arial"/>
          <w:sz w:val="22"/>
          <w:szCs w:val="22"/>
        </w:rPr>
        <w:t xml:space="preserve">Queueable/callout-dependent classes (QuoteUploadQueueable, CPQProductAdderService, QuoteLineProcessingQueueable, QuoteLineCorrectionQueueable, QuoteLineChainResetScheduler, CPQQuoteCalculatorCallback) - require HttpCalloutMock coverage of SBQQ.ServiceRouter's underlying callout; Salesforce does not publicly document that callout's exact contract, so these tests are built to exercise every line of this project's own code (which is what Apex coverage measures) rather than to assert on CPQ's internal calculation output.</w:t>
      </w:r>
    </w:p>
    <w:p>
      <w:pPr>
        <w:pStyle w:val="ListParagraph"/>
        <w:numPr>
          <w:ilvl w:val="0"/>
          <w:numId w:val="2"/>
        </w:numPr>
        <w:spacing w:after="60"/>
      </w:pPr>
      <w:r>
        <w:rPr>
          <w:rFonts w:ascii="Arial" w:cs="Arial" w:eastAsia="Arial" w:hAnsi="Arial"/>
          <w:sz w:val="22"/>
          <w:szCs w:val="22"/>
        </w:rPr>
        <w:t xml:space="preserve">Controller-level tests (QuoteBulkUploadController) - cover the validate/confirm split, status polling, and error report retrieval.</w:t>
      </w:r>
    </w:p>
    <w:p>
      <w:pPr>
        <w:spacing w:after="120"/>
      </w:pPr>
      <w:r>
        <w:rPr>
          <w:rFonts w:ascii="Arial" w:cs="Arial" w:eastAsia="Arial" w:hAnsi="Arial"/>
          <w:sz w:val="22"/>
          <w:szCs w:val="22"/>
        </w:rPr>
        <w:t xml:space="preserve">Target: greater than 90 percent org-wide coverage, measured after the callout-dependent classes above are completed.</w:t>
      </w:r>
    </w:p>
    <w:p>
      <w:pPr>
        <w:pStyle w:val="Heading1"/>
        <w:spacing w:after="150" w:before="300"/>
      </w:pPr>
      <w:r>
        <w:t xml:space="preserve">11. Deployment Notes</w:t>
      </w:r>
    </w:p>
    <w:p>
      <w:pPr>
        <w:pStyle w:val="ListParagraph"/>
        <w:numPr>
          <w:ilvl w:val="0"/>
          <w:numId w:val="2"/>
        </w:numPr>
        <w:spacing w:after="60"/>
      </w:pPr>
      <w:r>
        <w:rPr>
          <w:rFonts w:ascii="Arial" w:cs="Arial" w:eastAsia="Arial" w:hAnsi="Arial"/>
          <w:sz w:val="22"/>
          <w:szCs w:val="22"/>
        </w:rPr>
        <w:t xml:space="preserve">Custom objects Upload_Process__c and Upload_Error__c (Master-Detail from Upload_Error__c to Upload_Process__c) must exist before deploying Apex.</w:t>
      </w:r>
    </w:p>
    <w:p>
      <w:pPr>
        <w:pStyle w:val="ListParagraph"/>
        <w:numPr>
          <w:ilvl w:val="0"/>
          <w:numId w:val="2"/>
        </w:numPr>
        <w:spacing w:after="60"/>
      </w:pPr>
      <w:r>
        <w:rPr>
          <w:rFonts w:ascii="Arial" w:cs="Arial" w:eastAsia="Arial" w:hAnsi="Arial"/>
          <w:sz w:val="22"/>
          <w:szCs w:val="22"/>
        </w:rPr>
        <w:t xml:space="preserve">Custom fields Excel_Quote_Number__c and External_Quote_Name__c must exist on SBQQ__Quote__c.</w:t>
      </w:r>
    </w:p>
    <w:p>
      <w:pPr>
        <w:pStyle w:val="ListParagraph"/>
        <w:numPr>
          <w:ilvl w:val="0"/>
          <w:numId w:val="2"/>
        </w:numPr>
        <w:spacing w:after="60"/>
      </w:pPr>
      <w:r>
        <w:rPr>
          <w:rFonts w:ascii="Arial" w:cs="Arial" w:eastAsia="Arial" w:hAnsi="Arial"/>
          <w:sz w:val="22"/>
          <w:szCs w:val="22"/>
        </w:rPr>
        <w:t xml:space="preserve">The Salesforce CPQ managed package (namespace SBQQ) must be installed and its Package Settings saved at least once (creates the SBQQ__Setup__c configuration record required by the calculator).</w:t>
      </w:r>
    </w:p>
    <w:p>
      <w:pPr>
        <w:pStyle w:val="ListParagraph"/>
        <w:numPr>
          <w:ilvl w:val="0"/>
          <w:numId w:val="2"/>
        </w:numPr>
        <w:spacing w:after="60"/>
      </w:pPr>
      <w:r>
        <w:rPr>
          <w:rFonts w:ascii="Arial" w:cs="Arial" w:eastAsia="Arial" w:hAnsi="Arial"/>
          <w:sz w:val="22"/>
          <w:szCs w:val="22"/>
        </w:rPr>
        <w:t xml:space="preserve">The running user must have the Salesforce CPQ Permission Set License and the SBQQ User permission set assigned.</w:t>
      </w:r>
    </w:p>
    <w:p>
      <w:pPr>
        <w:pStyle w:val="ListParagraph"/>
        <w:numPr>
          <w:ilvl w:val="0"/>
          <w:numId w:val="2"/>
        </w:numPr>
        <w:spacing w:after="60"/>
      </w:pPr>
      <w:r>
        <w:rPr>
          <w:rFonts w:ascii="Arial" w:cs="Arial" w:eastAsia="Arial" w:hAnsi="Arial"/>
          <w:sz w:val="22"/>
          <w:szCs w:val="22"/>
        </w:rPr>
        <w:t xml:space="preserve">If 'Use Integration User for Calculations' is enabled in CPQ Package Settings, its Generate Integration User Permissions button must be run once.</w:t>
      </w:r>
    </w:p>
    <w:p>
      <w:pPr>
        <w:pStyle w:val="ListParagraph"/>
        <w:numPr>
          <w:ilvl w:val="0"/>
          <w:numId w:val="2"/>
        </w:numPr>
        <w:spacing w:after="60"/>
      </w:pPr>
      <w:r>
        <w:rPr>
          <w:rFonts w:ascii="Arial" w:cs="Arial" w:eastAsia="Arial" w:hAnsi="Arial"/>
          <w:sz w:val="22"/>
          <w:szCs w:val="22"/>
        </w:rPr>
        <w:t xml:space="preserve">The Files related list should be added to the Upload_Process__c page layout to make stored Excel files (Section 5.9) easily visible; they are also reachable via the standard Notes &amp; Attachments related list without any layout change.</w:t>
      </w:r>
    </w:p>
    <w:p>
      <w:pPr>
        <w:pStyle w:val="ListParagraph"/>
        <w:numPr>
          <w:ilvl w:val="0"/>
          <w:numId w:val="2"/>
        </w:numPr>
        <w:spacing w:after="60"/>
      </w:pPr>
      <w:r>
        <w:rPr>
          <w:rFonts w:ascii="Arial" w:cs="Arial" w:eastAsia="Arial" w:hAnsi="Arial"/>
          <w:sz w:val="22"/>
          <w:szCs w:val="22"/>
        </w:rPr>
        <w:t xml:space="preserve">The uploadProcessingHistory LWC must be placed on an App Page, Home Page, or Tab via Lightning App Builder - it is not auto-exposed.</w:t>
      </w:r>
    </w:p>
    <w:p>
      <w:pPr>
        <w:spacing w:before="400"/>
      </w:pPr>
    </w:p>
    <w:p>
      <w:pPr>
        <w:spacing w:after="120"/>
      </w:pPr>
      <w:r>
        <w:rPr>
          <w:rFonts w:ascii="Arial" w:cs="Arial" w:eastAsia="Arial" w:hAnsi="Arial"/>
          <w:i/>
          <w:iCs/>
          <w:sz w:val="18"/>
          <w:szCs w:val="1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2026-07-16T07:38:52.301Z</dcterms:created>
  <dcterms:modified xsi:type="dcterms:W3CDTF">2026-07-16T07:38:52.316Z</dcterms:modified>
</cp:coreProperties>
</file>

<file path=docProps/custom.xml><?xml version="1.0" encoding="utf-8"?>
<Properties xmlns="http://schemas.openxmlformats.org/officeDocument/2006/custom-properties" xmlns:vt="http://schemas.openxmlformats.org/officeDocument/2006/docPropsVTypes"/>
</file>