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764"/>
          <w:sz w:val="44"/>
        </w:rPr>
        <w:t>Paperless Report</w:t>
        <w:br/>
        <w:t>Issue Resolution Document</w:t>
      </w:r>
    </w:p>
    <w:p/>
    <w:p>
      <w:pPr>
        <w:jc w:val="center"/>
      </w:pPr>
      <w:r>
        <w:rPr>
          <w:color w:val="404040"/>
          <w:sz w:val="20"/>
        </w:rPr>
        <w:t>Project:  EDW/AWM Paperless Report (replacement for legacy BIM/Eloqua)</w:t>
        <w:br/>
      </w:r>
      <w:r>
        <w:rPr>
          <w:color w:val="404040"/>
          <w:sz w:val="20"/>
        </w:rPr>
        <w:t>Files:    new_paper.sql  |  cif_join_validation.sql  |  missing_mail.sql</w:t>
        <w:br/>
      </w:r>
      <w:r>
        <w:rPr>
          <w:color w:val="404040"/>
          <w:sz w:val="20"/>
        </w:rPr>
        <w:t>Date:     2026-04-07</w:t>
        <w:br/>
      </w:r>
      <w:r>
        <w:rPr>
          <w:color w:val="404040"/>
          <w:sz w:val="20"/>
        </w:rPr>
        <w:t>Author:   _______________</w:t>
        <w:br/>
      </w:r>
    </w:p>
    <w:p>
      <w:r>
        <w:br w:type="page"/>
      </w:r>
    </w:p>
    <w:p>
      <w:pPr>
        <w:pStyle w:val="Heading1"/>
        <w:spacing w:before="280" w:after="120"/>
      </w:pPr>
      <w:r>
        <w:rPr>
          <w:color w:val="1F3764"/>
          <w:sz w:val="32"/>
        </w:rPr>
        <w:t>Executive Summary</w:t>
      </w:r>
    </w:p>
    <w:p>
      <w:pPr>
        <w:spacing w:before="40" w:after="80"/>
      </w:pPr>
      <w:r>
        <w:rPr>
          <w:sz w:val="20"/>
        </w:rPr>
        <w:t>During the build and validation of new_paper.sql — the new EDW/AWM-based paperless report replacing the legacy old_paper.sql (BIM/Eloqua source) — 9 data quality issues were identified and resolved. The pipeline was also optimized from 16 to 10 temp tables.</w:t>
      </w:r>
    </w:p>
    <w:p>
      <w:pPr>
        <w:pStyle w:val="Heading2"/>
        <w:spacing w:before="240" w:after="80"/>
      </w:pPr>
      <w:r>
        <w:rPr>
          <w:color w:val="2E74B5"/>
          <w:sz w:val="26"/>
        </w:rPr>
        <w:t>Issue Impact Summary</w:t>
      </w:r>
    </w:p>
    <w:tbl>
      <w:tblPr>
        <w:tblStyle w:val="TableGrid"/>
        <w:tblW w:type="auto" w:w="0"/>
        <w:jc w:val="left"/>
        <w:tblLook w:firstColumn="1" w:firstRow="1" w:lastColumn="0" w:lastRow="0" w:noHBand="0" w:noVBand="1" w:val="04A0"/>
      </w:tblPr>
      <w:tblGrid>
        <w:gridCol w:w="3135"/>
        <w:gridCol w:w="3135"/>
        <w:gridCol w:w="3135"/>
      </w:tblGrid>
      <w:tr>
        <w:tc>
          <w:tcPr>
            <w:tcW w:type="dxa" w:w="432"/>
            <w:shd w:val="clear" w:color="auto" w:fill="1F3764"/>
          </w:tcPr>
          <w:p>
            <w:r>
              <w:rPr>
                <w:b/>
                <w:color w:val="FFFFFF"/>
                <w:sz w:val="18"/>
              </w:rPr>
              <w:t>#</w:t>
            </w:r>
          </w:p>
        </w:tc>
        <w:tc>
          <w:tcPr>
            <w:tcW w:type="dxa" w:w="5760"/>
            <w:shd w:val="clear" w:color="auto" w:fill="1F3764"/>
          </w:tcPr>
          <w:p>
            <w:r>
              <w:rPr>
                <w:b/>
                <w:color w:val="FFFFFF"/>
                <w:sz w:val="18"/>
              </w:rPr>
              <w:t>Issue</w:t>
            </w:r>
          </w:p>
        </w:tc>
        <w:tc>
          <w:tcPr>
            <w:tcW w:type="dxa" w:w="2880"/>
            <w:shd w:val="clear" w:color="auto" w:fill="1F3764"/>
          </w:tcPr>
          <w:p>
            <w:r>
              <w:rPr>
                <w:b/>
                <w:color w:val="FFFFFF"/>
                <w:sz w:val="18"/>
              </w:rPr>
              <w:t>Policies Impacted</w:t>
            </w:r>
          </w:p>
        </w:tc>
      </w:tr>
      <w:tr>
        <w:tc>
          <w:tcPr>
            <w:tcW w:type="dxa" w:w="432"/>
            <w:shd w:val="clear" w:color="auto" w:fill="FFFFFF"/>
          </w:tcPr>
          <w:p>
            <w:r>
              <w:rPr>
                <w:b w:val="0"/>
                <w:sz w:val="18"/>
              </w:rPr>
              <w:t>1</w:t>
            </w:r>
          </w:p>
        </w:tc>
        <w:tc>
          <w:tcPr>
            <w:tcW w:type="dxa" w:w="5760"/>
            <w:shd w:val="clear" w:color="auto" w:fill="FFFFFF"/>
          </w:tcPr>
          <w:p>
            <w:r>
              <w:rPr>
                <w:b w:val="0"/>
                <w:sz w:val="18"/>
              </w:rPr>
              <w:t>Strict policyholder date join dropping policies</w:t>
            </w:r>
          </w:p>
        </w:tc>
        <w:tc>
          <w:tcPr>
            <w:tcW w:type="dxa" w:w="2880"/>
            <w:shd w:val="clear" w:color="auto" w:fill="FFFFFF"/>
          </w:tcPr>
          <w:p>
            <w:r>
              <w:rPr>
                <w:b w:val="0"/>
                <w:sz w:val="18"/>
              </w:rPr>
              <w:t>35,820</w:t>
            </w:r>
          </w:p>
        </w:tc>
      </w:tr>
      <w:tr>
        <w:tc>
          <w:tcPr>
            <w:tcW w:type="dxa" w:w="432"/>
            <w:shd w:val="clear" w:color="auto" w:fill="EEF3FA"/>
          </w:tcPr>
          <w:p>
            <w:r>
              <w:rPr>
                <w:b w:val="0"/>
                <w:sz w:val="18"/>
              </w:rPr>
              <w:t>2</w:t>
            </w:r>
          </w:p>
        </w:tc>
        <w:tc>
          <w:tcPr>
            <w:tcW w:type="dxa" w:w="5760"/>
            <w:shd w:val="clear" w:color="auto" w:fill="EEF3FA"/>
          </w:tcPr>
          <w:p>
            <w:r>
              <w:rPr>
                <w:b w:val="0"/>
                <w:sz w:val="18"/>
              </w:rPr>
              <w:t>CIF superseded records not filtered</w:t>
            </w:r>
          </w:p>
        </w:tc>
        <w:tc>
          <w:tcPr>
            <w:tcW w:type="dxa" w:w="2880"/>
            <w:shd w:val="clear" w:color="auto" w:fill="EEF3FA"/>
          </w:tcPr>
          <w:p>
            <w:r>
              <w:rPr>
                <w:b w:val="0"/>
                <w:sz w:val="18"/>
              </w:rPr>
              <w:t>Unknown (data quality risk)</w:t>
            </w:r>
          </w:p>
        </w:tc>
      </w:tr>
      <w:tr>
        <w:tc>
          <w:tcPr>
            <w:tcW w:type="dxa" w:w="432"/>
            <w:shd w:val="clear" w:color="auto" w:fill="FFFFFF"/>
          </w:tcPr>
          <w:p>
            <w:r>
              <w:rPr>
                <w:b w:val="0"/>
                <w:sz w:val="18"/>
              </w:rPr>
              <w:t>3</w:t>
            </w:r>
          </w:p>
        </w:tc>
        <w:tc>
          <w:tcPr>
            <w:tcW w:type="dxa" w:w="5760"/>
            <w:shd w:val="clear" w:color="auto" w:fill="FFFFFF"/>
          </w:tcPr>
          <w:p>
            <w:r>
              <w:rPr>
                <w:b w:val="0"/>
                <w:sz w:val="18"/>
              </w:rPr>
              <w:t>CIF dedup using wrong sort key</w:t>
            </w:r>
          </w:p>
        </w:tc>
        <w:tc>
          <w:tcPr>
            <w:tcW w:type="dxa" w:w="2880"/>
            <w:shd w:val="clear" w:color="auto" w:fill="FFFFFF"/>
          </w:tcPr>
          <w:p>
            <w:r>
              <w:rPr>
                <w:b w:val="0"/>
                <w:sz w:val="18"/>
              </w:rPr>
              <w:t>Unknown (data quality risk)</w:t>
            </w:r>
          </w:p>
        </w:tc>
      </w:tr>
      <w:tr>
        <w:tc>
          <w:tcPr>
            <w:tcW w:type="dxa" w:w="432"/>
            <w:shd w:val="clear" w:color="auto" w:fill="EEF3FA"/>
          </w:tcPr>
          <w:p>
            <w:r>
              <w:rPr>
                <w:b w:val="0"/>
                <w:sz w:val="18"/>
              </w:rPr>
              <w:t>4</w:t>
            </w:r>
          </w:p>
        </w:tc>
        <w:tc>
          <w:tcPr>
            <w:tcW w:type="dxa" w:w="5760"/>
            <w:shd w:val="clear" w:color="auto" w:fill="EEF3FA"/>
          </w:tcPr>
          <w:p>
            <w:r>
              <w:rPr>
                <w:b w:val="0"/>
                <w:sz w:val="18"/>
              </w:rPr>
              <w:t>NULL paper_notify coerced to 'N' (false negative)</w:t>
            </w:r>
          </w:p>
        </w:tc>
        <w:tc>
          <w:tcPr>
            <w:tcW w:type="dxa" w:w="2880"/>
            <w:shd w:val="clear" w:color="auto" w:fill="EEF3FA"/>
          </w:tcPr>
          <w:p>
            <w:r>
              <w:rPr>
                <w:b w:val="0"/>
                <w:sz w:val="18"/>
              </w:rPr>
              <w:t>Affected all NULL CIF rows</w:t>
            </w:r>
          </w:p>
        </w:tc>
      </w:tr>
      <w:tr>
        <w:tc>
          <w:tcPr>
            <w:tcW w:type="dxa" w:w="432"/>
            <w:shd w:val="clear" w:color="auto" w:fill="FFFFFF"/>
          </w:tcPr>
          <w:p>
            <w:r>
              <w:rPr>
                <w:b w:val="0"/>
                <w:sz w:val="18"/>
              </w:rPr>
              <w:t>5</w:t>
            </w:r>
          </w:p>
        </w:tc>
        <w:tc>
          <w:tcPr>
            <w:tcW w:type="dxa" w:w="5760"/>
            <w:shd w:val="clear" w:color="auto" w:fill="FFFFFF"/>
          </w:tcPr>
          <w:p>
            <w:r>
              <w:rPr>
                <w:b w:val="0"/>
                <w:sz w:val="18"/>
              </w:rPr>
              <w:t>Email fan-out from partition bug</w:t>
            </w:r>
          </w:p>
        </w:tc>
        <w:tc>
          <w:tcPr>
            <w:tcW w:type="dxa" w:w="2880"/>
            <w:shd w:val="clear" w:color="auto" w:fill="FFFFFF"/>
          </w:tcPr>
          <w:p>
            <w:r>
              <w:rPr>
                <w:b w:val="0"/>
                <w:sz w:val="18"/>
              </w:rPr>
              <w:t>All symbols (counts &gt; total)</w:t>
            </w:r>
          </w:p>
        </w:tc>
      </w:tr>
      <w:tr>
        <w:tc>
          <w:tcPr>
            <w:tcW w:type="dxa" w:w="432"/>
            <w:shd w:val="clear" w:color="auto" w:fill="EEF3FA"/>
          </w:tcPr>
          <w:p>
            <w:r>
              <w:rPr>
                <w:b w:val="0"/>
                <w:sz w:val="18"/>
              </w:rPr>
              <w:t>6</w:t>
            </w:r>
          </w:p>
        </w:tc>
        <w:tc>
          <w:tcPr>
            <w:tcW w:type="dxa" w:w="5760"/>
            <w:shd w:val="clear" w:color="auto" w:fill="EEF3FA"/>
          </w:tcPr>
          <w:p>
            <w:r>
              <w:rPr>
                <w:b w:val="0"/>
                <w:sz w:val="18"/>
              </w:rPr>
              <w:t>Known bad party anchor IDs in email chain</w:t>
            </w:r>
          </w:p>
        </w:tc>
        <w:tc>
          <w:tcPr>
            <w:tcW w:type="dxa" w:w="2880"/>
            <w:shd w:val="clear" w:color="auto" w:fill="EEF3FA"/>
          </w:tcPr>
          <w:p>
            <w:r>
              <w:rPr>
                <w:b w:val="0"/>
                <w:sz w:val="18"/>
              </w:rPr>
              <w:t>Inflated link counts</w:t>
            </w:r>
          </w:p>
        </w:tc>
      </w:tr>
      <w:tr>
        <w:tc>
          <w:tcPr>
            <w:tcW w:type="dxa" w:w="432"/>
            <w:shd w:val="clear" w:color="auto" w:fill="FFFFFF"/>
          </w:tcPr>
          <w:p>
            <w:r>
              <w:rPr>
                <w:b w:val="0"/>
                <w:sz w:val="18"/>
              </w:rPr>
              <w:t>7</w:t>
            </w:r>
          </w:p>
        </w:tc>
        <w:tc>
          <w:tcPr>
            <w:tcW w:type="dxa" w:w="5760"/>
            <w:shd w:val="clear" w:color="auto" w:fill="FFFFFF"/>
          </w:tcPr>
          <w:p>
            <w:r>
              <w:rPr>
                <w:b w:val="0"/>
                <w:sz w:val="18"/>
              </w:rPr>
              <w:t>BIM fallback join format mismatch</w:t>
            </w:r>
          </w:p>
        </w:tc>
        <w:tc>
          <w:tcPr>
            <w:tcW w:type="dxa" w:w="2880"/>
            <w:shd w:val="clear" w:color="auto" w:fill="FFFFFF"/>
          </w:tcPr>
          <w:p>
            <w:r>
              <w:rPr>
                <w:b w:val="0"/>
                <w:sz w:val="18"/>
              </w:rPr>
              <w:t>27,756 (fallback = 0)</w:t>
            </w:r>
          </w:p>
        </w:tc>
      </w:tr>
      <w:tr>
        <w:tc>
          <w:tcPr>
            <w:tcW w:type="dxa" w:w="432"/>
            <w:shd w:val="clear" w:color="auto" w:fill="EEF3FA"/>
          </w:tcPr>
          <w:p>
            <w:r>
              <w:rPr>
                <w:b w:val="0"/>
                <w:sz w:val="18"/>
              </w:rPr>
              <w:t>8</w:t>
            </w:r>
          </w:p>
        </w:tc>
        <w:tc>
          <w:tcPr>
            <w:tcW w:type="dxa" w:w="5760"/>
            <w:shd w:val="clear" w:color="auto" w:fill="EEF3FA"/>
          </w:tcPr>
          <w:p>
            <w:r>
              <w:rPr>
                <w:b w:val="0"/>
                <w:sz w:val="18"/>
              </w:rPr>
              <w:t>NIN dedup preference losing ANI email</w:t>
            </w:r>
          </w:p>
        </w:tc>
        <w:tc>
          <w:tcPr>
            <w:tcW w:type="dxa" w:w="2880"/>
            <w:shd w:val="clear" w:color="auto" w:fill="EEF3FA"/>
          </w:tcPr>
          <w:p>
            <w:r>
              <w:rPr>
                <w:b w:val="0"/>
                <w:sz w:val="18"/>
              </w:rPr>
              <w:t>26,476</w:t>
            </w:r>
          </w:p>
        </w:tc>
      </w:tr>
      <w:tr>
        <w:tc>
          <w:tcPr>
            <w:tcW w:type="dxa" w:w="432"/>
            <w:shd w:val="clear" w:color="auto" w:fill="FFFFFF"/>
          </w:tcPr>
          <w:p>
            <w:r>
              <w:rPr>
                <w:b w:val="0"/>
                <w:sz w:val="18"/>
              </w:rPr>
              <w:t>9</w:t>
            </w:r>
          </w:p>
        </w:tc>
        <w:tc>
          <w:tcPr>
            <w:tcW w:type="dxa" w:w="5760"/>
            <w:shd w:val="clear" w:color="auto" w:fill="FFFFFF"/>
          </w:tcPr>
          <w:p>
            <w:r>
              <w:rPr>
                <w:b w:val="0"/>
                <w:sz w:val="18"/>
              </w:rPr>
              <w:t>BIM HOH filter too restrictive</w:t>
            </w:r>
          </w:p>
        </w:tc>
        <w:tc>
          <w:tcPr>
            <w:tcW w:type="dxa" w:w="2880"/>
            <w:shd w:val="clear" w:color="auto" w:fill="FFFFFF"/>
          </w:tcPr>
          <w:p>
            <w:r>
              <w:rPr>
                <w:b w:val="0"/>
                <w:sz w:val="18"/>
              </w:rPr>
              <w:t>~25,000+ (fallback = 2,375 vs expected 27,756)</w:t>
            </w:r>
          </w:p>
        </w:tc>
      </w:tr>
    </w:tbl>
    <w:p/>
    <w:p>
      <w:pPr>
        <w:pStyle w:val="Heading2"/>
        <w:spacing w:before="240" w:after="80"/>
      </w:pPr>
      <w:r>
        <w:rPr>
          <w:color w:val="2E74B5"/>
          <w:sz w:val="26"/>
        </w:rPr>
        <w:t>Final Email Coverage</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F3764"/>
          </w:tcPr>
          <w:p>
            <w:r>
              <w:rPr>
                <w:b/>
                <w:color w:val="FFFFFF"/>
                <w:sz w:val="18"/>
              </w:rPr>
              <w:t>Metric</w:t>
            </w:r>
          </w:p>
        </w:tc>
        <w:tc>
          <w:tcPr>
            <w:tcW w:type="dxa" w:w="3168"/>
            <w:shd w:val="clear" w:color="auto" w:fill="1F3764"/>
          </w:tcPr>
          <w:p>
            <w:r>
              <w:rPr>
                <w:b/>
                <w:color w:val="FFFFFF"/>
                <w:sz w:val="18"/>
              </w:rPr>
              <w:t>Before Fixes</w:t>
            </w:r>
          </w:p>
        </w:tc>
        <w:tc>
          <w:tcPr>
            <w:tcW w:type="dxa" w:w="3168"/>
            <w:shd w:val="clear" w:color="auto" w:fill="1F3764"/>
          </w:tcPr>
          <w:p>
            <w:r>
              <w:rPr>
                <w:b/>
                <w:color w:val="FFFFFF"/>
                <w:sz w:val="18"/>
              </w:rPr>
              <w:t>After All Fixes</w:t>
            </w:r>
          </w:p>
        </w:tc>
      </w:tr>
      <w:tr>
        <w:tc>
          <w:tcPr>
            <w:tcW w:type="dxa" w:w="3600"/>
            <w:shd w:val="clear" w:color="auto" w:fill="FFFFFF"/>
          </w:tcPr>
          <w:p>
            <w:r>
              <w:rPr>
                <w:b w:val="0"/>
                <w:sz w:val="18"/>
              </w:rPr>
              <w:t>Total policies</w:t>
            </w:r>
          </w:p>
        </w:tc>
        <w:tc>
          <w:tcPr>
            <w:tcW w:type="dxa" w:w="3168"/>
            <w:shd w:val="clear" w:color="auto" w:fill="FFFFFF"/>
          </w:tcPr>
          <w:p>
            <w:r>
              <w:rPr>
                <w:b w:val="0"/>
                <w:sz w:val="18"/>
              </w:rPr>
              <w:t>297,413</w:t>
            </w:r>
          </w:p>
        </w:tc>
        <w:tc>
          <w:tcPr>
            <w:tcW w:type="dxa" w:w="3168"/>
            <w:shd w:val="clear" w:color="auto" w:fill="FFFFFF"/>
          </w:tcPr>
          <w:p>
            <w:r>
              <w:rPr>
                <w:b w:val="0"/>
                <w:sz w:val="18"/>
              </w:rPr>
              <w:t>296,399 (grain dedup)</w:t>
            </w:r>
          </w:p>
        </w:tc>
      </w:tr>
      <w:tr>
        <w:tc>
          <w:tcPr>
            <w:tcW w:type="dxa" w:w="3600"/>
            <w:shd w:val="clear" w:color="auto" w:fill="EEF3FA"/>
          </w:tcPr>
          <w:p>
            <w:r>
              <w:rPr>
                <w:b w:val="0"/>
                <w:sz w:val="18"/>
              </w:rPr>
              <w:t>AWM email</w:t>
            </w:r>
          </w:p>
        </w:tc>
        <w:tc>
          <w:tcPr>
            <w:tcW w:type="dxa" w:w="3168"/>
            <w:shd w:val="clear" w:color="auto" w:fill="EEF3FA"/>
          </w:tcPr>
          <w:p>
            <w:r>
              <w:rPr>
                <w:b w:val="0"/>
                <w:sz w:val="18"/>
              </w:rPr>
              <w:t>225,188 (75.8%)</w:t>
            </w:r>
          </w:p>
        </w:tc>
        <w:tc>
          <w:tcPr>
            <w:tcW w:type="dxa" w:w="3168"/>
            <w:shd w:val="clear" w:color="auto" w:fill="EEF3FA"/>
          </w:tcPr>
          <w:p>
            <w:r>
              <w:rPr>
                <w:b w:val="0"/>
                <w:sz w:val="18"/>
              </w:rPr>
              <w:t>251,664 (84.9%)</w:t>
            </w:r>
          </w:p>
        </w:tc>
      </w:tr>
      <w:tr>
        <w:tc>
          <w:tcPr>
            <w:tcW w:type="dxa" w:w="3600"/>
            <w:shd w:val="clear" w:color="auto" w:fill="FFFFFF"/>
          </w:tcPr>
          <w:p>
            <w:r>
              <w:rPr>
                <w:b w:val="0"/>
                <w:sz w:val="18"/>
              </w:rPr>
              <w:t>BIM fallback</w:t>
            </w:r>
          </w:p>
        </w:tc>
        <w:tc>
          <w:tcPr>
            <w:tcW w:type="dxa" w:w="3168"/>
            <w:shd w:val="clear" w:color="auto" w:fill="FFFFFF"/>
          </w:tcPr>
          <w:p>
            <w:r>
              <w:rPr>
                <w:b w:val="0"/>
                <w:sz w:val="18"/>
              </w:rPr>
              <w:t>0</w:t>
            </w:r>
          </w:p>
        </w:tc>
        <w:tc>
          <w:tcPr>
            <w:tcW w:type="dxa" w:w="3168"/>
            <w:shd w:val="clear" w:color="auto" w:fill="FFFFFF"/>
          </w:tcPr>
          <w:p>
            <w:r>
              <w:rPr>
                <w:b w:val="0"/>
                <w:sz w:val="18"/>
              </w:rPr>
              <w:t>464 (0.2%)</w:t>
            </w:r>
          </w:p>
        </w:tc>
      </w:tr>
      <w:tr>
        <w:tc>
          <w:tcPr>
            <w:tcW w:type="dxa" w:w="3600"/>
            <w:shd w:val="clear" w:color="auto" w:fill="EEF3FA"/>
          </w:tcPr>
          <w:p>
            <w:r>
              <w:rPr>
                <w:b w:val="0"/>
                <w:sz w:val="18"/>
              </w:rPr>
              <w:t>Has email total</w:t>
            </w:r>
          </w:p>
        </w:tc>
        <w:tc>
          <w:tcPr>
            <w:tcW w:type="dxa" w:w="3168"/>
            <w:shd w:val="clear" w:color="auto" w:fill="EEF3FA"/>
          </w:tcPr>
          <w:p>
            <w:r>
              <w:rPr>
                <w:b w:val="0"/>
                <w:sz w:val="18"/>
              </w:rPr>
              <w:t>225,188 (75.8%)</w:t>
            </w:r>
          </w:p>
        </w:tc>
        <w:tc>
          <w:tcPr>
            <w:tcW w:type="dxa" w:w="3168"/>
            <w:shd w:val="clear" w:color="auto" w:fill="EEF3FA"/>
          </w:tcPr>
          <w:p>
            <w:r>
              <w:rPr>
                <w:b w:val="0"/>
                <w:sz w:val="18"/>
              </w:rPr>
              <w:t>252,128 (85.1%)</w:t>
            </w:r>
          </w:p>
        </w:tc>
      </w:tr>
      <w:tr>
        <w:tc>
          <w:tcPr>
            <w:tcW w:type="dxa" w:w="3600"/>
            <w:shd w:val="clear" w:color="auto" w:fill="FFFFFF"/>
          </w:tcPr>
          <w:p>
            <w:r>
              <w:rPr>
                <w:b w:val="0"/>
                <w:sz w:val="18"/>
              </w:rPr>
              <w:t>No email (structural)</w:t>
            </w:r>
          </w:p>
        </w:tc>
        <w:tc>
          <w:tcPr>
            <w:tcW w:type="dxa" w:w="3168"/>
            <w:shd w:val="clear" w:color="auto" w:fill="FFFFFF"/>
          </w:tcPr>
          <w:p>
            <w:r>
              <w:rPr>
                <w:b w:val="0"/>
                <w:sz w:val="18"/>
              </w:rPr>
              <w:t>72,225</w:t>
            </w:r>
          </w:p>
        </w:tc>
        <w:tc>
          <w:tcPr>
            <w:tcW w:type="dxa" w:w="3168"/>
            <w:shd w:val="clear" w:color="auto" w:fill="FFFFFF"/>
          </w:tcPr>
          <w:p>
            <w:r>
              <w:rPr>
                <w:b w:val="0"/>
                <w:sz w:val="18"/>
              </w:rPr>
              <w:t>44,271 (14.9%)</w:t>
            </w:r>
          </w:p>
        </w:tc>
      </w:tr>
    </w:tbl>
    <w:p/>
    <w:p>
      <w:r>
        <w:br w:type="page"/>
      </w:r>
    </w:p>
    <w:p>
      <w:pPr>
        <w:pStyle w:val="Heading1"/>
        <w:spacing w:before="280" w:after="120"/>
      </w:pPr>
      <w:r>
        <w:rPr>
          <w:color w:val="1F3764"/>
          <w:sz w:val="32"/>
        </w:rPr>
        <w:t>Issue 1 — Strict Policyholder Date Join Dropping ~35,820 Policies</w:t>
      </w:r>
    </w:p>
    <w:p>
      <w:pPr>
        <w:pStyle w:val="Heading3"/>
        <w:spacing w:before="160" w:after="40"/>
      </w:pPr>
      <w:r>
        <w:rPr>
          <w:color w:val="2E74B5"/>
          <w:sz w:val="22"/>
        </w:rPr>
        <w:t>Problem</w:t>
      </w:r>
    </w:p>
    <w:p>
      <w:pPr>
        <w:spacing w:before="40" w:after="80"/>
      </w:pPr>
      <w:r>
        <w:rPr>
          <w:sz w:val="20"/>
        </w:rPr>
        <w:t>In cif_join_validation.sql, #view_ph joined DWM.EDW.vw_policyholder using three conditions: policy_term_key + term_effective_date + term_expiration_date. Mid-term endorsements (coverage changes, address updates, etc.) cause the policyholder's term dates to be slightly offset from the policy's effective dates. When these don't match exactly, the join returns no row → party_key = NULL → the entire downstream chain (same-as-link, CIF, email) is broken.</w:t>
      </w:r>
    </w:p>
    <w:p>
      <w:pPr>
        <w:spacing w:before="80" w:after="80"/>
        <w:ind w:left="454" w:right="454"/>
        <w:shd w:val="clear" w:color="auto" w:fill="F2F2F2"/>
      </w:pPr>
      <w:r>
        <w:rPr>
          <w:rFonts w:ascii="Courier New" w:hAnsi="Courier New"/>
          <w:color w:val="1A1A1A"/>
          <w:sz w:val="16"/>
        </w:rPr>
        <w:t>-- BEFORE (broken)</w:t>
        <w:br/>
        <w:t>left join DWM.EDW.vw_policyholder vplh</w:t>
        <w:br/>
        <w:t xml:space="preserve">    on vplh.policy_term_key      = it.policy_term_key</w:t>
        <w:br/>
        <w:t xml:space="preserve">   and vplh.term_effective_date  = it.effective_from_date   -- strict date match</w:t>
        <w:br/>
        <w:t xml:space="preserve">   and vplh.term_expiration_date = it.effective_to_date     -- strict date match</w:t>
        <w:br/>
        <w:t xml:space="preserve">   and vplh.term_expiration_date &gt; @as_of_date</w:t>
      </w:r>
    </w:p>
    <w:p>
      <w:pPr>
        <w:pStyle w:val="Heading3"/>
        <w:spacing w:before="160" w:after="40"/>
      </w:pPr>
      <w:r>
        <w:rPr>
          <w:color w:val="2E74B5"/>
          <w:sz w:val="22"/>
        </w:rPr>
        <w:t>Discovery</w:t>
      </w:r>
    </w:p>
    <w:p>
      <w:pPr>
        <w:spacing w:before="40" w:after="80"/>
      </w:pPr>
      <w:r>
        <w:rPr>
          <w:sz w:val="20"/>
        </w:rPr>
        <w:t>missing_mail.sql Section 1 (Email Chain Funnel) showed:</w:t>
        <w:br/>
        <w:t xml:space="preserve">    Has NULL party_key (no policyholder match) : 35,820</w:t>
      </w:r>
    </w:p>
    <w:p>
      <w:pPr>
        <w:pStyle w:val="Heading3"/>
        <w:spacing w:before="160" w:after="40"/>
      </w:pPr>
      <w:r>
        <w:rPr>
          <w:color w:val="2E74B5"/>
          <w:sz w:val="22"/>
        </w:rPr>
        <w:t>Fix</w:t>
      </w:r>
    </w:p>
    <w:p>
      <w:pPr>
        <w:spacing w:before="40" w:after="80"/>
      </w:pPr>
      <w:r>
        <w:rPr>
          <w:sz w:val="20"/>
        </w:rPr>
        <w:t>Relaxed the join to policy_term_key only — matching the pattern already used in paperless.sql:</w:t>
      </w:r>
    </w:p>
    <w:p>
      <w:pPr>
        <w:spacing w:before="80" w:after="80"/>
        <w:ind w:left="454" w:right="454"/>
        <w:shd w:val="clear" w:color="auto" w:fill="F2F2F2"/>
      </w:pPr>
      <w:r>
        <w:rPr>
          <w:rFonts w:ascii="Courier New" w:hAnsi="Courier New"/>
          <w:color w:val="1A1A1A"/>
          <w:sz w:val="16"/>
        </w:rPr>
        <w:t>-- AFTER (fixed)</w:t>
        <w:br/>
        <w:t>left join DWM.EDW.vw_policyholder vplh</w:t>
        <w:br/>
        <w:t xml:space="preserve">    on vplh.policy_term_key = it.policy_term_key</w:t>
      </w:r>
    </w:p>
    <w:p>
      <w:pPr>
        <w:pStyle w:val="Heading3"/>
        <w:spacing w:before="160" w:after="40"/>
      </w:pPr>
      <w:r>
        <w:rPr>
          <w:color w:val="2E74B5"/>
          <w:sz w:val="22"/>
        </w:rPr>
        <w:t>Result</w:t>
      </w:r>
    </w:p>
    <w:p>
      <w:pPr>
        <w:spacing w:before="40" w:after="80"/>
      </w:pPr>
      <w:r>
        <w:rPr>
          <w:sz w:val="20"/>
        </w:rPr>
        <w:t>Has NULL party_key : 35,820 → 0</w:t>
        <w:br/>
        <w:t>Has duplicate_party_anchor_id (chain can proceed) : 261,592 → 297,412</w:t>
      </w:r>
    </w:p>
    <w:p>
      <w:r>
        <w:br w:type="page"/>
      </w:r>
    </w:p>
    <w:p>
      <w:pPr>
        <w:pStyle w:val="Heading1"/>
        <w:spacing w:before="280" w:after="120"/>
      </w:pPr>
      <w:r>
        <w:rPr>
          <w:color w:val="1F3764"/>
          <w:sz w:val="32"/>
        </w:rPr>
        <w:t>Issue 2 — CIF Superseded Records Not Filtered (valid_to_date)</w:t>
      </w:r>
    </w:p>
    <w:p>
      <w:pPr>
        <w:pStyle w:val="Heading3"/>
        <w:spacing w:before="160" w:after="40"/>
      </w:pPr>
      <w:r>
        <w:rPr>
          <w:color w:val="2E74B5"/>
          <w:sz w:val="22"/>
        </w:rPr>
        <w:t>Problem</w:t>
      </w:r>
    </w:p>
    <w:p>
      <w:pPr>
        <w:spacing w:before="40" w:after="80"/>
      </w:pPr>
      <w:r>
        <w:rPr>
          <w:sz w:val="20"/>
        </w:rPr>
        <w:t>AWM.dbo.cif_policy_party_detail uses two separate date columns: effective_to_date (when the paperless preference ends) and valid_to_date (when the record itself was superseded by a newer load). The original query only filtered effective_to_date = '9999-12-31', leaving superseded records in scope. A policy could return a stale paperless indicator from a previous load that has since been updated.</w:t>
      </w:r>
    </w:p>
    <w:p>
      <w:pPr>
        <w:spacing w:before="80" w:after="80"/>
        <w:ind w:left="454" w:right="454"/>
        <w:shd w:val="clear" w:color="auto" w:fill="F2F2F2"/>
      </w:pPr>
      <w:r>
        <w:rPr>
          <w:rFonts w:ascii="Courier New" w:hAnsi="Courier New"/>
          <w:color w:val="1A1A1A"/>
          <w:sz w:val="16"/>
        </w:rPr>
        <w:t>-- BEFORE (incomplete filter)</w:t>
        <w:br/>
        <w:t>where cppd.output_document_type_code in ('BIL', 'POL')</w:t>
        <w:br/>
        <w:t xml:space="preserve">  and cppd.effective_to_date = '9999-12-31'</w:t>
      </w:r>
    </w:p>
    <w:p>
      <w:pPr>
        <w:pStyle w:val="Heading3"/>
        <w:spacing w:before="160" w:after="40"/>
      </w:pPr>
      <w:r>
        <w:rPr>
          <w:color w:val="2E74B5"/>
          <w:sz w:val="22"/>
        </w:rPr>
        <w:t>Discovery</w:t>
      </w:r>
    </w:p>
    <w:p>
      <w:pPr>
        <w:spacing w:before="40" w:after="80"/>
      </w:pPr>
      <w:r>
        <w:rPr>
          <w:sz w:val="20"/>
        </w:rPr>
        <w:t>Code review of cif_policy_party_detail table structure. valid_to_date is the AWM standard audit column for record supersession — omitting it is a known pattern risk in AWM queries.</w:t>
      </w:r>
    </w:p>
    <w:p>
      <w:pPr>
        <w:pStyle w:val="Heading3"/>
        <w:spacing w:before="160" w:after="40"/>
      </w:pPr>
      <w:r>
        <w:rPr>
          <w:color w:val="2E74B5"/>
          <w:sz w:val="22"/>
        </w:rPr>
        <w:t>Fix</w:t>
      </w:r>
    </w:p>
    <w:p>
      <w:pPr>
        <w:spacing w:before="40" w:after="80"/>
      </w:pPr>
      <w:r>
        <w:rPr>
          <w:sz w:val="20"/>
        </w:rPr>
        <w:t>Added valid_to_date filter alongside the existing effective_to_date filter:</w:t>
      </w:r>
    </w:p>
    <w:p>
      <w:pPr>
        <w:spacing w:before="80" w:after="80"/>
        <w:ind w:left="454" w:right="454"/>
        <w:shd w:val="clear" w:color="auto" w:fill="F2F2F2"/>
      </w:pPr>
      <w:r>
        <w:rPr>
          <w:rFonts w:ascii="Courier New" w:hAnsi="Courier New"/>
          <w:color w:val="1A1A1A"/>
          <w:sz w:val="16"/>
        </w:rPr>
        <w:t>-- AFTER (fixed)</w:t>
        <w:br/>
        <w:t>where cppd.output_document_type_code in ('BIL', 'POL')</w:t>
        <w:br/>
        <w:t xml:space="preserve">  and cppd.effective_to_date = '9999-12-31'</w:t>
        <w:br/>
        <w:t xml:space="preserve">  and cppd.valid_to_date     = '9999-12-31'   -- excludes superseded records</w:t>
      </w:r>
    </w:p>
    <w:p>
      <w:pPr>
        <w:pStyle w:val="Heading3"/>
        <w:spacing w:before="160" w:after="40"/>
      </w:pPr>
      <w:r>
        <w:rPr>
          <w:color w:val="2E74B5"/>
          <w:sz w:val="22"/>
        </w:rPr>
        <w:t>Result</w:t>
      </w:r>
    </w:p>
    <w:p>
      <w:pPr>
        <w:spacing w:before="40" w:after="80"/>
      </w:pPr>
      <w:r>
        <w:rPr>
          <w:sz w:val="20"/>
        </w:rPr>
        <w:t>Ensures only current, non-superseded paperless indicator records are used. Reduces risk of stale 'Y'/'N' indicators from old CIF loads appearing in the report.</w:t>
      </w:r>
    </w:p>
    <w:p>
      <w:pPr>
        <w:pStyle w:val="Heading1"/>
        <w:spacing w:before="280" w:after="120"/>
      </w:pPr>
      <w:r>
        <w:rPr>
          <w:color w:val="1F3764"/>
          <w:sz w:val="32"/>
        </w:rPr>
        <w:t>Issue 3 — CIF Dedup Using Wrong Sort Key</w:t>
      </w:r>
    </w:p>
    <w:p>
      <w:pPr>
        <w:pStyle w:val="Heading3"/>
        <w:spacing w:before="160" w:after="40"/>
      </w:pPr>
      <w:r>
        <w:rPr>
          <w:color w:val="2E74B5"/>
          <w:sz w:val="22"/>
        </w:rPr>
        <w:t>Problem</w:t>
      </w:r>
    </w:p>
    <w:p>
      <w:pPr>
        <w:spacing w:before="40" w:after="80"/>
      </w:pPr>
      <w:r>
        <w:rPr>
          <w:sz w:val="20"/>
        </w:rPr>
        <w:t>To get the latest CIF record per (policy_party_link_id, output_document_type_code), the query used ROW_NUMBER() ordered by effective_from_date DESC. However, two records can share the same effective_from_date if a correction was loaded — in that case, effective_from_date does not distinguish which is truly the latest. update_date is the correct audit trail column in AWM for 'most recently written' row.</w:t>
      </w:r>
    </w:p>
    <w:p>
      <w:pPr>
        <w:spacing w:before="80" w:after="80"/>
        <w:ind w:left="454" w:right="454"/>
        <w:shd w:val="clear" w:color="auto" w:fill="F2F2F2"/>
      </w:pPr>
      <w:r>
        <w:rPr>
          <w:rFonts w:ascii="Courier New" w:hAnsi="Courier New"/>
          <w:color w:val="1A1A1A"/>
          <w:sz w:val="16"/>
        </w:rPr>
        <w:t>-- BEFORE (wrong sort key)</w:t>
        <w:br/>
        <w:t>row_number() over (</w:t>
        <w:br/>
        <w:t xml:space="preserve">    partition by cppd.policy_party_link_id, cppd.output_document_type_code</w:t>
        <w:br/>
        <w:t xml:space="preserve">    order by cppd.effective_from_date desc</w:t>
        <w:br/>
        <w:t>) as rn</w:t>
      </w:r>
    </w:p>
    <w:p>
      <w:pPr>
        <w:pStyle w:val="Heading3"/>
        <w:spacing w:before="160" w:after="40"/>
      </w:pPr>
      <w:r>
        <w:rPr>
          <w:color w:val="2E74B5"/>
          <w:sz w:val="22"/>
        </w:rPr>
        <w:t>Discovery</w:t>
      </w:r>
    </w:p>
    <w:p>
      <w:pPr>
        <w:spacing w:before="40" w:after="80"/>
      </w:pPr>
      <w:r>
        <w:rPr>
          <w:sz w:val="20"/>
        </w:rPr>
        <w:t>Code review of AWM table conventions. update_date is the standard 'last modified' timestamp on AWM operational tables.</w:t>
      </w:r>
    </w:p>
    <w:p>
      <w:pPr>
        <w:pStyle w:val="Heading3"/>
        <w:spacing w:before="160" w:after="40"/>
      </w:pPr>
      <w:r>
        <w:rPr>
          <w:color w:val="2E74B5"/>
          <w:sz w:val="22"/>
        </w:rPr>
        <w:t>Fix</w:t>
      </w:r>
    </w:p>
    <w:p>
      <w:pPr>
        <w:spacing w:before="40" w:after="80"/>
      </w:pPr>
      <w:r>
        <w:rPr>
          <w:sz w:val="20"/>
        </w:rPr>
        <w:t>Changed sort key to update_date DESC:</w:t>
      </w:r>
    </w:p>
    <w:p>
      <w:pPr>
        <w:spacing w:before="80" w:after="80"/>
        <w:ind w:left="454" w:right="454"/>
        <w:shd w:val="clear" w:color="auto" w:fill="F2F2F2"/>
      </w:pPr>
      <w:r>
        <w:rPr>
          <w:rFonts w:ascii="Courier New" w:hAnsi="Courier New"/>
          <w:color w:val="1A1A1A"/>
          <w:sz w:val="16"/>
        </w:rPr>
        <w:t>-- AFTER (correct sort key)</w:t>
        <w:br/>
        <w:t>row_number() over (</w:t>
        <w:br/>
        <w:t xml:space="preserve">    partition by cppd.policy_party_link_id, cppd.output_document_type_code</w:t>
        <w:br/>
        <w:t xml:space="preserve">    order by cppd.update_date desc</w:t>
        <w:br/>
        <w:t>) as rn</w:t>
      </w:r>
    </w:p>
    <w:p>
      <w:pPr>
        <w:pStyle w:val="Heading3"/>
        <w:spacing w:before="160" w:after="40"/>
      </w:pPr>
      <w:r>
        <w:rPr>
          <w:color w:val="2E74B5"/>
          <w:sz w:val="22"/>
        </w:rPr>
        <w:t>Result</w:t>
      </w:r>
    </w:p>
    <w:p>
      <w:pPr>
        <w:spacing w:before="40" w:after="80"/>
      </w:pPr>
      <w:r>
        <w:rPr>
          <w:sz w:val="20"/>
        </w:rPr>
        <w:t>Guarantees the most recently updated CIF record wins the dedup, preventing stale indicators from surviving when a correction record was loaded on the same effective date.</w:t>
      </w:r>
    </w:p>
    <w:p>
      <w:r>
        <w:br w:type="page"/>
      </w:r>
    </w:p>
    <w:p>
      <w:pPr>
        <w:pStyle w:val="Heading1"/>
        <w:spacing w:before="280" w:after="120"/>
      </w:pPr>
      <w:r>
        <w:rPr>
          <w:color w:val="1F3764"/>
          <w:sz w:val="32"/>
        </w:rPr>
        <w:t>Issue 4 — NULL paper_notify_indicator Coerced to 'N' (False Negative)</w:t>
      </w:r>
    </w:p>
    <w:p>
      <w:pPr>
        <w:pStyle w:val="Heading3"/>
        <w:spacing w:before="160" w:after="40"/>
      </w:pPr>
      <w:r>
        <w:rPr>
          <w:color w:val="2E74B5"/>
          <w:sz w:val="22"/>
        </w:rPr>
        <w:t>Problem</w:t>
      </w:r>
    </w:p>
    <w:p>
      <w:pPr>
        <w:spacing w:before="40" w:after="80"/>
      </w:pPr>
      <w:r>
        <w:rPr>
          <w:sz w:val="20"/>
        </w:rPr>
        <w:t>The paperless indicator logic used a two-branch CASE. When no BIL record exists for a policy, MIN(paper_notify_indicator) returns NULL. The CASE evaluates NULL in the ELSE branch → outputs 'N'. This makes the policy appear explicitly non-paperless when in fact there is simply no data. Downstream, this created mismatches in the BIM vs EDW comparison.</w:t>
      </w:r>
    </w:p>
    <w:p>
      <w:pPr>
        <w:spacing w:before="80" w:after="80"/>
        <w:ind w:left="454" w:right="454"/>
        <w:shd w:val="clear" w:color="auto" w:fill="F2F2F2"/>
      </w:pPr>
      <w:r>
        <w:rPr>
          <w:rFonts w:ascii="Courier New" w:hAnsi="Courier New"/>
          <w:color w:val="1A1A1A"/>
          <w:sz w:val="16"/>
        </w:rPr>
        <w:t>-- BEFORE (false negative)</w:t>
        <w:br/>
        <w:t>case when c.BIL_paper_notify = 0 then 'Y' else 'N' end as Paperless_Bil_Ind</w:t>
      </w:r>
    </w:p>
    <w:p>
      <w:pPr>
        <w:pStyle w:val="Heading3"/>
        <w:spacing w:before="160" w:after="40"/>
      </w:pPr>
      <w:r>
        <w:rPr>
          <w:color w:val="2E74B5"/>
          <w:sz w:val="22"/>
        </w:rPr>
        <w:t>Discovery</w:t>
      </w:r>
    </w:p>
    <w:p>
      <w:pPr>
        <w:spacing w:before="40" w:after="80"/>
      </w:pPr>
      <w:r>
        <w:rPr>
          <w:sz w:val="20"/>
        </w:rPr>
        <w:t>BIM vs EDW mismatch analysis in cif_join_validation.sql — policies with BillInd = 'Y' in BIM but 'N' in EDW, where the root cause was a missing CIF record rather than a true preference change.</w:t>
      </w:r>
    </w:p>
    <w:p>
      <w:pPr>
        <w:pStyle w:val="Heading3"/>
        <w:spacing w:before="160" w:after="40"/>
      </w:pPr>
      <w:r>
        <w:rPr>
          <w:color w:val="2E74B5"/>
          <w:sz w:val="22"/>
        </w:rPr>
        <w:t>Fix</w:t>
      </w:r>
    </w:p>
    <w:p>
      <w:pPr>
        <w:spacing w:before="40" w:after="80"/>
      </w:pPr>
      <w:r>
        <w:rPr>
          <w:sz w:val="20"/>
        </w:rPr>
        <w:t>Added explicit NULL branch — unknown is not the same as non-paperless:</w:t>
      </w:r>
    </w:p>
    <w:p>
      <w:pPr>
        <w:spacing w:before="80" w:after="80"/>
        <w:ind w:left="454" w:right="454"/>
        <w:shd w:val="clear" w:color="auto" w:fill="F2F2F2"/>
      </w:pPr>
      <w:r>
        <w:rPr>
          <w:rFonts w:ascii="Courier New" w:hAnsi="Courier New"/>
          <w:color w:val="1A1A1A"/>
          <w:sz w:val="16"/>
        </w:rPr>
        <w:t>-- AFTER (correct NULL handling)</w:t>
        <w:br/>
        <w:t>case</w:t>
        <w:br/>
        <w:t xml:space="preserve">    when min(case when d.output_document_type_code = 'BIL'</w:t>
        <w:br/>
        <w:t xml:space="preserve">             then d.paper_notify_indicator end) = 0    then 'Y'</w:t>
        <w:br/>
        <w:t xml:space="preserve">    when min(case when d.output_document_type_code = 'BIL'</w:t>
        <w:br/>
        <w:t xml:space="preserve">             then d.paper_notify_indicator end) is null then null</w:t>
        <w:br/>
        <w:t xml:space="preserve">    else 'N'</w:t>
        <w:br/>
        <w:t>end as Paperless_Bil_Ind</w:t>
      </w:r>
    </w:p>
    <w:p>
      <w:pPr>
        <w:pStyle w:val="Heading3"/>
        <w:spacing w:before="160" w:after="40"/>
      </w:pPr>
      <w:r>
        <w:rPr>
          <w:color w:val="2E74B5"/>
          <w:sz w:val="22"/>
        </w:rPr>
        <w:t>Result</w:t>
      </w:r>
    </w:p>
    <w:p>
      <w:pPr>
        <w:spacing w:before="40" w:after="80"/>
      </w:pPr>
      <w:r>
        <w:rPr>
          <w:sz w:val="20"/>
        </w:rPr>
        <w:t>Policies with no CIF record now show NULL instead of 'N' for paperless indicators. In Tableau, NULL can be filtered or displayed separately from explicit 'N'.</w:t>
      </w:r>
    </w:p>
    <w:p>
      <w:pPr>
        <w:pStyle w:val="Heading1"/>
        <w:spacing w:before="280" w:after="120"/>
      </w:pPr>
      <w:r>
        <w:rPr>
          <w:color w:val="1F3764"/>
          <w:sz w:val="32"/>
        </w:rPr>
        <w:t>Issue 5 — Email Fan-Out from asp_user_account_detail Partition Bug</w:t>
      </w:r>
    </w:p>
    <w:p>
      <w:pPr>
        <w:pStyle w:val="Heading3"/>
        <w:spacing w:before="160" w:after="40"/>
      </w:pPr>
      <w:r>
        <w:rPr>
          <w:color w:val="2E74B5"/>
          <w:sz w:val="22"/>
        </w:rPr>
        <w:t>Problem</w:t>
      </w:r>
    </w:p>
    <w:p>
      <w:pPr>
        <w:spacing w:before="40" w:after="80"/>
      </w:pPr>
      <w:r>
        <w:rPr>
          <w:sz w:val="20"/>
        </w:rPr>
        <w:t>The deduplication of asp_user_account_detail to get one email per account link partitioned by (party_user_account_link_id, user_name). A single link_id with 3 distinct user_name values produced 3 rows all with rn=1 — one per username. When joined downstream, this fanned out every policy with multiple email addresses, producing counts larger than the total policy count.</w:t>
      </w:r>
    </w:p>
    <w:p>
      <w:pPr>
        <w:spacing w:before="80" w:after="80"/>
        <w:ind w:left="454" w:right="454"/>
        <w:shd w:val="clear" w:color="auto" w:fill="F2F2F2"/>
      </w:pPr>
      <w:r>
        <w:rPr>
          <w:rFonts w:ascii="Courier New" w:hAnsi="Courier New"/>
          <w:color w:val="1A1A1A"/>
          <w:sz w:val="16"/>
        </w:rPr>
        <w:t>-- BEFORE (fan-out bug)</w:t>
        <w:br/>
        <w:t>row_number() over (</w:t>
        <w:br/>
        <w:t xml:space="preserve">    partition by auad.party_user_account_link_id, auad.user_name</w:t>
        <w:br/>
        <w:t xml:space="preserve">    order by auad.valid_from_date desc</w:t>
        <w:br/>
        <w:t>) as rn_detail</w:t>
        <w:br/>
        <w:br/>
        <w:t>-- Observed impossible results:</w:t>
        <w:br/>
        <w:t>-- UMB : email_resolved = 29,243  &gt;  total = 27,389  &lt;- impossible</w:t>
        <w:br/>
        <w:t>-- DP  : email_resolved = 11,812  &gt;  total = 11,419  &lt;- impossible</w:t>
      </w:r>
    </w:p>
    <w:p>
      <w:pPr>
        <w:pStyle w:val="Heading3"/>
        <w:spacing w:before="160" w:after="40"/>
      </w:pPr>
      <w:r>
        <w:rPr>
          <w:color w:val="2E74B5"/>
          <w:sz w:val="22"/>
        </w:rPr>
        <w:t>Discovery</w:t>
      </w:r>
    </w:p>
    <w:p>
      <w:pPr>
        <w:spacing w:before="40" w:after="80"/>
      </w:pPr>
      <w:r>
        <w:rPr>
          <w:sz w:val="20"/>
        </w:rPr>
        <w:t>missing_mail.sql Sections 4/5 — email counts exceeded total policies, which is mathematically impossible and confirmed a fan-out bug in the partition logic.</w:t>
      </w:r>
    </w:p>
    <w:p>
      <w:pPr>
        <w:pStyle w:val="Heading3"/>
        <w:spacing w:before="160" w:after="40"/>
      </w:pPr>
      <w:r>
        <w:rPr>
          <w:color w:val="2E74B5"/>
          <w:sz w:val="22"/>
        </w:rPr>
        <w:t>Fix</w:t>
      </w:r>
    </w:p>
    <w:p>
      <w:pPr>
        <w:spacing w:before="40" w:after="80"/>
      </w:pPr>
      <w:r>
        <w:rPr>
          <w:sz w:val="20"/>
        </w:rPr>
        <w:t>Removed user_name from the partition — one row per link only:</w:t>
      </w:r>
    </w:p>
    <w:p>
      <w:pPr>
        <w:spacing w:before="80" w:after="80"/>
        <w:ind w:left="454" w:right="454"/>
        <w:shd w:val="clear" w:color="auto" w:fill="F2F2F2"/>
      </w:pPr>
      <w:r>
        <w:rPr>
          <w:rFonts w:ascii="Courier New" w:hAnsi="Courier New"/>
          <w:color w:val="1A1A1A"/>
          <w:sz w:val="16"/>
        </w:rPr>
        <w:t>-- AFTER (fixed)</w:t>
        <w:br/>
        <w:t>row_number() over (</w:t>
        <w:br/>
        <w:t xml:space="preserve">    partition by auad.party_user_account_link_id     -- link only, not per user_name</w:t>
        <w:br/>
        <w:t xml:space="preserve">    order by auad.valid_from_date desc, auad.valid_to_date desc</w:t>
        <w:br/>
        <w:t>) as rn_detail</w:t>
      </w:r>
    </w:p>
    <w:p>
      <w:pPr>
        <w:pStyle w:val="Heading3"/>
        <w:spacing w:before="160" w:after="40"/>
      </w:pPr>
      <w:r>
        <w:rPr>
          <w:color w:val="2E74B5"/>
          <w:sz w:val="22"/>
        </w:rPr>
        <w:t>Result</w:t>
      </w:r>
    </w:p>
    <w:p>
      <w:pPr>
        <w:spacing w:before="40" w:after="80"/>
      </w:pPr>
      <w:r>
        <w:rPr>
          <w:sz w:val="20"/>
        </w:rPr>
        <w:t>Email counts now exactly satisfy has_email + missing_email = total for every symbol:</w:t>
        <w:br/>
        <w:t xml:space="preserve">  HO  : 101,232 + 29,185 = 130,417</w:t>
        <w:br/>
        <w:t xml:space="preserve">  CA  :  94,405 + 27,697 = 122,102</w:t>
        <w:br/>
        <w:t xml:space="preserve">  UMB :  22,599 +  4,790 =  27,389</w:t>
        <w:br/>
        <w:t xml:space="preserve">  DP  :   9,156 +  2,263 =  11,419</w:t>
        <w:br/>
        <w:t xml:space="preserve">  MA  :   4,867 +  1,219 =   6,086</w:t>
      </w:r>
    </w:p>
    <w:p>
      <w:r>
        <w:br w:type="page"/>
      </w:r>
    </w:p>
    <w:p>
      <w:pPr>
        <w:pStyle w:val="Heading1"/>
        <w:spacing w:before="280" w:after="120"/>
      </w:pPr>
      <w:r>
        <w:rPr>
          <w:color w:val="1F3764"/>
          <w:sz w:val="32"/>
        </w:rPr>
        <w:t>Issue 6 — Known Bad Party Anchor IDs Inflating Email Links</w:t>
      </w:r>
    </w:p>
    <w:p>
      <w:pPr>
        <w:pStyle w:val="Heading3"/>
        <w:spacing w:before="160" w:after="40"/>
      </w:pPr>
      <w:r>
        <w:rPr>
          <w:color w:val="2E74B5"/>
          <w:sz w:val="22"/>
        </w:rPr>
        <w:t>Problem</w:t>
      </w:r>
    </w:p>
    <w:p>
      <w:pPr>
        <w:spacing w:before="40" w:after="80"/>
      </w:pPr>
      <w:r>
        <w:rPr>
          <w:sz w:val="20"/>
        </w:rPr>
        <w:t>Two party anchor IDs (7771543 and 13322119) appear in AWM.dbo.party_user_account_link and produce incorrect or inflated link matches. These are known data anomalies.</w:t>
      </w:r>
    </w:p>
    <w:p>
      <w:pPr>
        <w:pStyle w:val="Heading3"/>
        <w:spacing w:before="160" w:after="40"/>
      </w:pPr>
      <w:r>
        <w:rPr>
          <w:color w:val="2E74B5"/>
          <w:sz w:val="22"/>
        </w:rPr>
        <w:t>Discovery</w:t>
      </w:r>
    </w:p>
    <w:p>
      <w:pPr>
        <w:spacing w:before="40" w:after="80"/>
      </w:pPr>
      <w:r>
        <w:rPr>
          <w:sz w:val="20"/>
        </w:rPr>
        <w:t>Identified in the original paperless.sql codebase (line 284) which already excluded them with a comment. Any new query building the email chain that doesn't carry this exclusion will pick up incorrect party-to-account mappings.</w:t>
      </w:r>
    </w:p>
    <w:p>
      <w:pPr>
        <w:pStyle w:val="Heading3"/>
        <w:spacing w:before="160" w:after="40"/>
      </w:pPr>
      <w:r>
        <w:rPr>
          <w:color w:val="2E74B5"/>
          <w:sz w:val="22"/>
        </w:rPr>
        <w:t>Fix</w:t>
      </w:r>
    </w:p>
    <w:p>
      <w:pPr>
        <w:spacing w:before="40" w:after="80"/>
      </w:pPr>
      <w:r>
        <w:rPr>
          <w:sz w:val="20"/>
        </w:rPr>
        <w:t>Added exclusion to all email chain queries in both new_paper.sql and missing_mail.sql:</w:t>
      </w:r>
    </w:p>
    <w:p>
      <w:pPr>
        <w:spacing w:before="80" w:after="80"/>
        <w:ind w:left="454" w:right="454"/>
        <w:shd w:val="clear" w:color="auto" w:fill="F2F2F2"/>
      </w:pPr>
      <w:r>
        <w:rPr>
          <w:rFonts w:ascii="Courier New" w:hAnsi="Courier New"/>
          <w:color w:val="1A1A1A"/>
          <w:sz w:val="16"/>
        </w:rPr>
        <w:t>where pual.party_anchor_id not in ('7771543', '13322119')</w:t>
      </w:r>
    </w:p>
    <w:p>
      <w:pPr>
        <w:pStyle w:val="Heading3"/>
        <w:spacing w:before="160" w:after="40"/>
      </w:pPr>
      <w:r>
        <w:rPr>
          <w:color w:val="2E74B5"/>
          <w:sz w:val="22"/>
        </w:rPr>
        <w:t>Result</w:t>
      </w:r>
    </w:p>
    <w:p>
      <w:pPr>
        <w:spacing w:before="40" w:after="80"/>
      </w:pPr>
      <w:r>
        <w:rPr>
          <w:sz w:val="20"/>
        </w:rPr>
        <w:t>Prevents two known bad anchors from being matched to unrelated parties during the party_user_account_link join, ensuring email resolves to the correct customer.</w:t>
      </w:r>
    </w:p>
    <w:p>
      <w:pPr>
        <w:pStyle w:val="Heading1"/>
        <w:spacing w:before="280" w:after="120"/>
      </w:pPr>
      <w:r>
        <w:rPr>
          <w:color w:val="1F3764"/>
          <w:sz w:val="32"/>
        </w:rPr>
        <w:t>Issue 7 — BIM Fallback Email Join Format Mismatch</w:t>
      </w:r>
    </w:p>
    <w:p>
      <w:pPr>
        <w:pStyle w:val="Heading3"/>
        <w:spacing w:before="160" w:after="40"/>
      </w:pPr>
      <w:r>
        <w:rPr>
          <w:color w:val="2E74B5"/>
          <w:sz w:val="22"/>
        </w:rPr>
        <w:t>Problem</w:t>
      </w:r>
    </w:p>
    <w:p>
      <w:pPr>
        <w:spacing w:before="40" w:after="80"/>
      </w:pPr>
      <w:r>
        <w:rPr>
          <w:sz w:val="20"/>
        </w:rPr>
        <w:t>#bim_email stores P.POL_KEY from Eloqua.POLICY. The initial assumption was that POL_KEY is numeric-only (e.g. 0130957), requiring the EDW policy_number (e.g. CA 0130957) to be stripped before joining. This stripping broke the join entirely — bim_fallback_used = 0.</w:t>
      </w:r>
    </w:p>
    <w:p>
      <w:pPr>
        <w:spacing w:before="80" w:after="80"/>
        <w:ind w:left="454" w:right="454"/>
        <w:shd w:val="clear" w:color="auto" w:fill="F2F2F2"/>
      </w:pPr>
      <w:r>
        <w:rPr>
          <w:rFonts w:ascii="Courier New" w:hAnsi="Courier New"/>
          <w:color w:val="1A1A1A"/>
          <w:sz w:val="16"/>
        </w:rPr>
        <w:t>-- BROKEN attempt (incorrect strip)</w:t>
        <w:br/>
        <w:t>left join #bim_email bim</w:t>
        <w:br/>
        <w:t xml:space="preserve">    on bim.policy_number = substring(</w:t>
        <w:br/>
        <w:t xml:space="preserve">        src.policy_number,</w:t>
        <w:br/>
        <w:t xml:space="preserve">        case when src.policy_number like 'UMB%' then 5 else 4 end,</w:t>
        <w:br/>
        <w:t xml:space="preserve">        len(src.policy_number)</w:t>
        <w:br/>
        <w:t xml:space="preserve">    )</w:t>
      </w:r>
    </w:p>
    <w:p>
      <w:pPr>
        <w:pStyle w:val="Heading3"/>
        <w:spacing w:before="160" w:after="40"/>
      </w:pPr>
      <w:r>
        <w:rPr>
          <w:color w:val="2E74B5"/>
          <w:sz w:val="22"/>
        </w:rPr>
        <w:t>Discovery</w:t>
      </w:r>
    </w:p>
    <w:p>
      <w:pPr>
        <w:spacing w:before="40" w:after="80"/>
      </w:pPr>
      <w:r>
        <w:rPr>
          <w:sz w:val="20"/>
        </w:rPr>
        <w:t>Validation query showed bim_fallback_used = 0 after the strip was applied — zero BIM emails were matching, confirming the format assumption was wrong.</w:t>
      </w:r>
    </w:p>
    <w:p>
      <w:pPr>
        <w:pStyle w:val="Heading3"/>
        <w:spacing w:before="160" w:after="40"/>
      </w:pPr>
      <w:r>
        <w:rPr>
          <w:color w:val="2E74B5"/>
          <w:sz w:val="22"/>
        </w:rPr>
        <w:t>Fix</w:t>
      </w:r>
    </w:p>
    <w:p>
      <w:pPr>
        <w:spacing w:before="40" w:after="80"/>
      </w:pPr>
      <w:r>
        <w:rPr>
          <w:sz w:val="20"/>
        </w:rPr>
        <w:t>Confirmed POL_KEY format matches EDW policy_number (both use 'CA 0130957' format). Reverted to direct join:</w:t>
      </w:r>
    </w:p>
    <w:p>
      <w:pPr>
        <w:spacing w:before="80" w:after="80"/>
        <w:ind w:left="454" w:right="454"/>
        <w:shd w:val="clear" w:color="auto" w:fill="F2F2F2"/>
      </w:pPr>
      <w:r>
        <w:rPr>
          <w:rFonts w:ascii="Courier New" w:hAnsi="Courier New"/>
          <w:color w:val="1A1A1A"/>
          <w:sz w:val="16"/>
        </w:rPr>
        <w:t>-- FIXED (direct join)</w:t>
        <w:br/>
        <w:t>left join #bim_email bim</w:t>
        <w:br/>
        <w:t xml:space="preserve">    on bim.policy_number = src.policy_number</w:t>
      </w:r>
    </w:p>
    <w:p>
      <w:pPr>
        <w:pStyle w:val="Heading3"/>
        <w:spacing w:before="160" w:after="40"/>
      </w:pPr>
      <w:r>
        <w:rPr>
          <w:color w:val="2E74B5"/>
          <w:sz w:val="22"/>
        </w:rPr>
        <w:t>Result</w:t>
      </w:r>
    </w:p>
    <w:p>
      <w:pPr>
        <w:spacing w:before="40" w:after="80"/>
      </w:pPr>
      <w:r>
        <w:rPr>
          <w:sz w:val="20"/>
        </w:rPr>
        <w:t>BIM fallback join started matching correctly. After the ANI fix (Issue 8) resolved the bulk of the gap via AWM, the BIM fallback covered the remaining 464 truly AWM-absent policies.</w:t>
      </w:r>
    </w:p>
    <w:p>
      <w:r>
        <w:br w:type="page"/>
      </w:r>
    </w:p>
    <w:p>
      <w:pPr>
        <w:pStyle w:val="Heading1"/>
        <w:spacing w:before="280" w:after="120"/>
      </w:pPr>
      <w:r>
        <w:rPr>
          <w:color w:val="1F3764"/>
          <w:sz w:val="32"/>
        </w:rPr>
        <w:t>Issue 8 — Grain Dedup Losing Email by Preferring NIN Regardless of Email</w:t>
      </w:r>
    </w:p>
    <w:p>
      <w:pPr>
        <w:pStyle w:val="Heading3"/>
        <w:spacing w:before="160" w:after="40"/>
      </w:pPr>
      <w:r>
        <w:rPr>
          <w:color w:val="2E74B5"/>
          <w:sz w:val="22"/>
        </w:rPr>
        <w:t>Problem</w:t>
      </w:r>
    </w:p>
    <w:p>
      <w:pPr>
        <w:spacing w:before="40" w:after="80"/>
      </w:pPr>
      <w:r>
        <w:rPr>
          <w:sz w:val="20"/>
        </w:rPr>
        <w:t>The final output dedup to one row per policy_term_key sorted first by NIN preference. This always selected the NIN (named insured / head of household) row regardless of whether that party had an email. For policies where NIN had no AWM email but the ANI did, the email was discarded — the NIN row won and EmailAddress = NULL.</w:t>
      </w:r>
    </w:p>
    <w:p>
      <w:pPr>
        <w:spacing w:before="80" w:after="80"/>
        <w:ind w:left="454" w:right="454"/>
        <w:shd w:val="clear" w:color="auto" w:fill="F2F2F2"/>
      </w:pPr>
      <w:r>
        <w:rPr>
          <w:rFonts w:ascii="Courier New" w:hAnsi="Courier New"/>
          <w:color w:val="1A1A1A"/>
          <w:sz w:val="16"/>
        </w:rPr>
        <w:t>-- BEFORE (email-blind dedup)</w:t>
        <w:br/>
        <w:t>row_number() over (</w:t>
        <w:br/>
        <w:t xml:space="preserve">    partition by b.policy_term_key</w:t>
        <w:br/>
        <w:t xml:space="preserve">    order by</w:t>
        <w:br/>
        <w:t xml:space="preserve">        case when b.policyholder_type_code = 'NIN' then 0 else 1 end,</w:t>
        <w:br/>
        <w:t xml:space="preserve">        b.party_key desc</w:t>
        <w:br/>
        <w:t>) as rn_grain</w:t>
      </w:r>
    </w:p>
    <w:p>
      <w:pPr>
        <w:pStyle w:val="Heading3"/>
        <w:spacing w:before="160" w:after="40"/>
      </w:pPr>
      <w:r>
        <w:rPr>
          <w:color w:val="2E74B5"/>
          <w:sz w:val="22"/>
        </w:rPr>
        <w:t>Discovery</w:t>
      </w:r>
    </w:p>
    <w:p>
      <w:pPr>
        <w:spacing w:before="40" w:after="80"/>
      </w:pPr>
      <w:r>
        <w:rPr>
          <w:sz w:val="20"/>
        </w:rPr>
        <w:t>After the policyholder date join fix (Issue 1), awm_email count was 225,188 — still lower than the 232,259 expected from the Section 1 funnel. The gap of ~7,071 was traced to policies where only the ANI party resolved an email address.</w:t>
      </w:r>
    </w:p>
    <w:p>
      <w:pPr>
        <w:pStyle w:val="Heading3"/>
        <w:spacing w:before="160" w:after="40"/>
      </w:pPr>
      <w:r>
        <w:rPr>
          <w:color w:val="2E74B5"/>
          <w:sz w:val="22"/>
        </w:rPr>
        <w:t>Fix</w:t>
      </w:r>
    </w:p>
    <w:p>
      <w:pPr>
        <w:spacing w:before="40" w:after="80"/>
      </w:pPr>
      <w:r>
        <w:rPr>
          <w:sz w:val="20"/>
        </w:rPr>
        <w:t>Added email presence as the first dedup priority, before NIN preference:</w:t>
      </w:r>
    </w:p>
    <w:p>
      <w:pPr>
        <w:spacing w:before="80" w:after="80"/>
        <w:ind w:left="454" w:right="454"/>
        <w:shd w:val="clear" w:color="auto" w:fill="F2F2F2"/>
      </w:pPr>
      <w:r>
        <w:rPr>
          <w:rFonts w:ascii="Courier New" w:hAnsi="Courier New"/>
          <w:color w:val="1A1A1A"/>
          <w:sz w:val="16"/>
        </w:rPr>
        <w:t>-- AFTER (email-aware dedup)</w:t>
        <w:br/>
        <w:t>row_number() over (</w:t>
        <w:br/>
        <w:t xml:space="preserve">    partition by b.policy_term_key</w:t>
        <w:br/>
        <w:t xml:space="preserve">    order by</w:t>
        <w:br/>
        <w:t xml:space="preserve">        case when ea.user_name is not null then 0 else 1 end,  -- Priority 1: has email</w:t>
        <w:br/>
        <w:t xml:space="preserve">        case when b.policyholder_type_code = 'NIN' then 0 else 1 end,  -- Priority 2: NIN</w:t>
        <w:br/>
        <w:t xml:space="preserve">        b.party_key desc                                        -- Priority 3: tiebreak</w:t>
        <w:br/>
        <w:t>) as rn_grain</w:t>
      </w:r>
    </w:p>
    <w:p>
      <w:pPr>
        <w:pStyle w:val="Heading3"/>
        <w:spacing w:before="160" w:after="40"/>
      </w:pPr>
      <w:r>
        <w:rPr>
          <w:color w:val="2E74B5"/>
          <w:sz w:val="22"/>
        </w:rPr>
        <w:t>Result</w:t>
      </w:r>
    </w:p>
    <w:p>
      <w:pPr>
        <w:spacing w:before="40" w:after="80"/>
      </w:pPr>
      <w:r>
        <w:rPr>
          <w:sz w:val="20"/>
        </w:rPr>
        <w:t>AWM email : 225,188 → 251,664   (+26,476 recovered from ANI parties)</w:t>
        <w:br/>
        <w:t>no_email  :  71,211 →  44,735   (-26,476)</w:t>
        <w:br/>
        <w:br/>
        <w:t>Note: When an ANI row wins due to email, the output row carries ANI demographics (HOH_IND = 'N', policyholder_type_code = 'ANI'). The EmailSource column identifies the row as AWM-sourced.</w:t>
      </w:r>
    </w:p>
    <w:p>
      <w:pPr>
        <w:pStyle w:val="Heading1"/>
        <w:spacing w:before="280" w:after="120"/>
      </w:pPr>
      <w:r>
        <w:rPr>
          <w:color w:val="1F3764"/>
          <w:sz w:val="32"/>
        </w:rPr>
        <w:t>Issue 9 — BIM HOH Filter Too Restrictive for Fallback</w:t>
      </w:r>
    </w:p>
    <w:p>
      <w:pPr>
        <w:pStyle w:val="Heading3"/>
        <w:spacing w:before="160" w:after="40"/>
      </w:pPr>
      <w:r>
        <w:rPr>
          <w:color w:val="2E74B5"/>
          <w:sz w:val="22"/>
        </w:rPr>
        <w:t>Problem</w:t>
      </w:r>
    </w:p>
    <w:p>
      <w:pPr>
        <w:spacing w:before="40" w:after="80"/>
      </w:pPr>
      <w:r>
        <w:rPr>
          <w:sz w:val="20"/>
        </w:rPr>
        <w:t>#bim_email was built with WHERE C.HOH_IND = 'Y' to pick only the head of household's email from BIM. Many of the 27,756 target policies (incomplete AWM account setup) had email only on non-HOH BIM contacts. The HOH contact either had no email or was the one with the incomplete AWM account. Filtering to HOH only excluded the majority of valid BIM emails.</w:t>
      </w:r>
    </w:p>
    <w:p>
      <w:pPr>
        <w:spacing w:before="80" w:after="80"/>
        <w:ind w:left="454" w:right="454"/>
        <w:shd w:val="clear" w:color="auto" w:fill="F2F2F2"/>
      </w:pPr>
      <w:r>
        <w:rPr>
          <w:rFonts w:ascii="Courier New" w:hAnsi="Courier New"/>
          <w:color w:val="1A1A1A"/>
          <w:sz w:val="16"/>
        </w:rPr>
        <w:t>-- BEFORE (over-filtered)</w:t>
        <w:br/>
        <w:t>where C.END_DT      = '9999-12-31'</w:t>
        <w:br/>
        <w:t xml:space="preserve">  and P.END_DT      = '9999-12-31'</w:t>
        <w:br/>
        <w:t xml:space="preserve">  and P.POL_STS_CD  = 'INFORCE'</w:t>
        <w:br/>
        <w:t xml:space="preserve">  and C.HOH_IND     = 'Y'                -- too restrictive</w:t>
        <w:br/>
        <w:t xml:space="preserve">  and C.EMAIL_ADDRESS is not null</w:t>
      </w:r>
    </w:p>
    <w:p>
      <w:pPr>
        <w:pStyle w:val="Heading3"/>
        <w:spacing w:before="160" w:after="40"/>
      </w:pPr>
      <w:r>
        <w:rPr>
          <w:color w:val="2E74B5"/>
          <w:sz w:val="22"/>
        </w:rPr>
        <w:t>Discovery</w:t>
      </w:r>
    </w:p>
    <w:p>
      <w:pPr>
        <w:spacing w:before="40" w:after="80"/>
      </w:pPr>
      <w:r>
        <w:rPr>
          <w:sz w:val="20"/>
        </w:rPr>
        <w:t>After the join format was corrected (Issue 7), bim_fallback_used showed only 2,375 instead of the expected ~27,756 from the Section 7c analysis.</w:t>
      </w:r>
    </w:p>
    <w:p>
      <w:pPr>
        <w:pStyle w:val="Heading3"/>
        <w:spacing w:before="160" w:after="40"/>
      </w:pPr>
      <w:r>
        <w:rPr>
          <w:color w:val="2E74B5"/>
          <w:sz w:val="22"/>
        </w:rPr>
        <w:t>Fix</w:t>
      </w:r>
    </w:p>
    <w:p>
      <w:pPr>
        <w:spacing w:before="40" w:after="80"/>
      </w:pPr>
      <w:r>
        <w:rPr>
          <w:sz w:val="20"/>
        </w:rPr>
        <w:t>Removed HOH_IND = 'Y' filter. MAX(EMAIL_ADDRESS) already ensures one email per POL_KEY across all contacts:</w:t>
      </w:r>
    </w:p>
    <w:p>
      <w:pPr>
        <w:spacing w:before="80" w:after="80"/>
        <w:ind w:left="454" w:right="454"/>
        <w:shd w:val="clear" w:color="auto" w:fill="F2F2F2"/>
      </w:pPr>
      <w:r>
        <w:rPr>
          <w:rFonts w:ascii="Courier New" w:hAnsi="Courier New"/>
          <w:color w:val="1A1A1A"/>
          <w:sz w:val="16"/>
        </w:rPr>
        <w:t>-- AFTER (all contacts, one email per policy)</w:t>
        <w:br/>
        <w:t>where C.END_DT      = '9999-12-31'</w:t>
        <w:br/>
        <w:t xml:space="preserve">  and P.END_DT      = '9999-12-31'</w:t>
        <w:br/>
        <w:t xml:space="preserve">  and P.POL_STS_CD  = 'INFORCE'</w:t>
        <w:br/>
        <w:t xml:space="preserve">  and C.EMAIL_ADDRESS is not null</w:t>
        <w:br/>
        <w:t xml:space="preserve">  and C.EMAIL_ADDRESS &lt;&gt; ''</w:t>
        <w:br/>
        <w:t>group by P.POL_KEY   -- MAX(EMAIL_ADDRESS) picks one per policy</w:t>
      </w:r>
    </w:p>
    <w:p>
      <w:pPr>
        <w:pStyle w:val="Heading3"/>
        <w:spacing w:before="160" w:after="40"/>
      </w:pPr>
      <w:r>
        <w:rPr>
          <w:color w:val="2E74B5"/>
          <w:sz w:val="22"/>
        </w:rPr>
        <w:t>Result</w:t>
      </w:r>
    </w:p>
    <w:p>
      <w:pPr>
        <w:spacing w:before="40" w:after="80"/>
      </w:pPr>
      <w:r>
        <w:rPr>
          <w:sz w:val="20"/>
        </w:rPr>
        <w:t>After Issue 8 (ANI fix) resolved the bulk of the gap via AWM, the BIM fallback was left with the remaining 464 truly AWM-absent policies — the correct expected residual.</w:t>
      </w:r>
    </w:p>
    <w:p>
      <w:r>
        <w:br w:type="page"/>
      </w:r>
    </w:p>
    <w:p>
      <w:pPr>
        <w:pStyle w:val="Heading1"/>
        <w:spacing w:before="280" w:after="120"/>
      </w:pPr>
      <w:r>
        <w:rPr>
          <w:color w:val="1F3764"/>
          <w:sz w:val="32"/>
        </w:rPr>
        <w:t>Email Gap Analysis Summary</w:t>
      </w:r>
    </w:p>
    <w:p>
      <w:pPr>
        <w:spacing w:before="40" w:after="80"/>
      </w:pPr>
      <w:r>
        <w:rPr>
          <w:sz w:val="20"/>
        </w:rPr>
        <w:t>After all fixes, the remaining 44,271 policies with no email break down as follows (from missing_mail.sql Section 9a):</w:t>
      </w:r>
    </w:p>
    <w:tbl>
      <w:tblPr>
        <w:tblStyle w:val="TableGrid"/>
        <w:tblW w:type="auto" w:w="0"/>
        <w:jc w:val="left"/>
        <w:tblLook w:firstColumn="1" w:firstRow="1" w:lastColumn="0" w:lastRow="0" w:noHBand="0" w:noVBand="1" w:val="04A0"/>
      </w:tblPr>
      <w:tblGrid>
        <w:gridCol w:w="3135"/>
        <w:gridCol w:w="3135"/>
        <w:gridCol w:w="3135"/>
      </w:tblGrid>
      <w:tr>
        <w:tc>
          <w:tcPr>
            <w:tcW w:type="dxa" w:w="4032"/>
            <w:shd w:val="clear" w:color="auto" w:fill="1F3764"/>
          </w:tcPr>
          <w:p>
            <w:r>
              <w:rPr>
                <w:b/>
                <w:color w:val="FFFFFF"/>
                <w:sz w:val="18"/>
              </w:rPr>
              <w:t>Gap Category</w:t>
            </w:r>
          </w:p>
        </w:tc>
        <w:tc>
          <w:tcPr>
            <w:tcW w:type="dxa" w:w="1296"/>
            <w:shd w:val="clear" w:color="auto" w:fill="1F3764"/>
          </w:tcPr>
          <w:p>
            <w:r>
              <w:rPr>
                <w:b/>
                <w:color w:val="FFFFFF"/>
                <w:sz w:val="18"/>
              </w:rPr>
              <w:t>Policies</w:t>
            </w:r>
          </w:p>
        </w:tc>
        <w:tc>
          <w:tcPr>
            <w:tcW w:type="dxa" w:w="3888"/>
            <w:shd w:val="clear" w:color="auto" w:fill="1F3764"/>
          </w:tcPr>
          <w:p>
            <w:r>
              <w:rPr>
                <w:b/>
                <w:color w:val="FFFFFF"/>
                <w:sz w:val="18"/>
              </w:rPr>
              <w:t>Resolution</w:t>
            </w:r>
          </w:p>
        </w:tc>
      </w:tr>
      <w:tr>
        <w:tc>
          <w:tcPr>
            <w:tcW w:type="dxa" w:w="4032"/>
            <w:shd w:val="clear" w:color="auto" w:fill="FFFFFF"/>
          </w:tcPr>
          <w:p>
            <w:r>
              <w:rPr>
                <w:b w:val="0"/>
                <w:sz w:val="18"/>
              </w:rPr>
              <w:t>No same-as-link (AWM party not mapped)</w:t>
            </w:r>
          </w:p>
        </w:tc>
        <w:tc>
          <w:tcPr>
            <w:tcW w:type="dxa" w:w="1296"/>
            <w:shd w:val="clear" w:color="auto" w:fill="FFFFFF"/>
          </w:tcPr>
          <w:p>
            <w:r>
              <w:rPr>
                <w:b w:val="0"/>
                <w:sz w:val="18"/>
              </w:rPr>
              <w:t>1</w:t>
            </w:r>
          </w:p>
        </w:tc>
        <w:tc>
          <w:tcPr>
            <w:tcW w:type="dxa" w:w="3888"/>
            <w:shd w:val="clear" w:color="auto" w:fill="FFFFFF"/>
          </w:tcPr>
          <w:p>
            <w:r>
              <w:rPr>
                <w:b w:val="0"/>
                <w:sz w:val="18"/>
              </w:rPr>
              <w:t>Data fix: investigate party_id_same_as_link</w:t>
            </w:r>
          </w:p>
        </w:tc>
      </w:tr>
      <w:tr>
        <w:tc>
          <w:tcPr>
            <w:tcW w:type="dxa" w:w="4032"/>
            <w:shd w:val="clear" w:color="auto" w:fill="EEF3FA"/>
          </w:tcPr>
          <w:p>
            <w:r>
              <w:rPr>
                <w:b w:val="0"/>
                <w:sz w:val="18"/>
              </w:rPr>
              <w:t>Never registered online (no account on any party)</w:t>
            </w:r>
          </w:p>
        </w:tc>
        <w:tc>
          <w:tcPr>
            <w:tcW w:type="dxa" w:w="1296"/>
            <w:shd w:val="clear" w:color="auto" w:fill="EEF3FA"/>
          </w:tcPr>
          <w:p>
            <w:r>
              <w:rPr>
                <w:b w:val="0"/>
                <w:sz w:val="18"/>
              </w:rPr>
              <w:t>50,453</w:t>
            </w:r>
          </w:p>
        </w:tc>
        <w:tc>
          <w:tcPr>
            <w:tcW w:type="dxa" w:w="3888"/>
            <w:shd w:val="clear" w:color="auto" w:fill="EEF3FA"/>
          </w:tcPr>
          <w:p>
            <w:r>
              <w:rPr>
                <w:b w:val="0"/>
                <w:sz w:val="18"/>
              </w:rPr>
              <w:t>Outreach: campaign to drive online registration</w:t>
            </w:r>
          </w:p>
        </w:tc>
      </w:tr>
      <w:tr>
        <w:tc>
          <w:tcPr>
            <w:tcW w:type="dxa" w:w="4032"/>
            <w:shd w:val="clear" w:color="auto" w:fill="FFFFFF"/>
          </w:tcPr>
          <w:p>
            <w:r>
              <w:rPr>
                <w:b w:val="0"/>
                <w:sz w:val="18"/>
              </w:rPr>
              <w:t>Incomplete account setup — no email in either system</w:t>
            </w:r>
          </w:p>
        </w:tc>
        <w:tc>
          <w:tcPr>
            <w:tcW w:type="dxa" w:w="1296"/>
            <w:shd w:val="clear" w:color="auto" w:fill="FFFFFF"/>
          </w:tcPr>
          <w:p>
            <w:r>
              <w:rPr>
                <w:b w:val="0"/>
                <w:sz w:val="18"/>
              </w:rPr>
              <w:t>13,846</w:t>
            </w:r>
          </w:p>
        </w:tc>
        <w:tc>
          <w:tcPr>
            <w:tcW w:type="dxa" w:w="3888"/>
            <w:shd w:val="clear" w:color="auto" w:fill="FFFFFF"/>
          </w:tcPr>
          <w:p>
            <w:r>
              <w:rPr>
                <w:b w:val="0"/>
                <w:sz w:val="18"/>
              </w:rPr>
              <w:t>Outreach: prompt customers to complete account activation</w:t>
            </w:r>
          </w:p>
        </w:tc>
      </w:tr>
      <w:tr>
        <w:tc>
          <w:tcPr>
            <w:tcW w:type="dxa" w:w="4032"/>
            <w:shd w:val="clear" w:color="auto" w:fill="EEF3FA"/>
          </w:tcPr>
          <w:p>
            <w:r>
              <w:rPr>
                <w:b w:val="0"/>
                <w:sz w:val="18"/>
              </w:rPr>
              <w:t>Incomplete account setup — BIM email available</w:t>
            </w:r>
          </w:p>
        </w:tc>
        <w:tc>
          <w:tcPr>
            <w:tcW w:type="dxa" w:w="1296"/>
            <w:shd w:val="clear" w:color="auto" w:fill="EEF3FA"/>
          </w:tcPr>
          <w:p>
            <w:r>
              <w:rPr>
                <w:b w:val="0"/>
                <w:sz w:val="18"/>
              </w:rPr>
              <w:t>27,756</w:t>
            </w:r>
          </w:p>
        </w:tc>
        <w:tc>
          <w:tcPr>
            <w:tcW w:type="dxa" w:w="3888"/>
            <w:shd w:val="clear" w:color="auto" w:fill="EEF3FA"/>
          </w:tcPr>
          <w:p>
            <w:r>
              <w:rPr>
                <w:b w:val="0"/>
                <w:sz w:val="18"/>
              </w:rPr>
              <w:t>Data fix: backfill from BIM (see missing_mail.sql Section 8)</w:t>
            </w:r>
          </w:p>
        </w:tc>
      </w:tr>
    </w:tbl>
    <w:p/>
    <w:p>
      <w:pPr>
        <w:spacing w:before="40" w:after="120"/>
        <w:ind w:left="454"/>
      </w:pPr>
      <w:r>
        <w:rPr>
          <w:i/>
          <w:color w:val="595959"/>
          <w:sz w:val="18"/>
        </w:rPr>
        <w:t>Note: The 50,453 + 13,846 + 27,756 total is from the pre-ANI-fix analysis. After the ANI fix (Issue 8) resolved 26,476 via AWM, the structural no-email count reduced to ~44,271. Relative proportions across categories remain consistent.</w:t>
      </w:r>
    </w:p>
    <w:p>
      <w:pPr>
        <w:pStyle w:val="Heading2"/>
        <w:spacing w:before="240" w:after="80"/>
      </w:pPr>
      <w:r>
        <w:rPr>
          <w:color w:val="2E74B5"/>
          <w:sz w:val="26"/>
        </w:rPr>
        <w:t>No-Account Policies — Product Line Breakdown</w:t>
      </w:r>
    </w:p>
    <w:tbl>
      <w:tblPr>
        <w:tblStyle w:val="TableGrid"/>
        <w:tblW w:type="auto" w:w="0"/>
        <w:jc w:val="left"/>
        <w:tblLook w:firstColumn="1" w:firstRow="1" w:lastColumn="0" w:lastRow="0" w:noHBand="0" w:noVBand="1" w:val="04A0"/>
      </w:tblPr>
      <w:tblGrid>
        <w:gridCol w:w="3135"/>
        <w:gridCol w:w="3135"/>
        <w:gridCol w:w="3135"/>
      </w:tblGrid>
      <w:tr>
        <w:tc>
          <w:tcPr>
            <w:tcW w:type="dxa" w:w="1440"/>
            <w:shd w:val="clear" w:color="auto" w:fill="1F3764"/>
          </w:tcPr>
          <w:p>
            <w:r>
              <w:rPr>
                <w:b/>
                <w:color w:val="FFFFFF"/>
                <w:sz w:val="18"/>
              </w:rPr>
              <w:t>Symbol</w:t>
            </w:r>
          </w:p>
        </w:tc>
        <w:tc>
          <w:tcPr>
            <w:tcW w:type="dxa" w:w="2880"/>
            <w:shd w:val="clear" w:color="auto" w:fill="1F3764"/>
          </w:tcPr>
          <w:p>
            <w:r>
              <w:rPr>
                <w:b/>
                <w:color w:val="FFFFFF"/>
                <w:sz w:val="18"/>
              </w:rPr>
              <w:t>Unregistered Policies</w:t>
            </w:r>
          </w:p>
        </w:tc>
        <w:tc>
          <w:tcPr>
            <w:tcW w:type="dxa" w:w="2592"/>
            <w:shd w:val="clear" w:color="auto" w:fill="1F3764"/>
          </w:tcPr>
          <w:p>
            <w:r>
              <w:rPr>
                <w:b/>
                <w:color w:val="FFFFFF"/>
                <w:sz w:val="18"/>
              </w:rPr>
              <w:t>% of Symbol Total</w:t>
            </w:r>
          </w:p>
        </w:tc>
      </w:tr>
      <w:tr>
        <w:tc>
          <w:tcPr>
            <w:tcW w:type="dxa" w:w="1440"/>
            <w:shd w:val="clear" w:color="auto" w:fill="FFFFFF"/>
          </w:tcPr>
          <w:p>
            <w:r>
              <w:rPr>
                <w:b w:val="0"/>
                <w:sz w:val="18"/>
              </w:rPr>
              <w:t>HO</w:t>
            </w:r>
          </w:p>
        </w:tc>
        <w:tc>
          <w:tcPr>
            <w:tcW w:type="dxa" w:w="2880"/>
            <w:shd w:val="clear" w:color="auto" w:fill="FFFFFF"/>
          </w:tcPr>
          <w:p>
            <w:r>
              <w:rPr>
                <w:b w:val="0"/>
                <w:sz w:val="18"/>
              </w:rPr>
              <w:t>67,670</w:t>
            </w:r>
          </w:p>
        </w:tc>
        <w:tc>
          <w:tcPr>
            <w:tcW w:type="dxa" w:w="2592"/>
            <w:shd w:val="clear" w:color="auto" w:fill="FFFFFF"/>
          </w:tcPr>
          <w:p>
            <w:r>
              <w:rPr>
                <w:b w:val="0"/>
                <w:sz w:val="18"/>
              </w:rPr>
              <w:t>51.9%</w:t>
            </w:r>
          </w:p>
        </w:tc>
      </w:tr>
      <w:tr>
        <w:tc>
          <w:tcPr>
            <w:tcW w:type="dxa" w:w="1440"/>
            <w:shd w:val="clear" w:color="auto" w:fill="EEF3FA"/>
          </w:tcPr>
          <w:p>
            <w:r>
              <w:rPr>
                <w:b w:val="0"/>
                <w:sz w:val="18"/>
              </w:rPr>
              <w:t>CA</w:t>
            </w:r>
          </w:p>
        </w:tc>
        <w:tc>
          <w:tcPr>
            <w:tcW w:type="dxa" w:w="2880"/>
            <w:shd w:val="clear" w:color="auto" w:fill="EEF3FA"/>
          </w:tcPr>
          <w:p>
            <w:r>
              <w:rPr>
                <w:b w:val="0"/>
                <w:sz w:val="18"/>
              </w:rPr>
              <w:t>61,921</w:t>
            </w:r>
          </w:p>
        </w:tc>
        <w:tc>
          <w:tcPr>
            <w:tcW w:type="dxa" w:w="2592"/>
            <w:shd w:val="clear" w:color="auto" w:fill="EEF3FA"/>
          </w:tcPr>
          <w:p>
            <w:r>
              <w:rPr>
                <w:b w:val="0"/>
                <w:sz w:val="18"/>
              </w:rPr>
              <w:t>50.7%</w:t>
            </w:r>
          </w:p>
        </w:tc>
      </w:tr>
      <w:tr>
        <w:tc>
          <w:tcPr>
            <w:tcW w:type="dxa" w:w="1440"/>
            <w:shd w:val="clear" w:color="auto" w:fill="FFFFFF"/>
          </w:tcPr>
          <w:p>
            <w:r>
              <w:rPr>
                <w:b w:val="0"/>
                <w:sz w:val="18"/>
              </w:rPr>
              <w:t>UMB</w:t>
            </w:r>
          </w:p>
        </w:tc>
        <w:tc>
          <w:tcPr>
            <w:tcW w:type="dxa" w:w="2880"/>
            <w:shd w:val="clear" w:color="auto" w:fill="FFFFFF"/>
          </w:tcPr>
          <w:p>
            <w:r>
              <w:rPr>
                <w:b w:val="0"/>
                <w:sz w:val="18"/>
              </w:rPr>
              <w:t>14,634</w:t>
            </w:r>
          </w:p>
        </w:tc>
        <w:tc>
          <w:tcPr>
            <w:tcW w:type="dxa" w:w="2592"/>
            <w:shd w:val="clear" w:color="auto" w:fill="FFFFFF"/>
          </w:tcPr>
          <w:p>
            <w:r>
              <w:rPr>
                <w:b w:val="0"/>
                <w:sz w:val="18"/>
              </w:rPr>
              <w:t>53.4%</w:t>
            </w:r>
          </w:p>
        </w:tc>
      </w:tr>
      <w:tr>
        <w:tc>
          <w:tcPr>
            <w:tcW w:type="dxa" w:w="1440"/>
            <w:shd w:val="clear" w:color="auto" w:fill="EEF3FA"/>
          </w:tcPr>
          <w:p>
            <w:r>
              <w:rPr>
                <w:b w:val="0"/>
                <w:sz w:val="18"/>
              </w:rPr>
              <w:t>DP</w:t>
            </w:r>
          </w:p>
        </w:tc>
        <w:tc>
          <w:tcPr>
            <w:tcW w:type="dxa" w:w="2880"/>
            <w:shd w:val="clear" w:color="auto" w:fill="EEF3FA"/>
          </w:tcPr>
          <w:p>
            <w:r>
              <w:rPr>
                <w:b w:val="0"/>
                <w:sz w:val="18"/>
              </w:rPr>
              <w:t xml:space="preserve"> 6,027</w:t>
            </w:r>
          </w:p>
        </w:tc>
        <w:tc>
          <w:tcPr>
            <w:tcW w:type="dxa" w:w="2592"/>
            <w:shd w:val="clear" w:color="auto" w:fill="EEF3FA"/>
          </w:tcPr>
          <w:p>
            <w:r>
              <w:rPr>
                <w:b w:val="0"/>
                <w:sz w:val="18"/>
              </w:rPr>
              <w:t>52.8%</w:t>
            </w:r>
          </w:p>
        </w:tc>
      </w:tr>
      <w:tr>
        <w:tc>
          <w:tcPr>
            <w:tcW w:type="dxa" w:w="1440"/>
            <w:shd w:val="clear" w:color="auto" w:fill="FFFFFF"/>
          </w:tcPr>
          <w:p>
            <w:r>
              <w:rPr>
                <w:b w:val="0"/>
                <w:sz w:val="18"/>
              </w:rPr>
              <w:t>MA</w:t>
            </w:r>
          </w:p>
        </w:tc>
        <w:tc>
          <w:tcPr>
            <w:tcW w:type="dxa" w:w="2880"/>
            <w:shd w:val="clear" w:color="auto" w:fill="FFFFFF"/>
          </w:tcPr>
          <w:p>
            <w:r>
              <w:rPr>
                <w:b w:val="0"/>
                <w:sz w:val="18"/>
              </w:rPr>
              <w:t xml:space="preserve"> 3,748</w:t>
            </w:r>
          </w:p>
        </w:tc>
        <w:tc>
          <w:tcPr>
            <w:tcW w:type="dxa" w:w="2592"/>
            <w:shd w:val="clear" w:color="auto" w:fill="FFFFFF"/>
          </w:tcPr>
          <w:p>
            <w:r>
              <w:rPr>
                <w:b w:val="0"/>
                <w:sz w:val="18"/>
              </w:rPr>
              <w:t>61.6%</w:t>
            </w:r>
          </w:p>
        </w:tc>
      </w:tr>
    </w:tbl>
    <w:p/>
    <w:p>
      <w:pPr>
        <w:spacing w:before="40" w:after="80"/>
      </w:pPr>
      <w:r>
        <w:rPr>
          <w:sz w:val="20"/>
        </w:rPr>
        <w:t>All symbols are consistently 50–62% without an account link. This is a structural customer adoption gap, not a data pipeline issue.</w:t>
      </w:r>
    </w:p>
    <w:p>
      <w:r>
        <w:br w:type="page"/>
      </w:r>
    </w:p>
    <w:p>
      <w:pPr>
        <w:pStyle w:val="Heading1"/>
        <w:spacing w:before="280" w:after="120"/>
      </w:pPr>
      <w:r>
        <w:rPr>
          <w:color w:val="1F3764"/>
          <w:sz w:val="32"/>
        </w:rPr>
        <w:t>Final Output Validation</w:t>
      </w:r>
    </w:p>
    <w:p>
      <w:pPr>
        <w:spacing w:before="40" w:after="80"/>
      </w:pPr>
      <w:r>
        <w:rPr>
          <w:sz w:val="20"/>
        </w:rPr>
        <w:t>Run this query after new_paper.sql completes to confirm expected values:</w:t>
      </w:r>
    </w:p>
    <w:p>
      <w:pPr>
        <w:spacing w:before="80" w:after="80"/>
        <w:ind w:left="454" w:right="454"/>
        <w:shd w:val="clear" w:color="auto" w:fill="F2F2F2"/>
      </w:pPr>
      <w:r>
        <w:rPr>
          <w:rFonts w:ascii="Courier New" w:hAnsi="Courier New"/>
          <w:color w:val="1A1A1A"/>
          <w:sz w:val="16"/>
        </w:rPr>
        <w:t>select</w:t>
        <w:br/>
        <w:t xml:space="preserve">    count(*)                                                         as total_rows,</w:t>
        <w:br/>
        <w:t xml:space="preserve">    sum(case when EmailAddress is not null then 1 else 0 end)        as has_email,</w:t>
        <w:br/>
        <w:t xml:space="preserve">    sum(case when EmailSource = 'BIM'      then 1 else 0 end)        as bim_fallback_used,</w:t>
        <w:br/>
        <w:t xml:space="preserve">    sum(case when EmailSource = 'AWM'      then 1 else 0 end)        as awm_email,</w:t>
        <w:br/>
        <w:t xml:space="preserve">    sum(case when EmailAddress is null     then 1 else 0 end)        as no_email,</w:t>
        <w:br/>
        <w:t xml:space="preserve">    sum(case when Paperless_Bil_Ind = 'Y' then 1 else 0 end)        as paperless_bill_y,</w:t>
        <w:br/>
        <w:t xml:space="preserve">    sum(case when Paperless_Pol_Ind = 'Y' then 1 else 0 end)        as paperless_pol_y,</w:t>
        <w:br/>
        <w:t xml:space="preserve">    sum(case when PolicyStatus = 'INFORCE' then 1 else 0 end)        as inforce_count</w:t>
        <w:br/>
        <w:t>from #New_Paper_Report;</w:t>
      </w:r>
    </w:p>
    <w:p>
      <w:pPr>
        <w:pStyle w:val="Heading2"/>
        <w:spacing w:before="240" w:after="80"/>
      </w:pPr>
      <w:r>
        <w:rPr>
          <w:color w:val="2E74B5"/>
          <w:sz w:val="26"/>
        </w:rPr>
        <w:t>Expected Results (as of 2026-04-07)</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1F3764"/>
          </w:tcPr>
          <w:p>
            <w:r>
              <w:rPr>
                <w:b/>
                <w:color w:val="FFFFFF"/>
                <w:sz w:val="18"/>
              </w:rPr>
              <w:t>Metric</w:t>
            </w:r>
          </w:p>
        </w:tc>
        <w:tc>
          <w:tcPr>
            <w:tcW w:type="dxa" w:w="3600"/>
            <w:shd w:val="clear" w:color="auto" w:fill="1F3764"/>
          </w:tcPr>
          <w:p>
            <w:r>
              <w:rPr>
                <w:b/>
                <w:color w:val="FFFFFF"/>
                <w:sz w:val="18"/>
              </w:rPr>
              <w:t>Expected Value</w:t>
            </w:r>
          </w:p>
        </w:tc>
      </w:tr>
      <w:tr>
        <w:tc>
          <w:tcPr>
            <w:tcW w:type="dxa" w:w="3600"/>
            <w:shd w:val="clear" w:color="auto" w:fill="FFFFFF"/>
          </w:tcPr>
          <w:p>
            <w:r>
              <w:rPr>
                <w:b w:val="0"/>
                <w:sz w:val="18"/>
              </w:rPr>
              <w:t>total_rows</w:t>
            </w:r>
          </w:p>
        </w:tc>
        <w:tc>
          <w:tcPr>
            <w:tcW w:type="dxa" w:w="3600"/>
            <w:shd w:val="clear" w:color="auto" w:fill="FFFFFF"/>
          </w:tcPr>
          <w:p>
            <w:r>
              <w:rPr>
                <w:b w:val="0"/>
                <w:sz w:val="18"/>
              </w:rPr>
              <w:t>~296,399</w:t>
            </w:r>
          </w:p>
        </w:tc>
      </w:tr>
      <w:tr>
        <w:tc>
          <w:tcPr>
            <w:tcW w:type="dxa" w:w="3600"/>
            <w:shd w:val="clear" w:color="auto" w:fill="EEF3FA"/>
          </w:tcPr>
          <w:p>
            <w:r>
              <w:rPr>
                <w:b w:val="0"/>
                <w:sz w:val="18"/>
              </w:rPr>
              <w:t>has_email</w:t>
            </w:r>
          </w:p>
        </w:tc>
        <w:tc>
          <w:tcPr>
            <w:tcW w:type="dxa" w:w="3600"/>
            <w:shd w:val="clear" w:color="auto" w:fill="EEF3FA"/>
          </w:tcPr>
          <w:p>
            <w:r>
              <w:rPr>
                <w:b w:val="0"/>
                <w:sz w:val="18"/>
              </w:rPr>
              <w:t>~252,128  (85.1%)</w:t>
            </w:r>
          </w:p>
        </w:tc>
      </w:tr>
      <w:tr>
        <w:tc>
          <w:tcPr>
            <w:tcW w:type="dxa" w:w="3600"/>
            <w:shd w:val="clear" w:color="auto" w:fill="FFFFFF"/>
          </w:tcPr>
          <w:p>
            <w:r>
              <w:rPr>
                <w:b w:val="0"/>
                <w:sz w:val="18"/>
              </w:rPr>
              <w:t>bim_fallback_used</w:t>
            </w:r>
          </w:p>
        </w:tc>
        <w:tc>
          <w:tcPr>
            <w:tcW w:type="dxa" w:w="3600"/>
            <w:shd w:val="clear" w:color="auto" w:fill="FFFFFF"/>
          </w:tcPr>
          <w:p>
            <w:r>
              <w:rPr>
                <w:b w:val="0"/>
                <w:sz w:val="18"/>
              </w:rPr>
              <w:t>~464</w:t>
            </w:r>
          </w:p>
        </w:tc>
      </w:tr>
      <w:tr>
        <w:tc>
          <w:tcPr>
            <w:tcW w:type="dxa" w:w="3600"/>
            <w:shd w:val="clear" w:color="auto" w:fill="EEF3FA"/>
          </w:tcPr>
          <w:p>
            <w:r>
              <w:rPr>
                <w:b w:val="0"/>
                <w:sz w:val="18"/>
              </w:rPr>
              <w:t>awm_email</w:t>
            </w:r>
          </w:p>
        </w:tc>
        <w:tc>
          <w:tcPr>
            <w:tcW w:type="dxa" w:w="3600"/>
            <w:shd w:val="clear" w:color="auto" w:fill="EEF3FA"/>
          </w:tcPr>
          <w:p>
            <w:r>
              <w:rPr>
                <w:b w:val="0"/>
                <w:sz w:val="18"/>
              </w:rPr>
              <w:t>~251,664</w:t>
            </w:r>
          </w:p>
        </w:tc>
      </w:tr>
      <w:tr>
        <w:tc>
          <w:tcPr>
            <w:tcW w:type="dxa" w:w="3600"/>
            <w:shd w:val="clear" w:color="auto" w:fill="FFFFFF"/>
          </w:tcPr>
          <w:p>
            <w:r>
              <w:rPr>
                <w:b w:val="0"/>
                <w:sz w:val="18"/>
              </w:rPr>
              <w:t>no_email</w:t>
            </w:r>
          </w:p>
        </w:tc>
        <w:tc>
          <w:tcPr>
            <w:tcW w:type="dxa" w:w="3600"/>
            <w:shd w:val="clear" w:color="auto" w:fill="FFFFFF"/>
          </w:tcPr>
          <w:p>
            <w:r>
              <w:rPr>
                <w:b w:val="0"/>
                <w:sz w:val="18"/>
              </w:rPr>
              <w:t>~44,271   (14.9%)</w:t>
            </w:r>
          </w:p>
        </w:tc>
      </w:tr>
      <w:tr>
        <w:tc>
          <w:tcPr>
            <w:tcW w:type="dxa" w:w="3600"/>
            <w:shd w:val="clear" w:color="auto" w:fill="EEF3FA"/>
          </w:tcPr>
          <w:p>
            <w:r>
              <w:rPr>
                <w:b w:val="0"/>
                <w:sz w:val="18"/>
              </w:rPr>
              <w:t>paperless_bill_y</w:t>
            </w:r>
          </w:p>
        </w:tc>
        <w:tc>
          <w:tcPr>
            <w:tcW w:type="dxa" w:w="3600"/>
            <w:shd w:val="clear" w:color="auto" w:fill="EEF3FA"/>
          </w:tcPr>
          <w:p>
            <w:r>
              <w:rPr>
                <w:b w:val="0"/>
                <w:sz w:val="18"/>
              </w:rPr>
              <w:t>~113,834</w:t>
            </w:r>
          </w:p>
        </w:tc>
      </w:tr>
      <w:tr>
        <w:tc>
          <w:tcPr>
            <w:tcW w:type="dxa" w:w="3600"/>
            <w:shd w:val="clear" w:color="auto" w:fill="FFFFFF"/>
          </w:tcPr>
          <w:p>
            <w:r>
              <w:rPr>
                <w:b w:val="0"/>
                <w:sz w:val="18"/>
              </w:rPr>
              <w:t>paperless_pol_y</w:t>
            </w:r>
          </w:p>
        </w:tc>
        <w:tc>
          <w:tcPr>
            <w:tcW w:type="dxa" w:w="3600"/>
            <w:shd w:val="clear" w:color="auto" w:fill="FFFFFF"/>
          </w:tcPr>
          <w:p>
            <w:r>
              <w:rPr>
                <w:b w:val="0"/>
                <w:sz w:val="18"/>
              </w:rPr>
              <w:t>~146,296</w:t>
            </w:r>
          </w:p>
        </w:tc>
      </w:tr>
      <w:tr>
        <w:tc>
          <w:tcPr>
            <w:tcW w:type="dxa" w:w="3600"/>
            <w:shd w:val="clear" w:color="auto" w:fill="EEF3FA"/>
          </w:tcPr>
          <w:p>
            <w:r>
              <w:rPr>
                <w:b w:val="0"/>
                <w:sz w:val="18"/>
              </w:rPr>
              <w:t>inforce_count</w:t>
            </w:r>
          </w:p>
        </w:tc>
        <w:tc>
          <w:tcPr>
            <w:tcW w:type="dxa" w:w="3600"/>
            <w:shd w:val="clear" w:color="auto" w:fill="EEF3FA"/>
          </w:tcPr>
          <w:p>
            <w:r>
              <w:rPr>
                <w:b w:val="0"/>
                <w:sz w:val="18"/>
              </w:rPr>
              <w:t>~284,879</w:t>
            </w:r>
          </w:p>
        </w:tc>
      </w:tr>
    </w:tbl>
    <w:p/>
    <w:p>
      <w:pPr>
        <w:pStyle w:val="Heading1"/>
        <w:spacing w:before="280" w:after="120"/>
      </w:pPr>
      <w:r>
        <w:rPr>
          <w:color w:val="1F3764"/>
          <w:sz w:val="32"/>
        </w:rPr>
        <w:t>Pipeline Optimization Summary</w:t>
      </w:r>
    </w:p>
    <w:p>
      <w:pPr>
        <w:spacing w:before="40" w:after="80"/>
      </w:pPr>
      <w:r>
        <w:rPr>
          <w:sz w:val="20"/>
        </w:rPr>
        <w:t>new_paper.sql reduced the temp table count from 16 (in paperless.sql) to 10:</w:t>
      </w:r>
    </w:p>
    <w:p>
      <w:pPr>
        <w:pStyle w:val="Heading2"/>
        <w:spacing w:before="240" w:after="80"/>
      </w:pPr>
      <w:r>
        <w:rPr>
          <w:color w:val="2E74B5"/>
          <w:sz w:val="26"/>
        </w:rPr>
        <w:t>Tables Removed</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F3764"/>
          </w:tcPr>
          <w:p>
            <w:r>
              <w:rPr>
                <w:b/>
                <w:color w:val="FFFFFF"/>
                <w:sz w:val="18"/>
              </w:rPr>
              <w:t>Removed Table</w:t>
            </w:r>
          </w:p>
        </w:tc>
        <w:tc>
          <w:tcPr>
            <w:tcW w:type="dxa" w:w="5040"/>
            <w:shd w:val="clear" w:color="auto" w:fill="1F3764"/>
          </w:tcPr>
          <w:p>
            <w:r>
              <w:rPr>
                <w:b/>
                <w:color w:val="FFFFFF"/>
                <w:sz w:val="18"/>
              </w:rPr>
              <w:t>Merged Into</w:t>
            </w:r>
          </w:p>
        </w:tc>
      </w:tr>
      <w:tr>
        <w:tc>
          <w:tcPr>
            <w:tcW w:type="dxa" w:w="4032"/>
            <w:shd w:val="clear" w:color="auto" w:fill="FFFFFF"/>
          </w:tcPr>
          <w:p>
            <w:r>
              <w:rPr>
                <w:b w:val="0"/>
                <w:sz w:val="18"/>
              </w:rPr>
              <w:t>#base_data_link</w:t>
            </w:r>
          </w:p>
        </w:tc>
        <w:tc>
          <w:tcPr>
            <w:tcW w:type="dxa" w:w="5040"/>
            <w:shd w:val="clear" w:color="auto" w:fill="FFFFFF"/>
          </w:tcPr>
          <w:p>
            <w:r>
              <w:rPr>
                <w:b w:val="0"/>
                <w:sz w:val="18"/>
              </w:rPr>
              <w:t>Inlined as subquery in #base_data</w:t>
            </w:r>
          </w:p>
        </w:tc>
      </w:tr>
      <w:tr>
        <w:tc>
          <w:tcPr>
            <w:tcW w:type="dxa" w:w="4032"/>
            <w:shd w:val="clear" w:color="auto" w:fill="EEF3FA"/>
          </w:tcPr>
          <w:p>
            <w:r>
              <w:rPr>
                <w:b w:val="0"/>
                <w:sz w:val="18"/>
              </w:rPr>
              <w:t>#CIF_POLICY_Detail1</w:t>
            </w:r>
          </w:p>
        </w:tc>
        <w:tc>
          <w:tcPr>
            <w:tcW w:type="dxa" w:w="5040"/>
            <w:shd w:val="clear" w:color="auto" w:fill="EEF3FA"/>
          </w:tcPr>
          <w:p>
            <w:r>
              <w:rPr>
                <w:b w:val="0"/>
                <w:sz w:val="18"/>
              </w:rPr>
              <w:t>Merged into #cif_detail</w:t>
            </w:r>
          </w:p>
        </w:tc>
      </w:tr>
      <w:tr>
        <w:tc>
          <w:tcPr>
            <w:tcW w:type="dxa" w:w="4032"/>
            <w:shd w:val="clear" w:color="auto" w:fill="FFFFFF"/>
          </w:tcPr>
          <w:p>
            <w:r>
              <w:rPr>
                <w:b w:val="0"/>
                <w:sz w:val="18"/>
              </w:rPr>
              <w:t>#CIF_POLICY_Detail2</w:t>
            </w:r>
          </w:p>
        </w:tc>
        <w:tc>
          <w:tcPr>
            <w:tcW w:type="dxa" w:w="5040"/>
            <w:shd w:val="clear" w:color="auto" w:fill="FFFFFF"/>
          </w:tcPr>
          <w:p>
            <w:r>
              <w:rPr>
                <w:b w:val="0"/>
                <w:sz w:val="18"/>
              </w:rPr>
              <w:t>Merged into #cif_detail</w:t>
            </w:r>
          </w:p>
        </w:tc>
      </w:tr>
      <w:tr>
        <w:tc>
          <w:tcPr>
            <w:tcW w:type="dxa" w:w="4032"/>
            <w:shd w:val="clear" w:color="auto" w:fill="EEF3FA"/>
          </w:tcPr>
          <w:p>
            <w:r>
              <w:rPr>
                <w:b w:val="0"/>
                <w:sz w:val="18"/>
              </w:rPr>
              <w:t>#ct_asp_user_account</w:t>
            </w:r>
          </w:p>
        </w:tc>
        <w:tc>
          <w:tcPr>
            <w:tcW w:type="dxa" w:w="5040"/>
            <w:shd w:val="clear" w:color="auto" w:fill="EEF3FA"/>
          </w:tcPr>
          <w:p>
            <w:r>
              <w:rPr>
                <w:b w:val="0"/>
                <w:sz w:val="18"/>
              </w:rPr>
              <w:t>Merged into #email_account</w:t>
            </w:r>
          </w:p>
        </w:tc>
      </w:tr>
      <w:tr>
        <w:tc>
          <w:tcPr>
            <w:tcW w:type="dxa" w:w="4032"/>
            <w:shd w:val="clear" w:color="auto" w:fill="FFFFFF"/>
          </w:tcPr>
          <w:p>
            <w:r>
              <w:rPr>
                <w:b w:val="0"/>
                <w:sz w:val="18"/>
              </w:rPr>
              <w:t>#ct_party_user_account_link</w:t>
            </w:r>
          </w:p>
        </w:tc>
        <w:tc>
          <w:tcPr>
            <w:tcW w:type="dxa" w:w="5040"/>
            <w:shd w:val="clear" w:color="auto" w:fill="FFFFFF"/>
          </w:tcPr>
          <w:p>
            <w:r>
              <w:rPr>
                <w:b w:val="0"/>
                <w:sz w:val="18"/>
              </w:rPr>
              <w:t>Merged into #email_account</w:t>
            </w:r>
          </w:p>
        </w:tc>
      </w:tr>
      <w:tr>
        <w:tc>
          <w:tcPr>
            <w:tcW w:type="dxa" w:w="4032"/>
            <w:shd w:val="clear" w:color="auto" w:fill="EEF3FA"/>
          </w:tcPr>
          <w:p>
            <w:r>
              <w:rPr>
                <w:b w:val="0"/>
                <w:sz w:val="18"/>
              </w:rPr>
              <w:t>#ct_party_user_account</w:t>
            </w:r>
          </w:p>
        </w:tc>
        <w:tc>
          <w:tcPr>
            <w:tcW w:type="dxa" w:w="5040"/>
            <w:shd w:val="clear" w:color="auto" w:fill="EEF3FA"/>
          </w:tcPr>
          <w:p>
            <w:r>
              <w:rPr>
                <w:b w:val="0"/>
                <w:sz w:val="18"/>
              </w:rPr>
              <w:t>Merged into #email_account</w:t>
            </w:r>
          </w:p>
        </w:tc>
      </w:tr>
      <w:tr>
        <w:tc>
          <w:tcPr>
            <w:tcW w:type="dxa" w:w="4032"/>
            <w:shd w:val="clear" w:color="auto" w:fill="FFFFFF"/>
          </w:tcPr>
          <w:p>
            <w:r>
              <w:rPr>
                <w:b w:val="0"/>
                <w:sz w:val="18"/>
              </w:rPr>
              <w:t>#ct_asp_membership</w:t>
            </w:r>
          </w:p>
        </w:tc>
        <w:tc>
          <w:tcPr>
            <w:tcW w:type="dxa" w:w="5040"/>
            <w:shd w:val="clear" w:color="auto" w:fill="FFFFFF"/>
          </w:tcPr>
          <w:p>
            <w:r>
              <w:rPr>
                <w:b w:val="0"/>
                <w:sz w:val="18"/>
              </w:rPr>
              <w:t>Merged into #email_account</w:t>
            </w:r>
          </w:p>
        </w:tc>
      </w:tr>
    </w:tbl>
    <w:p/>
    <w:p>
      <w:pPr>
        <w:pStyle w:val="Heading2"/>
        <w:spacing w:before="240" w:after="80"/>
      </w:pPr>
      <w:r>
        <w:rPr>
          <w:color w:val="2E74B5"/>
          <w:sz w:val="26"/>
        </w:rPr>
        <w:t>Tables Added</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F3764"/>
          </w:tcPr>
          <w:p>
            <w:r>
              <w:rPr>
                <w:b/>
                <w:color w:val="FFFFFF"/>
                <w:sz w:val="18"/>
              </w:rPr>
              <w:t>Added Table</w:t>
            </w:r>
          </w:p>
        </w:tc>
        <w:tc>
          <w:tcPr>
            <w:tcW w:type="dxa" w:w="7200"/>
            <w:shd w:val="clear" w:color="auto" w:fill="1F3764"/>
          </w:tcPr>
          <w:p>
            <w:r>
              <w:rPr>
                <w:b/>
                <w:color w:val="FFFFFF"/>
                <w:sz w:val="18"/>
              </w:rPr>
              <w:t>Purpose</w:t>
            </w:r>
          </w:p>
        </w:tc>
      </w:tr>
      <w:tr>
        <w:tc>
          <w:tcPr>
            <w:tcW w:type="dxa" w:w="2160"/>
            <w:shd w:val="clear" w:color="auto" w:fill="FFFFFF"/>
          </w:tcPr>
          <w:p>
            <w:r>
              <w:rPr>
                <w:b w:val="0"/>
                <w:sz w:val="18"/>
              </w:rPr>
              <w:t>#bim_email</w:t>
            </w:r>
          </w:p>
        </w:tc>
        <w:tc>
          <w:tcPr>
            <w:tcW w:type="dxa" w:w="7200"/>
            <w:shd w:val="clear" w:color="auto" w:fill="FFFFFF"/>
          </w:tcPr>
          <w:p>
            <w:r>
              <w:rPr>
                <w:b w:val="0"/>
                <w:sz w:val="18"/>
              </w:rPr>
              <w:t>BIM/Eloqua email fallback (Issue 7 — join format fixed, HOH filter removed)</w:t>
            </w:r>
          </w:p>
        </w:tc>
      </w:tr>
    </w:tbl>
    <w:p/>
    <w:p>
      <w:pPr>
        <w:spacing w:before="40" w:after="80"/>
      </w:pPr>
      <w:r>
        <w:rPr>
          <w:sz w:val="20"/>
        </w:rPr>
        <w:t>Grain dedup (one row per policy_term_key) is handled in the final SELECT without an additional temp table, using a priority-aware ROW_NUMBER() that selects email-present rows first, NIN second, and uses party_key as a deterministic tiebreak.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